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CBB1A0" w14:textId="7A63B9AA" w:rsidR="00D62F67" w:rsidRPr="00110E8B" w:rsidRDefault="00D62F67" w:rsidP="00BC46D3">
      <w:pPr>
        <w:ind w:right="281"/>
        <w:rPr>
          <w:rFonts w:ascii="Times New Roman" w:hAnsi="Times New Roman"/>
          <w:b/>
          <w:sz w:val="20"/>
          <w:u w:val="single"/>
        </w:rPr>
      </w:pPr>
    </w:p>
    <w:p w14:paraId="79BA388F" w14:textId="77777777" w:rsidR="00D214CA" w:rsidRPr="00110E8B" w:rsidRDefault="00D214CA" w:rsidP="00D4389A">
      <w:pPr>
        <w:ind w:right="281"/>
        <w:rPr>
          <w:rFonts w:ascii="Times New Roman" w:hAnsi="Times New Roman"/>
          <w:b/>
          <w:sz w:val="20"/>
          <w:u w:val="single"/>
        </w:rPr>
      </w:pPr>
    </w:p>
    <w:p w14:paraId="7818C09B" w14:textId="33478E63" w:rsidR="007C4B37" w:rsidRPr="00110E8B" w:rsidRDefault="007C4B37" w:rsidP="00D4389A">
      <w:pPr>
        <w:ind w:right="281"/>
        <w:rPr>
          <w:rFonts w:ascii="Times New Roman" w:hAnsi="Times New Roman"/>
          <w:b/>
          <w:sz w:val="20"/>
          <w:u w:val="single"/>
        </w:rPr>
      </w:pPr>
    </w:p>
    <w:p w14:paraId="68A1E17C" w14:textId="77777777" w:rsidR="007C4B37" w:rsidRPr="00110E8B" w:rsidRDefault="007C4B37" w:rsidP="00D4389A">
      <w:pPr>
        <w:rPr>
          <w:rFonts w:ascii="Times New Roman" w:hAnsi="Times New Roman"/>
          <w:b/>
          <w:sz w:val="20"/>
          <w:u w:val="single"/>
        </w:rPr>
      </w:pPr>
    </w:p>
    <w:p w14:paraId="25543089" w14:textId="77777777" w:rsidR="007C4B37" w:rsidRPr="00110E8B" w:rsidRDefault="007C4B37" w:rsidP="00D4389A">
      <w:pPr>
        <w:rPr>
          <w:rFonts w:ascii="Times New Roman" w:hAnsi="Times New Roman"/>
          <w:b/>
          <w:sz w:val="20"/>
          <w:u w:val="single"/>
        </w:rPr>
      </w:pPr>
    </w:p>
    <w:p w14:paraId="29D6AD1F" w14:textId="445568EE" w:rsidR="007C4B37" w:rsidRPr="00110E8B" w:rsidRDefault="000F7916" w:rsidP="00D214CA">
      <w:pPr>
        <w:rPr>
          <w:rFonts w:ascii="Times New Roman" w:hAnsi="Times New Roman"/>
          <w:b/>
          <w:sz w:val="20"/>
        </w:rPr>
      </w:pPr>
      <w:r w:rsidRPr="00110E8B">
        <w:rPr>
          <w:rFonts w:ascii="Times New Roman" w:hAnsi="Times New Roman"/>
          <w:b/>
          <w:sz w:val="20"/>
        </w:rPr>
        <w:t xml:space="preserve">  </w:t>
      </w:r>
      <w:r w:rsidR="009C7E1F" w:rsidRPr="00110E8B">
        <w:rPr>
          <w:rFonts w:ascii="Times New Roman" w:hAnsi="Times New Roman"/>
          <w:b/>
          <w:sz w:val="20"/>
        </w:rPr>
        <w:t xml:space="preserve"> </w:t>
      </w:r>
      <w:r w:rsidR="000B6C54" w:rsidRPr="00110E8B">
        <w:rPr>
          <w:rFonts w:ascii="Times New Roman" w:hAnsi="Times New Roman"/>
          <w:noProof/>
          <w:sz w:val="20"/>
          <w:lang w:eastAsia="es-AR"/>
        </w:rPr>
        <w:drawing>
          <wp:inline distT="0" distB="0" distL="0" distR="0" wp14:anchorId="708D8160" wp14:editId="7FA939EE">
            <wp:extent cx="1471074" cy="512064"/>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nuevo BBVA.jpg"/>
                    <pic:cNvPicPr/>
                  </pic:nvPicPr>
                  <pic:blipFill rotWithShape="1">
                    <a:blip r:embed="rId8" cstate="print">
                      <a:extLst>
                        <a:ext uri="{28A0092B-C50C-407E-A947-70E740481C1C}">
                          <a14:useLocalDpi xmlns:a14="http://schemas.microsoft.com/office/drawing/2010/main" val="0"/>
                        </a:ext>
                      </a:extLst>
                    </a:blip>
                    <a:srcRect l="6280" t="26911" r="9369" b="31146"/>
                    <a:stretch/>
                  </pic:blipFill>
                  <pic:spPr bwMode="auto">
                    <a:xfrm>
                      <a:off x="0" y="0"/>
                      <a:ext cx="1533885" cy="533928"/>
                    </a:xfrm>
                    <a:prstGeom prst="rect">
                      <a:avLst/>
                    </a:prstGeom>
                    <a:ln>
                      <a:noFill/>
                    </a:ln>
                    <a:extLst>
                      <a:ext uri="{53640926-AAD7-44D8-BBD7-CCE9431645EC}">
                        <a14:shadowObscured xmlns:a14="http://schemas.microsoft.com/office/drawing/2010/main"/>
                      </a:ext>
                    </a:extLst>
                  </pic:spPr>
                </pic:pic>
              </a:graphicData>
            </a:graphic>
          </wp:inline>
        </w:drawing>
      </w:r>
    </w:p>
    <w:p w14:paraId="2EDEB520" w14:textId="77777777" w:rsidR="000B6C54" w:rsidRPr="00975A64" w:rsidRDefault="000B6C54" w:rsidP="00063D4E">
      <w:pPr>
        <w:pStyle w:val="Ttulonota"/>
        <w:ind w:left="284" w:right="-286"/>
        <w:jc w:val="left"/>
        <w:rPr>
          <w:rFonts w:ascii="Arial" w:hAnsi="Arial"/>
          <w:lang w:val="es-AR"/>
        </w:rPr>
      </w:pPr>
    </w:p>
    <w:p w14:paraId="6F3287DD" w14:textId="4A7C846D" w:rsidR="00C47827" w:rsidRDefault="00C47827" w:rsidP="00975A64">
      <w:pPr>
        <w:pStyle w:val="Ttulonota"/>
        <w:ind w:left="284" w:right="-286"/>
        <w:jc w:val="left"/>
        <w:rPr>
          <w:rFonts w:ascii="Times New Roman" w:hAnsi="Times New Roman"/>
          <w:lang w:val="es-AR"/>
        </w:rPr>
      </w:pPr>
      <w:r>
        <w:rPr>
          <w:rFonts w:ascii="Times New Roman" w:hAnsi="Times New Roman"/>
          <w:lang w:val="es-AR"/>
        </w:rPr>
        <w:t>BANCO BBVA ARGENTINA S.A.</w:t>
      </w:r>
    </w:p>
    <w:p w14:paraId="3FF8F7FB" w14:textId="77777777" w:rsidR="004B08B2" w:rsidRDefault="00975A64" w:rsidP="00CC5DCD">
      <w:pPr>
        <w:pStyle w:val="Ttulonota"/>
        <w:ind w:left="284" w:right="-286"/>
        <w:jc w:val="left"/>
        <w:rPr>
          <w:rFonts w:ascii="Times New Roman" w:hAnsi="Times New Roman"/>
          <w:lang w:val="es-AR"/>
        </w:rPr>
      </w:pPr>
      <w:r w:rsidRPr="00177411">
        <w:rPr>
          <w:rFonts w:ascii="Times New Roman" w:hAnsi="Times New Roman"/>
          <w:lang w:val="es-AR"/>
        </w:rPr>
        <w:t xml:space="preserve">ESTADOS FINANCIEROS </w:t>
      </w:r>
      <w:r w:rsidR="00CC5DCD" w:rsidRPr="00CC5DCD">
        <w:rPr>
          <w:rFonts w:ascii="Times New Roman" w:hAnsi="Times New Roman"/>
          <w:lang w:val="es-AR"/>
        </w:rPr>
        <w:t xml:space="preserve">INTERMEDIOS CONDENSADOS POR EL PERÍODO DE </w:t>
      </w:r>
    </w:p>
    <w:p w14:paraId="78D68553" w14:textId="6DFCA2E4" w:rsidR="00CC5DCD" w:rsidRPr="00CC5DCD" w:rsidRDefault="008708A4" w:rsidP="00CC5DCD">
      <w:pPr>
        <w:pStyle w:val="Ttulonota"/>
        <w:ind w:left="284" w:right="-286"/>
        <w:jc w:val="left"/>
        <w:rPr>
          <w:rFonts w:ascii="Times New Roman" w:hAnsi="Times New Roman"/>
          <w:lang w:val="es-AR"/>
        </w:rPr>
      </w:pPr>
      <w:r>
        <w:rPr>
          <w:rFonts w:ascii="Times New Roman" w:hAnsi="Times New Roman"/>
          <w:lang w:val="es-AR"/>
        </w:rPr>
        <w:t>NUEVE</w:t>
      </w:r>
      <w:r w:rsidR="004B08B2">
        <w:rPr>
          <w:rFonts w:ascii="Times New Roman" w:hAnsi="Times New Roman"/>
          <w:lang w:val="es-AR"/>
        </w:rPr>
        <w:t xml:space="preserve"> </w:t>
      </w:r>
      <w:r w:rsidR="00CC5DCD" w:rsidRPr="00CC5DCD">
        <w:rPr>
          <w:rFonts w:ascii="Times New Roman" w:hAnsi="Times New Roman"/>
          <w:lang w:val="es-AR"/>
        </w:rPr>
        <w:t xml:space="preserve">MESES FINALIZADO EL </w:t>
      </w:r>
    </w:p>
    <w:p w14:paraId="34AC2ADD" w14:textId="15385ED8" w:rsidR="005A7429" w:rsidRPr="00177411" w:rsidRDefault="00CC5DCD" w:rsidP="00CC5DCD">
      <w:pPr>
        <w:pStyle w:val="Ttulonota"/>
        <w:ind w:left="284" w:right="-286"/>
        <w:jc w:val="left"/>
        <w:rPr>
          <w:rFonts w:ascii="Times New Roman" w:hAnsi="Times New Roman"/>
          <w:lang w:val="es-AR"/>
        </w:rPr>
        <w:sectPr w:rsidR="005A7429" w:rsidRPr="00177411" w:rsidSect="005A7429">
          <w:headerReference w:type="even" r:id="rId9"/>
          <w:headerReference w:type="default" r:id="rId10"/>
          <w:pgSz w:w="11907" w:h="16840" w:code="9"/>
          <w:pgMar w:top="578" w:right="2693" w:bottom="578" w:left="4680" w:header="431" w:footer="431" w:gutter="0"/>
          <w:cols w:space="720"/>
          <w:titlePg/>
        </w:sectPr>
      </w:pPr>
      <w:r w:rsidRPr="00CC5DCD">
        <w:rPr>
          <w:rFonts w:ascii="Times New Roman" w:hAnsi="Times New Roman"/>
          <w:lang w:val="es-AR"/>
        </w:rPr>
        <w:t>3</w:t>
      </w:r>
      <w:r w:rsidR="004B08B2">
        <w:rPr>
          <w:rFonts w:ascii="Times New Roman" w:hAnsi="Times New Roman"/>
          <w:lang w:val="es-AR"/>
        </w:rPr>
        <w:t>0</w:t>
      </w:r>
      <w:r w:rsidRPr="00CC5DCD">
        <w:rPr>
          <w:rFonts w:ascii="Times New Roman" w:hAnsi="Times New Roman"/>
          <w:lang w:val="es-AR"/>
        </w:rPr>
        <w:t xml:space="preserve"> DE </w:t>
      </w:r>
      <w:r w:rsidR="008708A4">
        <w:rPr>
          <w:rFonts w:ascii="Times New Roman" w:hAnsi="Times New Roman"/>
          <w:lang w:val="es-AR"/>
        </w:rPr>
        <w:t xml:space="preserve">SEPTIEMBRE </w:t>
      </w:r>
      <w:r w:rsidRPr="00CC5DCD">
        <w:rPr>
          <w:rFonts w:ascii="Times New Roman" w:hAnsi="Times New Roman"/>
          <w:lang w:val="es-AR"/>
        </w:rPr>
        <w:t>DE 202</w:t>
      </w:r>
      <w:r w:rsidR="00296324">
        <w:rPr>
          <w:rFonts w:ascii="Times New Roman" w:hAnsi="Times New Roman"/>
          <w:lang w:val="es-AR"/>
        </w:rPr>
        <w:t>1</w:t>
      </w:r>
    </w:p>
    <w:p w14:paraId="4BF51F26" w14:textId="34CD6441" w:rsidR="005A7429" w:rsidRPr="00110E8B" w:rsidRDefault="00545A14" w:rsidP="005A7429">
      <w:pPr>
        <w:pStyle w:val="Ttulonota"/>
        <w:ind w:hanging="180"/>
        <w:rPr>
          <w:rFonts w:ascii="Times New Roman" w:hAnsi="Times New Roman"/>
          <w:sz w:val="20"/>
        </w:rPr>
      </w:pPr>
      <w:r w:rsidRPr="00110E8B">
        <w:rPr>
          <w:rFonts w:ascii="Times New Roman" w:hAnsi="Times New Roman"/>
          <w:sz w:val="20"/>
        </w:rPr>
        <w:lastRenderedPageBreak/>
        <w:t xml:space="preserve"> </w:t>
      </w:r>
      <w:r w:rsidR="00E32CAF" w:rsidRPr="00110E8B">
        <w:rPr>
          <w:rFonts w:ascii="Times New Roman" w:hAnsi="Times New Roman"/>
          <w:sz w:val="20"/>
        </w:rPr>
        <w:t xml:space="preserve">  </w:t>
      </w:r>
      <w:r w:rsidR="00E32CAF" w:rsidRPr="00110E8B">
        <w:rPr>
          <w:rFonts w:ascii="Times New Roman" w:hAnsi="Times New Roman"/>
          <w:noProof/>
          <w:sz w:val="20"/>
          <w:lang w:val="es-AR" w:eastAsia="es-AR"/>
        </w:rPr>
        <w:drawing>
          <wp:inline distT="0" distB="0" distL="0" distR="0" wp14:anchorId="353C1CCF" wp14:editId="5E2A0C16">
            <wp:extent cx="1471074" cy="512064"/>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nuevo BBVA.jpg"/>
                    <pic:cNvPicPr/>
                  </pic:nvPicPr>
                  <pic:blipFill rotWithShape="1">
                    <a:blip r:embed="rId8" cstate="print">
                      <a:extLst>
                        <a:ext uri="{28A0092B-C50C-407E-A947-70E740481C1C}">
                          <a14:useLocalDpi xmlns:a14="http://schemas.microsoft.com/office/drawing/2010/main" val="0"/>
                        </a:ext>
                      </a:extLst>
                    </a:blip>
                    <a:srcRect l="6280" t="26911" r="9369" b="31146"/>
                    <a:stretch/>
                  </pic:blipFill>
                  <pic:spPr bwMode="auto">
                    <a:xfrm>
                      <a:off x="0" y="0"/>
                      <a:ext cx="1533885" cy="533928"/>
                    </a:xfrm>
                    <a:prstGeom prst="rect">
                      <a:avLst/>
                    </a:prstGeom>
                    <a:ln>
                      <a:noFill/>
                    </a:ln>
                    <a:extLst>
                      <a:ext uri="{53640926-AAD7-44D8-BBD7-CCE9431645EC}">
                        <a14:shadowObscured xmlns:a14="http://schemas.microsoft.com/office/drawing/2010/main"/>
                      </a:ext>
                    </a:extLst>
                  </pic:spPr>
                </pic:pic>
              </a:graphicData>
            </a:graphic>
          </wp:inline>
        </w:drawing>
      </w:r>
    </w:p>
    <w:p w14:paraId="15B8DDDB" w14:textId="77777777" w:rsidR="005A7429" w:rsidRPr="00110E8B" w:rsidRDefault="005A7429" w:rsidP="005A7429">
      <w:pPr>
        <w:pStyle w:val="Puesto"/>
        <w:jc w:val="left"/>
        <w:rPr>
          <w:rFonts w:ascii="Times New Roman" w:hAnsi="Times New Roman"/>
          <w:sz w:val="20"/>
          <w:lang w:val="fr-FR"/>
        </w:rPr>
      </w:pPr>
    </w:p>
    <w:p w14:paraId="7023E75C" w14:textId="30AAECFF" w:rsidR="005A7429" w:rsidRPr="00110E8B" w:rsidRDefault="00545A14" w:rsidP="005A7429">
      <w:pPr>
        <w:pStyle w:val="Puesto"/>
        <w:jc w:val="left"/>
        <w:rPr>
          <w:rFonts w:ascii="Times New Roman" w:hAnsi="Times New Roman"/>
          <w:sz w:val="20"/>
          <w:lang w:val="fr-FR"/>
        </w:rPr>
      </w:pPr>
      <w:r w:rsidRPr="00110E8B">
        <w:rPr>
          <w:rFonts w:ascii="Times New Roman" w:hAnsi="Times New Roman"/>
          <w:sz w:val="20"/>
          <w:lang w:val="fr-FR"/>
        </w:rPr>
        <w:t xml:space="preserve">  </w:t>
      </w:r>
      <w:r w:rsidR="00212803" w:rsidRPr="00110E8B">
        <w:rPr>
          <w:rFonts w:ascii="Times New Roman" w:hAnsi="Times New Roman"/>
          <w:sz w:val="20"/>
          <w:lang w:val="fr-FR"/>
        </w:rPr>
        <w:t xml:space="preserve">Banco </w:t>
      </w:r>
      <w:r w:rsidRPr="00110E8B">
        <w:rPr>
          <w:rFonts w:ascii="Times New Roman" w:hAnsi="Times New Roman"/>
          <w:sz w:val="20"/>
          <w:lang w:val="fr-FR"/>
        </w:rPr>
        <w:t xml:space="preserve">BBVA </w:t>
      </w:r>
      <w:r w:rsidR="00212803" w:rsidRPr="00110E8B">
        <w:rPr>
          <w:rFonts w:ascii="Times New Roman" w:hAnsi="Times New Roman"/>
          <w:sz w:val="20"/>
          <w:lang w:val="fr-FR"/>
        </w:rPr>
        <w:t xml:space="preserve">Argentina </w:t>
      </w:r>
      <w:r w:rsidRPr="00110E8B">
        <w:rPr>
          <w:rFonts w:ascii="Times New Roman" w:hAnsi="Times New Roman"/>
          <w:sz w:val="20"/>
          <w:lang w:val="fr-FR"/>
        </w:rPr>
        <w:t>S.A.</w:t>
      </w:r>
    </w:p>
    <w:p w14:paraId="2C6F953B" w14:textId="77777777" w:rsidR="005A7429" w:rsidRPr="00110E8B" w:rsidRDefault="005A7429" w:rsidP="005A7429">
      <w:pPr>
        <w:pStyle w:val="Puesto"/>
        <w:jc w:val="left"/>
        <w:rPr>
          <w:rFonts w:ascii="Times New Roman" w:hAnsi="Times New Roman"/>
          <w:sz w:val="20"/>
          <w:lang w:val="fr-FR"/>
        </w:rPr>
      </w:pPr>
    </w:p>
    <w:p w14:paraId="4FBCC5FC" w14:textId="77777777" w:rsidR="005A7429" w:rsidRPr="00110E8B" w:rsidRDefault="005A7429" w:rsidP="005A7429">
      <w:pPr>
        <w:widowControl w:val="0"/>
        <w:autoSpaceDE w:val="0"/>
        <w:autoSpaceDN w:val="0"/>
        <w:adjustRightInd w:val="0"/>
        <w:jc w:val="center"/>
        <w:rPr>
          <w:rFonts w:ascii="Times New Roman" w:hAnsi="Times New Roman"/>
          <w:sz w:val="20"/>
        </w:rPr>
      </w:pPr>
    </w:p>
    <w:p w14:paraId="18042E50" w14:textId="41AE343D" w:rsidR="005A7429" w:rsidRPr="00110E8B" w:rsidRDefault="00184169" w:rsidP="005A7429">
      <w:pPr>
        <w:widowControl w:val="0"/>
        <w:autoSpaceDE w:val="0"/>
        <w:autoSpaceDN w:val="0"/>
        <w:adjustRightInd w:val="0"/>
        <w:ind w:left="140"/>
        <w:rPr>
          <w:rFonts w:ascii="Times New Roman" w:hAnsi="Times New Roman"/>
          <w:b/>
          <w:sz w:val="20"/>
        </w:rPr>
      </w:pPr>
      <w:r w:rsidRPr="00110E8B">
        <w:rPr>
          <w:rFonts w:ascii="Times New Roman" w:hAnsi="Times New Roman"/>
          <w:b/>
          <w:sz w:val="20"/>
        </w:rPr>
        <w:t>Í</w:t>
      </w:r>
      <w:r w:rsidR="005A7429" w:rsidRPr="00110E8B">
        <w:rPr>
          <w:rFonts w:ascii="Times New Roman" w:hAnsi="Times New Roman"/>
          <w:b/>
          <w:sz w:val="20"/>
        </w:rPr>
        <w:t xml:space="preserve">NDICE </w:t>
      </w:r>
    </w:p>
    <w:p w14:paraId="73717DC3" w14:textId="77777777" w:rsidR="005A7429" w:rsidRPr="00110E8B" w:rsidRDefault="005A7429" w:rsidP="005A7429">
      <w:pPr>
        <w:widowControl w:val="0"/>
        <w:autoSpaceDE w:val="0"/>
        <w:autoSpaceDN w:val="0"/>
        <w:adjustRightInd w:val="0"/>
        <w:jc w:val="center"/>
        <w:rPr>
          <w:rFonts w:ascii="Times New Roman" w:hAnsi="Times New Roman"/>
          <w:sz w:val="20"/>
        </w:rPr>
      </w:pPr>
    </w:p>
    <w:p w14:paraId="6073072A" w14:textId="77777777" w:rsidR="00975A64" w:rsidRPr="000B4984" w:rsidRDefault="00975A64" w:rsidP="00B46B13">
      <w:pPr>
        <w:tabs>
          <w:tab w:val="left" w:pos="6096"/>
        </w:tabs>
        <w:ind w:left="154" w:right="-62"/>
        <w:jc w:val="both"/>
        <w:rPr>
          <w:rFonts w:ascii="Times New Roman" w:hAnsi="Times New Roman"/>
          <w:sz w:val="20"/>
          <w:lang w:val="es-MX"/>
        </w:rPr>
      </w:pPr>
    </w:p>
    <w:p w14:paraId="3276F568" w14:textId="709C078D" w:rsidR="000B4984" w:rsidRPr="000B4984" w:rsidRDefault="000B4984" w:rsidP="000B4984">
      <w:pPr>
        <w:tabs>
          <w:tab w:val="left" w:pos="6096"/>
        </w:tabs>
        <w:ind w:left="154" w:right="-62"/>
        <w:jc w:val="both"/>
        <w:rPr>
          <w:rFonts w:ascii="Times New Roman" w:hAnsi="Times New Roman"/>
          <w:sz w:val="20"/>
          <w:lang w:val="es-MX"/>
        </w:rPr>
      </w:pPr>
      <w:r w:rsidRPr="000B4984">
        <w:rPr>
          <w:rFonts w:ascii="Times New Roman" w:hAnsi="Times New Roman"/>
          <w:sz w:val="20"/>
          <w:lang w:val="es-MX"/>
        </w:rPr>
        <w:t xml:space="preserve">Estados financieros intermedios condensados correspondientes al período de </w:t>
      </w:r>
      <w:r w:rsidR="008708A4">
        <w:rPr>
          <w:rFonts w:ascii="Times New Roman" w:hAnsi="Times New Roman"/>
          <w:sz w:val="20"/>
          <w:lang w:val="es-MX"/>
        </w:rPr>
        <w:t>nueve</w:t>
      </w:r>
      <w:r w:rsidRPr="000B4984">
        <w:rPr>
          <w:rFonts w:ascii="Times New Roman" w:hAnsi="Times New Roman"/>
          <w:sz w:val="20"/>
          <w:lang w:val="es-MX"/>
        </w:rPr>
        <w:t xml:space="preserve"> meses finalizado el 3</w:t>
      </w:r>
      <w:r w:rsidR="004B08B2">
        <w:rPr>
          <w:rFonts w:ascii="Times New Roman" w:hAnsi="Times New Roman"/>
          <w:sz w:val="20"/>
          <w:lang w:val="es-MX"/>
        </w:rPr>
        <w:t>0</w:t>
      </w:r>
      <w:r w:rsidRPr="000B4984">
        <w:rPr>
          <w:rFonts w:ascii="Times New Roman" w:hAnsi="Times New Roman"/>
          <w:sz w:val="20"/>
          <w:lang w:val="es-MX"/>
        </w:rPr>
        <w:t xml:space="preserve"> de </w:t>
      </w:r>
      <w:r w:rsidR="008708A4">
        <w:rPr>
          <w:rFonts w:ascii="Times New Roman" w:hAnsi="Times New Roman"/>
          <w:sz w:val="20"/>
          <w:lang w:val="es-MX"/>
        </w:rPr>
        <w:t>septiembre</w:t>
      </w:r>
      <w:r w:rsidRPr="000B4984">
        <w:rPr>
          <w:rFonts w:ascii="Times New Roman" w:hAnsi="Times New Roman"/>
          <w:sz w:val="20"/>
          <w:lang w:val="es-MX"/>
        </w:rPr>
        <w:t xml:space="preserve"> de 202</w:t>
      </w:r>
      <w:r>
        <w:rPr>
          <w:rFonts w:ascii="Times New Roman" w:hAnsi="Times New Roman"/>
          <w:sz w:val="20"/>
          <w:lang w:val="es-MX"/>
        </w:rPr>
        <w:t>1</w:t>
      </w:r>
      <w:r w:rsidRPr="000B4984">
        <w:rPr>
          <w:rFonts w:ascii="Times New Roman" w:hAnsi="Times New Roman"/>
          <w:sz w:val="20"/>
          <w:lang w:val="es-MX"/>
        </w:rPr>
        <w:t xml:space="preserve"> presentados en forma comparativa.</w:t>
      </w:r>
    </w:p>
    <w:p w14:paraId="18B15473" w14:textId="77777777" w:rsidR="000B4984" w:rsidRPr="000B4984" w:rsidRDefault="000B4984" w:rsidP="000B4984">
      <w:pPr>
        <w:ind w:left="154"/>
        <w:jc w:val="both"/>
        <w:rPr>
          <w:rFonts w:ascii="Times New Roman" w:hAnsi="Times New Roman"/>
          <w:sz w:val="20"/>
          <w:lang w:val="es-MX"/>
        </w:rPr>
      </w:pPr>
    </w:p>
    <w:p w14:paraId="6601860F" w14:textId="77777777" w:rsidR="000B4984" w:rsidRPr="000B4984" w:rsidRDefault="000B4984" w:rsidP="000B4984">
      <w:pPr>
        <w:ind w:left="154"/>
        <w:jc w:val="both"/>
        <w:outlineLvl w:val="0"/>
        <w:rPr>
          <w:rFonts w:ascii="Times New Roman" w:hAnsi="Times New Roman"/>
          <w:sz w:val="20"/>
          <w:lang w:val="es-MX"/>
        </w:rPr>
      </w:pPr>
      <w:r w:rsidRPr="000B4984">
        <w:rPr>
          <w:rFonts w:ascii="Times New Roman" w:hAnsi="Times New Roman"/>
          <w:sz w:val="20"/>
          <w:lang w:val="es-MX"/>
        </w:rPr>
        <w:t>Estado Consolidado de Situación Financiera Condensado</w:t>
      </w:r>
    </w:p>
    <w:p w14:paraId="6380D5D3"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Estado Consolidado de Resultados Condensado</w:t>
      </w:r>
    </w:p>
    <w:p w14:paraId="6097DA77"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Estado Consolidado de Otros Resultados Integrales Condensado</w:t>
      </w:r>
    </w:p>
    <w:p w14:paraId="3CA4E6C4"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Estado Consolidado de Cambios en el Patrimonio Neto Condensado</w:t>
      </w:r>
    </w:p>
    <w:p w14:paraId="1D35B762"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Estado Consolidado de Flujos de Efectivo Condensado</w:t>
      </w:r>
    </w:p>
    <w:p w14:paraId="30C8FDB3"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Notas</w:t>
      </w:r>
    </w:p>
    <w:p w14:paraId="29B9805D"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Anexos</w:t>
      </w:r>
    </w:p>
    <w:p w14:paraId="4C7E3C70" w14:textId="77777777" w:rsidR="000B4984" w:rsidRPr="000B4984" w:rsidRDefault="000B4984" w:rsidP="000B4984">
      <w:pPr>
        <w:ind w:left="154"/>
        <w:jc w:val="both"/>
        <w:rPr>
          <w:rFonts w:ascii="Times New Roman" w:hAnsi="Times New Roman"/>
          <w:sz w:val="20"/>
          <w:lang w:val="es-MX"/>
        </w:rPr>
      </w:pPr>
    </w:p>
    <w:p w14:paraId="21E1678F"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Informe de los auditores independientes sobre revisión de estados financieros consolidados condensados de período intermedio</w:t>
      </w:r>
    </w:p>
    <w:p w14:paraId="5F4EAEBE" w14:textId="77777777" w:rsidR="000B4984" w:rsidRPr="000B4984" w:rsidRDefault="000B4984" w:rsidP="000B4984">
      <w:pPr>
        <w:ind w:left="154"/>
        <w:jc w:val="both"/>
        <w:rPr>
          <w:rFonts w:ascii="Times New Roman" w:hAnsi="Times New Roman"/>
          <w:sz w:val="20"/>
          <w:lang w:val="es-MX"/>
        </w:rPr>
      </w:pPr>
    </w:p>
    <w:p w14:paraId="68928809" w14:textId="77777777" w:rsidR="000B4984" w:rsidRPr="000B4984" w:rsidRDefault="000B4984" w:rsidP="000B4984">
      <w:pPr>
        <w:ind w:left="154"/>
        <w:jc w:val="both"/>
        <w:rPr>
          <w:rFonts w:ascii="Times New Roman" w:hAnsi="Times New Roman"/>
          <w:sz w:val="20"/>
          <w:lang w:val="es-MX"/>
        </w:rPr>
      </w:pPr>
    </w:p>
    <w:p w14:paraId="5879B961"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Estado Separado de Situación Financiera Condensado</w:t>
      </w:r>
    </w:p>
    <w:p w14:paraId="50C99E98"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Estado Separado de Resultados Condensado</w:t>
      </w:r>
    </w:p>
    <w:p w14:paraId="61D61DAF"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Estado Separado de Otros Resultados Integrales Condensado</w:t>
      </w:r>
    </w:p>
    <w:p w14:paraId="6E3DB510"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Estado Separado de Cambios en el Patrimonio Neto Condensado</w:t>
      </w:r>
    </w:p>
    <w:p w14:paraId="505815A1"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Estado Separado de Flujos de Efectivo Condensado</w:t>
      </w:r>
    </w:p>
    <w:p w14:paraId="5E42B434" w14:textId="77777777" w:rsidR="000B4984" w:rsidRPr="000B4984" w:rsidRDefault="000B4984" w:rsidP="000B4984">
      <w:pPr>
        <w:ind w:left="154"/>
        <w:jc w:val="both"/>
        <w:outlineLvl w:val="0"/>
        <w:rPr>
          <w:rFonts w:ascii="Times New Roman" w:hAnsi="Times New Roman"/>
          <w:sz w:val="20"/>
          <w:lang w:val="es-MX"/>
        </w:rPr>
      </w:pPr>
      <w:r w:rsidRPr="000B4984">
        <w:rPr>
          <w:rFonts w:ascii="Times New Roman" w:hAnsi="Times New Roman"/>
          <w:sz w:val="20"/>
          <w:lang w:val="es-MX"/>
        </w:rPr>
        <w:t>Notas</w:t>
      </w:r>
    </w:p>
    <w:p w14:paraId="40080C40"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Anexos</w:t>
      </w:r>
    </w:p>
    <w:p w14:paraId="0FCAD988" w14:textId="77777777" w:rsidR="000B4984" w:rsidRPr="000B4984" w:rsidRDefault="000B4984" w:rsidP="000B4984">
      <w:pPr>
        <w:ind w:left="154"/>
        <w:jc w:val="both"/>
        <w:rPr>
          <w:rFonts w:ascii="Times New Roman" w:hAnsi="Times New Roman"/>
          <w:sz w:val="20"/>
          <w:lang w:val="es-MX"/>
        </w:rPr>
      </w:pPr>
    </w:p>
    <w:p w14:paraId="7407E78E"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Informe de los auditores independientes sobre revisión de estados financieros separados condensados de período intermedio</w:t>
      </w:r>
    </w:p>
    <w:p w14:paraId="6E4B38C8" w14:textId="77777777" w:rsidR="000B4984" w:rsidRPr="000B4984" w:rsidRDefault="000B4984" w:rsidP="000B4984">
      <w:pPr>
        <w:ind w:left="154"/>
        <w:jc w:val="both"/>
        <w:rPr>
          <w:rFonts w:ascii="Times New Roman" w:hAnsi="Times New Roman"/>
          <w:sz w:val="20"/>
          <w:lang w:val="es-MX"/>
        </w:rPr>
      </w:pPr>
    </w:p>
    <w:p w14:paraId="56CE36C8"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Informe de la Comisión Fiscalizadora</w:t>
      </w:r>
    </w:p>
    <w:p w14:paraId="401886AD" w14:textId="77777777" w:rsidR="000B4984" w:rsidRPr="000B4984" w:rsidRDefault="000B4984" w:rsidP="000B4984">
      <w:pPr>
        <w:ind w:left="154"/>
        <w:jc w:val="both"/>
        <w:rPr>
          <w:rFonts w:ascii="Times New Roman" w:hAnsi="Times New Roman"/>
          <w:sz w:val="20"/>
          <w:lang w:val="es-MX"/>
        </w:rPr>
      </w:pPr>
    </w:p>
    <w:p w14:paraId="07F36388" w14:textId="77777777" w:rsidR="000B4984" w:rsidRPr="000B4984" w:rsidRDefault="000B4984" w:rsidP="000B4984">
      <w:pPr>
        <w:ind w:left="154"/>
        <w:jc w:val="both"/>
        <w:rPr>
          <w:rFonts w:ascii="Times New Roman" w:hAnsi="Times New Roman"/>
          <w:sz w:val="20"/>
          <w:lang w:val="es-MX"/>
        </w:rPr>
      </w:pPr>
      <w:r w:rsidRPr="000B4984">
        <w:rPr>
          <w:rFonts w:ascii="Times New Roman" w:hAnsi="Times New Roman"/>
          <w:sz w:val="20"/>
          <w:lang w:val="es-MX"/>
        </w:rPr>
        <w:t>Reseña Informativa</w:t>
      </w:r>
    </w:p>
    <w:p w14:paraId="09AF7A4D" w14:textId="77777777" w:rsidR="005A7429" w:rsidRPr="00110E8B" w:rsidRDefault="005A7429" w:rsidP="005A7429">
      <w:pPr>
        <w:ind w:left="154"/>
        <w:jc w:val="both"/>
        <w:rPr>
          <w:rFonts w:ascii="Times New Roman" w:hAnsi="Times New Roman"/>
          <w:sz w:val="20"/>
          <w:lang w:val="es-MX"/>
        </w:rPr>
      </w:pPr>
    </w:p>
    <w:p w14:paraId="2BF38BEE" w14:textId="77777777" w:rsidR="005A7429" w:rsidRPr="00110E8B" w:rsidRDefault="005A7429" w:rsidP="005A7429">
      <w:pPr>
        <w:pStyle w:val="Puesto"/>
        <w:jc w:val="left"/>
        <w:rPr>
          <w:rFonts w:ascii="Times New Roman" w:hAnsi="Times New Roman"/>
          <w:sz w:val="20"/>
          <w:lang w:val="fr-FR"/>
        </w:rPr>
      </w:pPr>
    </w:p>
    <w:p w14:paraId="393C263E" w14:textId="77777777" w:rsidR="00E607BA" w:rsidRPr="00110E8B" w:rsidRDefault="00E607BA" w:rsidP="00E607BA">
      <w:pPr>
        <w:widowControl w:val="0"/>
        <w:jc w:val="both"/>
        <w:rPr>
          <w:rFonts w:ascii="Times New Roman" w:eastAsia="Times" w:hAnsi="Times New Roman"/>
          <w:sz w:val="20"/>
        </w:rPr>
      </w:pPr>
    </w:p>
    <w:p w14:paraId="662DD353" w14:textId="77777777" w:rsidR="00EE61C3" w:rsidRPr="00110E8B" w:rsidRDefault="00EE61C3" w:rsidP="00EE61C3">
      <w:pPr>
        <w:rPr>
          <w:rFonts w:ascii="Times New Roman" w:hAnsi="Times New Roman"/>
          <w:b/>
          <w:sz w:val="20"/>
          <w:u w:val="single"/>
        </w:rPr>
      </w:pPr>
    </w:p>
    <w:p w14:paraId="0710FD6F" w14:textId="77777777" w:rsidR="00EE61C3" w:rsidRPr="00110E8B" w:rsidRDefault="00EE61C3" w:rsidP="00EE61C3">
      <w:pPr>
        <w:rPr>
          <w:rFonts w:ascii="Times New Roman" w:hAnsi="Times New Roman"/>
          <w:b/>
          <w:sz w:val="20"/>
          <w:u w:val="single"/>
        </w:rPr>
      </w:pPr>
    </w:p>
    <w:p w14:paraId="31D73C7A" w14:textId="77777777" w:rsidR="00EE61C3" w:rsidRPr="00110E8B" w:rsidRDefault="00EE61C3" w:rsidP="00EE61C3">
      <w:pPr>
        <w:rPr>
          <w:rFonts w:ascii="Times New Roman" w:hAnsi="Times New Roman"/>
          <w:b/>
          <w:sz w:val="20"/>
          <w:u w:val="single"/>
        </w:rPr>
      </w:pPr>
    </w:p>
    <w:p w14:paraId="629E6238" w14:textId="77777777" w:rsidR="00EE61C3" w:rsidRPr="00110E8B" w:rsidRDefault="00EE61C3" w:rsidP="00EE61C3">
      <w:pPr>
        <w:rPr>
          <w:rFonts w:ascii="Times New Roman" w:hAnsi="Times New Roman"/>
          <w:b/>
          <w:sz w:val="20"/>
          <w:u w:val="single"/>
        </w:rPr>
      </w:pPr>
    </w:p>
    <w:p w14:paraId="712AE751" w14:textId="77777777" w:rsidR="00EE61C3" w:rsidRPr="00110E8B" w:rsidRDefault="00EE61C3" w:rsidP="00EE61C3">
      <w:pPr>
        <w:pStyle w:val="Piedepgina"/>
        <w:jc w:val="both"/>
        <w:rPr>
          <w:rFonts w:ascii="Times New Roman" w:hAnsi="Times New Roman"/>
          <w:sz w:val="20"/>
        </w:rPr>
      </w:pPr>
    </w:p>
    <w:p w14:paraId="15F8FAA0" w14:textId="77777777" w:rsidR="00EE61C3" w:rsidRPr="00110E8B" w:rsidRDefault="00EE61C3" w:rsidP="00EE61C3">
      <w:pPr>
        <w:jc w:val="both"/>
        <w:rPr>
          <w:rFonts w:ascii="Times New Roman" w:hAnsi="Times New Roman"/>
          <w:sz w:val="20"/>
        </w:rPr>
      </w:pPr>
      <w:r w:rsidRPr="00110E8B">
        <w:rPr>
          <w:rFonts w:ascii="Times New Roman" w:hAnsi="Times New Roman"/>
          <w:sz w:val="20"/>
        </w:rPr>
        <w:t xml:space="preserve"> </w:t>
      </w:r>
    </w:p>
    <w:p w14:paraId="0BB38AB2" w14:textId="77777777" w:rsidR="007D0F26" w:rsidRPr="00110E8B" w:rsidRDefault="007D0F26">
      <w:pPr>
        <w:pStyle w:val="Puesto"/>
        <w:ind w:left="425" w:right="-499"/>
        <w:rPr>
          <w:rFonts w:ascii="Times New Roman" w:hAnsi="Times New Roman"/>
          <w:sz w:val="20"/>
        </w:rPr>
        <w:sectPr w:rsidR="007D0F26" w:rsidRPr="00110E8B" w:rsidSect="00923940">
          <w:headerReference w:type="default" r:id="rId11"/>
          <w:footerReference w:type="default" r:id="rId12"/>
          <w:headerReference w:type="first" r:id="rId13"/>
          <w:footnotePr>
            <w:numStart w:val="0"/>
          </w:footnotePr>
          <w:pgSz w:w="11907" w:h="16840" w:code="9"/>
          <w:pgMar w:top="1134" w:right="1418" w:bottom="851" w:left="1418" w:header="851" w:footer="284" w:gutter="0"/>
          <w:pgNumType w:start="1" w:chapStyle="1" w:chapSep="enDash"/>
          <w:cols w:space="560"/>
        </w:sectPr>
      </w:pPr>
    </w:p>
    <w:p w14:paraId="01DC757B" w14:textId="66291C91" w:rsidR="007D0F26" w:rsidRPr="00110E8B" w:rsidRDefault="001C740A" w:rsidP="006310C6">
      <w:pPr>
        <w:jc w:val="center"/>
        <w:rPr>
          <w:rFonts w:ascii="Times New Roman" w:hAnsi="Times New Roman"/>
          <w:b/>
          <w:sz w:val="20"/>
        </w:rPr>
      </w:pPr>
      <w:r w:rsidRPr="00AA1C55">
        <w:rPr>
          <w:noProof/>
          <w:lang w:eastAsia="es-AR"/>
        </w:rPr>
        <w:lastRenderedPageBreak/>
        <w:drawing>
          <wp:inline distT="0" distB="0" distL="0" distR="0" wp14:anchorId="07B58890" wp14:editId="1D4D2E09">
            <wp:extent cx="6001008" cy="7076661"/>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6904" cy="7083614"/>
                    </a:xfrm>
                    <a:prstGeom prst="rect">
                      <a:avLst/>
                    </a:prstGeom>
                    <a:noFill/>
                    <a:ln>
                      <a:noFill/>
                    </a:ln>
                  </pic:spPr>
                </pic:pic>
              </a:graphicData>
            </a:graphic>
          </wp:inline>
        </w:drawing>
      </w:r>
    </w:p>
    <w:p w14:paraId="4322C62D" w14:textId="5F111984" w:rsidR="00AE64C2" w:rsidRPr="00110E8B" w:rsidRDefault="00217972" w:rsidP="003E5F31">
      <w:pPr>
        <w:ind w:left="142"/>
        <w:jc w:val="center"/>
        <w:rPr>
          <w:rFonts w:ascii="Times New Roman" w:hAnsi="Times New Roman"/>
          <w:b/>
          <w:sz w:val="20"/>
        </w:rPr>
      </w:pPr>
      <w:r w:rsidRPr="00AA1C55">
        <w:rPr>
          <w:noProof/>
          <w:lang w:eastAsia="es-AR"/>
        </w:rPr>
        <w:lastRenderedPageBreak/>
        <w:drawing>
          <wp:inline distT="0" distB="0" distL="0" distR="0" wp14:anchorId="291B23B4" wp14:editId="75257B9D">
            <wp:extent cx="6004823" cy="7482177"/>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2882" cy="7492219"/>
                    </a:xfrm>
                    <a:prstGeom prst="rect">
                      <a:avLst/>
                    </a:prstGeom>
                    <a:noFill/>
                    <a:ln>
                      <a:noFill/>
                    </a:ln>
                  </pic:spPr>
                </pic:pic>
              </a:graphicData>
            </a:graphic>
          </wp:inline>
        </w:drawing>
      </w:r>
    </w:p>
    <w:p w14:paraId="275B9409" w14:textId="78B96DCC" w:rsidR="00354CBC" w:rsidRPr="00110E8B" w:rsidRDefault="004E7CB7">
      <w:pPr>
        <w:pStyle w:val="Puesto"/>
        <w:ind w:left="425" w:right="-499"/>
        <w:rPr>
          <w:rFonts w:ascii="Times New Roman" w:hAnsi="Times New Roman"/>
          <w:sz w:val="20"/>
          <w:highlight w:val="green"/>
        </w:rPr>
      </w:pPr>
      <w:r w:rsidRPr="004E7CB7">
        <w:rPr>
          <w:noProof/>
          <w:lang w:eastAsia="es-AR"/>
        </w:rPr>
        <w:lastRenderedPageBreak/>
        <w:drawing>
          <wp:inline distT="0" distB="0" distL="0" distR="0" wp14:anchorId="577C0D2A" wp14:editId="1A16F1A7">
            <wp:extent cx="6559253" cy="57328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9372" cy="5741734"/>
                    </a:xfrm>
                    <a:prstGeom prst="rect">
                      <a:avLst/>
                    </a:prstGeom>
                    <a:noFill/>
                    <a:ln>
                      <a:noFill/>
                    </a:ln>
                  </pic:spPr>
                </pic:pic>
              </a:graphicData>
            </a:graphic>
          </wp:inline>
        </w:drawing>
      </w:r>
    </w:p>
    <w:p w14:paraId="77B7D779" w14:textId="3EA295AF" w:rsidR="00120454" w:rsidRPr="00CA4BB6" w:rsidRDefault="00120454">
      <w:pPr>
        <w:pStyle w:val="Puesto"/>
        <w:ind w:left="0" w:right="-499" w:hanging="215"/>
        <w:rPr>
          <w:rFonts w:ascii="Times New Roman" w:hAnsi="Times New Roman"/>
          <w:sz w:val="20"/>
        </w:rPr>
      </w:pPr>
    </w:p>
    <w:p w14:paraId="01FCC580" w14:textId="5AC80CC0" w:rsidR="006310C6" w:rsidRDefault="001C740A">
      <w:pPr>
        <w:pStyle w:val="Puesto"/>
        <w:ind w:left="0" w:right="-499" w:hanging="215"/>
        <w:rPr>
          <w:rFonts w:ascii="Times New Roman" w:hAnsi="Times New Roman"/>
          <w:sz w:val="20"/>
          <w:highlight w:val="green"/>
        </w:rPr>
      </w:pPr>
      <w:r w:rsidRPr="00AA1C55">
        <w:rPr>
          <w:noProof/>
          <w:lang w:eastAsia="es-AR"/>
        </w:rPr>
        <w:lastRenderedPageBreak/>
        <w:drawing>
          <wp:inline distT="0" distB="0" distL="0" distR="0" wp14:anchorId="5473D545" wp14:editId="2107CB98">
            <wp:extent cx="5760085" cy="2823311"/>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823311"/>
                    </a:xfrm>
                    <a:prstGeom prst="rect">
                      <a:avLst/>
                    </a:prstGeom>
                    <a:noFill/>
                    <a:ln>
                      <a:noFill/>
                    </a:ln>
                  </pic:spPr>
                </pic:pic>
              </a:graphicData>
            </a:graphic>
          </wp:inline>
        </w:drawing>
      </w:r>
    </w:p>
    <w:p w14:paraId="431A4FCC" w14:textId="77777777" w:rsidR="001C740A" w:rsidRPr="00110E8B" w:rsidRDefault="001C740A">
      <w:pPr>
        <w:pStyle w:val="Puesto"/>
        <w:ind w:left="0" w:right="-499" w:hanging="215"/>
        <w:rPr>
          <w:rFonts w:ascii="Times New Roman" w:hAnsi="Times New Roman"/>
          <w:sz w:val="20"/>
          <w:highlight w:val="green"/>
        </w:rPr>
      </w:pPr>
    </w:p>
    <w:p w14:paraId="5ABAC6BA" w14:textId="2B186437" w:rsidR="00565F93" w:rsidRPr="00110E8B" w:rsidRDefault="00565F93" w:rsidP="00C60CC8">
      <w:pPr>
        <w:pStyle w:val="Textoindependiente2"/>
        <w:numPr>
          <w:ilvl w:val="0"/>
          <w:numId w:val="21"/>
        </w:numPr>
        <w:ind w:left="567" w:right="-1" w:hanging="295"/>
        <w:rPr>
          <w:rFonts w:ascii="Times New Roman" w:hAnsi="Times New Roman"/>
        </w:rPr>
      </w:pPr>
      <w:r w:rsidRPr="00110E8B">
        <w:rPr>
          <w:rFonts w:ascii="Times New Roman" w:hAnsi="Times New Roman"/>
        </w:rPr>
        <w:t xml:space="preserve">Dado que </w:t>
      </w:r>
      <w:r w:rsidR="008B3E26" w:rsidRPr="00110E8B">
        <w:rPr>
          <w:rFonts w:ascii="Times New Roman" w:hAnsi="Times New Roman"/>
        </w:rPr>
        <w:t>el Banco</w:t>
      </w:r>
      <w:r w:rsidR="006D3C82" w:rsidRPr="00110E8B">
        <w:rPr>
          <w:rFonts w:ascii="Times New Roman" w:hAnsi="Times New Roman"/>
        </w:rPr>
        <w:t xml:space="preserve"> BBVA Argentina S.A.</w:t>
      </w:r>
      <w:r w:rsidRPr="00110E8B">
        <w:rPr>
          <w:rFonts w:ascii="Times New Roman" w:hAnsi="Times New Roman"/>
        </w:rPr>
        <w:t xml:space="preserve"> no ha emitido instrumentos financieros que tengan un efecto dilutivo en la utilidad por acción, las ganancias básicas y diluidas por acción son iguales.</w:t>
      </w:r>
    </w:p>
    <w:p w14:paraId="62D22628" w14:textId="77777777" w:rsidR="00F93F7D" w:rsidRPr="00110E8B" w:rsidRDefault="00F93F7D" w:rsidP="0037678E">
      <w:pPr>
        <w:ind w:left="-142"/>
        <w:rPr>
          <w:rFonts w:ascii="Times New Roman" w:hAnsi="Times New Roman"/>
          <w:sz w:val="20"/>
        </w:rPr>
      </w:pPr>
    </w:p>
    <w:p w14:paraId="330EA745" w14:textId="77777777" w:rsidR="00F93F7D" w:rsidRPr="00110E8B" w:rsidRDefault="00F93F7D" w:rsidP="00F93F7D">
      <w:pPr>
        <w:tabs>
          <w:tab w:val="left" w:pos="5835"/>
        </w:tabs>
        <w:rPr>
          <w:rFonts w:ascii="Times New Roman" w:hAnsi="Times New Roman"/>
          <w:sz w:val="20"/>
        </w:rPr>
      </w:pPr>
      <w:r w:rsidRPr="00110E8B">
        <w:rPr>
          <w:rFonts w:ascii="Times New Roman" w:hAnsi="Times New Roman"/>
          <w:sz w:val="20"/>
        </w:rPr>
        <w:tab/>
      </w:r>
    </w:p>
    <w:p w14:paraId="5433DAA1" w14:textId="77777777" w:rsidR="00056432" w:rsidRPr="00110E8B" w:rsidRDefault="00056432" w:rsidP="00564659">
      <w:pPr>
        <w:tabs>
          <w:tab w:val="left" w:pos="5835"/>
        </w:tabs>
        <w:ind w:left="-426"/>
        <w:jc w:val="center"/>
        <w:rPr>
          <w:rFonts w:ascii="Times New Roman" w:hAnsi="Times New Roman"/>
          <w:sz w:val="20"/>
        </w:rPr>
      </w:pPr>
    </w:p>
    <w:p w14:paraId="64574726" w14:textId="77777777" w:rsidR="00056432" w:rsidRPr="00110E8B" w:rsidRDefault="00056432" w:rsidP="00056432">
      <w:pPr>
        <w:rPr>
          <w:rFonts w:ascii="Times New Roman" w:hAnsi="Times New Roman"/>
          <w:sz w:val="20"/>
        </w:rPr>
      </w:pPr>
    </w:p>
    <w:p w14:paraId="035175E5" w14:textId="77777777" w:rsidR="00056432" w:rsidRPr="00110E8B" w:rsidRDefault="00056432" w:rsidP="00056432">
      <w:pPr>
        <w:tabs>
          <w:tab w:val="left" w:pos="2622"/>
        </w:tabs>
        <w:rPr>
          <w:rFonts w:ascii="Times New Roman" w:hAnsi="Times New Roman"/>
          <w:sz w:val="20"/>
        </w:rPr>
      </w:pPr>
      <w:r w:rsidRPr="00110E8B">
        <w:rPr>
          <w:rFonts w:ascii="Times New Roman" w:hAnsi="Times New Roman"/>
          <w:sz w:val="20"/>
        </w:rPr>
        <w:tab/>
      </w:r>
    </w:p>
    <w:p w14:paraId="672473AF" w14:textId="77777777" w:rsidR="00F27E20" w:rsidRPr="00110E8B" w:rsidRDefault="00056432" w:rsidP="00056432">
      <w:pPr>
        <w:tabs>
          <w:tab w:val="left" w:pos="2622"/>
        </w:tabs>
        <w:rPr>
          <w:rFonts w:ascii="Times New Roman" w:hAnsi="Times New Roman"/>
          <w:noProof/>
          <w:sz w:val="20"/>
          <w:lang w:eastAsia="es-AR"/>
        </w:rPr>
      </w:pPr>
      <w:r w:rsidRPr="00110E8B">
        <w:rPr>
          <w:rFonts w:ascii="Times New Roman" w:hAnsi="Times New Roman"/>
          <w:sz w:val="20"/>
        </w:rPr>
        <w:tab/>
      </w:r>
    </w:p>
    <w:p w14:paraId="7C76E1D5" w14:textId="77777777" w:rsidR="000F0256" w:rsidRPr="00110E8B" w:rsidRDefault="000F0256" w:rsidP="00056432">
      <w:pPr>
        <w:tabs>
          <w:tab w:val="left" w:pos="2622"/>
        </w:tabs>
        <w:rPr>
          <w:rFonts w:ascii="Times New Roman" w:hAnsi="Times New Roman"/>
          <w:noProof/>
          <w:sz w:val="20"/>
          <w:lang w:eastAsia="es-AR"/>
        </w:rPr>
      </w:pPr>
    </w:p>
    <w:p w14:paraId="77C29060" w14:textId="77777777" w:rsidR="000F0256" w:rsidRPr="00110E8B" w:rsidRDefault="000F0256" w:rsidP="00056432">
      <w:pPr>
        <w:tabs>
          <w:tab w:val="left" w:pos="2622"/>
        </w:tabs>
        <w:rPr>
          <w:rFonts w:ascii="Times New Roman" w:hAnsi="Times New Roman"/>
          <w:sz w:val="20"/>
        </w:rPr>
        <w:sectPr w:rsidR="000F0256" w:rsidRPr="00110E8B" w:rsidSect="00D86C42">
          <w:headerReference w:type="default" r:id="rId18"/>
          <w:footerReference w:type="default" r:id="rId19"/>
          <w:footnotePr>
            <w:numStart w:val="0"/>
          </w:footnotePr>
          <w:pgSz w:w="11907" w:h="16840" w:code="9"/>
          <w:pgMar w:top="1134" w:right="1418" w:bottom="851" w:left="1418" w:header="709" w:footer="113" w:gutter="0"/>
          <w:pgNumType w:start="1" w:chapStyle="1" w:chapSep="enDash"/>
          <w:cols w:space="560"/>
          <w:docGrid w:linePitch="326"/>
        </w:sectPr>
      </w:pPr>
    </w:p>
    <w:p w14:paraId="09CAAEE4" w14:textId="17760947" w:rsidR="000F0256" w:rsidRPr="00110E8B" w:rsidRDefault="001C740A" w:rsidP="00E41D50">
      <w:pPr>
        <w:pStyle w:val="Puesto"/>
        <w:ind w:left="0" w:right="708" w:firstLine="0"/>
        <w:rPr>
          <w:rFonts w:ascii="Times New Roman" w:hAnsi="Times New Roman"/>
          <w:sz w:val="20"/>
        </w:rPr>
        <w:sectPr w:rsidR="000F0256" w:rsidRPr="00110E8B" w:rsidSect="00923940">
          <w:headerReference w:type="even" r:id="rId20"/>
          <w:headerReference w:type="first" r:id="rId21"/>
          <w:footerReference w:type="first" r:id="rId22"/>
          <w:footnotePr>
            <w:numStart w:val="0"/>
          </w:footnotePr>
          <w:pgSz w:w="11907" w:h="16840" w:code="9"/>
          <w:pgMar w:top="1985" w:right="1134" w:bottom="340" w:left="1418" w:header="851" w:footer="216" w:gutter="0"/>
          <w:pgNumType w:chapStyle="1" w:chapSep="enDash"/>
          <w:cols w:space="560"/>
        </w:sectPr>
      </w:pPr>
      <w:r w:rsidRPr="00AA1C55">
        <w:rPr>
          <w:noProof/>
          <w:lang w:eastAsia="es-AR"/>
        </w:rPr>
        <w:lastRenderedPageBreak/>
        <w:drawing>
          <wp:inline distT="0" distB="0" distL="0" distR="0" wp14:anchorId="73F1C4DE" wp14:editId="578BB553">
            <wp:extent cx="6409784" cy="4850296"/>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4587" cy="4853930"/>
                    </a:xfrm>
                    <a:prstGeom prst="rect">
                      <a:avLst/>
                    </a:prstGeom>
                    <a:noFill/>
                    <a:ln>
                      <a:noFill/>
                    </a:ln>
                  </pic:spPr>
                </pic:pic>
              </a:graphicData>
            </a:graphic>
          </wp:inline>
        </w:drawing>
      </w:r>
    </w:p>
    <w:p w14:paraId="5B14925B" w14:textId="7B1EBE14" w:rsidR="00753E64" w:rsidRPr="00110E8B" w:rsidRDefault="00295255" w:rsidP="004E4446">
      <w:pPr>
        <w:widowControl w:val="0"/>
        <w:ind w:left="426" w:right="-936"/>
        <w:jc w:val="center"/>
        <w:rPr>
          <w:rFonts w:ascii="Times New Roman" w:hAnsi="Times New Roman"/>
          <w:sz w:val="20"/>
        </w:rPr>
        <w:sectPr w:rsidR="00753E64" w:rsidRPr="00110E8B" w:rsidSect="000F0256">
          <w:headerReference w:type="default" r:id="rId24"/>
          <w:footerReference w:type="default" r:id="rId25"/>
          <w:footnotePr>
            <w:numStart w:val="0"/>
          </w:footnotePr>
          <w:pgSz w:w="16840" w:h="11907" w:orient="landscape" w:code="9"/>
          <w:pgMar w:top="1418" w:right="1985" w:bottom="1134" w:left="340" w:header="851" w:footer="216" w:gutter="0"/>
          <w:pgNumType w:chapStyle="1" w:chapSep="enDash"/>
          <w:cols w:space="560"/>
          <w:docGrid w:linePitch="326"/>
        </w:sectPr>
      </w:pPr>
      <w:r w:rsidRPr="00295255">
        <w:rPr>
          <w:noProof/>
          <w:lang w:eastAsia="es-AR"/>
        </w:rPr>
        <w:lastRenderedPageBreak/>
        <w:drawing>
          <wp:inline distT="0" distB="0" distL="0" distR="0" wp14:anchorId="5F516A1E" wp14:editId="17DEA9EA">
            <wp:extent cx="9668453" cy="3681454"/>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82986" cy="3686988"/>
                    </a:xfrm>
                    <a:prstGeom prst="rect">
                      <a:avLst/>
                    </a:prstGeom>
                    <a:noFill/>
                    <a:ln>
                      <a:noFill/>
                    </a:ln>
                  </pic:spPr>
                </pic:pic>
              </a:graphicData>
            </a:graphic>
          </wp:inline>
        </w:drawing>
      </w:r>
    </w:p>
    <w:p w14:paraId="6F303253" w14:textId="643BC6C3" w:rsidR="00D103CF" w:rsidRDefault="00D103CF">
      <w:pPr>
        <w:rPr>
          <w:rFonts w:ascii="Times New Roman" w:hAnsi="Times New Roman"/>
          <w:sz w:val="20"/>
        </w:rPr>
      </w:pPr>
    </w:p>
    <w:p w14:paraId="70A238A2" w14:textId="5179EB00" w:rsidR="00D103CF" w:rsidRDefault="00D103CF">
      <w:pPr>
        <w:rPr>
          <w:rFonts w:ascii="Times New Roman" w:hAnsi="Times New Roman"/>
          <w:sz w:val="20"/>
        </w:rPr>
      </w:pPr>
    </w:p>
    <w:p w14:paraId="696A7532" w14:textId="44C0FC0A" w:rsidR="00DD76EF" w:rsidRDefault="00DD76EF">
      <w:pPr>
        <w:rPr>
          <w:rFonts w:ascii="Times New Roman" w:hAnsi="Times New Roman"/>
          <w:sz w:val="20"/>
        </w:rPr>
      </w:pPr>
    </w:p>
    <w:p w14:paraId="22F00B47" w14:textId="0E617190" w:rsidR="00DD76EF" w:rsidRDefault="00DD76EF">
      <w:pPr>
        <w:rPr>
          <w:rFonts w:ascii="Times New Roman" w:hAnsi="Times New Roman"/>
          <w:sz w:val="20"/>
        </w:rPr>
      </w:pPr>
    </w:p>
    <w:p w14:paraId="3D081AEA" w14:textId="02A5C0F9" w:rsidR="00747A02" w:rsidRDefault="00CE7DC9">
      <w:pPr>
        <w:rPr>
          <w:rFonts w:ascii="Times New Roman" w:hAnsi="Times New Roman"/>
          <w:sz w:val="20"/>
        </w:rPr>
      </w:pPr>
      <w:r w:rsidRPr="00DA6703">
        <w:rPr>
          <w:noProof/>
          <w:lang w:eastAsia="es-AR"/>
        </w:rPr>
        <w:drawing>
          <wp:inline distT="0" distB="0" distL="0" distR="0" wp14:anchorId="0FAC7E48" wp14:editId="3ABBFFE4">
            <wp:extent cx="6031230" cy="56296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1230" cy="5629644"/>
                    </a:xfrm>
                    <a:prstGeom prst="rect">
                      <a:avLst/>
                    </a:prstGeom>
                    <a:noFill/>
                    <a:ln>
                      <a:noFill/>
                    </a:ln>
                  </pic:spPr>
                </pic:pic>
              </a:graphicData>
            </a:graphic>
          </wp:inline>
        </w:drawing>
      </w:r>
      <w:r w:rsidR="00DD76EF">
        <w:rPr>
          <w:rFonts w:ascii="Times New Roman" w:hAnsi="Times New Roman"/>
          <w:sz w:val="20"/>
        </w:rPr>
        <w:br w:type="page"/>
      </w:r>
      <w:r w:rsidR="00182E07">
        <w:rPr>
          <w:rFonts w:ascii="Times New Roman" w:hAnsi="Times New Roman"/>
          <w:sz w:val="20"/>
        </w:rPr>
        <w:lastRenderedPageBreak/>
        <w:br w:type="textWrapping" w:clear="all"/>
      </w:r>
      <w:r w:rsidRPr="00DA6703">
        <w:rPr>
          <w:noProof/>
          <w:lang w:eastAsia="es-AR"/>
        </w:rPr>
        <w:drawing>
          <wp:inline distT="0" distB="0" distL="0" distR="0" wp14:anchorId="7DBF6AA7" wp14:editId="5B8C3365">
            <wp:extent cx="6031230" cy="495289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1230" cy="4952897"/>
                    </a:xfrm>
                    <a:prstGeom prst="rect">
                      <a:avLst/>
                    </a:prstGeom>
                    <a:noFill/>
                    <a:ln>
                      <a:noFill/>
                    </a:ln>
                  </pic:spPr>
                </pic:pic>
              </a:graphicData>
            </a:graphic>
          </wp:inline>
        </w:drawing>
      </w:r>
    </w:p>
    <w:p w14:paraId="6C51E760" w14:textId="77777777" w:rsidR="00747A02" w:rsidRDefault="00747A02">
      <w:pPr>
        <w:rPr>
          <w:rFonts w:ascii="Times New Roman" w:hAnsi="Times New Roman"/>
          <w:sz w:val="20"/>
        </w:rPr>
      </w:pPr>
      <w:r>
        <w:rPr>
          <w:rFonts w:ascii="Times New Roman" w:hAnsi="Times New Roman"/>
          <w:sz w:val="20"/>
        </w:rPr>
        <w:br w:type="page"/>
      </w:r>
    </w:p>
    <w:p w14:paraId="52D98415" w14:textId="77777777" w:rsidR="002D6828" w:rsidRPr="000B4984" w:rsidRDefault="002D6828">
      <w:pPr>
        <w:rPr>
          <w:rFonts w:ascii="Times New Roman" w:hAnsi="Times New Roman"/>
          <w:sz w:val="20"/>
        </w:rPr>
      </w:pPr>
    </w:p>
    <w:p w14:paraId="07488A11" w14:textId="77777777" w:rsidR="000B4984" w:rsidRPr="000B4984" w:rsidRDefault="00DD39A2" w:rsidP="000B4984">
      <w:pPr>
        <w:tabs>
          <w:tab w:val="left" w:pos="2260"/>
        </w:tabs>
        <w:ind w:left="640" w:right="142" w:hanging="214"/>
        <w:jc w:val="center"/>
        <w:rPr>
          <w:rFonts w:ascii="Times New Roman" w:hAnsi="Times New Roman"/>
          <w:b/>
          <w:snapToGrid w:val="0"/>
          <w:sz w:val="20"/>
        </w:rPr>
      </w:pPr>
      <w:r w:rsidRPr="000B4984">
        <w:rPr>
          <w:rFonts w:ascii="Times New Roman" w:hAnsi="Times New Roman"/>
          <w:b/>
          <w:snapToGrid w:val="0"/>
          <w:sz w:val="20"/>
        </w:rPr>
        <w:t xml:space="preserve">    </w:t>
      </w:r>
      <w:r w:rsidR="000B4984" w:rsidRPr="000B4984">
        <w:rPr>
          <w:rFonts w:ascii="Times New Roman" w:hAnsi="Times New Roman"/>
          <w:b/>
          <w:snapToGrid w:val="0"/>
          <w:sz w:val="20"/>
        </w:rPr>
        <w:t xml:space="preserve">NOTAS A LOS ESTADOS FINANCIEROS INTERMEDIOS CONSOLIDADOS </w:t>
      </w:r>
    </w:p>
    <w:p w14:paraId="06B98730" w14:textId="12ADB37D" w:rsidR="00AA4650" w:rsidRPr="00110E8B" w:rsidRDefault="000B4984" w:rsidP="000B4984">
      <w:pPr>
        <w:tabs>
          <w:tab w:val="left" w:pos="2260"/>
        </w:tabs>
        <w:ind w:left="640" w:right="142" w:hanging="214"/>
        <w:jc w:val="center"/>
        <w:rPr>
          <w:rFonts w:ascii="Times New Roman" w:hAnsi="Times New Roman"/>
          <w:b/>
          <w:sz w:val="20"/>
        </w:rPr>
      </w:pPr>
      <w:r w:rsidRPr="000B4984">
        <w:rPr>
          <w:rFonts w:ascii="Times New Roman" w:hAnsi="Times New Roman"/>
          <w:b/>
          <w:snapToGrid w:val="0"/>
          <w:sz w:val="20"/>
        </w:rPr>
        <w:t>CONDENSADOS A</w:t>
      </w:r>
      <w:r w:rsidRPr="000B4984">
        <w:rPr>
          <w:rFonts w:ascii="Times New Roman" w:hAnsi="Times New Roman"/>
          <w:b/>
          <w:sz w:val="20"/>
        </w:rPr>
        <w:t>L 3</w:t>
      </w:r>
      <w:r w:rsidR="004B08B2">
        <w:rPr>
          <w:rFonts w:ascii="Times New Roman" w:hAnsi="Times New Roman"/>
          <w:b/>
          <w:sz w:val="20"/>
        </w:rPr>
        <w:t>0</w:t>
      </w:r>
      <w:r w:rsidRPr="000B4984">
        <w:rPr>
          <w:rFonts w:ascii="Times New Roman" w:hAnsi="Times New Roman"/>
          <w:b/>
          <w:sz w:val="20"/>
        </w:rPr>
        <w:t xml:space="preserve"> DE </w:t>
      </w:r>
      <w:r w:rsidR="008708A4">
        <w:rPr>
          <w:rFonts w:ascii="Times New Roman" w:hAnsi="Times New Roman"/>
          <w:b/>
          <w:sz w:val="20"/>
        </w:rPr>
        <w:t>SEPTIEMBRE</w:t>
      </w:r>
      <w:r w:rsidRPr="000B4984">
        <w:rPr>
          <w:rFonts w:ascii="Times New Roman" w:hAnsi="Times New Roman"/>
          <w:b/>
          <w:sz w:val="20"/>
        </w:rPr>
        <w:t xml:space="preserve"> DE 202</w:t>
      </w:r>
      <w:r>
        <w:rPr>
          <w:rFonts w:ascii="Times New Roman" w:hAnsi="Times New Roman"/>
          <w:b/>
          <w:sz w:val="20"/>
        </w:rPr>
        <w:t>1</w:t>
      </w:r>
      <w:r w:rsidRPr="000B4984">
        <w:rPr>
          <w:rFonts w:ascii="Times New Roman" w:hAnsi="Times New Roman"/>
          <w:b/>
          <w:sz w:val="20"/>
        </w:rPr>
        <w:t xml:space="preserve">                                                 </w:t>
      </w:r>
      <w:r w:rsidR="00AA4650" w:rsidRPr="000B4984">
        <w:rPr>
          <w:rFonts w:ascii="Times New Roman" w:hAnsi="Times New Roman"/>
          <w:b/>
          <w:sz w:val="20"/>
        </w:rPr>
        <w:t xml:space="preserve">              </w:t>
      </w:r>
      <w:r w:rsidR="00A65CE5" w:rsidRPr="000B4984">
        <w:rPr>
          <w:rFonts w:ascii="Times New Roman" w:hAnsi="Times New Roman"/>
          <w:b/>
          <w:sz w:val="20"/>
        </w:rPr>
        <w:t xml:space="preserve">           </w:t>
      </w:r>
      <w:r w:rsidR="00CF0B6A" w:rsidRPr="000B4984">
        <w:rPr>
          <w:rFonts w:ascii="Times New Roman" w:hAnsi="Times New Roman"/>
          <w:b/>
          <w:sz w:val="20"/>
        </w:rPr>
        <w:t xml:space="preserve">        </w:t>
      </w:r>
      <w:r w:rsidR="00A65CE5" w:rsidRPr="000B4984">
        <w:rPr>
          <w:rFonts w:ascii="Times New Roman" w:hAnsi="Times New Roman"/>
          <w:b/>
          <w:sz w:val="20"/>
        </w:rPr>
        <w:t xml:space="preserve">                </w:t>
      </w:r>
      <w:r w:rsidR="00100C5F" w:rsidRPr="00110E8B">
        <w:rPr>
          <w:rFonts w:ascii="Times New Roman" w:hAnsi="Times New Roman"/>
          <w:b/>
          <w:sz w:val="20"/>
        </w:rPr>
        <w:br/>
      </w:r>
      <w:r w:rsidR="00AA4650" w:rsidRPr="00110E8B">
        <w:rPr>
          <w:rFonts w:ascii="Times New Roman" w:hAnsi="Times New Roman"/>
          <w:b/>
          <w:sz w:val="20"/>
        </w:rPr>
        <w:t>(Cifras expresadas en miles de pesos</w:t>
      </w:r>
      <w:r w:rsidR="00E35B6A">
        <w:rPr>
          <w:rFonts w:ascii="Times New Roman" w:hAnsi="Times New Roman"/>
          <w:b/>
          <w:sz w:val="20"/>
        </w:rPr>
        <w:t xml:space="preserve"> en moneda homogénea –Nota 3</w:t>
      </w:r>
      <w:r w:rsidR="00AA4650" w:rsidRPr="00110E8B">
        <w:rPr>
          <w:rFonts w:ascii="Times New Roman" w:hAnsi="Times New Roman"/>
          <w:b/>
          <w:sz w:val="20"/>
        </w:rPr>
        <w:t>)</w:t>
      </w:r>
    </w:p>
    <w:p w14:paraId="1683FD67" w14:textId="77777777" w:rsidR="00E948B1" w:rsidRPr="00110E8B" w:rsidRDefault="00E948B1" w:rsidP="00124B6C">
      <w:pPr>
        <w:tabs>
          <w:tab w:val="left" w:pos="2260"/>
        </w:tabs>
        <w:ind w:left="640" w:right="-501" w:hanging="214"/>
        <w:jc w:val="center"/>
        <w:rPr>
          <w:rFonts w:ascii="Times New Roman" w:hAnsi="Times New Roman"/>
          <w:b/>
          <w:sz w:val="20"/>
        </w:rPr>
      </w:pPr>
    </w:p>
    <w:p w14:paraId="609D1E66" w14:textId="77777777" w:rsidR="001B7B64" w:rsidRPr="00110E8B" w:rsidRDefault="001B7B64" w:rsidP="00124B6C">
      <w:pPr>
        <w:tabs>
          <w:tab w:val="left" w:pos="2260"/>
        </w:tabs>
        <w:ind w:left="640" w:right="-501" w:hanging="214"/>
        <w:jc w:val="center"/>
        <w:rPr>
          <w:rFonts w:ascii="Times New Roman" w:hAnsi="Times New Roman"/>
          <w:b/>
          <w:sz w:val="20"/>
        </w:rPr>
      </w:pPr>
    </w:p>
    <w:p w14:paraId="06A421EC" w14:textId="6E2DA0CB" w:rsidR="00E948B1" w:rsidRPr="0079076B" w:rsidRDefault="00A4372F" w:rsidP="00C60CC8">
      <w:pPr>
        <w:pStyle w:val="Prrafodelista"/>
        <w:numPr>
          <w:ilvl w:val="0"/>
          <w:numId w:val="11"/>
        </w:numPr>
        <w:tabs>
          <w:tab w:val="num" w:pos="-1843"/>
        </w:tabs>
        <w:spacing w:after="120"/>
        <w:ind w:right="-427"/>
        <w:rPr>
          <w:b/>
          <w:sz w:val="20"/>
          <w:szCs w:val="20"/>
        </w:rPr>
      </w:pPr>
      <w:r w:rsidRPr="0079076B">
        <w:rPr>
          <w:b/>
          <w:sz w:val="20"/>
          <w:szCs w:val="20"/>
          <w:lang w:val="es-AR"/>
        </w:rPr>
        <w:t>Información</w:t>
      </w:r>
      <w:r w:rsidRPr="0079076B">
        <w:rPr>
          <w:b/>
          <w:sz w:val="20"/>
          <w:szCs w:val="20"/>
        </w:rPr>
        <w:t xml:space="preserve"> general</w:t>
      </w:r>
    </w:p>
    <w:p w14:paraId="26C2A837" w14:textId="3BF8FC09" w:rsidR="006165F7" w:rsidRPr="008A0C1A" w:rsidRDefault="006165F7" w:rsidP="008C709E">
      <w:pPr>
        <w:pStyle w:val="Prrafodelista"/>
        <w:numPr>
          <w:ilvl w:val="1"/>
          <w:numId w:val="36"/>
        </w:numPr>
        <w:tabs>
          <w:tab w:val="num" w:pos="0"/>
          <w:tab w:val="left" w:pos="709"/>
          <w:tab w:val="num" w:pos="1134"/>
        </w:tabs>
        <w:spacing w:before="240" w:after="240"/>
        <w:ind w:left="1134" w:right="60"/>
        <w:jc w:val="both"/>
        <w:rPr>
          <w:b/>
          <w:sz w:val="20"/>
          <w:szCs w:val="20"/>
          <w:lang w:val="es-AR"/>
        </w:rPr>
      </w:pPr>
      <w:r w:rsidRPr="008A0C1A">
        <w:rPr>
          <w:b/>
          <w:sz w:val="20"/>
          <w:szCs w:val="20"/>
          <w:lang w:val="es-AR"/>
        </w:rPr>
        <w:t xml:space="preserve">Información del </w:t>
      </w:r>
      <w:r w:rsidR="00162E5C" w:rsidRPr="008A0C1A">
        <w:rPr>
          <w:b/>
          <w:sz w:val="20"/>
          <w:szCs w:val="20"/>
          <w:lang w:val="es-AR"/>
        </w:rPr>
        <w:t xml:space="preserve">Banco </w:t>
      </w:r>
      <w:r w:rsidRPr="008A0C1A">
        <w:rPr>
          <w:b/>
          <w:sz w:val="20"/>
          <w:szCs w:val="20"/>
          <w:lang w:val="es-AR"/>
        </w:rPr>
        <w:t xml:space="preserve">BBVA </w:t>
      </w:r>
      <w:r w:rsidR="00162E5C" w:rsidRPr="008A0C1A">
        <w:rPr>
          <w:b/>
          <w:sz w:val="20"/>
          <w:szCs w:val="20"/>
          <w:lang w:val="es-AR"/>
        </w:rPr>
        <w:t>Argentina S.A.</w:t>
      </w:r>
    </w:p>
    <w:p w14:paraId="03428E19" w14:textId="79E0D535" w:rsidR="00B26690" w:rsidRPr="008A0C1A" w:rsidRDefault="00A57C4B" w:rsidP="008C709E">
      <w:pPr>
        <w:spacing w:before="240" w:after="120"/>
        <w:ind w:left="851" w:right="60"/>
        <w:jc w:val="both"/>
        <w:rPr>
          <w:rFonts w:ascii="Times New Roman" w:hAnsi="Times New Roman"/>
          <w:sz w:val="20"/>
        </w:rPr>
      </w:pPr>
      <w:r w:rsidRPr="008A0C1A">
        <w:rPr>
          <w:rFonts w:ascii="Times New Roman" w:hAnsi="Times New Roman"/>
          <w:sz w:val="20"/>
        </w:rPr>
        <w:t xml:space="preserve">Banco </w:t>
      </w:r>
      <w:r w:rsidR="00C9164F" w:rsidRPr="008A0C1A">
        <w:rPr>
          <w:rFonts w:ascii="Times New Roman" w:hAnsi="Times New Roman"/>
          <w:sz w:val="20"/>
        </w:rPr>
        <w:t xml:space="preserve">BBVA </w:t>
      </w:r>
      <w:r w:rsidRPr="008A0C1A">
        <w:rPr>
          <w:rFonts w:ascii="Times New Roman" w:hAnsi="Times New Roman"/>
          <w:sz w:val="20"/>
        </w:rPr>
        <w:t xml:space="preserve">Argentina </w:t>
      </w:r>
      <w:r w:rsidR="00C9164F" w:rsidRPr="008A0C1A">
        <w:rPr>
          <w:rFonts w:ascii="Times New Roman" w:hAnsi="Times New Roman"/>
          <w:sz w:val="20"/>
        </w:rPr>
        <w:t xml:space="preserve">S.A. (en adelante, mencionado indistintamente como </w:t>
      </w:r>
      <w:r w:rsidR="007C5188" w:rsidRPr="008A0C1A">
        <w:rPr>
          <w:rFonts w:ascii="Times New Roman" w:hAnsi="Times New Roman"/>
          <w:sz w:val="20"/>
        </w:rPr>
        <w:t xml:space="preserve">“BBVA </w:t>
      </w:r>
      <w:r w:rsidRPr="008A0C1A">
        <w:rPr>
          <w:rFonts w:ascii="Times New Roman" w:hAnsi="Times New Roman"/>
          <w:sz w:val="20"/>
        </w:rPr>
        <w:t>Argentina</w:t>
      </w:r>
      <w:r w:rsidR="007C5188" w:rsidRPr="008A0C1A">
        <w:rPr>
          <w:rFonts w:ascii="Times New Roman" w:hAnsi="Times New Roman"/>
          <w:sz w:val="20"/>
        </w:rPr>
        <w:t xml:space="preserve">” o </w:t>
      </w:r>
      <w:r w:rsidR="00C02ECB" w:rsidRPr="008A0C1A">
        <w:rPr>
          <w:rFonts w:ascii="Times New Roman" w:hAnsi="Times New Roman"/>
          <w:sz w:val="20"/>
        </w:rPr>
        <w:t>la “Entidad”</w:t>
      </w:r>
      <w:r w:rsidR="007C5188" w:rsidRPr="008A0C1A">
        <w:rPr>
          <w:rFonts w:ascii="Times New Roman" w:hAnsi="Times New Roman"/>
          <w:sz w:val="20"/>
        </w:rPr>
        <w:t xml:space="preserve"> o el</w:t>
      </w:r>
      <w:r w:rsidR="00745176" w:rsidRPr="008A0C1A">
        <w:rPr>
          <w:rFonts w:ascii="Times New Roman" w:hAnsi="Times New Roman"/>
          <w:sz w:val="20"/>
        </w:rPr>
        <w:t xml:space="preserve"> </w:t>
      </w:r>
      <w:r w:rsidR="00B92E9B" w:rsidRPr="008A0C1A">
        <w:rPr>
          <w:rFonts w:ascii="Times New Roman" w:hAnsi="Times New Roman"/>
          <w:sz w:val="20"/>
        </w:rPr>
        <w:t>“</w:t>
      </w:r>
      <w:r w:rsidR="007C5188" w:rsidRPr="008A0C1A">
        <w:rPr>
          <w:rFonts w:ascii="Times New Roman" w:hAnsi="Times New Roman"/>
          <w:sz w:val="20"/>
        </w:rPr>
        <w:t>Banco”</w:t>
      </w:r>
      <w:r w:rsidR="00C02ECB" w:rsidRPr="008A0C1A">
        <w:rPr>
          <w:rFonts w:ascii="Times New Roman" w:hAnsi="Times New Roman"/>
          <w:sz w:val="20"/>
        </w:rPr>
        <w:t xml:space="preserve">) </w:t>
      </w:r>
      <w:r w:rsidR="00C9164F" w:rsidRPr="008A0C1A">
        <w:rPr>
          <w:rFonts w:ascii="Times New Roman" w:hAnsi="Times New Roman"/>
          <w:sz w:val="20"/>
        </w:rPr>
        <w:t xml:space="preserve">es una sociedad anónima constituida en la República Argentina, que opera como banco universal y cuenta con una red de </w:t>
      </w:r>
      <w:r w:rsidR="008442A6" w:rsidRPr="008A0C1A">
        <w:rPr>
          <w:rFonts w:ascii="Times New Roman" w:hAnsi="Times New Roman"/>
          <w:sz w:val="20"/>
        </w:rPr>
        <w:t>24</w:t>
      </w:r>
      <w:r w:rsidR="00A75CD3" w:rsidRPr="008A0C1A">
        <w:rPr>
          <w:rFonts w:ascii="Times New Roman" w:hAnsi="Times New Roman"/>
          <w:sz w:val="20"/>
        </w:rPr>
        <w:t>3</w:t>
      </w:r>
      <w:r w:rsidR="00C9164F" w:rsidRPr="008A0C1A">
        <w:rPr>
          <w:rFonts w:ascii="Times New Roman" w:hAnsi="Times New Roman"/>
          <w:sz w:val="20"/>
        </w:rPr>
        <w:t xml:space="preserve"> sucursales de alcance nacional.</w:t>
      </w:r>
    </w:p>
    <w:p w14:paraId="38CCB1E6" w14:textId="3CB511E7" w:rsidR="00B05C77" w:rsidRPr="00110E8B" w:rsidRDefault="00701AF3" w:rsidP="007E416C">
      <w:pPr>
        <w:spacing w:after="120"/>
        <w:ind w:left="851" w:right="60"/>
        <w:jc w:val="both"/>
        <w:rPr>
          <w:rFonts w:ascii="Times New Roman" w:hAnsi="Times New Roman"/>
          <w:sz w:val="20"/>
        </w:rPr>
      </w:pPr>
      <w:r w:rsidRPr="008A0C1A">
        <w:rPr>
          <w:rFonts w:ascii="Times New Roman" w:hAnsi="Times New Roman"/>
          <w:sz w:val="20"/>
        </w:rPr>
        <w:t xml:space="preserve">Desde diciembre de 1996, </w:t>
      </w:r>
      <w:r w:rsidR="000224E8" w:rsidRPr="008A0C1A">
        <w:rPr>
          <w:rFonts w:ascii="Times New Roman" w:hAnsi="Times New Roman"/>
          <w:sz w:val="20"/>
        </w:rPr>
        <w:t xml:space="preserve">BBVA </w:t>
      </w:r>
      <w:r w:rsidR="00A57C4B" w:rsidRPr="008A0C1A">
        <w:rPr>
          <w:rFonts w:ascii="Times New Roman" w:hAnsi="Times New Roman"/>
          <w:sz w:val="20"/>
        </w:rPr>
        <w:t>Argentina</w:t>
      </w:r>
      <w:r w:rsidR="00E948B1" w:rsidRPr="008A0C1A">
        <w:rPr>
          <w:rFonts w:ascii="Times New Roman" w:hAnsi="Times New Roman"/>
          <w:sz w:val="20"/>
        </w:rPr>
        <w:t xml:space="preserve"> es p</w:t>
      </w:r>
      <w:r w:rsidR="002656DD" w:rsidRPr="008A0C1A">
        <w:rPr>
          <w:rFonts w:ascii="Times New Roman" w:hAnsi="Times New Roman"/>
          <w:sz w:val="20"/>
        </w:rPr>
        <w:t xml:space="preserve">arte de la estrategia global de </w:t>
      </w:r>
      <w:r w:rsidR="00E948B1" w:rsidRPr="008A0C1A">
        <w:rPr>
          <w:rFonts w:ascii="Times New Roman" w:hAnsi="Times New Roman"/>
          <w:sz w:val="20"/>
        </w:rPr>
        <w:t>Banco Bilbao Vizcaya Argentaria S.A.</w:t>
      </w:r>
      <w:r w:rsidR="00031739" w:rsidRPr="008A0C1A">
        <w:rPr>
          <w:rFonts w:ascii="Times New Roman" w:hAnsi="Times New Roman"/>
          <w:sz w:val="20"/>
        </w:rPr>
        <w:t xml:space="preserve"> (</w:t>
      </w:r>
      <w:r w:rsidR="00186D0A" w:rsidRPr="008A0C1A">
        <w:rPr>
          <w:rFonts w:ascii="Times New Roman" w:hAnsi="Times New Roman"/>
          <w:sz w:val="20"/>
        </w:rPr>
        <w:t xml:space="preserve">en adelante, mencionado indistintamente como “BBVA” o “entidad controlante”), </w:t>
      </w:r>
      <w:r w:rsidR="0091027B" w:rsidRPr="008A0C1A">
        <w:rPr>
          <w:rFonts w:ascii="Times New Roman" w:hAnsi="Times New Roman"/>
          <w:sz w:val="20"/>
        </w:rPr>
        <w:t>quien</w:t>
      </w:r>
      <w:r w:rsidR="0091027B" w:rsidRPr="00110E8B">
        <w:rPr>
          <w:rFonts w:ascii="Times New Roman" w:hAnsi="Times New Roman"/>
          <w:sz w:val="20"/>
        </w:rPr>
        <w:t xml:space="preserve"> controla a la Entidad</w:t>
      </w:r>
      <w:r w:rsidR="00E948B1" w:rsidRPr="00110E8B">
        <w:rPr>
          <w:rFonts w:ascii="Times New Roman" w:hAnsi="Times New Roman"/>
          <w:sz w:val="20"/>
        </w:rPr>
        <w:t xml:space="preserve">, directa e indirectamente, con el </w:t>
      </w:r>
      <w:r w:rsidR="00804B40" w:rsidRPr="00110E8B">
        <w:rPr>
          <w:rFonts w:ascii="Times New Roman" w:hAnsi="Times New Roman"/>
          <w:sz w:val="20"/>
        </w:rPr>
        <w:t>66</w:t>
      </w:r>
      <w:r w:rsidR="00491DA1" w:rsidRPr="00110E8B">
        <w:rPr>
          <w:rFonts w:ascii="Times New Roman" w:hAnsi="Times New Roman"/>
          <w:sz w:val="20"/>
        </w:rPr>
        <w:t>,</w:t>
      </w:r>
      <w:r w:rsidR="00804B40" w:rsidRPr="00110E8B">
        <w:rPr>
          <w:rFonts w:ascii="Times New Roman" w:hAnsi="Times New Roman"/>
          <w:sz w:val="20"/>
        </w:rPr>
        <w:t>5</w:t>
      </w:r>
      <w:r w:rsidR="00412D57" w:rsidRPr="00110E8B">
        <w:rPr>
          <w:rFonts w:ascii="Times New Roman" w:hAnsi="Times New Roman"/>
          <w:sz w:val="20"/>
        </w:rPr>
        <w:t>5</w:t>
      </w:r>
      <w:r w:rsidR="00E948B1" w:rsidRPr="00110E8B">
        <w:rPr>
          <w:rFonts w:ascii="Times New Roman" w:hAnsi="Times New Roman"/>
          <w:sz w:val="20"/>
        </w:rPr>
        <w:t>%</w:t>
      </w:r>
      <w:r w:rsidR="00641915" w:rsidRPr="00110E8B">
        <w:rPr>
          <w:rFonts w:ascii="Times New Roman" w:hAnsi="Times New Roman"/>
          <w:sz w:val="20"/>
        </w:rPr>
        <w:t xml:space="preserve"> del</w:t>
      </w:r>
      <w:r w:rsidR="00652BCC" w:rsidRPr="00110E8B">
        <w:rPr>
          <w:rFonts w:ascii="Times New Roman" w:hAnsi="Times New Roman"/>
          <w:sz w:val="20"/>
        </w:rPr>
        <w:t xml:space="preserve"> capital acci</w:t>
      </w:r>
      <w:r w:rsidR="00BE3E15" w:rsidRPr="00110E8B">
        <w:rPr>
          <w:rFonts w:ascii="Times New Roman" w:hAnsi="Times New Roman"/>
          <w:sz w:val="20"/>
        </w:rPr>
        <w:t xml:space="preserve">onario </w:t>
      </w:r>
      <w:r w:rsidR="00DC400F" w:rsidRPr="00110E8B">
        <w:rPr>
          <w:rFonts w:ascii="Times New Roman" w:hAnsi="Times New Roman"/>
          <w:sz w:val="20"/>
        </w:rPr>
        <w:t xml:space="preserve">al </w:t>
      </w:r>
      <w:r w:rsidR="00AA4650" w:rsidRPr="00110E8B">
        <w:rPr>
          <w:rFonts w:ascii="Times New Roman" w:hAnsi="Times New Roman"/>
          <w:sz w:val="20"/>
        </w:rPr>
        <w:t>3</w:t>
      </w:r>
      <w:r w:rsidR="004B08B2">
        <w:rPr>
          <w:rFonts w:ascii="Times New Roman" w:hAnsi="Times New Roman"/>
          <w:sz w:val="20"/>
        </w:rPr>
        <w:t>0</w:t>
      </w:r>
      <w:r w:rsidR="00AA4650" w:rsidRPr="00110E8B">
        <w:rPr>
          <w:rFonts w:ascii="Times New Roman" w:hAnsi="Times New Roman"/>
          <w:sz w:val="20"/>
        </w:rPr>
        <w:t xml:space="preserve"> de </w:t>
      </w:r>
      <w:r w:rsidR="008708A4">
        <w:rPr>
          <w:rFonts w:ascii="Times New Roman" w:hAnsi="Times New Roman"/>
          <w:sz w:val="20"/>
        </w:rPr>
        <w:t>septiembre</w:t>
      </w:r>
      <w:r w:rsidR="002828DA" w:rsidRPr="00110E8B">
        <w:rPr>
          <w:rFonts w:ascii="Times New Roman" w:hAnsi="Times New Roman"/>
          <w:sz w:val="20"/>
        </w:rPr>
        <w:t xml:space="preserve"> </w:t>
      </w:r>
      <w:r w:rsidR="00F72FDB" w:rsidRPr="00110E8B">
        <w:rPr>
          <w:rFonts w:ascii="Times New Roman" w:hAnsi="Times New Roman"/>
          <w:sz w:val="20"/>
        </w:rPr>
        <w:t>de 20</w:t>
      </w:r>
      <w:r w:rsidR="00B66BC5" w:rsidRPr="00110E8B">
        <w:rPr>
          <w:rFonts w:ascii="Times New Roman" w:hAnsi="Times New Roman"/>
          <w:sz w:val="20"/>
        </w:rPr>
        <w:t>2</w:t>
      </w:r>
      <w:r w:rsidR="000B4984">
        <w:rPr>
          <w:rFonts w:ascii="Times New Roman" w:hAnsi="Times New Roman"/>
          <w:sz w:val="20"/>
        </w:rPr>
        <w:t>1</w:t>
      </w:r>
      <w:r w:rsidR="007237DC" w:rsidRPr="00110E8B">
        <w:rPr>
          <w:rFonts w:ascii="Times New Roman" w:hAnsi="Times New Roman"/>
          <w:sz w:val="20"/>
        </w:rPr>
        <w:t>.</w:t>
      </w:r>
      <w:r w:rsidR="00E948B1" w:rsidRPr="00110E8B">
        <w:rPr>
          <w:rFonts w:ascii="Times New Roman" w:hAnsi="Times New Roman"/>
          <w:sz w:val="20"/>
        </w:rPr>
        <w:t xml:space="preserve"> </w:t>
      </w:r>
    </w:p>
    <w:p w14:paraId="1FDF23C5" w14:textId="20258278" w:rsidR="000B4984" w:rsidRDefault="000B4984" w:rsidP="007E416C">
      <w:pPr>
        <w:ind w:left="851" w:right="60"/>
        <w:jc w:val="both"/>
        <w:rPr>
          <w:rFonts w:ascii="Times New Roman" w:hAnsi="Times New Roman"/>
          <w:sz w:val="20"/>
        </w:rPr>
      </w:pPr>
      <w:r w:rsidRPr="0028652F">
        <w:rPr>
          <w:rFonts w:ascii="Times New Roman" w:hAnsi="Times New Roman"/>
          <w:sz w:val="20"/>
        </w:rPr>
        <w:t>Los presentes estados financieros</w:t>
      </w:r>
      <w:r w:rsidR="00F50E29">
        <w:rPr>
          <w:rFonts w:ascii="Times New Roman" w:hAnsi="Times New Roman"/>
          <w:sz w:val="20"/>
        </w:rPr>
        <w:t xml:space="preserve"> intermedios</w:t>
      </w:r>
      <w:r w:rsidR="00D4303C">
        <w:rPr>
          <w:rFonts w:ascii="Times New Roman" w:hAnsi="Times New Roman"/>
          <w:sz w:val="20"/>
        </w:rPr>
        <w:t xml:space="preserve"> consolidados</w:t>
      </w:r>
      <w:r w:rsidR="00F50E29">
        <w:rPr>
          <w:rFonts w:ascii="Times New Roman" w:hAnsi="Times New Roman"/>
          <w:sz w:val="20"/>
        </w:rPr>
        <w:t xml:space="preserve"> condensados</w:t>
      </w:r>
      <w:r>
        <w:rPr>
          <w:rFonts w:ascii="Times New Roman" w:hAnsi="Times New Roman"/>
          <w:sz w:val="20"/>
        </w:rPr>
        <w:t xml:space="preserve"> </w:t>
      </w:r>
      <w:r w:rsidRPr="0028652F">
        <w:rPr>
          <w:rFonts w:ascii="Times New Roman" w:hAnsi="Times New Roman"/>
          <w:sz w:val="20"/>
        </w:rPr>
        <w:t xml:space="preserve">comprenden a la Entidad y sus sociedades subsidiarias (referidas colectivamente como el “Grupo”). </w:t>
      </w:r>
    </w:p>
    <w:p w14:paraId="44253A36" w14:textId="77777777" w:rsidR="007D01BC" w:rsidRPr="00110E8B" w:rsidRDefault="007D01BC" w:rsidP="007E416C">
      <w:pPr>
        <w:ind w:left="851" w:right="60"/>
        <w:jc w:val="both"/>
        <w:rPr>
          <w:rFonts w:ascii="Times New Roman" w:hAnsi="Times New Roman"/>
          <w:sz w:val="20"/>
        </w:rPr>
      </w:pPr>
    </w:p>
    <w:p w14:paraId="0FD03C5A" w14:textId="77777777" w:rsidR="00D53292" w:rsidRPr="0028652F" w:rsidRDefault="007D01BC" w:rsidP="007E416C">
      <w:pPr>
        <w:ind w:left="851" w:right="60"/>
        <w:jc w:val="both"/>
        <w:rPr>
          <w:rFonts w:ascii="Times New Roman" w:hAnsi="Times New Roman"/>
          <w:sz w:val="20"/>
        </w:rPr>
      </w:pPr>
      <w:r w:rsidRPr="00110E8B">
        <w:rPr>
          <w:rFonts w:ascii="Times New Roman" w:hAnsi="Times New Roman"/>
          <w:sz w:val="20"/>
        </w:rPr>
        <w:t xml:space="preserve">Los estados financieros de las subsidiarias han sido elaborados a las mismas fechas y por los mismos </w:t>
      </w:r>
      <w:r w:rsidRPr="001C7F5E">
        <w:rPr>
          <w:rFonts w:ascii="Times New Roman" w:hAnsi="Times New Roman"/>
          <w:sz w:val="20"/>
        </w:rPr>
        <w:t>períodos que los de</w:t>
      </w:r>
      <w:r w:rsidR="00C42236" w:rsidRPr="001C7F5E">
        <w:rPr>
          <w:rFonts w:ascii="Times New Roman" w:hAnsi="Times New Roman"/>
          <w:sz w:val="20"/>
        </w:rPr>
        <w:t>l</w:t>
      </w:r>
      <w:r w:rsidRPr="001C7F5E">
        <w:rPr>
          <w:rFonts w:ascii="Times New Roman" w:hAnsi="Times New Roman"/>
          <w:sz w:val="20"/>
        </w:rPr>
        <w:t xml:space="preserve"> Banco BBVA Argentina S.A. En el caso de las sociedades consolidadas PSA Finance Argentina Compañía Financiera S.A. y Volkswagen Financial Services Compañía Financiera S.A., los estados financieros fueron preparados considerando el marco de información contable del Banco Central de la República Argentina </w:t>
      </w:r>
      <w:r w:rsidR="00907B94" w:rsidRPr="001C7F5E">
        <w:rPr>
          <w:rFonts w:ascii="Times New Roman" w:hAnsi="Times New Roman"/>
          <w:sz w:val="20"/>
        </w:rPr>
        <w:t xml:space="preserve">(B.C.R.A) </w:t>
      </w:r>
      <w:r w:rsidRPr="001C7F5E">
        <w:rPr>
          <w:rFonts w:ascii="Times New Roman" w:hAnsi="Times New Roman"/>
          <w:sz w:val="20"/>
        </w:rPr>
        <w:t>para en</w:t>
      </w:r>
      <w:r w:rsidR="009923C0" w:rsidRPr="001C7F5E">
        <w:rPr>
          <w:rFonts w:ascii="Times New Roman" w:hAnsi="Times New Roman"/>
          <w:sz w:val="20"/>
        </w:rPr>
        <w:t>tidades financieras del Grupo "C</w:t>
      </w:r>
      <w:r w:rsidRPr="001C7F5E">
        <w:rPr>
          <w:rFonts w:ascii="Times New Roman" w:hAnsi="Times New Roman"/>
          <w:sz w:val="20"/>
        </w:rPr>
        <w:t>", sin considerar el modelo establecido por la sección 5.5 de "Deterioro de Valor" de NIIF 9 hasta los ejercicios que se inicien a partir del 1 de enero de 202</w:t>
      </w:r>
      <w:r w:rsidR="00C42236" w:rsidRPr="001C7F5E">
        <w:rPr>
          <w:rFonts w:ascii="Times New Roman" w:hAnsi="Times New Roman"/>
          <w:sz w:val="20"/>
        </w:rPr>
        <w:t>2</w:t>
      </w:r>
      <w:r w:rsidRPr="001C7F5E">
        <w:rPr>
          <w:rFonts w:ascii="Times New Roman" w:hAnsi="Times New Roman"/>
          <w:sz w:val="20"/>
        </w:rPr>
        <w:t xml:space="preserve">, según se indica en nota 2 a los presentes </w:t>
      </w:r>
      <w:r w:rsidR="00D53292" w:rsidRPr="007D01BC">
        <w:rPr>
          <w:rFonts w:ascii="Times New Roman" w:hAnsi="Times New Roman"/>
          <w:sz w:val="20"/>
        </w:rPr>
        <w:t>estados financieros intermedios consolidados condensados.</w:t>
      </w:r>
    </w:p>
    <w:p w14:paraId="1481BC86" w14:textId="42D8BCCF" w:rsidR="00092E3B" w:rsidRPr="001C7F5E" w:rsidRDefault="00092E3B" w:rsidP="007E416C">
      <w:pPr>
        <w:ind w:left="851" w:right="60"/>
        <w:jc w:val="both"/>
        <w:rPr>
          <w:rFonts w:ascii="Times New Roman" w:hAnsi="Times New Roman"/>
          <w:sz w:val="20"/>
        </w:rPr>
      </w:pPr>
    </w:p>
    <w:p w14:paraId="1FD1A7D6" w14:textId="30EB9980" w:rsidR="00A4372F" w:rsidRPr="001C7F5E" w:rsidRDefault="00A4372F" w:rsidP="007E416C">
      <w:pPr>
        <w:ind w:left="851" w:right="60"/>
        <w:jc w:val="both"/>
        <w:rPr>
          <w:rFonts w:ascii="Times New Roman" w:hAnsi="Times New Roman"/>
          <w:sz w:val="20"/>
        </w:rPr>
      </w:pPr>
      <w:r w:rsidRPr="001C7F5E">
        <w:rPr>
          <w:rFonts w:ascii="Times New Roman" w:hAnsi="Times New Roman"/>
          <w:sz w:val="20"/>
        </w:rPr>
        <w:t xml:space="preserve">Las subsidiarias de la Entidad </w:t>
      </w:r>
      <w:r w:rsidR="009517E6" w:rsidRPr="001C7F5E">
        <w:rPr>
          <w:rFonts w:ascii="Times New Roman" w:hAnsi="Times New Roman"/>
          <w:sz w:val="20"/>
        </w:rPr>
        <w:t>se detallan a continuación</w:t>
      </w:r>
      <w:r w:rsidRPr="001C7F5E">
        <w:rPr>
          <w:rFonts w:ascii="Times New Roman" w:hAnsi="Times New Roman"/>
          <w:sz w:val="20"/>
        </w:rPr>
        <w:t>:</w:t>
      </w:r>
    </w:p>
    <w:p w14:paraId="49208A11" w14:textId="77777777" w:rsidR="00A4372F" w:rsidRPr="001C7F5E" w:rsidRDefault="00A4372F" w:rsidP="007E416C">
      <w:pPr>
        <w:ind w:left="851" w:right="60"/>
        <w:jc w:val="both"/>
        <w:rPr>
          <w:rFonts w:ascii="Times New Roman" w:hAnsi="Times New Roman"/>
          <w:sz w:val="20"/>
        </w:rPr>
      </w:pPr>
    </w:p>
    <w:p w14:paraId="74D50ABD" w14:textId="67E014BF" w:rsidR="001776A0" w:rsidRPr="001C7F5E" w:rsidRDefault="001776A0" w:rsidP="007E416C">
      <w:pPr>
        <w:ind w:left="851" w:right="60"/>
        <w:jc w:val="both"/>
        <w:rPr>
          <w:rFonts w:ascii="Times New Roman" w:hAnsi="Times New Roman"/>
          <w:sz w:val="20"/>
        </w:rPr>
      </w:pPr>
      <w:r w:rsidRPr="001C7F5E">
        <w:rPr>
          <w:rFonts w:ascii="Times New Roman" w:hAnsi="Times New Roman"/>
          <w:sz w:val="20"/>
        </w:rPr>
        <w:t xml:space="preserve">– BBVA Asset Management </w:t>
      </w:r>
      <w:r w:rsidR="003217DA" w:rsidRPr="001C7F5E">
        <w:rPr>
          <w:rFonts w:ascii="Times New Roman" w:hAnsi="Times New Roman"/>
          <w:sz w:val="20"/>
        </w:rPr>
        <w:t xml:space="preserve">Argentina </w:t>
      </w:r>
      <w:r w:rsidRPr="001C7F5E">
        <w:rPr>
          <w:rFonts w:ascii="Times New Roman" w:hAnsi="Times New Roman"/>
          <w:sz w:val="20"/>
        </w:rPr>
        <w:t xml:space="preserve">S.A. Sociedad Gerente de Fondos Comunes de Inversión: </w:t>
      </w:r>
      <w:r w:rsidR="009517E6" w:rsidRPr="001C7F5E">
        <w:rPr>
          <w:rFonts w:ascii="Times New Roman" w:hAnsi="Times New Roman"/>
          <w:sz w:val="20"/>
        </w:rPr>
        <w:t>s</w:t>
      </w:r>
      <w:r w:rsidRPr="001C7F5E">
        <w:rPr>
          <w:rFonts w:ascii="Times New Roman" w:hAnsi="Times New Roman"/>
          <w:sz w:val="20"/>
        </w:rPr>
        <w:t xml:space="preserve">ociedad anónima constituida en la República Argentina </w:t>
      </w:r>
      <w:r w:rsidR="009517E6" w:rsidRPr="001C7F5E">
        <w:rPr>
          <w:rFonts w:ascii="Times New Roman" w:hAnsi="Times New Roman"/>
          <w:sz w:val="20"/>
        </w:rPr>
        <w:t>como</w:t>
      </w:r>
      <w:r w:rsidRPr="001C7F5E">
        <w:rPr>
          <w:rFonts w:ascii="Times New Roman" w:hAnsi="Times New Roman"/>
          <w:sz w:val="20"/>
        </w:rPr>
        <w:t xml:space="preserve"> agente de administración de p</w:t>
      </w:r>
      <w:r w:rsidR="00C02ECB" w:rsidRPr="001C7F5E">
        <w:rPr>
          <w:rFonts w:ascii="Times New Roman" w:hAnsi="Times New Roman"/>
          <w:sz w:val="20"/>
        </w:rPr>
        <w:t>roductos de inversión colectiva;</w:t>
      </w:r>
    </w:p>
    <w:p w14:paraId="3799CDDF" w14:textId="77777777" w:rsidR="00FA6A70" w:rsidRPr="001C7F5E" w:rsidRDefault="00FA6A70" w:rsidP="007E416C">
      <w:pPr>
        <w:ind w:left="851" w:right="60"/>
        <w:jc w:val="both"/>
        <w:rPr>
          <w:rFonts w:ascii="Times New Roman" w:hAnsi="Times New Roman"/>
          <w:sz w:val="20"/>
        </w:rPr>
      </w:pPr>
    </w:p>
    <w:p w14:paraId="1196DB8E" w14:textId="4F883659" w:rsidR="00A4372F" w:rsidRPr="001C7F5E" w:rsidRDefault="00FA6A70" w:rsidP="007E416C">
      <w:pPr>
        <w:ind w:left="851" w:right="60"/>
        <w:jc w:val="both"/>
        <w:rPr>
          <w:rFonts w:ascii="Times New Roman" w:hAnsi="Times New Roman"/>
          <w:sz w:val="20"/>
        </w:rPr>
      </w:pPr>
      <w:r w:rsidRPr="001C7F5E">
        <w:rPr>
          <w:rFonts w:ascii="Times New Roman" w:hAnsi="Times New Roman"/>
          <w:sz w:val="20"/>
        </w:rPr>
        <w:t>– C</w:t>
      </w:r>
      <w:r w:rsidR="00AC7334" w:rsidRPr="001C7F5E">
        <w:rPr>
          <w:rFonts w:ascii="Times New Roman" w:hAnsi="Times New Roman"/>
          <w:sz w:val="20"/>
        </w:rPr>
        <w:t xml:space="preserve">onsolidar Administradora de Fondos de Jubilaciones y Pensiones S.A. (en liquidación) “Consolidar A.F.J.P. S.A. (en liquidación)”: sociedad anónima constituida en la República Argentina en proceso de liquidación. Con fecha  4 de diciembre de 2008, fue promulgada la Ley N° 26.425, la cual dispuso la eliminación y sustitución del régimen de capitalización que formaba parte del Sistema Integrado de Jubilaciones y Pensiones, por un único régimen público de reparto denominado Sistema Integrado Previsional Argentino (SIPA). Como consecuencia de ello, Consolidar A.F.J.P. S.A. dejó de administrar los recursos que integraban las cuentas de capitalización individual de los afiliados y beneficiarios al régimen de capitalización del Sistema Integrado de Jubilaciones y Pensiones, los cuales fueron transferidos al Fondo de Garantía de Sustentabilidad del Régimen Previsional Público en idéntica especie que en la que se encontraban invertidos, pasando a ser la Administración Nacional de la Seguridad Social (ANSES) el titular único y exclusivo de dichos bienes y derechos. Asimismo, con fecha 29 de octubre de 2009, la </w:t>
      </w:r>
      <w:r w:rsidR="00AC7334" w:rsidRPr="001C7F5E">
        <w:rPr>
          <w:rFonts w:ascii="Times New Roman" w:hAnsi="Times New Roman"/>
          <w:sz w:val="20"/>
        </w:rPr>
        <w:lastRenderedPageBreak/>
        <w:t>ANSES emitió la Resolución N° 290/2009 por la cual las administradoras de fondos de jubilaciones y pensiones que se encontraran interesadas en reconvertir su objeto social para administrar los fondos correspondientes a las imposiciones voluntarias y los depósitos convenidos que mantenían los afiliados en sus cuentas de capitalización, tenían un plazo de 30 días hábiles para manifestar su decisión en ese sentido. Con fecha 28 de diciembre de 2009, considerando lo mencionado en los párrafos anteriores y teniendo en cuenta la imposibilidad de Consolidar A.F.J.P. S.A. de alcanzar y ejecutar el objeto social para el cual fue constituida, por Asamblea General Extraordinaria Unánime de Accionistas se resolvió aprobar la disolución y posterior liquidación de dicha sociedad con efectos a partir del 31 de diciembre de 2009;</w:t>
      </w:r>
    </w:p>
    <w:p w14:paraId="624AF65E" w14:textId="77777777" w:rsidR="009C58EF" w:rsidRPr="001C7F5E" w:rsidRDefault="009C58EF" w:rsidP="007E416C">
      <w:pPr>
        <w:ind w:left="851"/>
        <w:jc w:val="both"/>
        <w:rPr>
          <w:rFonts w:ascii="Times New Roman" w:hAnsi="Times New Roman"/>
          <w:sz w:val="20"/>
        </w:rPr>
      </w:pPr>
    </w:p>
    <w:p w14:paraId="71BC5D0F" w14:textId="7F62B62A" w:rsidR="009C58EF" w:rsidRPr="00110E8B" w:rsidRDefault="009C58EF" w:rsidP="007E416C">
      <w:pPr>
        <w:ind w:left="851"/>
        <w:jc w:val="both"/>
        <w:rPr>
          <w:rFonts w:ascii="Times New Roman" w:hAnsi="Times New Roman"/>
          <w:sz w:val="20"/>
        </w:rPr>
      </w:pPr>
      <w:r w:rsidRPr="001C7F5E">
        <w:rPr>
          <w:rFonts w:ascii="Times New Roman" w:hAnsi="Times New Roman"/>
          <w:sz w:val="20"/>
        </w:rPr>
        <w:t>– PSA Finance Argentina Compañía Financiera S.A.</w:t>
      </w:r>
      <w:r w:rsidR="00186D0A" w:rsidRPr="001C7F5E">
        <w:rPr>
          <w:rFonts w:ascii="Times New Roman" w:hAnsi="Times New Roman"/>
          <w:sz w:val="20"/>
        </w:rPr>
        <w:t xml:space="preserve"> (“PSA”)</w:t>
      </w:r>
      <w:r w:rsidRPr="001C7F5E">
        <w:rPr>
          <w:rFonts w:ascii="Times New Roman" w:hAnsi="Times New Roman"/>
          <w:sz w:val="20"/>
        </w:rPr>
        <w:t>: compañía financiera constituida en la República Argentina que oper</w:t>
      </w:r>
      <w:r w:rsidRPr="00110E8B">
        <w:rPr>
          <w:rFonts w:ascii="Times New Roman" w:hAnsi="Times New Roman"/>
          <w:sz w:val="20"/>
        </w:rPr>
        <w:t>a a través del otorgamiento de préstamos prendarios;</w:t>
      </w:r>
      <w:r w:rsidR="007D01BC" w:rsidRPr="00110E8B">
        <w:rPr>
          <w:rFonts w:ascii="Times New Roman" w:hAnsi="Times New Roman"/>
          <w:sz w:val="20"/>
        </w:rPr>
        <w:t xml:space="preserve"> y</w:t>
      </w:r>
    </w:p>
    <w:p w14:paraId="232BAD98" w14:textId="77777777" w:rsidR="009517E6" w:rsidRPr="00110E8B" w:rsidRDefault="009517E6" w:rsidP="007E416C">
      <w:pPr>
        <w:ind w:left="851" w:right="60"/>
        <w:jc w:val="both"/>
        <w:rPr>
          <w:rFonts w:ascii="Times New Roman" w:hAnsi="Times New Roman"/>
          <w:sz w:val="20"/>
        </w:rPr>
      </w:pPr>
    </w:p>
    <w:p w14:paraId="557CC179" w14:textId="713826F6" w:rsidR="004D0429" w:rsidRPr="00110E8B" w:rsidRDefault="00AC1495" w:rsidP="007E416C">
      <w:pPr>
        <w:ind w:left="851"/>
        <w:jc w:val="both"/>
        <w:rPr>
          <w:rFonts w:ascii="Times New Roman" w:hAnsi="Times New Roman"/>
          <w:sz w:val="20"/>
        </w:rPr>
      </w:pPr>
      <w:r w:rsidRPr="00110E8B">
        <w:rPr>
          <w:rFonts w:ascii="Times New Roman" w:hAnsi="Times New Roman"/>
          <w:sz w:val="20"/>
        </w:rPr>
        <w:t>– Volkswagen Financial Services</w:t>
      </w:r>
      <w:r w:rsidR="00837856" w:rsidRPr="00110E8B">
        <w:rPr>
          <w:rFonts w:ascii="Times New Roman" w:hAnsi="Times New Roman"/>
          <w:sz w:val="20"/>
        </w:rPr>
        <w:t xml:space="preserve"> Compañía Financiera</w:t>
      </w:r>
      <w:r w:rsidRPr="00110E8B">
        <w:rPr>
          <w:rFonts w:ascii="Times New Roman" w:hAnsi="Times New Roman"/>
          <w:sz w:val="20"/>
        </w:rPr>
        <w:t xml:space="preserve"> S.A.</w:t>
      </w:r>
      <w:r w:rsidR="007E7DB8" w:rsidRPr="00110E8B">
        <w:rPr>
          <w:rFonts w:ascii="Times New Roman" w:hAnsi="Times New Roman"/>
          <w:sz w:val="20"/>
        </w:rPr>
        <w:t xml:space="preserve"> (</w:t>
      </w:r>
      <w:r w:rsidR="00186D0A" w:rsidRPr="00110E8B">
        <w:rPr>
          <w:rFonts w:ascii="Times New Roman" w:hAnsi="Times New Roman"/>
          <w:sz w:val="20"/>
        </w:rPr>
        <w:t>“</w:t>
      </w:r>
      <w:r w:rsidR="007E7DB8" w:rsidRPr="00110E8B">
        <w:rPr>
          <w:rFonts w:ascii="Times New Roman" w:hAnsi="Times New Roman"/>
          <w:sz w:val="20"/>
        </w:rPr>
        <w:t>VWFS</w:t>
      </w:r>
      <w:r w:rsidR="00186D0A" w:rsidRPr="00110E8B">
        <w:rPr>
          <w:rFonts w:ascii="Times New Roman" w:hAnsi="Times New Roman"/>
          <w:sz w:val="20"/>
        </w:rPr>
        <w:t>”</w:t>
      </w:r>
      <w:r w:rsidR="007E7DB8" w:rsidRPr="00110E8B">
        <w:rPr>
          <w:rFonts w:ascii="Times New Roman" w:hAnsi="Times New Roman"/>
          <w:sz w:val="20"/>
        </w:rPr>
        <w:t>)</w:t>
      </w:r>
      <w:r w:rsidR="00A103E0" w:rsidRPr="00110E8B">
        <w:rPr>
          <w:rFonts w:ascii="Times New Roman" w:hAnsi="Times New Roman"/>
          <w:sz w:val="20"/>
        </w:rPr>
        <w:t>:</w:t>
      </w:r>
      <w:r w:rsidR="00EA1720" w:rsidRPr="00110E8B">
        <w:rPr>
          <w:rFonts w:ascii="Times New Roman" w:hAnsi="Times New Roman"/>
          <w:sz w:val="20"/>
        </w:rPr>
        <w:t xml:space="preserve"> </w:t>
      </w:r>
      <w:r w:rsidR="00AF20CE" w:rsidRPr="00110E8B">
        <w:rPr>
          <w:rFonts w:ascii="Times New Roman" w:hAnsi="Times New Roman"/>
          <w:sz w:val="20"/>
        </w:rPr>
        <w:t>compañía financiera constituida en la República Argentina que opera a través del otorga</w:t>
      </w:r>
      <w:r w:rsidR="009C58EF" w:rsidRPr="00110E8B">
        <w:rPr>
          <w:rFonts w:ascii="Times New Roman" w:hAnsi="Times New Roman"/>
          <w:sz w:val="20"/>
        </w:rPr>
        <w:t>m</w:t>
      </w:r>
      <w:r w:rsidR="007D01BC" w:rsidRPr="00110E8B">
        <w:rPr>
          <w:rFonts w:ascii="Times New Roman" w:hAnsi="Times New Roman"/>
          <w:sz w:val="20"/>
        </w:rPr>
        <w:t>iento de préstamos prendarios.</w:t>
      </w:r>
    </w:p>
    <w:p w14:paraId="719FA204" w14:textId="77777777" w:rsidR="00964187" w:rsidRPr="00110E8B" w:rsidRDefault="00964187" w:rsidP="007E416C">
      <w:pPr>
        <w:ind w:left="851"/>
        <w:jc w:val="both"/>
        <w:rPr>
          <w:rFonts w:ascii="Times New Roman" w:hAnsi="Times New Roman"/>
          <w:sz w:val="20"/>
        </w:rPr>
      </w:pPr>
    </w:p>
    <w:p w14:paraId="5E3B4750" w14:textId="540D61CA" w:rsidR="009517E6" w:rsidRPr="00110E8B" w:rsidRDefault="009517E6" w:rsidP="007E416C">
      <w:pPr>
        <w:ind w:left="851"/>
        <w:jc w:val="both"/>
        <w:rPr>
          <w:rFonts w:ascii="Times New Roman" w:hAnsi="Times New Roman"/>
          <w:sz w:val="20"/>
        </w:rPr>
      </w:pPr>
      <w:r w:rsidRPr="00110E8B">
        <w:rPr>
          <w:rFonts w:ascii="Times New Roman" w:hAnsi="Times New Roman"/>
          <w:sz w:val="20"/>
        </w:rPr>
        <w:t xml:space="preserve">La Ley de Mercado de Capitales N° 26.831, dictada el 28 de diciembre de 2012 y </w:t>
      </w:r>
      <w:r w:rsidR="003320FD" w:rsidRPr="00110E8B">
        <w:rPr>
          <w:rFonts w:ascii="Times New Roman" w:hAnsi="Times New Roman"/>
          <w:sz w:val="20"/>
        </w:rPr>
        <w:t xml:space="preserve">modificada por la Ley N° 27.440 del 11 de mayo de 2018 </w:t>
      </w:r>
      <w:r w:rsidRPr="00110E8B">
        <w:rPr>
          <w:rFonts w:ascii="Times New Roman" w:hAnsi="Times New Roman"/>
          <w:sz w:val="20"/>
        </w:rPr>
        <w:t xml:space="preserve">posteriormente reglamentada por la Resolución General N° 622/13 </w:t>
      </w:r>
      <w:r w:rsidR="003320FD" w:rsidRPr="00110E8B">
        <w:rPr>
          <w:rFonts w:ascii="Times New Roman" w:hAnsi="Times New Roman"/>
          <w:sz w:val="20"/>
        </w:rPr>
        <w:t xml:space="preserve">y Resolución General N° 731/2018 </w:t>
      </w:r>
      <w:r w:rsidRPr="00110E8B">
        <w:rPr>
          <w:rFonts w:ascii="Times New Roman" w:hAnsi="Times New Roman"/>
          <w:sz w:val="20"/>
        </w:rPr>
        <w:t xml:space="preserve">de la </w:t>
      </w:r>
      <w:r w:rsidR="008E202B" w:rsidRPr="00110E8B">
        <w:rPr>
          <w:rFonts w:ascii="Times New Roman" w:hAnsi="Times New Roman"/>
          <w:sz w:val="20"/>
        </w:rPr>
        <w:t>Comisión Nacional de Valores (C.N.V.)</w:t>
      </w:r>
      <w:r w:rsidRPr="00110E8B">
        <w:rPr>
          <w:rFonts w:ascii="Times New Roman" w:hAnsi="Times New Roman"/>
          <w:sz w:val="20"/>
        </w:rPr>
        <w:t>, establece en su artículo 47 la obligación de los agente</w:t>
      </w:r>
      <w:r w:rsidR="00CE0267">
        <w:rPr>
          <w:rFonts w:ascii="Times New Roman" w:hAnsi="Times New Roman"/>
          <w:sz w:val="20"/>
        </w:rPr>
        <w:t>s de registrarse ante la C.N.V.</w:t>
      </w:r>
      <w:r w:rsidRPr="00110E8B">
        <w:rPr>
          <w:rFonts w:ascii="Times New Roman" w:hAnsi="Times New Roman"/>
          <w:sz w:val="20"/>
        </w:rPr>
        <w:t xml:space="preserve"> para actuar en el mercado bajo alguna de las m</w:t>
      </w:r>
      <w:r w:rsidR="00697451" w:rsidRPr="00110E8B">
        <w:rPr>
          <w:rFonts w:ascii="Times New Roman" w:hAnsi="Times New Roman"/>
          <w:sz w:val="20"/>
        </w:rPr>
        <w:t>odalidades establecidas en dicho cuerpo normativo</w:t>
      </w:r>
      <w:r w:rsidRPr="00110E8B">
        <w:rPr>
          <w:rFonts w:ascii="Times New Roman" w:hAnsi="Times New Roman"/>
          <w:sz w:val="20"/>
        </w:rPr>
        <w:t>. El 9 y el 19 de septiembre de 2014 la Entidad obtuvo la inscripción como Agente de Custodia de Productos de Inversión Colectiva de Fondos Comunes de Inversión bajo el N° 4 y Agente de Liquidación y Compensación Integral bajo el N° 42.</w:t>
      </w:r>
      <w:r w:rsidR="00284A16" w:rsidRPr="00110E8B">
        <w:rPr>
          <w:rFonts w:ascii="Times New Roman" w:hAnsi="Times New Roman"/>
          <w:sz w:val="20"/>
        </w:rPr>
        <w:t xml:space="preserve"> Con fecha 7 de agosto de 2</w:t>
      </w:r>
      <w:r w:rsidR="00CC1072" w:rsidRPr="00110E8B">
        <w:rPr>
          <w:rFonts w:ascii="Times New Roman" w:hAnsi="Times New Roman"/>
          <w:sz w:val="20"/>
        </w:rPr>
        <w:t xml:space="preserve">014 la subsidiaria </w:t>
      </w:r>
      <w:r w:rsidR="003217DA" w:rsidRPr="00110E8B">
        <w:rPr>
          <w:rFonts w:ascii="Times New Roman" w:hAnsi="Times New Roman"/>
          <w:sz w:val="20"/>
        </w:rPr>
        <w:t>BBVA Asset Management Argentina S.A.</w:t>
      </w:r>
      <w:r w:rsidR="00284A16" w:rsidRPr="00110E8B">
        <w:rPr>
          <w:rFonts w:ascii="Times New Roman" w:hAnsi="Times New Roman"/>
          <w:sz w:val="20"/>
        </w:rPr>
        <w:t xml:space="preserve"> </w:t>
      </w:r>
      <w:r w:rsidR="00CC1072" w:rsidRPr="00110E8B">
        <w:rPr>
          <w:rFonts w:ascii="Times New Roman" w:hAnsi="Times New Roman"/>
          <w:sz w:val="20"/>
        </w:rPr>
        <w:t xml:space="preserve">Sociedad Gerente de Fondos Comunes de Inversión </w:t>
      </w:r>
      <w:r w:rsidR="00284A16" w:rsidRPr="00110E8B">
        <w:rPr>
          <w:rFonts w:ascii="Times New Roman" w:hAnsi="Times New Roman"/>
          <w:sz w:val="20"/>
        </w:rPr>
        <w:t>obtuvo la inscripción como Agente de Administraci</w:t>
      </w:r>
      <w:r w:rsidR="002730EE" w:rsidRPr="00110E8B">
        <w:rPr>
          <w:rFonts w:ascii="Times New Roman" w:hAnsi="Times New Roman"/>
          <w:sz w:val="20"/>
        </w:rPr>
        <w:t>ón de Productos de I</w:t>
      </w:r>
      <w:r w:rsidR="00284A16" w:rsidRPr="00110E8B">
        <w:rPr>
          <w:rFonts w:ascii="Times New Roman" w:hAnsi="Times New Roman"/>
          <w:sz w:val="20"/>
        </w:rPr>
        <w:t xml:space="preserve">nversión </w:t>
      </w:r>
      <w:r w:rsidR="002730EE" w:rsidRPr="00110E8B">
        <w:rPr>
          <w:rFonts w:ascii="Times New Roman" w:hAnsi="Times New Roman"/>
          <w:sz w:val="20"/>
        </w:rPr>
        <w:t>C</w:t>
      </w:r>
      <w:r w:rsidR="00284A16" w:rsidRPr="00110E8B">
        <w:rPr>
          <w:rFonts w:ascii="Times New Roman" w:hAnsi="Times New Roman"/>
          <w:sz w:val="20"/>
        </w:rPr>
        <w:t>olectiva bajo el N° 3.</w:t>
      </w:r>
      <w:r w:rsidR="006302C7" w:rsidRPr="00110E8B">
        <w:rPr>
          <w:rFonts w:ascii="Times New Roman" w:hAnsi="Times New Roman"/>
          <w:sz w:val="20"/>
        </w:rPr>
        <w:t xml:space="preserve"> </w:t>
      </w:r>
    </w:p>
    <w:p w14:paraId="39C0EFAE" w14:textId="77777777" w:rsidR="00C02491" w:rsidRPr="00110E8B" w:rsidRDefault="00C02491" w:rsidP="007E416C">
      <w:pPr>
        <w:ind w:left="851"/>
        <w:jc w:val="both"/>
        <w:rPr>
          <w:rFonts w:ascii="Times New Roman" w:hAnsi="Times New Roman"/>
          <w:sz w:val="20"/>
        </w:rPr>
      </w:pPr>
    </w:p>
    <w:p w14:paraId="1673F1DB" w14:textId="761235F8" w:rsidR="003A2072" w:rsidRDefault="003A2072" w:rsidP="007E416C">
      <w:pPr>
        <w:tabs>
          <w:tab w:val="num" w:pos="-1560"/>
        </w:tabs>
        <w:ind w:left="851"/>
        <w:jc w:val="both"/>
        <w:rPr>
          <w:rFonts w:ascii="Times New Roman" w:hAnsi="Times New Roman"/>
          <w:sz w:val="20"/>
        </w:rPr>
      </w:pPr>
      <w:r w:rsidRPr="00110E8B">
        <w:rPr>
          <w:rFonts w:ascii="Times New Roman" w:hAnsi="Times New Roman"/>
          <w:sz w:val="20"/>
        </w:rPr>
        <w:t>La Entidad efectúa oferta pública de parte de su capital acci</w:t>
      </w:r>
      <w:r w:rsidR="00FD2770" w:rsidRPr="00110E8B">
        <w:rPr>
          <w:rFonts w:ascii="Times New Roman" w:hAnsi="Times New Roman"/>
          <w:sz w:val="20"/>
        </w:rPr>
        <w:t>onario, encontrándose registrada</w:t>
      </w:r>
      <w:r w:rsidRPr="00110E8B">
        <w:rPr>
          <w:rFonts w:ascii="Times New Roman" w:hAnsi="Times New Roman"/>
          <w:sz w:val="20"/>
        </w:rPr>
        <w:t xml:space="preserve"> ante la Bolsa de Comercio de Buenos Aires, la Bolsa de Comercio de New York y la Bolsa de Comercio de Madrid.</w:t>
      </w:r>
    </w:p>
    <w:p w14:paraId="5AE4E125" w14:textId="77777777" w:rsidR="00FC3663" w:rsidRPr="00110E8B" w:rsidRDefault="00FC3663" w:rsidP="007E416C">
      <w:pPr>
        <w:tabs>
          <w:tab w:val="num" w:pos="-1560"/>
        </w:tabs>
        <w:ind w:left="851"/>
        <w:jc w:val="both"/>
        <w:rPr>
          <w:rFonts w:ascii="Times New Roman" w:hAnsi="Times New Roman"/>
          <w:sz w:val="20"/>
        </w:rPr>
      </w:pPr>
    </w:p>
    <w:p w14:paraId="31190664" w14:textId="06B76602" w:rsidR="006165F7" w:rsidRPr="008A0C1A" w:rsidRDefault="006165F7" w:rsidP="008C709E">
      <w:pPr>
        <w:pStyle w:val="Prrafodelista"/>
        <w:numPr>
          <w:ilvl w:val="1"/>
          <w:numId w:val="36"/>
        </w:numPr>
        <w:tabs>
          <w:tab w:val="num" w:pos="0"/>
          <w:tab w:val="left" w:pos="709"/>
          <w:tab w:val="num" w:pos="1134"/>
        </w:tabs>
        <w:spacing w:before="240" w:after="120"/>
        <w:ind w:left="1134" w:right="60"/>
        <w:jc w:val="both"/>
        <w:rPr>
          <w:b/>
          <w:sz w:val="20"/>
          <w:szCs w:val="20"/>
        </w:rPr>
      </w:pPr>
      <w:r w:rsidRPr="008A0C1A">
        <w:rPr>
          <w:b/>
          <w:sz w:val="20"/>
          <w:szCs w:val="20"/>
        </w:rPr>
        <w:t>Contexto económico</w:t>
      </w:r>
    </w:p>
    <w:p w14:paraId="71F6FFD1" w14:textId="77777777" w:rsidR="00DC5391" w:rsidRPr="00B36831" w:rsidRDefault="00DC5391" w:rsidP="00DC5391">
      <w:pPr>
        <w:spacing w:before="240"/>
        <w:ind w:left="851"/>
        <w:jc w:val="both"/>
        <w:rPr>
          <w:rFonts w:ascii="Times New Roman" w:hAnsi="Times New Roman"/>
          <w:sz w:val="20"/>
        </w:rPr>
      </w:pPr>
      <w:r w:rsidRPr="008A0C1A">
        <w:rPr>
          <w:rFonts w:ascii="Times New Roman" w:hAnsi="Times New Roman"/>
          <w:sz w:val="20"/>
        </w:rPr>
        <w:t>La Entidad continúa operando en un contexto económico complejo, donde es posible observar la persistencia de niveles de inflación elevados si bien la actividad económica se ha ido recuperando a partir del segundo semestre del 2020 en el marco de una situación donde continúa presente la contingencia</w:t>
      </w:r>
      <w:r w:rsidRPr="00B36831">
        <w:rPr>
          <w:rFonts w:ascii="Times New Roman" w:hAnsi="Times New Roman"/>
          <w:sz w:val="20"/>
        </w:rPr>
        <w:t xml:space="preserve"> sanitaria. El escenario se presenta acompañado de variables financieras que han evidenciado un comportamiento volátil, entre ellas, un indicador de riesgo país que se ha incrementado incluso luego de la exitosa renegociación de deuda soberana del año pasado, así como también los tipos de cambio implícitos en la cotización de deuda pública denominada en moneda extranjera.</w:t>
      </w:r>
    </w:p>
    <w:p w14:paraId="22DC7815" w14:textId="77777777" w:rsidR="00DC5391" w:rsidRPr="00B36831" w:rsidRDefault="00DC5391" w:rsidP="00DC5391">
      <w:pPr>
        <w:spacing w:before="240"/>
        <w:ind w:left="851"/>
        <w:jc w:val="both"/>
        <w:rPr>
          <w:rFonts w:ascii="Times New Roman" w:hAnsi="Times New Roman"/>
          <w:sz w:val="20"/>
        </w:rPr>
      </w:pPr>
      <w:r w:rsidRPr="00B36831">
        <w:rPr>
          <w:rFonts w:ascii="Times New Roman" w:hAnsi="Times New Roman"/>
          <w:sz w:val="20"/>
        </w:rPr>
        <w:t>En este contexto, mediante el Decreto N° 1042/2020, el Poder Ejecutivo prorrogó por un año más la vigencia de la Ley de Solidaridad Social y Reactivación Productiva en el marco de la Emergencia Pública (la “Ley de Emergencia Económica”) hasta el 31 de diciembre de 2021 en virtud de la cual se declaró la emergencia pública en materia económica, financiera, administrativa, previsional, energética, sanitaria y social.</w:t>
      </w:r>
    </w:p>
    <w:p w14:paraId="77C8F2D0" w14:textId="40CFD49D" w:rsidR="00DC5391" w:rsidRPr="00B36831" w:rsidRDefault="00DC5391" w:rsidP="00DC5391">
      <w:pPr>
        <w:spacing w:before="240"/>
        <w:ind w:left="851"/>
        <w:jc w:val="both"/>
        <w:rPr>
          <w:rFonts w:ascii="Times New Roman" w:hAnsi="Times New Roman"/>
          <w:sz w:val="20"/>
        </w:rPr>
      </w:pPr>
      <w:r w:rsidRPr="00B36831">
        <w:rPr>
          <w:rFonts w:ascii="Times New Roman" w:hAnsi="Times New Roman"/>
          <w:sz w:val="20"/>
        </w:rPr>
        <w:lastRenderedPageBreak/>
        <w:t xml:space="preserve">En materia fiscal durante el mes de diciembre de 2020 se suscribió un nuevo Consenso Fiscal entre el Gobierno Nacional y las provincias (excepto la Ciudad Autónoma de Buenos Aires) habilitando a las jurisdicciones a establecer alícuotas, para la determinación del impuesto sobre los ingresos brutos, sin los topes fijados en el Consenso Fiscal del año 2017. En lo que respecta al impuesto a las ganancias, se promulgó la Ley </w:t>
      </w:r>
      <w:r w:rsidR="00F57618" w:rsidRPr="00B36831">
        <w:rPr>
          <w:rFonts w:ascii="Times New Roman" w:hAnsi="Times New Roman"/>
          <w:sz w:val="20"/>
        </w:rPr>
        <w:t xml:space="preserve">N° </w:t>
      </w:r>
      <w:r w:rsidRPr="00B36831">
        <w:rPr>
          <w:rFonts w:ascii="Times New Roman" w:hAnsi="Times New Roman"/>
          <w:sz w:val="20"/>
        </w:rPr>
        <w:t>27</w:t>
      </w:r>
      <w:r w:rsidR="00F57618" w:rsidRPr="00B36831">
        <w:rPr>
          <w:rFonts w:ascii="Times New Roman" w:hAnsi="Times New Roman"/>
          <w:sz w:val="20"/>
        </w:rPr>
        <w:t>.</w:t>
      </w:r>
      <w:r w:rsidRPr="00B36831">
        <w:rPr>
          <w:rFonts w:ascii="Times New Roman" w:hAnsi="Times New Roman"/>
          <w:sz w:val="20"/>
        </w:rPr>
        <w:t>630 publicada en el B</w:t>
      </w:r>
      <w:r w:rsidR="00F57618" w:rsidRPr="00B36831">
        <w:rPr>
          <w:rFonts w:ascii="Times New Roman" w:hAnsi="Times New Roman"/>
          <w:sz w:val="20"/>
        </w:rPr>
        <w:t xml:space="preserve">oletín </w:t>
      </w:r>
      <w:r w:rsidRPr="00B36831">
        <w:rPr>
          <w:rFonts w:ascii="Times New Roman" w:hAnsi="Times New Roman"/>
          <w:sz w:val="20"/>
        </w:rPr>
        <w:t>O</w:t>
      </w:r>
      <w:r w:rsidR="00F57618" w:rsidRPr="00B36831">
        <w:rPr>
          <w:rFonts w:ascii="Times New Roman" w:hAnsi="Times New Roman"/>
          <w:sz w:val="20"/>
        </w:rPr>
        <w:t>ficial</w:t>
      </w:r>
      <w:r w:rsidRPr="00B36831">
        <w:rPr>
          <w:rFonts w:ascii="Times New Roman" w:hAnsi="Times New Roman"/>
          <w:sz w:val="20"/>
        </w:rPr>
        <w:t xml:space="preserve"> con fecha 16 de junio de 2021 que modifica la alícuota del mismo pasando del 30% al 35% para grandes empresas, el Banco entre ellas, con efecto para ejercicios fiscales iniciados a partir del 1° de enero de 2021. </w:t>
      </w:r>
    </w:p>
    <w:p w14:paraId="7317FC23" w14:textId="77777777" w:rsidR="00DC5391" w:rsidRPr="00B36831" w:rsidRDefault="00DC5391" w:rsidP="00DC5391">
      <w:pPr>
        <w:spacing w:before="240"/>
        <w:ind w:left="851"/>
        <w:jc w:val="both"/>
        <w:rPr>
          <w:rFonts w:ascii="Times New Roman" w:hAnsi="Times New Roman"/>
          <w:sz w:val="20"/>
        </w:rPr>
      </w:pPr>
      <w:r w:rsidRPr="00B36831">
        <w:rPr>
          <w:rFonts w:ascii="Times New Roman" w:hAnsi="Times New Roman"/>
          <w:sz w:val="20"/>
        </w:rPr>
        <w:t>En materia cambiaria, el B.C.R.A. publicó el 30 de diciembre de 2019 la Comunicación “A” 6856 que estableció la vigencia de las disposiciones dadas a conocer mediante la Comunicación “A” 6770 y modificatorias, entre ellas la obtención de conformidad previa para el acceso al mercado de cambios en relación con el giro de utilidades y dividendos, pago de servicios a empresas vinculadas del exterior y la precancelación de deudas financieras (capital e intereses) con más de tres días hábiles antes al vencimiento. Distintas disposiciones del B.C.R.A. establecieron nuevas restricciones en materia de acceso al mercado cambiario a la fecha de los presentes estados financieros.</w:t>
      </w:r>
    </w:p>
    <w:p w14:paraId="09CEFB55" w14:textId="3AFCC11B" w:rsidR="00DC5391" w:rsidRPr="00B36831" w:rsidRDefault="00DC5391" w:rsidP="00DC5391">
      <w:pPr>
        <w:spacing w:before="240"/>
        <w:ind w:left="851"/>
        <w:jc w:val="both"/>
        <w:rPr>
          <w:rFonts w:ascii="Times New Roman" w:hAnsi="Times New Roman"/>
          <w:sz w:val="20"/>
        </w:rPr>
      </w:pPr>
      <w:r w:rsidRPr="00B36831">
        <w:rPr>
          <w:rFonts w:ascii="Times New Roman" w:hAnsi="Times New Roman"/>
          <w:sz w:val="20"/>
        </w:rPr>
        <w:t>Asimismo el Gobierno Nacional se encuentra en un proceso de renegociación de su deuda externa con sus principales acreedores, entre ellos el Fondo Monetario Internacional y el Club de París.</w:t>
      </w:r>
    </w:p>
    <w:p w14:paraId="199E3936" w14:textId="77777777" w:rsidR="00FC3663" w:rsidRPr="00B36831" w:rsidRDefault="00FC3663" w:rsidP="007E416C">
      <w:pPr>
        <w:ind w:left="851"/>
        <w:jc w:val="both"/>
        <w:rPr>
          <w:rFonts w:ascii="Times New Roman" w:hAnsi="Times New Roman"/>
          <w:sz w:val="20"/>
        </w:rPr>
      </w:pPr>
    </w:p>
    <w:p w14:paraId="23A26593" w14:textId="5F3753DB" w:rsidR="005F6211" w:rsidRPr="008A0C1A" w:rsidRDefault="005F6211" w:rsidP="008C709E">
      <w:pPr>
        <w:pStyle w:val="Prrafodelista"/>
        <w:numPr>
          <w:ilvl w:val="1"/>
          <w:numId w:val="36"/>
        </w:numPr>
        <w:tabs>
          <w:tab w:val="num" w:pos="0"/>
          <w:tab w:val="left" w:pos="709"/>
          <w:tab w:val="num" w:pos="1134"/>
        </w:tabs>
        <w:spacing w:before="240" w:after="120"/>
        <w:ind w:left="1134" w:right="60"/>
        <w:jc w:val="both"/>
        <w:rPr>
          <w:b/>
          <w:sz w:val="20"/>
          <w:szCs w:val="20"/>
        </w:rPr>
      </w:pPr>
      <w:r w:rsidRPr="008A0C1A">
        <w:rPr>
          <w:b/>
          <w:sz w:val="20"/>
          <w:szCs w:val="20"/>
        </w:rPr>
        <w:t>COVID-19</w:t>
      </w:r>
    </w:p>
    <w:p w14:paraId="09DCB7BC" w14:textId="77777777" w:rsidR="00200B17" w:rsidRPr="00B36831" w:rsidRDefault="00200B17" w:rsidP="00200B17">
      <w:pPr>
        <w:spacing w:before="240"/>
        <w:ind w:left="851" w:right="60"/>
        <w:jc w:val="both"/>
        <w:rPr>
          <w:rFonts w:ascii="Times New Roman" w:hAnsi="Times New Roman"/>
          <w:sz w:val="20"/>
          <w:lang w:val="es-ES_tradnl"/>
        </w:rPr>
      </w:pPr>
      <w:r w:rsidRPr="008A0C1A">
        <w:rPr>
          <w:rFonts w:ascii="Times New Roman" w:hAnsi="Times New Roman"/>
          <w:sz w:val="20"/>
        </w:rPr>
        <w:t>Con fecha 11 de marzo de 2020, la Organización Mundial de la Salud declaró pandemia al brote de</w:t>
      </w:r>
      <w:r w:rsidRPr="00B36831">
        <w:rPr>
          <w:rFonts w:ascii="Times New Roman" w:hAnsi="Times New Roman"/>
          <w:sz w:val="20"/>
        </w:rPr>
        <w:t xml:space="preserve"> Coronavirus (COVID-19), debido a su rápida propagación a más de 150 países. La mayoría de los gobiernos tomaron medidas restrictivas para contener la propagación, que incluyeron: aislamiento, confinamiento, cuarentena y restricción al libre movimiento de personas, cierre de locales públicos y privados, salvo los denominados esenciales o de primera necesidad (sanitarios, alimenticios, combustibles y comunicaciones) y cierre de fronteras y reducción drástica del transporte aéreo, marítimo, ferroviario y terrestre. </w:t>
      </w:r>
    </w:p>
    <w:p w14:paraId="73815B12" w14:textId="77777777" w:rsidR="00200B17" w:rsidRPr="00B36831" w:rsidRDefault="00200B17" w:rsidP="00200B17">
      <w:pPr>
        <w:ind w:left="851" w:right="60"/>
        <w:jc w:val="both"/>
        <w:rPr>
          <w:rFonts w:ascii="Times New Roman" w:hAnsi="Times New Roman"/>
          <w:sz w:val="20"/>
          <w:lang w:val="es-ES_tradnl"/>
        </w:rPr>
      </w:pPr>
    </w:p>
    <w:p w14:paraId="448FAF16" w14:textId="7B91A665" w:rsidR="00200B17" w:rsidRPr="00B36831" w:rsidRDefault="00200B17" w:rsidP="00200B17">
      <w:pPr>
        <w:autoSpaceDE w:val="0"/>
        <w:autoSpaceDN w:val="0"/>
        <w:adjustRightInd w:val="0"/>
        <w:ind w:left="851"/>
        <w:jc w:val="both"/>
        <w:rPr>
          <w:rFonts w:ascii="Times New Roman" w:hAnsi="Times New Roman"/>
          <w:sz w:val="20"/>
          <w:lang w:val="es-ES_tradnl"/>
        </w:rPr>
      </w:pPr>
      <w:r w:rsidRPr="00B36831">
        <w:rPr>
          <w:rFonts w:ascii="Times New Roman" w:hAnsi="Times New Roman"/>
          <w:sz w:val="20"/>
        </w:rPr>
        <w:t xml:space="preserve">En la República Argentina, donde opera la Entidad, el 12 de marzo de 2020 a través del Decreto del Poder Ejecutivo Nacional (PEN) N°260/2020, y sus modificatorias, se decretó la emergencia sanitaria para la gestión de la situación de crisis ocasionada por el COVID-19. Con fecha 19 de marzo de 2020, el PEN emitió el Decreto N° 297/2020 por el que declaró el aislamiento social, preventivo y obligatorio, el cual rigió desde el 20 de marzo de 2020 hasta el 8 de noviembre de 2020, de acuerdo a las sucesivas extensiones de plazo establecidas por posteriores Decretos publicados en el Boletín Oficial. Mediante Decreto N° 875/2020 del 7 de noviembre de 2020 el PEN estableció la medida de distanciamiento social, preventivo y obligatorio, la cual se extendió mediante sucesivos decretos hasta el 9 de </w:t>
      </w:r>
      <w:r w:rsidR="00F57618" w:rsidRPr="00B36831">
        <w:rPr>
          <w:rFonts w:ascii="Times New Roman" w:hAnsi="Times New Roman"/>
          <w:sz w:val="20"/>
        </w:rPr>
        <w:t>abril</w:t>
      </w:r>
      <w:r w:rsidRPr="00B36831">
        <w:rPr>
          <w:rFonts w:ascii="Times New Roman" w:hAnsi="Times New Roman"/>
          <w:sz w:val="20"/>
        </w:rPr>
        <w:t xml:space="preserve"> de 2021 para todas las personas que residan o transiten en los aglomerados urbanos y en los partidos o provincias en tanto estos verifiquen en forma positiva la totalidad de los parámetros epidemiológicos y sanitarios establecidos.</w:t>
      </w:r>
    </w:p>
    <w:p w14:paraId="573CA80C" w14:textId="77777777" w:rsidR="00200B17" w:rsidRPr="00B36831" w:rsidRDefault="00200B17" w:rsidP="00200B17">
      <w:pPr>
        <w:ind w:left="851" w:right="60"/>
        <w:jc w:val="both"/>
        <w:rPr>
          <w:rFonts w:ascii="Times New Roman" w:hAnsi="Times New Roman"/>
          <w:sz w:val="20"/>
          <w:lang w:val="es-ES_tradnl"/>
        </w:rPr>
      </w:pPr>
    </w:p>
    <w:p w14:paraId="4D07B205" w14:textId="77777777" w:rsidR="00200B17" w:rsidRPr="00B36831" w:rsidRDefault="00200B17" w:rsidP="00200B17">
      <w:pPr>
        <w:ind w:left="851" w:right="60"/>
        <w:jc w:val="both"/>
        <w:rPr>
          <w:rFonts w:ascii="Times New Roman" w:hAnsi="Times New Roman"/>
          <w:sz w:val="20"/>
          <w:lang w:val="es-ES_tradnl"/>
        </w:rPr>
      </w:pPr>
      <w:r w:rsidRPr="00B36831">
        <w:rPr>
          <w:rFonts w:ascii="Times New Roman" w:hAnsi="Times New Roman"/>
          <w:sz w:val="20"/>
        </w:rPr>
        <w:t xml:space="preserve">Las medidas adoptadas por el PEN llevaron originalmente a la ralentización o suspensión de la mayoría de las actividades no esenciales desarrolladas por los individuos y, consecuentemente, afectaron de forma significativa la economía nacional, regional y global, debido a la interrupción o ralentización de las cadenas de suministro y al aumento significativo de la incertidumbre económica, evidenciado por un aumento en la volatilidad del precio de los activos, tipos de cambio y disminución de los tipos de interés a largo plazo. Posteriormente, de acuerdo a la evolución epidemiológica en las distintas regiones del país, las </w:t>
      </w:r>
      <w:r w:rsidRPr="00B36831">
        <w:rPr>
          <w:rFonts w:ascii="Times New Roman" w:hAnsi="Times New Roman"/>
          <w:sz w:val="20"/>
        </w:rPr>
        <w:lastRenderedPageBreak/>
        <w:t>medidas restrictivas fueron flexibilizándose progresivamente, permitiéndose la reiniciación paulatina y gradual de actividades económicas y personales.</w:t>
      </w:r>
    </w:p>
    <w:p w14:paraId="3B45459B" w14:textId="77777777" w:rsidR="00200B17" w:rsidRPr="00B36831" w:rsidRDefault="00200B17" w:rsidP="00200B17">
      <w:pPr>
        <w:ind w:left="851" w:right="60"/>
        <w:jc w:val="both"/>
        <w:rPr>
          <w:rFonts w:ascii="Times New Roman" w:hAnsi="Times New Roman"/>
          <w:sz w:val="20"/>
        </w:rPr>
      </w:pPr>
    </w:p>
    <w:p w14:paraId="77A874EF" w14:textId="7C93F201" w:rsidR="00200B17" w:rsidRPr="00B36831" w:rsidRDefault="00200B17" w:rsidP="00200B17">
      <w:pPr>
        <w:ind w:left="851" w:right="60"/>
        <w:jc w:val="both"/>
        <w:rPr>
          <w:rFonts w:ascii="Times New Roman" w:hAnsi="Times New Roman"/>
          <w:sz w:val="20"/>
        </w:rPr>
      </w:pPr>
      <w:r w:rsidRPr="00B36831">
        <w:rPr>
          <w:rFonts w:ascii="Times New Roman" w:hAnsi="Times New Roman"/>
          <w:sz w:val="20"/>
        </w:rPr>
        <w:t>Con fecha 11 de marzo de 2021 se emit</w:t>
      </w:r>
      <w:r w:rsidR="004A58B8">
        <w:rPr>
          <w:rFonts w:ascii="Times New Roman" w:hAnsi="Times New Roman"/>
          <w:sz w:val="20"/>
        </w:rPr>
        <w:t>ió</w:t>
      </w:r>
      <w:r w:rsidRPr="00B36831">
        <w:rPr>
          <w:rFonts w:ascii="Times New Roman" w:hAnsi="Times New Roman"/>
          <w:sz w:val="20"/>
        </w:rPr>
        <w:t xml:space="preserve"> el Decreto N° 167/2021 que prorrog</w:t>
      </w:r>
      <w:r w:rsidR="004A58B8">
        <w:rPr>
          <w:rFonts w:ascii="Times New Roman" w:hAnsi="Times New Roman"/>
          <w:sz w:val="20"/>
        </w:rPr>
        <w:t>ó</w:t>
      </w:r>
      <w:r w:rsidRPr="00B36831">
        <w:rPr>
          <w:rFonts w:ascii="Times New Roman" w:hAnsi="Times New Roman"/>
          <w:sz w:val="20"/>
        </w:rPr>
        <w:t xml:space="preserve"> hasta el 31 de diciembre de 2021 la emergencia sanitaria dispuesta por la </w:t>
      </w:r>
      <w:r w:rsidR="00F57618" w:rsidRPr="00B36831">
        <w:rPr>
          <w:rFonts w:ascii="Times New Roman" w:hAnsi="Times New Roman"/>
          <w:sz w:val="20"/>
        </w:rPr>
        <w:t>L</w:t>
      </w:r>
      <w:r w:rsidRPr="00B36831">
        <w:rPr>
          <w:rFonts w:ascii="Times New Roman" w:hAnsi="Times New Roman"/>
          <w:sz w:val="20"/>
        </w:rPr>
        <w:t xml:space="preserve">ey </w:t>
      </w:r>
      <w:r w:rsidR="00F57618" w:rsidRPr="00B36831">
        <w:rPr>
          <w:rFonts w:ascii="Times New Roman" w:hAnsi="Times New Roman"/>
          <w:sz w:val="20"/>
        </w:rPr>
        <w:t xml:space="preserve">N° </w:t>
      </w:r>
      <w:r w:rsidRPr="00B36831">
        <w:rPr>
          <w:rFonts w:ascii="Times New Roman" w:hAnsi="Times New Roman"/>
          <w:sz w:val="20"/>
        </w:rPr>
        <w:t>27.541 y ampliada por el Decreto N° 260/2020 y modificatorias. </w:t>
      </w:r>
      <w:r w:rsidR="00C7298A" w:rsidRPr="00B36831">
        <w:rPr>
          <w:rFonts w:ascii="Times New Roman" w:hAnsi="Times New Roman"/>
          <w:sz w:val="20"/>
        </w:rPr>
        <w:t>Mediante Decreto N° 235/2021 el PEN estableció una serie de medidas generales de prevención el cual rigió desde el 10 de abril de 2021 y se extendió por posteriores Decretos hasta el 6 de agosto de 2021, teniendo en cuenta los indicadores de riesgo epidemieológico y sanitario de cada zona geográfica. Con fecha 7 de agosto de 2021 se publicó el Decreto N° 494/2021 que establece parámetros para la definición de situaciones de alarma epidemiológica y sanitaria, los cuales rigen hasta el 1 de octubre de 2021, inclusive.</w:t>
      </w:r>
      <w:r w:rsidR="007221BB" w:rsidRPr="007221BB">
        <w:t xml:space="preserve"> </w:t>
      </w:r>
      <w:r w:rsidR="007221BB" w:rsidRPr="007221BB">
        <w:rPr>
          <w:rFonts w:ascii="Times New Roman" w:hAnsi="Times New Roman"/>
          <w:sz w:val="20"/>
        </w:rPr>
        <w:t>Con fecha 1</w:t>
      </w:r>
      <w:r w:rsidR="00C31763">
        <w:rPr>
          <w:rFonts w:ascii="Times New Roman" w:hAnsi="Times New Roman"/>
          <w:sz w:val="20"/>
        </w:rPr>
        <w:t>°</w:t>
      </w:r>
      <w:r w:rsidR="007221BB" w:rsidRPr="007221BB">
        <w:rPr>
          <w:rFonts w:ascii="Times New Roman" w:hAnsi="Times New Roman"/>
          <w:sz w:val="20"/>
        </w:rPr>
        <w:t xml:space="preserve"> de octubre de 2021 se public</w:t>
      </w:r>
      <w:r w:rsidR="004A58B8">
        <w:rPr>
          <w:rFonts w:ascii="Times New Roman" w:hAnsi="Times New Roman"/>
          <w:sz w:val="20"/>
        </w:rPr>
        <w:t>ó</w:t>
      </w:r>
      <w:r w:rsidR="007221BB" w:rsidRPr="007221BB">
        <w:rPr>
          <w:rFonts w:ascii="Times New Roman" w:hAnsi="Times New Roman"/>
          <w:sz w:val="20"/>
        </w:rPr>
        <w:t xml:space="preserve"> el Decreto N° 678/2021 el cual establece nuevas medidas generales de prevención, flexibilizando las ya vigentes, y regula la realización de actividades de mayor riesgo epidemiológico y sanitario con vigencia hasta el 31 de diciembre 2021.</w:t>
      </w:r>
    </w:p>
    <w:p w14:paraId="2371938C" w14:textId="77777777" w:rsidR="00C7298A" w:rsidRPr="00B36831" w:rsidRDefault="00C7298A" w:rsidP="00200B17">
      <w:pPr>
        <w:ind w:left="851" w:right="60"/>
        <w:jc w:val="both"/>
        <w:rPr>
          <w:rFonts w:ascii="Times New Roman" w:hAnsi="Times New Roman"/>
          <w:sz w:val="20"/>
          <w:lang w:val="es-ES_tradnl"/>
        </w:rPr>
      </w:pPr>
    </w:p>
    <w:p w14:paraId="149AF33B" w14:textId="77777777" w:rsidR="00200B17" w:rsidRPr="00B36831" w:rsidRDefault="00200B17" w:rsidP="00200B17">
      <w:pPr>
        <w:ind w:left="851" w:right="60"/>
        <w:jc w:val="both"/>
        <w:rPr>
          <w:rFonts w:ascii="Times New Roman" w:hAnsi="Times New Roman"/>
          <w:sz w:val="20"/>
          <w:lang w:val="es-ES_tradnl"/>
        </w:rPr>
      </w:pPr>
      <w:r w:rsidRPr="00B36831">
        <w:rPr>
          <w:rFonts w:ascii="Times New Roman" w:hAnsi="Times New Roman"/>
          <w:sz w:val="20"/>
        </w:rPr>
        <w:t>En el marco de la situación derivada de la pandemia el B.C.R.A. ha dispuesto distintas medidas tendientes principalmente a facilitar el acceso al crédito a los agentes económicos, entre las que se destacan:</w:t>
      </w:r>
    </w:p>
    <w:p w14:paraId="1771E265" w14:textId="77777777" w:rsidR="00200B17" w:rsidRPr="00B36831" w:rsidRDefault="00200B17" w:rsidP="00200B17">
      <w:pPr>
        <w:ind w:left="851" w:right="60"/>
        <w:jc w:val="both"/>
        <w:rPr>
          <w:rFonts w:ascii="Times New Roman" w:hAnsi="Times New Roman"/>
          <w:sz w:val="20"/>
          <w:lang w:val="es-ES_tradnl"/>
        </w:rPr>
      </w:pPr>
    </w:p>
    <w:p w14:paraId="07070CDE" w14:textId="77777777" w:rsidR="00200B17" w:rsidRPr="00B36831" w:rsidRDefault="00200B17" w:rsidP="00200B17">
      <w:pPr>
        <w:pStyle w:val="Prrafodelista"/>
        <w:numPr>
          <w:ilvl w:val="0"/>
          <w:numId w:val="41"/>
        </w:numPr>
        <w:ind w:left="1276" w:right="60"/>
        <w:jc w:val="both"/>
        <w:rPr>
          <w:sz w:val="20"/>
          <w:szCs w:val="20"/>
          <w:lang w:val="es-ES_tradnl"/>
        </w:rPr>
      </w:pPr>
      <w:r w:rsidRPr="00B36831">
        <w:rPr>
          <w:sz w:val="20"/>
          <w:szCs w:val="20"/>
          <w:lang w:val="es-AR"/>
        </w:rPr>
        <w:t xml:space="preserve">flexibilización en el cómputo de los días de mora y suspensión de ciertas disposiciones tendientes a la recategorización mandatoria a efectos de la clasificación y previsionamiento de deudores del sistema financiero de acuerdo con las normas regulatorias del B.C.R.A. La Comunicación “A” 7245 de fecha 25 de marzo 2021 establece el cronograma de incremento de los plazos de mora para la clasificación de deudores siendo que a partir del 1° de junio de 2021 se deberán clasificar conforme a los criterios de mora preexistentes; </w:t>
      </w:r>
    </w:p>
    <w:p w14:paraId="348561C3" w14:textId="77777777" w:rsidR="00200B17" w:rsidRPr="00B36831" w:rsidRDefault="00200B17" w:rsidP="00200B17">
      <w:pPr>
        <w:pStyle w:val="Prrafodelista"/>
        <w:numPr>
          <w:ilvl w:val="0"/>
          <w:numId w:val="41"/>
        </w:numPr>
        <w:ind w:left="1276" w:right="60"/>
        <w:jc w:val="both"/>
        <w:rPr>
          <w:sz w:val="20"/>
          <w:szCs w:val="20"/>
          <w:lang w:val="es-ES_tradnl"/>
        </w:rPr>
      </w:pPr>
      <w:r w:rsidRPr="00B36831">
        <w:rPr>
          <w:sz w:val="20"/>
          <w:szCs w:val="20"/>
          <w:lang w:val="es-AR"/>
        </w:rPr>
        <w:t>establecimiento de un límite máximo en las posiciones mantenidas por las entidades en Letras emitidas por el B.C.R.A. (LELIQ);</w:t>
      </w:r>
    </w:p>
    <w:p w14:paraId="7C0449C2" w14:textId="77777777" w:rsidR="00200B17" w:rsidRPr="00B36831" w:rsidRDefault="00200B17" w:rsidP="00200B17">
      <w:pPr>
        <w:pStyle w:val="Prrafodelista"/>
        <w:numPr>
          <w:ilvl w:val="0"/>
          <w:numId w:val="41"/>
        </w:numPr>
        <w:ind w:left="1276" w:right="60"/>
        <w:jc w:val="both"/>
        <w:rPr>
          <w:sz w:val="20"/>
          <w:szCs w:val="20"/>
          <w:lang w:val="es-ES_tradnl"/>
        </w:rPr>
      </w:pPr>
      <w:r w:rsidRPr="00B36831">
        <w:rPr>
          <w:sz w:val="20"/>
          <w:szCs w:val="20"/>
          <w:lang w:val="es-AR"/>
        </w:rPr>
        <w:t>obligación para las instituciones financieras de otorgar líneas de crédito a micro, pequeñas y medianas empresas (MiPyMEs) a una tasa de interés nominal anual del 24% con destino a capital de trabajo o pago de sueldos lo cual a partir del 6 de noviembre de 2020 resulta de carácter voluntario;</w:t>
      </w:r>
    </w:p>
    <w:p w14:paraId="4B8E8219" w14:textId="77777777" w:rsidR="00200B17" w:rsidRPr="00B36831" w:rsidRDefault="00200B17" w:rsidP="00200B17">
      <w:pPr>
        <w:pStyle w:val="Prrafodelista"/>
        <w:numPr>
          <w:ilvl w:val="0"/>
          <w:numId w:val="41"/>
        </w:numPr>
        <w:ind w:left="1276" w:right="60"/>
        <w:jc w:val="both"/>
        <w:rPr>
          <w:sz w:val="20"/>
          <w:szCs w:val="20"/>
          <w:lang w:val="es-ES_tradnl"/>
        </w:rPr>
      </w:pPr>
      <w:r w:rsidRPr="00B36831">
        <w:rPr>
          <w:sz w:val="20"/>
          <w:szCs w:val="20"/>
          <w:lang w:val="es-AR"/>
        </w:rPr>
        <w:t xml:space="preserve">obligación para las instituciones  financieras de otorgar la extensión automática del plazo de vencimiento de los saldos por tarjetas de crédito hasta el 30 de septiembre 2020, ofreciendo facilidades de pago en 9 cuotas a una tasa de interés anual de hasta el 40%, con un período de gracia de tres meses;     </w:t>
      </w:r>
    </w:p>
    <w:p w14:paraId="3521E534" w14:textId="77777777" w:rsidR="00200B17" w:rsidRPr="00B36831" w:rsidRDefault="00200B17" w:rsidP="00200B17">
      <w:pPr>
        <w:pStyle w:val="Prrafodelista"/>
        <w:numPr>
          <w:ilvl w:val="0"/>
          <w:numId w:val="41"/>
        </w:numPr>
        <w:ind w:left="1276" w:right="60"/>
        <w:jc w:val="both"/>
        <w:rPr>
          <w:sz w:val="20"/>
          <w:szCs w:val="20"/>
          <w:lang w:val="es-ES_tradnl"/>
        </w:rPr>
      </w:pPr>
      <w:r w:rsidRPr="00B36831">
        <w:rPr>
          <w:sz w:val="20"/>
          <w:szCs w:val="20"/>
          <w:lang w:val="es-AR"/>
        </w:rPr>
        <w:t>para préstamos hipotecarios y prendarios UVA (ajustables según la evolución del IPC), por medio de los Decretos Nos. 319/2020 y 767/2020, se dispuso la suspensión de incrementos en el monto de las cuotas hasta enero de 2021. Asimismo, a partir del mes de febrero de 2021, entra en vigencia un período de convergencia de 18 meses a fin de que el monto de las cuotas alcance su nivel normal, sin el efecto de la suspensión de los incrementos. La diferencia entre los pagos realizados de acuerdo con las condiciones contractuales y aquellas derivadas de la suspensión se abonará en nuevas cuotas las que no excederán el valor de las originales al término del plazo contractual original;</w:t>
      </w:r>
    </w:p>
    <w:p w14:paraId="7062D9D9" w14:textId="6DE48267" w:rsidR="00200B17" w:rsidRPr="00B36831" w:rsidRDefault="00200B17" w:rsidP="00200B17">
      <w:pPr>
        <w:pStyle w:val="Prrafodelista"/>
        <w:numPr>
          <w:ilvl w:val="0"/>
          <w:numId w:val="41"/>
        </w:numPr>
        <w:ind w:left="1276" w:right="60"/>
        <w:jc w:val="both"/>
        <w:rPr>
          <w:sz w:val="20"/>
          <w:szCs w:val="20"/>
          <w:lang w:val="es-ES_tradnl"/>
        </w:rPr>
      </w:pPr>
      <w:r w:rsidRPr="00B36831">
        <w:rPr>
          <w:sz w:val="20"/>
          <w:szCs w:val="20"/>
          <w:lang w:val="es-AR"/>
        </w:rPr>
        <w:t>suspensión del aumento de comisiones (relacionadas con cajas de ahorro, tarjetas de crédito, cuentas corrientes y cajas de seguridad) desde el 5 de noviembre de 2020 con porcentajes máximos permitidos por B</w:t>
      </w:r>
      <w:r w:rsidR="00B36831">
        <w:rPr>
          <w:sz w:val="20"/>
          <w:szCs w:val="20"/>
          <w:lang w:val="es-AR"/>
        </w:rPr>
        <w:t>.</w:t>
      </w:r>
      <w:r w:rsidRPr="00B36831">
        <w:rPr>
          <w:sz w:val="20"/>
          <w:szCs w:val="20"/>
          <w:lang w:val="es-AR"/>
        </w:rPr>
        <w:t>C</w:t>
      </w:r>
      <w:r w:rsidR="00B36831">
        <w:rPr>
          <w:sz w:val="20"/>
          <w:szCs w:val="20"/>
          <w:lang w:val="es-AR"/>
        </w:rPr>
        <w:t>.</w:t>
      </w:r>
      <w:r w:rsidRPr="00B36831">
        <w:rPr>
          <w:sz w:val="20"/>
          <w:szCs w:val="20"/>
          <w:lang w:val="es-AR"/>
        </w:rPr>
        <w:t>R</w:t>
      </w:r>
      <w:r w:rsidR="00B36831">
        <w:rPr>
          <w:sz w:val="20"/>
          <w:szCs w:val="20"/>
          <w:lang w:val="es-AR"/>
        </w:rPr>
        <w:t>.</w:t>
      </w:r>
      <w:r w:rsidRPr="00B36831">
        <w:rPr>
          <w:sz w:val="20"/>
          <w:szCs w:val="20"/>
          <w:lang w:val="es-AR"/>
        </w:rPr>
        <w:t>A</w:t>
      </w:r>
      <w:r w:rsidR="00B36831">
        <w:rPr>
          <w:sz w:val="20"/>
          <w:szCs w:val="20"/>
          <w:lang w:val="es-AR"/>
        </w:rPr>
        <w:t>.</w:t>
      </w:r>
      <w:r w:rsidRPr="00B36831">
        <w:rPr>
          <w:sz w:val="20"/>
          <w:szCs w:val="20"/>
          <w:lang w:val="es-AR"/>
        </w:rPr>
        <w:t xml:space="preserve"> que deberán comunicarse a B</w:t>
      </w:r>
      <w:r w:rsidR="00B36831">
        <w:rPr>
          <w:sz w:val="20"/>
          <w:szCs w:val="20"/>
          <w:lang w:val="es-AR"/>
        </w:rPr>
        <w:t>.</w:t>
      </w:r>
      <w:r w:rsidRPr="00B36831">
        <w:rPr>
          <w:sz w:val="20"/>
          <w:szCs w:val="20"/>
          <w:lang w:val="es-AR"/>
        </w:rPr>
        <w:t>C</w:t>
      </w:r>
      <w:r w:rsidR="00B36831">
        <w:rPr>
          <w:sz w:val="20"/>
          <w:szCs w:val="20"/>
          <w:lang w:val="es-AR"/>
        </w:rPr>
        <w:t>.</w:t>
      </w:r>
      <w:r w:rsidRPr="00B36831">
        <w:rPr>
          <w:sz w:val="20"/>
          <w:szCs w:val="20"/>
          <w:lang w:val="es-AR"/>
        </w:rPr>
        <w:t>R</w:t>
      </w:r>
      <w:r w:rsidR="00B36831">
        <w:rPr>
          <w:sz w:val="20"/>
          <w:szCs w:val="20"/>
          <w:lang w:val="es-AR"/>
        </w:rPr>
        <w:t>.</w:t>
      </w:r>
      <w:r w:rsidRPr="00B36831">
        <w:rPr>
          <w:sz w:val="20"/>
          <w:szCs w:val="20"/>
          <w:lang w:val="es-AR"/>
        </w:rPr>
        <w:t>A</w:t>
      </w:r>
      <w:r w:rsidR="00B36831">
        <w:rPr>
          <w:sz w:val="20"/>
          <w:szCs w:val="20"/>
          <w:lang w:val="es-AR"/>
        </w:rPr>
        <w:t>.</w:t>
      </w:r>
      <w:r w:rsidRPr="00B36831">
        <w:rPr>
          <w:sz w:val="20"/>
          <w:szCs w:val="20"/>
          <w:lang w:val="es-AR"/>
        </w:rPr>
        <w:t xml:space="preserve"> al menos 30 días antes de la fecha prevista de información al usuario y solo podrán ser aplicados luego de transcurridos 60 días de informados a los usuarios;</w:t>
      </w:r>
    </w:p>
    <w:p w14:paraId="1B4C517F" w14:textId="77777777" w:rsidR="00200B17" w:rsidRPr="00B36831" w:rsidRDefault="00200B17" w:rsidP="00200B17">
      <w:pPr>
        <w:pStyle w:val="Prrafodelista"/>
        <w:numPr>
          <w:ilvl w:val="0"/>
          <w:numId w:val="41"/>
        </w:numPr>
        <w:ind w:left="1276" w:right="60"/>
        <w:jc w:val="both"/>
        <w:rPr>
          <w:sz w:val="20"/>
          <w:szCs w:val="20"/>
          <w:lang w:val="es-ES_tradnl"/>
        </w:rPr>
      </w:pPr>
      <w:r w:rsidRPr="00B36831">
        <w:rPr>
          <w:sz w:val="20"/>
          <w:szCs w:val="20"/>
          <w:lang w:val="es-ES_tradnl"/>
        </w:rPr>
        <w:t>f</w:t>
      </w:r>
      <w:r w:rsidRPr="00B36831">
        <w:rPr>
          <w:sz w:val="20"/>
          <w:szCs w:val="20"/>
          <w:lang w:val="es-AR"/>
        </w:rPr>
        <w:t>ijación de tasas máximas para líneas de financiamiento renovables con tarjetas de crédito y tasas mínimas para depósitos a plazo;</w:t>
      </w:r>
    </w:p>
    <w:p w14:paraId="59DF2BC2" w14:textId="77777777" w:rsidR="00200B17" w:rsidRPr="00B36831" w:rsidRDefault="00200B17" w:rsidP="00200B17">
      <w:pPr>
        <w:pStyle w:val="Prrafodelista"/>
        <w:numPr>
          <w:ilvl w:val="0"/>
          <w:numId w:val="41"/>
        </w:numPr>
        <w:ind w:left="1276" w:right="60"/>
        <w:jc w:val="both"/>
        <w:rPr>
          <w:sz w:val="20"/>
          <w:szCs w:val="20"/>
          <w:lang w:val="es-ES_tradnl"/>
        </w:rPr>
      </w:pPr>
      <w:r w:rsidRPr="00B36831">
        <w:rPr>
          <w:sz w:val="20"/>
          <w:szCs w:val="20"/>
          <w:lang w:val="es-ES_tradnl"/>
        </w:rPr>
        <w:lastRenderedPageBreak/>
        <w:t>o</w:t>
      </w:r>
      <w:r w:rsidRPr="00B36831">
        <w:rPr>
          <w:sz w:val="20"/>
          <w:szCs w:val="20"/>
          <w:lang w:val="es-AR"/>
        </w:rPr>
        <w:t>bligación para las instituciones financieras de otorgar líneas de financiamiento a clientes y no clientes, a una tasa de interés regulatoria del 24% para la adquisición de bienes de capital de origen nacional, proveedores de servicios de salud y empresas que no tuvieron acceso al crédito bancario; lo cual a partir del 6 de noviembre 2020 resulta de carácter voluntario;</w:t>
      </w:r>
    </w:p>
    <w:p w14:paraId="619E9B46" w14:textId="77777777" w:rsidR="00200B17" w:rsidRPr="00B36831" w:rsidRDefault="00200B17" w:rsidP="00200B17">
      <w:pPr>
        <w:pStyle w:val="Prrafodelista"/>
        <w:numPr>
          <w:ilvl w:val="0"/>
          <w:numId w:val="41"/>
        </w:numPr>
        <w:ind w:left="1276" w:right="60"/>
        <w:jc w:val="both"/>
        <w:rPr>
          <w:sz w:val="20"/>
          <w:szCs w:val="20"/>
          <w:lang w:val="es-ES_tradnl"/>
        </w:rPr>
      </w:pPr>
      <w:r w:rsidRPr="00B36831">
        <w:rPr>
          <w:sz w:val="20"/>
          <w:szCs w:val="20"/>
          <w:lang w:val="es-ES_tradnl"/>
        </w:rPr>
        <w:t>o</w:t>
      </w:r>
      <w:r w:rsidRPr="00B36831">
        <w:rPr>
          <w:sz w:val="20"/>
          <w:szCs w:val="20"/>
          <w:lang w:val="es-AR"/>
        </w:rPr>
        <w:t xml:space="preserve">bligación para las instituciones financieras de otorgar créditos a empresas a una tasa de interés regulatoria del 15% bajo el Programa de Asistencia de Emergencia al Trabajo y la Producción (el "Programa"); </w:t>
      </w:r>
    </w:p>
    <w:p w14:paraId="1CB7B88E" w14:textId="041F31BF" w:rsidR="00200B17" w:rsidRPr="00B36831" w:rsidRDefault="00200B17" w:rsidP="00200B17">
      <w:pPr>
        <w:pStyle w:val="Prrafodelista"/>
        <w:numPr>
          <w:ilvl w:val="0"/>
          <w:numId w:val="41"/>
        </w:numPr>
        <w:ind w:left="1276" w:right="60"/>
        <w:jc w:val="both"/>
        <w:rPr>
          <w:sz w:val="20"/>
          <w:szCs w:val="20"/>
          <w:lang w:val="es-ES_tradnl"/>
        </w:rPr>
      </w:pPr>
      <w:r w:rsidRPr="00B36831">
        <w:rPr>
          <w:sz w:val="20"/>
          <w:szCs w:val="20"/>
          <w:lang w:val="es-ES_tradnl"/>
        </w:rPr>
        <w:t>e</w:t>
      </w:r>
      <w:r w:rsidRPr="00B36831">
        <w:rPr>
          <w:sz w:val="20"/>
          <w:szCs w:val="20"/>
          <w:lang w:val="es-AR"/>
        </w:rPr>
        <w:t>n virtud de dicho Programa, las instituciones financieras deben otorgar líneas de crédito a tasa cero en pesos (15% de la tasa está subsidiada por el Fondo Nacional de Desarrollo Productivo “FONDEP”) para monotributistas y trabajadores autónomos que desarrollen actividades relacionadas con la cultura y que lo soliciten hasta el 31 de diciembre de 2020</w:t>
      </w:r>
      <w:r w:rsidR="00F855B8" w:rsidRPr="00B36831">
        <w:rPr>
          <w:sz w:val="20"/>
          <w:szCs w:val="20"/>
          <w:lang w:val="es-AR"/>
        </w:rPr>
        <w:t>;</w:t>
      </w:r>
    </w:p>
    <w:p w14:paraId="4F2FD72F" w14:textId="7E61B51D" w:rsidR="00200B17" w:rsidRPr="00B36831" w:rsidRDefault="00200B17" w:rsidP="00200B17">
      <w:pPr>
        <w:pStyle w:val="Prrafodelista"/>
        <w:numPr>
          <w:ilvl w:val="0"/>
          <w:numId w:val="41"/>
        </w:numPr>
        <w:ind w:left="1276" w:right="60"/>
        <w:jc w:val="both"/>
        <w:rPr>
          <w:sz w:val="20"/>
          <w:szCs w:val="20"/>
          <w:lang w:val="es-ES_tradnl"/>
        </w:rPr>
      </w:pPr>
      <w:r w:rsidRPr="00B36831">
        <w:rPr>
          <w:sz w:val="20"/>
          <w:lang w:val="es-ES_tradnl"/>
        </w:rPr>
        <w:t>d</w:t>
      </w:r>
      <w:r w:rsidRPr="00B36831">
        <w:rPr>
          <w:sz w:val="20"/>
          <w:lang w:val="es-AR"/>
        </w:rPr>
        <w:t>esde el 1</w:t>
      </w:r>
      <w:r w:rsidR="007221BB">
        <w:rPr>
          <w:sz w:val="20"/>
          <w:lang w:val="es-AR"/>
        </w:rPr>
        <w:t>6 de octubre de 2020 hasta el 31</w:t>
      </w:r>
      <w:r w:rsidRPr="00B36831">
        <w:rPr>
          <w:sz w:val="20"/>
          <w:lang w:val="es-AR"/>
        </w:rPr>
        <w:t xml:space="preserve"> de </w:t>
      </w:r>
      <w:r w:rsidR="007221BB">
        <w:rPr>
          <w:sz w:val="20"/>
          <w:lang w:val="es-AR"/>
        </w:rPr>
        <w:t>marzo</w:t>
      </w:r>
      <w:r w:rsidRPr="00B36831">
        <w:rPr>
          <w:sz w:val="20"/>
          <w:lang w:val="es-AR"/>
        </w:rPr>
        <w:t xml:space="preserve"> de 202</w:t>
      </w:r>
      <w:r w:rsidR="007221BB">
        <w:rPr>
          <w:sz w:val="20"/>
          <w:lang w:val="es-AR"/>
        </w:rPr>
        <w:t>2</w:t>
      </w:r>
      <w:r w:rsidRPr="00B36831">
        <w:rPr>
          <w:sz w:val="20"/>
          <w:lang w:val="es-AR"/>
        </w:rPr>
        <w:t>, las grandes instituciones financieras, entre ellas el Banco, están obligadas a mantener saldos pendientes de préstamos bajo la “Línea de Financiamiento para la inversión productiva de MiPyMEs” para financiar proyectos de inversión, capital de trabajo y descuento de instrumentos financieros equivalentes, al menos por el equivalente al 7,5% de los depósitos al sector pr</w:t>
      </w:r>
      <w:r w:rsidR="007221BB">
        <w:rPr>
          <w:sz w:val="20"/>
          <w:lang w:val="es-AR"/>
        </w:rPr>
        <w:t xml:space="preserve">ivado no financiero; </w:t>
      </w:r>
    </w:p>
    <w:p w14:paraId="16D10F82" w14:textId="5CD7693F" w:rsidR="004A7BB5" w:rsidRDefault="004A7BB5" w:rsidP="004A7BB5">
      <w:pPr>
        <w:pStyle w:val="Prrafodelista"/>
        <w:numPr>
          <w:ilvl w:val="0"/>
          <w:numId w:val="41"/>
        </w:numPr>
        <w:ind w:left="1276" w:right="60"/>
        <w:jc w:val="both"/>
        <w:rPr>
          <w:sz w:val="20"/>
          <w:szCs w:val="20"/>
          <w:lang w:val="es-ES_tradnl"/>
        </w:rPr>
      </w:pPr>
      <w:r w:rsidRPr="00B36831">
        <w:rPr>
          <w:sz w:val="20"/>
          <w:szCs w:val="20"/>
          <w:lang w:val="es-ES_tradnl"/>
        </w:rPr>
        <w:t>para los clientes que sean empleadores alcanzados por el Programa de Recuperación Productiva II (REPRO II) las entidades financieras deberán incorporar las cuotas impagas correspondientes a vencimientos que operen desde el 14 de mayo de 2021 en el mes siguiente al final de la vida del crédito, considerando únicamente el devengamiento del interés compensatorio a la</w:t>
      </w:r>
      <w:r w:rsidR="007221BB">
        <w:rPr>
          <w:sz w:val="20"/>
          <w:szCs w:val="20"/>
          <w:lang w:val="es-ES_tradnl"/>
        </w:rPr>
        <w:t xml:space="preserve"> tasa prevista contractualmente; y</w:t>
      </w:r>
    </w:p>
    <w:p w14:paraId="6CAA504C" w14:textId="5106DB2F" w:rsidR="007221BB" w:rsidRPr="00B36831" w:rsidRDefault="007221BB" w:rsidP="007221BB">
      <w:pPr>
        <w:pStyle w:val="Prrafodelista"/>
        <w:numPr>
          <w:ilvl w:val="0"/>
          <w:numId w:val="41"/>
        </w:numPr>
        <w:ind w:left="1276" w:right="60"/>
        <w:jc w:val="both"/>
        <w:rPr>
          <w:sz w:val="20"/>
          <w:szCs w:val="20"/>
          <w:lang w:val="es-ES_tradnl"/>
        </w:rPr>
      </w:pPr>
      <w:r w:rsidRPr="007221BB">
        <w:rPr>
          <w:sz w:val="20"/>
          <w:szCs w:val="20"/>
          <w:lang w:val="es-ES_tradnl"/>
        </w:rPr>
        <w:t xml:space="preserve">Nuevos “créditos a tasa cero 2021” (15% TNA reconocido por el </w:t>
      </w:r>
      <w:r w:rsidR="00501E73">
        <w:rPr>
          <w:sz w:val="20"/>
          <w:szCs w:val="20"/>
          <w:lang w:val="es-ES_tradnl"/>
        </w:rPr>
        <w:t>“</w:t>
      </w:r>
      <w:r w:rsidRPr="007221BB">
        <w:rPr>
          <w:sz w:val="20"/>
          <w:szCs w:val="20"/>
          <w:lang w:val="es-ES_tradnl"/>
        </w:rPr>
        <w:t>FONDEP</w:t>
      </w:r>
      <w:r w:rsidR="00501E73">
        <w:rPr>
          <w:sz w:val="20"/>
          <w:szCs w:val="20"/>
          <w:lang w:val="es-ES_tradnl"/>
        </w:rPr>
        <w:t>”</w:t>
      </w:r>
      <w:r w:rsidRPr="007221BB">
        <w:rPr>
          <w:sz w:val="20"/>
          <w:szCs w:val="20"/>
          <w:lang w:val="es-ES_tradnl"/>
        </w:rPr>
        <w:t>) para monotributistas, que las entidades financieras deben otorgar a los clientes que lo soliciten hasta el 20 de enero de 2022.</w:t>
      </w:r>
    </w:p>
    <w:p w14:paraId="795EF75E" w14:textId="77777777" w:rsidR="00200B17" w:rsidRPr="00B36831" w:rsidRDefault="00200B17" w:rsidP="00200B17">
      <w:pPr>
        <w:ind w:left="851" w:right="60"/>
        <w:jc w:val="both"/>
        <w:rPr>
          <w:rFonts w:ascii="Times New Roman" w:hAnsi="Times New Roman"/>
          <w:sz w:val="20"/>
        </w:rPr>
      </w:pPr>
    </w:p>
    <w:p w14:paraId="6D34F27C" w14:textId="77777777" w:rsidR="00AE4C22" w:rsidRPr="00B36831" w:rsidRDefault="00AE4C22" w:rsidP="00200B17">
      <w:pPr>
        <w:ind w:left="851" w:right="60"/>
        <w:jc w:val="both"/>
        <w:rPr>
          <w:rFonts w:ascii="Times New Roman" w:hAnsi="Times New Roman"/>
          <w:sz w:val="20"/>
        </w:rPr>
      </w:pPr>
    </w:p>
    <w:p w14:paraId="4B44D46C" w14:textId="77777777" w:rsidR="00200B17" w:rsidRPr="00B36831" w:rsidRDefault="00200B17" w:rsidP="00200B17">
      <w:pPr>
        <w:ind w:left="851" w:right="60"/>
        <w:jc w:val="both"/>
        <w:rPr>
          <w:rFonts w:ascii="Times New Roman" w:hAnsi="Times New Roman"/>
          <w:sz w:val="20"/>
        </w:rPr>
      </w:pPr>
      <w:r w:rsidRPr="00B36831">
        <w:rPr>
          <w:rFonts w:ascii="Times New Roman" w:hAnsi="Times New Roman"/>
          <w:sz w:val="20"/>
        </w:rPr>
        <w:t>Adicionalmente, se dispuso la suspensión hasta el 31 de diciembre de 2021 de la posibilidad de distribuir dividendos para las entidades financieras.</w:t>
      </w:r>
    </w:p>
    <w:p w14:paraId="2A961611" w14:textId="77777777" w:rsidR="00200B17" w:rsidRPr="00B36831" w:rsidRDefault="00200B17" w:rsidP="00200B17">
      <w:pPr>
        <w:ind w:left="851" w:right="60"/>
        <w:jc w:val="both"/>
        <w:rPr>
          <w:rFonts w:ascii="Times New Roman" w:hAnsi="Times New Roman"/>
          <w:sz w:val="20"/>
        </w:rPr>
      </w:pPr>
    </w:p>
    <w:p w14:paraId="5AD9540E" w14:textId="77777777" w:rsidR="00200B17" w:rsidRPr="00B36831" w:rsidRDefault="00200B17" w:rsidP="00200B17">
      <w:pPr>
        <w:ind w:left="851" w:right="60"/>
        <w:jc w:val="both"/>
        <w:rPr>
          <w:rFonts w:ascii="Times New Roman" w:hAnsi="Times New Roman"/>
          <w:sz w:val="20"/>
          <w:lang w:val="es-ES_tradnl"/>
        </w:rPr>
      </w:pPr>
      <w:r w:rsidRPr="00B36831">
        <w:rPr>
          <w:rFonts w:ascii="Times New Roman" w:hAnsi="Times New Roman"/>
          <w:sz w:val="20"/>
        </w:rPr>
        <w:t>Las situaciones indicadas en Notas 1.2. y 1.3. precedentes impactan en las operaciones de la Entidad y asimismo afectan la estimación de pérdidas crediticias esperadas en el marco de NIIF 9 y la valuación de los instrumentos de deuda del sector público (dadas sus nuevas condiciones, tales como tasas más bajas, plazo más largo y distinta moneda), con una reducción del margen financiero y la imposibilidad de percibir comisiones en relación con algunas actividades (</w:t>
      </w:r>
      <w:r w:rsidRPr="00B36831">
        <w:rPr>
          <w:rStyle w:val="jlqj4b"/>
          <w:rFonts w:ascii="Times New Roman" w:hAnsi="Times New Roman"/>
          <w:sz w:val="20"/>
        </w:rPr>
        <w:t>retiro de fondos de cajeros automáticos</w:t>
      </w:r>
      <w:r w:rsidRPr="00B36831">
        <w:rPr>
          <w:rFonts w:ascii="Times New Roman" w:hAnsi="Times New Roman"/>
          <w:sz w:val="20"/>
        </w:rPr>
        <w:t xml:space="preserve">, </w:t>
      </w:r>
      <w:r w:rsidRPr="00B36831">
        <w:rPr>
          <w:rStyle w:val="jlqj4b"/>
          <w:rFonts w:ascii="Times New Roman" w:hAnsi="Times New Roman"/>
          <w:sz w:val="20"/>
        </w:rPr>
        <w:t>transacciones realizadas en la sucursal por MiPyMEs).</w:t>
      </w:r>
    </w:p>
    <w:p w14:paraId="5E7A7AAB" w14:textId="77777777" w:rsidR="00200B17" w:rsidRPr="00B36831" w:rsidRDefault="00200B17" w:rsidP="00200B17">
      <w:pPr>
        <w:ind w:left="851" w:right="60"/>
        <w:jc w:val="both"/>
        <w:rPr>
          <w:rFonts w:ascii="Times New Roman" w:hAnsi="Times New Roman"/>
          <w:sz w:val="20"/>
          <w:lang w:val="es-ES_tradnl"/>
        </w:rPr>
      </w:pPr>
    </w:p>
    <w:p w14:paraId="1BC0ED4E" w14:textId="1D27111F" w:rsidR="00200B17" w:rsidRPr="00B36831" w:rsidRDefault="00200B17" w:rsidP="00200B17">
      <w:pPr>
        <w:ind w:left="851" w:right="60"/>
        <w:jc w:val="both"/>
        <w:rPr>
          <w:rFonts w:ascii="Times New Roman" w:hAnsi="Times New Roman"/>
          <w:sz w:val="20"/>
          <w:lang w:val="es-ES_tradnl"/>
        </w:rPr>
      </w:pPr>
      <w:r w:rsidRPr="00B36831">
        <w:rPr>
          <w:rFonts w:ascii="Times New Roman" w:hAnsi="Times New Roman"/>
          <w:sz w:val="20"/>
        </w:rPr>
        <w:t xml:space="preserve">Al 30 de </w:t>
      </w:r>
      <w:r w:rsidR="00B36831">
        <w:rPr>
          <w:rFonts w:ascii="Times New Roman" w:hAnsi="Times New Roman"/>
          <w:sz w:val="20"/>
        </w:rPr>
        <w:t>septiembre</w:t>
      </w:r>
      <w:r w:rsidRPr="00B36831">
        <w:rPr>
          <w:rFonts w:ascii="Times New Roman" w:hAnsi="Times New Roman"/>
          <w:sz w:val="20"/>
        </w:rPr>
        <w:t xml:space="preserve"> de 2021 la integración de capitales mínimos y efectivo mínimo excede los mínimos requeridos por el B.C.R.A. y no se espera que se produzcan defectos en estas relaciones en los próximos doce meses.</w:t>
      </w:r>
    </w:p>
    <w:p w14:paraId="535C947D" w14:textId="77777777" w:rsidR="00200B17" w:rsidRPr="00B36831" w:rsidRDefault="00200B17" w:rsidP="00200B17">
      <w:pPr>
        <w:ind w:left="851" w:right="60"/>
        <w:jc w:val="both"/>
        <w:rPr>
          <w:rFonts w:ascii="Times New Roman" w:hAnsi="Times New Roman"/>
          <w:sz w:val="20"/>
          <w:lang w:val="es-ES_tradnl"/>
        </w:rPr>
      </w:pPr>
    </w:p>
    <w:p w14:paraId="21B9605F" w14:textId="77777777" w:rsidR="00200B17" w:rsidRPr="00B36831" w:rsidRDefault="00200B17" w:rsidP="00200B17">
      <w:pPr>
        <w:ind w:left="851" w:right="60"/>
        <w:jc w:val="both"/>
        <w:rPr>
          <w:rFonts w:ascii="Times New Roman" w:hAnsi="Times New Roman"/>
          <w:sz w:val="20"/>
        </w:rPr>
      </w:pPr>
      <w:r w:rsidRPr="00B36831">
        <w:rPr>
          <w:rFonts w:ascii="Times New Roman" w:hAnsi="Times New Roman"/>
          <w:sz w:val="20"/>
        </w:rPr>
        <w:t>La Gerencia de la Entidad monitorea permanentemente la evolución de las situaciones citadas, para definir posibles acciones a adoptar e identificar eventuales impactos sobre su situación patrimonial y financiera.</w:t>
      </w:r>
    </w:p>
    <w:p w14:paraId="35C0D28E" w14:textId="77777777" w:rsidR="00F855B8" w:rsidRPr="00B36831" w:rsidRDefault="00F855B8" w:rsidP="00200B17">
      <w:pPr>
        <w:ind w:left="851" w:right="60"/>
        <w:jc w:val="both"/>
        <w:rPr>
          <w:rFonts w:ascii="Times New Roman" w:hAnsi="Times New Roman"/>
          <w:sz w:val="20"/>
        </w:rPr>
      </w:pPr>
    </w:p>
    <w:p w14:paraId="415A57CB" w14:textId="08893C6B" w:rsidR="00F855B8" w:rsidRDefault="00F855B8" w:rsidP="00200B17">
      <w:pPr>
        <w:ind w:left="851" w:right="60"/>
        <w:jc w:val="both"/>
        <w:rPr>
          <w:rFonts w:ascii="Times New Roman" w:hAnsi="Times New Roman"/>
          <w:sz w:val="20"/>
        </w:rPr>
      </w:pPr>
      <w:r w:rsidRPr="00B36831">
        <w:rPr>
          <w:rFonts w:ascii="Times New Roman" w:hAnsi="Times New Roman"/>
          <w:sz w:val="20"/>
        </w:rPr>
        <w:t>A la fecha de emisión de los presentes estados financieros, la Entidad no ha sufrido impactos significativos derivados de estos sucesos sobre su situación patrimonial y financiera, sobre sus resultados y/o sobre sus flujos de efectivo. La Gerencia estima que tampoco sufrirá impactos significativos en el futuro de continuar con al menos el nivel actual de actividad.</w:t>
      </w:r>
    </w:p>
    <w:p w14:paraId="5FB2D1A2" w14:textId="77777777" w:rsidR="00200B17" w:rsidRDefault="00200B17" w:rsidP="00200B17"/>
    <w:p w14:paraId="687536CF" w14:textId="6DAB24A1" w:rsidR="00512504" w:rsidRPr="00537881" w:rsidRDefault="009517E6" w:rsidP="008C709E">
      <w:pPr>
        <w:pStyle w:val="Prrafodelista"/>
        <w:numPr>
          <w:ilvl w:val="0"/>
          <w:numId w:val="11"/>
        </w:numPr>
        <w:tabs>
          <w:tab w:val="num" w:pos="-1843"/>
        </w:tabs>
        <w:spacing w:before="240" w:after="240"/>
        <w:ind w:right="-427"/>
        <w:rPr>
          <w:b/>
          <w:sz w:val="20"/>
          <w:szCs w:val="20"/>
          <w:lang w:val="es-AR"/>
        </w:rPr>
      </w:pPr>
      <w:r w:rsidRPr="00537881">
        <w:rPr>
          <w:b/>
          <w:sz w:val="20"/>
          <w:szCs w:val="20"/>
          <w:lang w:val="es-AR"/>
        </w:rPr>
        <w:t>Base</w:t>
      </w:r>
      <w:r w:rsidR="00AC0EBC" w:rsidRPr="00537881">
        <w:rPr>
          <w:b/>
          <w:sz w:val="20"/>
          <w:szCs w:val="20"/>
          <w:lang w:val="es-AR"/>
        </w:rPr>
        <w:t xml:space="preserve"> de preparación de los Estados Financieros</w:t>
      </w:r>
    </w:p>
    <w:p w14:paraId="6FF19778" w14:textId="78AA9A9F" w:rsidR="001D0F93" w:rsidRPr="00537881" w:rsidRDefault="00D53292" w:rsidP="00D642B1">
      <w:pPr>
        <w:ind w:left="567"/>
        <w:jc w:val="both"/>
        <w:rPr>
          <w:rFonts w:ascii="Times New Roman" w:hAnsi="Times New Roman"/>
          <w:sz w:val="20"/>
        </w:rPr>
      </w:pPr>
      <w:r w:rsidRPr="00537881">
        <w:rPr>
          <w:rFonts w:ascii="Times New Roman" w:hAnsi="Times New Roman"/>
          <w:sz w:val="20"/>
        </w:rPr>
        <w:t>Los presentes estados financieros intermedios consolidados condensados correspondientes al 3</w:t>
      </w:r>
      <w:r w:rsidR="004B08B2" w:rsidRPr="00537881">
        <w:rPr>
          <w:rFonts w:ascii="Times New Roman" w:hAnsi="Times New Roman"/>
          <w:sz w:val="20"/>
        </w:rPr>
        <w:t>0</w:t>
      </w:r>
      <w:r w:rsidRPr="00537881">
        <w:rPr>
          <w:rFonts w:ascii="Times New Roman" w:hAnsi="Times New Roman"/>
          <w:sz w:val="20"/>
        </w:rPr>
        <w:t xml:space="preserve"> de </w:t>
      </w:r>
      <w:r w:rsidR="008708A4" w:rsidRPr="00537881">
        <w:rPr>
          <w:rFonts w:ascii="Times New Roman" w:hAnsi="Times New Roman"/>
          <w:sz w:val="20"/>
        </w:rPr>
        <w:t>septiembre</w:t>
      </w:r>
      <w:r w:rsidRPr="00537881">
        <w:rPr>
          <w:rFonts w:ascii="Times New Roman" w:hAnsi="Times New Roman"/>
          <w:sz w:val="20"/>
        </w:rPr>
        <w:t xml:space="preserve"> </w:t>
      </w:r>
      <w:r w:rsidR="00CC6390" w:rsidRPr="00537881">
        <w:rPr>
          <w:rFonts w:ascii="Times New Roman" w:hAnsi="Times New Roman"/>
          <w:sz w:val="20"/>
        </w:rPr>
        <w:t xml:space="preserve">de </w:t>
      </w:r>
      <w:r w:rsidRPr="00537881">
        <w:rPr>
          <w:rFonts w:ascii="Times New Roman" w:hAnsi="Times New Roman"/>
          <w:sz w:val="20"/>
        </w:rPr>
        <w:t xml:space="preserve">2021 y por </w:t>
      </w:r>
      <w:r w:rsidR="00411317" w:rsidRPr="00537881">
        <w:rPr>
          <w:rFonts w:ascii="Times New Roman" w:hAnsi="Times New Roman"/>
          <w:sz w:val="20"/>
        </w:rPr>
        <w:t xml:space="preserve">el </w:t>
      </w:r>
      <w:r w:rsidRPr="00537881">
        <w:rPr>
          <w:rFonts w:ascii="Times New Roman" w:hAnsi="Times New Roman"/>
          <w:sz w:val="20"/>
        </w:rPr>
        <w:t xml:space="preserve">período de </w:t>
      </w:r>
      <w:r w:rsidR="008708A4" w:rsidRPr="00537881">
        <w:rPr>
          <w:rFonts w:ascii="Times New Roman" w:hAnsi="Times New Roman"/>
          <w:sz w:val="20"/>
        </w:rPr>
        <w:t>nueve</w:t>
      </w:r>
      <w:r w:rsidRPr="00537881">
        <w:rPr>
          <w:rFonts w:ascii="Times New Roman" w:hAnsi="Times New Roman"/>
          <w:sz w:val="20"/>
        </w:rPr>
        <w:t xml:space="preserve"> meses finalizado en esa fecha,</w:t>
      </w:r>
      <w:r w:rsidR="001D0F93" w:rsidRPr="00537881">
        <w:rPr>
          <w:rFonts w:ascii="Times New Roman" w:hAnsi="Times New Roman"/>
          <w:sz w:val="20"/>
        </w:rPr>
        <w:t xml:space="preserve"> fueron confeccionados de acuerdo con la normativa del B.C.R.A. que establece que las entidades bajo su supervisión presenten estados financieros preparados de acuerdo a las Normas Internacionales de Información Financiera (NIIF) emitidas por el Consejo de Normas Internacionales de Contabilidad (IASB, por su sigla en inglés), con las siguientes excepciones (“marco de información contable establecido por el B.C.R.A.”):</w:t>
      </w:r>
    </w:p>
    <w:p w14:paraId="5A0B05B1" w14:textId="77777777" w:rsidR="00D4303C" w:rsidRPr="00537881" w:rsidRDefault="00D4303C" w:rsidP="00D642B1">
      <w:pPr>
        <w:ind w:left="567"/>
        <w:jc w:val="both"/>
        <w:rPr>
          <w:rFonts w:ascii="Times New Roman" w:hAnsi="Times New Roman"/>
          <w:sz w:val="20"/>
        </w:rPr>
      </w:pPr>
    </w:p>
    <w:p w14:paraId="4433605B" w14:textId="77777777" w:rsidR="004D0870" w:rsidRPr="00537881" w:rsidRDefault="004D0870" w:rsidP="004721BF">
      <w:pPr>
        <w:pStyle w:val="Notas"/>
        <w:numPr>
          <w:ilvl w:val="0"/>
          <w:numId w:val="42"/>
        </w:numPr>
        <w:ind w:left="1145"/>
        <w:rPr>
          <w:rFonts w:ascii="Times New Roman" w:hAnsi="Times New Roman"/>
        </w:rPr>
      </w:pPr>
      <w:r w:rsidRPr="00537881">
        <w:rPr>
          <w:rFonts w:ascii="Times New Roman" w:hAnsi="Times New Roman"/>
        </w:rPr>
        <w:t>Deterioro de valor de activos financieros</w:t>
      </w:r>
    </w:p>
    <w:p w14:paraId="0204649F" w14:textId="0DB202E6" w:rsidR="004D0870" w:rsidRPr="00537881" w:rsidRDefault="004D0870" w:rsidP="004D0870">
      <w:pPr>
        <w:pStyle w:val="Notas"/>
        <w:ind w:left="1134"/>
        <w:rPr>
          <w:rFonts w:ascii="Times New Roman" w:hAnsi="Times New Roman"/>
          <w:u w:val="none"/>
        </w:rPr>
      </w:pPr>
      <w:r w:rsidRPr="00537881">
        <w:rPr>
          <w:rFonts w:ascii="Times New Roman" w:hAnsi="Times New Roman"/>
          <w:u w:val="none"/>
        </w:rPr>
        <w:t>De acuerdo con la Comunicación “A” 6847 del B</w:t>
      </w:r>
      <w:r w:rsidR="00AA5BA3" w:rsidRPr="00537881">
        <w:rPr>
          <w:rFonts w:ascii="Times New Roman" w:hAnsi="Times New Roman"/>
          <w:u w:val="none"/>
        </w:rPr>
        <w:t>.</w:t>
      </w:r>
      <w:r w:rsidRPr="00537881">
        <w:rPr>
          <w:rFonts w:ascii="Times New Roman" w:hAnsi="Times New Roman"/>
          <w:u w:val="none"/>
        </w:rPr>
        <w:t>C</w:t>
      </w:r>
      <w:r w:rsidR="00AA5BA3" w:rsidRPr="00537881">
        <w:rPr>
          <w:rFonts w:ascii="Times New Roman" w:hAnsi="Times New Roman"/>
          <w:u w:val="none"/>
        </w:rPr>
        <w:t>.</w:t>
      </w:r>
      <w:r w:rsidRPr="00537881">
        <w:rPr>
          <w:rFonts w:ascii="Times New Roman" w:hAnsi="Times New Roman"/>
          <w:u w:val="none"/>
        </w:rPr>
        <w:t>R</w:t>
      </w:r>
      <w:r w:rsidR="00AA5BA3" w:rsidRPr="00537881">
        <w:rPr>
          <w:rFonts w:ascii="Times New Roman" w:hAnsi="Times New Roman"/>
          <w:u w:val="none"/>
        </w:rPr>
        <w:t>.</w:t>
      </w:r>
      <w:r w:rsidRPr="00537881">
        <w:rPr>
          <w:rFonts w:ascii="Times New Roman" w:hAnsi="Times New Roman"/>
          <w:u w:val="none"/>
        </w:rPr>
        <w:t>A</w:t>
      </w:r>
      <w:r w:rsidR="00AA5BA3" w:rsidRPr="00537881">
        <w:rPr>
          <w:rFonts w:ascii="Times New Roman" w:hAnsi="Times New Roman"/>
          <w:u w:val="none"/>
        </w:rPr>
        <w:t>.</w:t>
      </w:r>
      <w:r w:rsidRPr="00537881">
        <w:rPr>
          <w:rFonts w:ascii="Times New Roman" w:hAnsi="Times New Roman"/>
          <w:u w:val="none"/>
        </w:rPr>
        <w:t xml:space="preserve">, la Entidad ha aplicado el modelo de pérdidas esperadas previsto por la sección 5.5. de la NIIF 9 excluyendo de su alcance los instrumentos de deuda del sector público no financiero. De aplicarse el modelo de deterioro previsto en el punto 5.5 de la NIIF 9, se hubiese registrado una disminución en el patrimonio de la </w:t>
      </w:r>
      <w:r w:rsidR="008A6C24" w:rsidRPr="00537881">
        <w:rPr>
          <w:rFonts w:ascii="Times New Roman" w:hAnsi="Times New Roman"/>
          <w:u w:val="none"/>
        </w:rPr>
        <w:t xml:space="preserve">Entidad de </w:t>
      </w:r>
      <w:r w:rsidR="00CD0AC7" w:rsidRPr="00537881">
        <w:rPr>
          <w:rFonts w:ascii="Times New Roman" w:hAnsi="Times New Roman"/>
          <w:u w:val="none"/>
        </w:rPr>
        <w:t>5.632.064</w:t>
      </w:r>
      <w:r w:rsidR="008A6C24" w:rsidRPr="00537881">
        <w:rPr>
          <w:rFonts w:ascii="Times New Roman" w:hAnsi="Times New Roman"/>
          <w:u w:val="none"/>
        </w:rPr>
        <w:t xml:space="preserve"> y de </w:t>
      </w:r>
      <w:r w:rsidR="00CD0AC7" w:rsidRPr="00537881">
        <w:rPr>
          <w:rFonts w:ascii="Times New Roman" w:hAnsi="Times New Roman"/>
          <w:u w:val="none"/>
        </w:rPr>
        <w:t>6.064.712</w:t>
      </w:r>
      <w:r w:rsidRPr="00537881">
        <w:rPr>
          <w:rFonts w:ascii="Times New Roman" w:hAnsi="Times New Roman"/>
          <w:u w:val="none"/>
        </w:rPr>
        <w:t xml:space="preserve"> al 3</w:t>
      </w:r>
      <w:r w:rsidR="004B08B2" w:rsidRPr="00537881">
        <w:rPr>
          <w:rFonts w:ascii="Times New Roman" w:hAnsi="Times New Roman"/>
          <w:u w:val="none"/>
        </w:rPr>
        <w:t>0</w:t>
      </w:r>
      <w:r w:rsidRPr="00537881">
        <w:rPr>
          <w:rFonts w:ascii="Times New Roman" w:hAnsi="Times New Roman"/>
          <w:u w:val="none"/>
        </w:rPr>
        <w:t xml:space="preserve"> de </w:t>
      </w:r>
      <w:r w:rsidR="008708A4" w:rsidRPr="00537881">
        <w:rPr>
          <w:rFonts w:ascii="Times New Roman" w:hAnsi="Times New Roman"/>
          <w:u w:val="none"/>
        </w:rPr>
        <w:t>septiembre</w:t>
      </w:r>
      <w:r w:rsidRPr="00537881">
        <w:rPr>
          <w:rFonts w:ascii="Times New Roman" w:hAnsi="Times New Roman"/>
          <w:u w:val="none"/>
        </w:rPr>
        <w:t xml:space="preserve"> de 202</w:t>
      </w:r>
      <w:r w:rsidR="00C1630D" w:rsidRPr="00537881">
        <w:rPr>
          <w:rFonts w:ascii="Times New Roman" w:hAnsi="Times New Roman"/>
          <w:u w:val="none"/>
        </w:rPr>
        <w:t>1</w:t>
      </w:r>
      <w:r w:rsidRPr="00537881">
        <w:rPr>
          <w:rFonts w:ascii="Times New Roman" w:hAnsi="Times New Roman"/>
          <w:u w:val="none"/>
        </w:rPr>
        <w:t xml:space="preserve"> y 31 de diciembre de 20</w:t>
      </w:r>
      <w:r w:rsidR="00C1630D" w:rsidRPr="00537881">
        <w:rPr>
          <w:rFonts w:ascii="Times New Roman" w:hAnsi="Times New Roman"/>
          <w:u w:val="none"/>
        </w:rPr>
        <w:t>20</w:t>
      </w:r>
      <w:r w:rsidRPr="00537881">
        <w:rPr>
          <w:rFonts w:ascii="Times New Roman" w:hAnsi="Times New Roman"/>
          <w:u w:val="none"/>
        </w:rPr>
        <w:t>, respectivamente, netas d</w:t>
      </w:r>
      <w:r w:rsidR="00A910AF" w:rsidRPr="00537881">
        <w:rPr>
          <w:rFonts w:ascii="Times New Roman" w:hAnsi="Times New Roman"/>
          <w:u w:val="none"/>
        </w:rPr>
        <w:t>el efecto del impuesto diferido</w:t>
      </w:r>
      <w:r w:rsidRPr="00537881">
        <w:rPr>
          <w:rFonts w:ascii="Times New Roman" w:hAnsi="Times New Roman"/>
          <w:u w:val="none"/>
        </w:rPr>
        <w:t>.</w:t>
      </w:r>
    </w:p>
    <w:p w14:paraId="7E88B28C" w14:textId="4CB739D8" w:rsidR="00AA5BA3" w:rsidRPr="00537881" w:rsidRDefault="00AA5BA3" w:rsidP="004D0870">
      <w:pPr>
        <w:pStyle w:val="Notas"/>
        <w:ind w:left="1134"/>
        <w:rPr>
          <w:rFonts w:ascii="Times New Roman" w:hAnsi="Times New Roman"/>
          <w:u w:val="none"/>
        </w:rPr>
      </w:pPr>
      <w:r w:rsidRPr="00537881">
        <w:rPr>
          <w:rFonts w:ascii="Times New Roman" w:hAnsi="Times New Roman"/>
          <w:u w:val="none"/>
        </w:rPr>
        <w:t xml:space="preserve">Adicionalmente, con fecha 19 de marzo de 2020 el B.C.R.A. </w:t>
      </w:r>
      <w:r w:rsidR="00420831" w:rsidRPr="00537881">
        <w:rPr>
          <w:rFonts w:ascii="Times New Roman" w:hAnsi="Times New Roman"/>
          <w:u w:val="none"/>
        </w:rPr>
        <w:t>emitió la Comunicación "A" 6938,  prorrogada por la</w:t>
      </w:r>
      <w:r w:rsidR="00CE0267" w:rsidRPr="00537881">
        <w:rPr>
          <w:rFonts w:ascii="Times New Roman" w:hAnsi="Times New Roman"/>
          <w:u w:val="none"/>
        </w:rPr>
        <w:t xml:space="preserve"> </w:t>
      </w:r>
      <w:r w:rsidR="00273E09" w:rsidRPr="00537881">
        <w:rPr>
          <w:rFonts w:ascii="Times New Roman" w:hAnsi="Times New Roman"/>
          <w:u w:val="none"/>
        </w:rPr>
        <w:t>C</w:t>
      </w:r>
      <w:r w:rsidR="00CE0267" w:rsidRPr="00537881">
        <w:rPr>
          <w:rFonts w:ascii="Times New Roman" w:hAnsi="Times New Roman"/>
          <w:u w:val="none"/>
        </w:rPr>
        <w:t>omunicación</w:t>
      </w:r>
      <w:r w:rsidR="00420831" w:rsidRPr="00537881">
        <w:rPr>
          <w:rFonts w:ascii="Times New Roman" w:hAnsi="Times New Roman"/>
          <w:u w:val="none"/>
        </w:rPr>
        <w:t xml:space="preserve"> “A” 7181 del 17 de diciembre de 2020, </w:t>
      </w:r>
      <w:r w:rsidRPr="00537881">
        <w:rPr>
          <w:rFonts w:ascii="Times New Roman" w:hAnsi="Times New Roman"/>
          <w:u w:val="none"/>
        </w:rPr>
        <w:t>que posterga la aplicación del modelo de deterioro establecido en la sección 5.5 de la NIIF 9 hasta los ejercicios que se inicien a partir del 1 de enero de 202</w:t>
      </w:r>
      <w:r w:rsidR="00420831" w:rsidRPr="00537881">
        <w:rPr>
          <w:rFonts w:ascii="Times New Roman" w:hAnsi="Times New Roman"/>
          <w:u w:val="none"/>
        </w:rPr>
        <w:t>2</w:t>
      </w:r>
      <w:r w:rsidRPr="00537881">
        <w:rPr>
          <w:rFonts w:ascii="Times New Roman" w:hAnsi="Times New Roman"/>
          <w:u w:val="none"/>
        </w:rPr>
        <w:t xml:space="preserve"> para las entidades del Grupo "</w:t>
      </w:r>
      <w:r w:rsidR="007A043C" w:rsidRPr="00537881">
        <w:rPr>
          <w:rFonts w:ascii="Times New Roman" w:hAnsi="Times New Roman"/>
          <w:u w:val="none"/>
        </w:rPr>
        <w:t>C</w:t>
      </w:r>
      <w:r w:rsidRPr="00537881">
        <w:rPr>
          <w:rFonts w:ascii="Times New Roman" w:hAnsi="Times New Roman"/>
          <w:u w:val="none"/>
        </w:rPr>
        <w:t>" (entidades consolidadas por la Entidad), manteniendo para las mismas el modelo de deterioro de valor establecido por el B.C.R.A. mediante Comunicación "A" 2950 y modificatorias, el cual requiere el reconocimiento de previsiones por incobrabilidad en función de las pautas mínimas establecidas por el B.C.R.A.</w:t>
      </w:r>
    </w:p>
    <w:p w14:paraId="7D94C7E7" w14:textId="77777777" w:rsidR="004D0870" w:rsidRPr="00537881" w:rsidRDefault="004D0870" w:rsidP="004721BF">
      <w:pPr>
        <w:pStyle w:val="Notas"/>
        <w:numPr>
          <w:ilvl w:val="0"/>
          <w:numId w:val="42"/>
        </w:numPr>
        <w:ind w:left="1134"/>
        <w:rPr>
          <w:rFonts w:ascii="Times New Roman" w:hAnsi="Times New Roman"/>
        </w:rPr>
      </w:pPr>
      <w:r w:rsidRPr="00537881">
        <w:rPr>
          <w:rFonts w:ascii="Times New Roman" w:hAnsi="Times New Roman"/>
        </w:rPr>
        <w:t>Medición de la inversión remanente en Prisma Medios de Pago S.A.</w:t>
      </w:r>
    </w:p>
    <w:p w14:paraId="4FC5E633" w14:textId="18523D3C" w:rsidR="004D0870" w:rsidRPr="00537881" w:rsidRDefault="004D0870" w:rsidP="004D0870">
      <w:pPr>
        <w:pStyle w:val="Notas"/>
        <w:ind w:left="1134"/>
        <w:rPr>
          <w:rFonts w:ascii="Times New Roman" w:hAnsi="Times New Roman"/>
          <w:u w:val="none"/>
        </w:rPr>
      </w:pPr>
      <w:r w:rsidRPr="00537881">
        <w:rPr>
          <w:rFonts w:ascii="Times New Roman" w:hAnsi="Times New Roman"/>
          <w:u w:val="none"/>
        </w:rPr>
        <w:t>El B</w:t>
      </w:r>
      <w:r w:rsidR="00AA5BA3" w:rsidRPr="00537881">
        <w:rPr>
          <w:rFonts w:ascii="Times New Roman" w:hAnsi="Times New Roman"/>
          <w:u w:val="none"/>
        </w:rPr>
        <w:t>.</w:t>
      </w:r>
      <w:r w:rsidRPr="00537881">
        <w:rPr>
          <w:rFonts w:ascii="Times New Roman" w:hAnsi="Times New Roman"/>
          <w:u w:val="none"/>
        </w:rPr>
        <w:t>C</w:t>
      </w:r>
      <w:r w:rsidR="00AA5BA3" w:rsidRPr="00537881">
        <w:rPr>
          <w:rFonts w:ascii="Times New Roman" w:hAnsi="Times New Roman"/>
          <w:u w:val="none"/>
        </w:rPr>
        <w:t>.</w:t>
      </w:r>
      <w:r w:rsidRPr="00537881">
        <w:rPr>
          <w:rFonts w:ascii="Times New Roman" w:hAnsi="Times New Roman"/>
          <w:u w:val="none"/>
        </w:rPr>
        <w:t>R</w:t>
      </w:r>
      <w:r w:rsidR="00AA5BA3" w:rsidRPr="00537881">
        <w:rPr>
          <w:rFonts w:ascii="Times New Roman" w:hAnsi="Times New Roman"/>
          <w:u w:val="none"/>
        </w:rPr>
        <w:t>.</w:t>
      </w:r>
      <w:r w:rsidRPr="00537881">
        <w:rPr>
          <w:rFonts w:ascii="Times New Roman" w:hAnsi="Times New Roman"/>
          <w:u w:val="none"/>
        </w:rPr>
        <w:t>A</w:t>
      </w:r>
      <w:r w:rsidR="00AA5BA3" w:rsidRPr="00537881">
        <w:rPr>
          <w:rFonts w:ascii="Times New Roman" w:hAnsi="Times New Roman"/>
          <w:u w:val="none"/>
        </w:rPr>
        <w:t>.</w:t>
      </w:r>
      <w:r w:rsidRPr="00537881">
        <w:rPr>
          <w:rFonts w:ascii="Times New Roman" w:hAnsi="Times New Roman"/>
          <w:u w:val="none"/>
        </w:rPr>
        <w:t xml:space="preserve"> estableci</w:t>
      </w:r>
      <w:r w:rsidR="00E95FA7" w:rsidRPr="00537881">
        <w:rPr>
          <w:rFonts w:ascii="Times New Roman" w:hAnsi="Times New Roman"/>
          <w:u w:val="none"/>
        </w:rPr>
        <w:t>ó a través de su Memorando N° 7</w:t>
      </w:r>
      <w:r w:rsidRPr="00537881">
        <w:rPr>
          <w:rFonts w:ascii="Times New Roman" w:hAnsi="Times New Roman"/>
          <w:u w:val="none"/>
        </w:rPr>
        <w:t>/2019 de fecha 29 de abril de 2019 el tratamiento contable a dispensar a la inversión remanente mantenida por la Entidad en Prisma Medios de Pago S.A. registrada en</w:t>
      </w:r>
      <w:r w:rsidR="00411317" w:rsidRPr="00537881">
        <w:rPr>
          <w:rFonts w:ascii="Times New Roman" w:hAnsi="Times New Roman"/>
          <w:u w:val="none"/>
        </w:rPr>
        <w:t xml:space="preserve"> </w:t>
      </w:r>
      <w:r w:rsidRPr="00537881">
        <w:rPr>
          <w:rFonts w:ascii="Times New Roman" w:hAnsi="Times New Roman"/>
          <w:u w:val="none"/>
        </w:rPr>
        <w:t>“Inversiones en Instrumentos de Patrimonio” al 3</w:t>
      </w:r>
      <w:r w:rsidR="004B08B2" w:rsidRPr="00537881">
        <w:rPr>
          <w:rFonts w:ascii="Times New Roman" w:hAnsi="Times New Roman"/>
          <w:u w:val="none"/>
        </w:rPr>
        <w:t>0</w:t>
      </w:r>
      <w:r w:rsidRPr="00537881">
        <w:rPr>
          <w:rFonts w:ascii="Times New Roman" w:hAnsi="Times New Roman"/>
          <w:u w:val="none"/>
        </w:rPr>
        <w:t xml:space="preserve"> de </w:t>
      </w:r>
      <w:r w:rsidR="004A2008" w:rsidRPr="00537881">
        <w:rPr>
          <w:rFonts w:ascii="Times New Roman" w:hAnsi="Times New Roman"/>
          <w:u w:val="none"/>
        </w:rPr>
        <w:t>septiembre</w:t>
      </w:r>
      <w:r w:rsidRPr="00537881">
        <w:rPr>
          <w:rFonts w:ascii="Times New Roman" w:hAnsi="Times New Roman"/>
          <w:u w:val="none"/>
        </w:rPr>
        <w:t xml:space="preserve"> de 202</w:t>
      </w:r>
      <w:r w:rsidR="00C9698B" w:rsidRPr="00537881">
        <w:rPr>
          <w:rFonts w:ascii="Times New Roman" w:hAnsi="Times New Roman"/>
          <w:u w:val="none"/>
        </w:rPr>
        <w:t>1</w:t>
      </w:r>
      <w:r w:rsidRPr="00537881">
        <w:rPr>
          <w:rFonts w:ascii="Times New Roman" w:hAnsi="Times New Roman"/>
          <w:u w:val="none"/>
        </w:rPr>
        <w:t xml:space="preserve"> y 31 de diciembre de 20</w:t>
      </w:r>
      <w:r w:rsidR="00C9698B" w:rsidRPr="00537881">
        <w:rPr>
          <w:rFonts w:ascii="Times New Roman" w:hAnsi="Times New Roman"/>
          <w:u w:val="none"/>
        </w:rPr>
        <w:t>20</w:t>
      </w:r>
      <w:r w:rsidRPr="00537881">
        <w:rPr>
          <w:rFonts w:ascii="Times New Roman" w:hAnsi="Times New Roman"/>
          <w:u w:val="none"/>
        </w:rPr>
        <w:t xml:space="preserve"> (ver Nota 16</w:t>
      </w:r>
      <w:r w:rsidR="005F2AA6" w:rsidRPr="00537881">
        <w:rPr>
          <w:rFonts w:ascii="Times New Roman" w:hAnsi="Times New Roman"/>
          <w:u w:val="none"/>
        </w:rPr>
        <w:t xml:space="preserve"> a los presentes estados financieros intermedios consolidados condensados</w:t>
      </w:r>
      <w:r w:rsidRPr="00537881">
        <w:rPr>
          <w:rFonts w:ascii="Times New Roman" w:hAnsi="Times New Roman"/>
          <w:u w:val="none"/>
        </w:rPr>
        <w:t>).</w:t>
      </w:r>
    </w:p>
    <w:p w14:paraId="39FE2C13" w14:textId="199FDAC1" w:rsidR="00EA0B76" w:rsidRPr="00537881" w:rsidRDefault="00EA0B76" w:rsidP="00EA0B76">
      <w:pPr>
        <w:pStyle w:val="Notas"/>
        <w:ind w:left="1134"/>
        <w:rPr>
          <w:rFonts w:ascii="Times New Roman" w:hAnsi="Times New Roman"/>
          <w:u w:val="none"/>
        </w:rPr>
      </w:pPr>
      <w:r w:rsidRPr="00537881">
        <w:rPr>
          <w:rFonts w:ascii="Times New Roman" w:hAnsi="Times New Roman"/>
          <w:u w:val="none"/>
        </w:rPr>
        <w:t>Asimismo, el Banco procedió a contabilizar un ajuste de resultado de ejercicios anteriores, a requerimiento del citado organismo, que con posterioridad a la emisión de los estados financieros al 31 de diciembre de 2020,</w:t>
      </w:r>
      <w:r w:rsidR="00F50E29" w:rsidRPr="00537881">
        <w:rPr>
          <w:rFonts w:ascii="Times New Roman" w:hAnsi="Times New Roman"/>
          <w:u w:val="none"/>
        </w:rPr>
        <w:t xml:space="preserve"> mediante Memorando N° 8/2021 del 22 de marzo de 2021,</w:t>
      </w:r>
      <w:r w:rsidRPr="00537881">
        <w:rPr>
          <w:rFonts w:ascii="Times New Roman" w:hAnsi="Times New Roman"/>
          <w:u w:val="none"/>
        </w:rPr>
        <w:t xml:space="preserve"> requirió ajustar el valor razonable reconocido sobre la participación accionaria en Prisma Medios de Pago S.A. al 31 de diciembre de 2020.</w:t>
      </w:r>
    </w:p>
    <w:p w14:paraId="66EDA42D" w14:textId="77863D45" w:rsidR="00EA0B76" w:rsidRPr="00537881" w:rsidRDefault="00EA0B76" w:rsidP="00EA0B76">
      <w:pPr>
        <w:pStyle w:val="Notas"/>
        <w:ind w:left="1134"/>
        <w:rPr>
          <w:rFonts w:ascii="Times New Roman" w:hAnsi="Times New Roman"/>
          <w:u w:val="none"/>
        </w:rPr>
      </w:pPr>
      <w:r w:rsidRPr="00537881">
        <w:rPr>
          <w:rFonts w:ascii="Times New Roman" w:hAnsi="Times New Roman"/>
          <w:u w:val="none"/>
        </w:rPr>
        <w:t xml:space="preserve">Al solo efecto de exposición, dicho ajuste afectó los rubros “Inversiones en Instrumentos de Patrimonio” en </w:t>
      </w:r>
      <w:r w:rsidR="00537881" w:rsidRPr="00537881">
        <w:rPr>
          <w:rFonts w:ascii="Times New Roman" w:hAnsi="Times New Roman"/>
          <w:u w:val="none"/>
        </w:rPr>
        <w:t>1.960.802</w:t>
      </w:r>
      <w:r w:rsidRPr="00537881">
        <w:rPr>
          <w:rFonts w:ascii="Times New Roman" w:hAnsi="Times New Roman"/>
          <w:u w:val="none"/>
        </w:rPr>
        <w:t xml:space="preserve"> (disminución) y “Resultados no asignados” en </w:t>
      </w:r>
      <w:r w:rsidR="00537881" w:rsidRPr="00537881">
        <w:rPr>
          <w:rFonts w:ascii="Times New Roman" w:hAnsi="Times New Roman"/>
          <w:u w:val="none"/>
        </w:rPr>
        <w:t>1.372.5</w:t>
      </w:r>
      <w:r w:rsidR="004A58B8">
        <w:rPr>
          <w:rFonts w:ascii="Times New Roman" w:hAnsi="Times New Roman"/>
          <w:u w:val="none"/>
        </w:rPr>
        <w:t>55</w:t>
      </w:r>
      <w:r w:rsidRPr="00537881">
        <w:rPr>
          <w:rFonts w:ascii="Times New Roman" w:hAnsi="Times New Roman"/>
          <w:u w:val="none"/>
        </w:rPr>
        <w:t xml:space="preserve"> (disminución neta del impuesto a la</w:t>
      </w:r>
      <w:r w:rsidR="00F50E29" w:rsidRPr="00537881">
        <w:rPr>
          <w:rFonts w:ascii="Times New Roman" w:hAnsi="Times New Roman"/>
          <w:u w:val="none"/>
        </w:rPr>
        <w:t>s ganancias diferido) en el</w:t>
      </w:r>
      <w:r w:rsidRPr="00537881">
        <w:rPr>
          <w:rFonts w:ascii="Times New Roman" w:hAnsi="Times New Roman"/>
          <w:u w:val="none"/>
        </w:rPr>
        <w:t xml:space="preserve"> estado consolidado de situación financiera condensado </w:t>
      </w:r>
      <w:r w:rsidR="00F50E29" w:rsidRPr="00537881">
        <w:rPr>
          <w:rFonts w:ascii="Times New Roman" w:hAnsi="Times New Roman"/>
          <w:u w:val="none"/>
        </w:rPr>
        <w:t xml:space="preserve">y en el estado consolidado de cambios en el patrimonio condensado </w:t>
      </w:r>
      <w:r w:rsidRPr="00537881">
        <w:rPr>
          <w:rFonts w:ascii="Times New Roman" w:hAnsi="Times New Roman"/>
          <w:u w:val="none"/>
        </w:rPr>
        <w:t>comparativo</w:t>
      </w:r>
      <w:r w:rsidR="00F50E29" w:rsidRPr="00537881">
        <w:rPr>
          <w:rFonts w:ascii="Times New Roman" w:hAnsi="Times New Roman"/>
          <w:u w:val="none"/>
        </w:rPr>
        <w:t>s</w:t>
      </w:r>
      <w:r w:rsidRPr="00537881">
        <w:rPr>
          <w:rFonts w:ascii="Times New Roman" w:hAnsi="Times New Roman"/>
          <w:u w:val="none"/>
        </w:rPr>
        <w:t xml:space="preserve"> el 31 de diciembre de 2020.</w:t>
      </w:r>
    </w:p>
    <w:p w14:paraId="4FA5BA87" w14:textId="45C032EE" w:rsidR="00636894" w:rsidRPr="00537881" w:rsidRDefault="00EA0B76" w:rsidP="00EA0B76">
      <w:pPr>
        <w:pStyle w:val="Notas"/>
        <w:ind w:left="1134"/>
        <w:rPr>
          <w:rFonts w:ascii="Times New Roman" w:hAnsi="Times New Roman"/>
          <w:u w:val="none"/>
        </w:rPr>
      </w:pPr>
      <w:r w:rsidRPr="00537881">
        <w:rPr>
          <w:rFonts w:ascii="Times New Roman" w:hAnsi="Times New Roman"/>
          <w:u w:val="none"/>
        </w:rPr>
        <w:lastRenderedPageBreak/>
        <w:t>Cabe aclarar que la valuación de dicha participación fue determinada por el Banco siguiendo los lineamientos establecidos por la normativa aplicable y considerando un informe de valuación al 31 de diciembre de 2020 emitido por expertos independientes.</w:t>
      </w:r>
    </w:p>
    <w:p w14:paraId="7B86D682" w14:textId="78309C50" w:rsidR="0088400B" w:rsidRPr="00537881" w:rsidRDefault="00F34506" w:rsidP="00F34506">
      <w:pPr>
        <w:pStyle w:val="Notas"/>
        <w:numPr>
          <w:ilvl w:val="0"/>
          <w:numId w:val="42"/>
        </w:numPr>
        <w:ind w:left="1134"/>
        <w:rPr>
          <w:rFonts w:ascii="Times New Roman" w:hAnsi="Times New Roman"/>
        </w:rPr>
      </w:pPr>
      <w:r w:rsidRPr="00537881">
        <w:rPr>
          <w:rFonts w:ascii="Times New Roman" w:hAnsi="Times New Roman"/>
        </w:rPr>
        <w:t>Memorando N° 6/2017 sobre reliquidación del impuesto a las ganancias</w:t>
      </w:r>
    </w:p>
    <w:p w14:paraId="5062823D" w14:textId="5808B58A" w:rsidR="003B0412" w:rsidRPr="00537881" w:rsidRDefault="00F34506" w:rsidP="00ED2257">
      <w:pPr>
        <w:ind w:left="1134"/>
        <w:jc w:val="both"/>
        <w:rPr>
          <w:rFonts w:ascii="Times New Roman" w:hAnsi="Times New Roman"/>
          <w:sz w:val="20"/>
        </w:rPr>
      </w:pPr>
      <w:r w:rsidRPr="00537881">
        <w:rPr>
          <w:rFonts w:ascii="Times New Roman" w:hAnsi="Times New Roman"/>
          <w:sz w:val="20"/>
        </w:rPr>
        <w:t xml:space="preserve">Con fecha 29 de mayo de 2017 el B.C.R.A. emitió el Memorando N° 6/2017 mediante </w:t>
      </w:r>
      <w:r w:rsidR="00BA460C" w:rsidRPr="00537881">
        <w:rPr>
          <w:rFonts w:ascii="Times New Roman" w:hAnsi="Times New Roman"/>
          <w:sz w:val="20"/>
        </w:rPr>
        <w:t>el</w:t>
      </w:r>
      <w:r w:rsidRPr="00537881">
        <w:rPr>
          <w:rFonts w:ascii="Times New Roman" w:hAnsi="Times New Roman"/>
          <w:sz w:val="20"/>
        </w:rPr>
        <w:t xml:space="preserve"> cual requirió a la Entidad proceder a la constitución de una provisión en el pasivo en relación a la reliquidación del im</w:t>
      </w:r>
      <w:r w:rsidR="00BA460C" w:rsidRPr="00537881">
        <w:rPr>
          <w:rFonts w:ascii="Times New Roman" w:hAnsi="Times New Roman"/>
          <w:sz w:val="20"/>
        </w:rPr>
        <w:t>puesto a las ganancias realizada</w:t>
      </w:r>
      <w:r w:rsidRPr="00537881">
        <w:rPr>
          <w:rFonts w:ascii="Times New Roman" w:hAnsi="Times New Roman"/>
          <w:sz w:val="20"/>
        </w:rPr>
        <w:t xml:space="preserve"> por la Entidad aplicando el ajuste por inflación impositivo.  De haberse aplicado el tratamiento establecido por las NIIF el pasivo hubiera disminuido en </w:t>
      </w:r>
      <w:r w:rsidR="006A0E75" w:rsidRPr="00537881">
        <w:rPr>
          <w:rFonts w:ascii="Times New Roman" w:hAnsi="Times New Roman"/>
          <w:sz w:val="20"/>
        </w:rPr>
        <w:t>7.460.205</w:t>
      </w:r>
      <w:r w:rsidRPr="00537881">
        <w:rPr>
          <w:rFonts w:ascii="Times New Roman" w:hAnsi="Times New Roman"/>
          <w:sz w:val="20"/>
        </w:rPr>
        <w:t xml:space="preserve"> al 31 de diciembre de 2020, correspondiente a la reliquidación del impuesto a las ganancias de los períodos fiscales 2016, 2017 y 2018.</w:t>
      </w:r>
    </w:p>
    <w:p w14:paraId="661F423B" w14:textId="77777777" w:rsidR="00ED2257" w:rsidRPr="00537881" w:rsidRDefault="00ED2257" w:rsidP="00ED2257">
      <w:pPr>
        <w:ind w:left="567" w:firstLine="567"/>
        <w:jc w:val="both"/>
        <w:rPr>
          <w:rFonts w:ascii="Times New Roman" w:hAnsi="Times New Roman"/>
          <w:sz w:val="20"/>
        </w:rPr>
      </w:pPr>
    </w:p>
    <w:p w14:paraId="7533D710" w14:textId="70064B97" w:rsidR="001D0F93" w:rsidRPr="00537881" w:rsidRDefault="001D0F93" w:rsidP="001D0F93">
      <w:pPr>
        <w:ind w:left="567"/>
        <w:jc w:val="both"/>
        <w:rPr>
          <w:rFonts w:ascii="Times New Roman" w:hAnsi="Times New Roman"/>
          <w:sz w:val="20"/>
        </w:rPr>
      </w:pPr>
      <w:r w:rsidRPr="00537881">
        <w:rPr>
          <w:rFonts w:ascii="Times New Roman" w:hAnsi="Times New Roman"/>
          <w:sz w:val="20"/>
        </w:rPr>
        <w:t xml:space="preserve">Las excepciones descriptas constituyen apartamientos </w:t>
      </w:r>
      <w:r w:rsidR="0057069B" w:rsidRPr="00537881">
        <w:rPr>
          <w:rFonts w:ascii="Times New Roman" w:hAnsi="Times New Roman"/>
          <w:sz w:val="20"/>
        </w:rPr>
        <w:t>a las</w:t>
      </w:r>
      <w:r w:rsidRPr="00537881">
        <w:rPr>
          <w:rFonts w:ascii="Times New Roman" w:hAnsi="Times New Roman"/>
          <w:sz w:val="20"/>
        </w:rPr>
        <w:t xml:space="preserve"> NIIF.</w:t>
      </w:r>
    </w:p>
    <w:p w14:paraId="60CE782C" w14:textId="77777777" w:rsidR="001D0F93" w:rsidRPr="00537881" w:rsidRDefault="001D0F93" w:rsidP="001D0F93">
      <w:pPr>
        <w:ind w:left="567"/>
        <w:jc w:val="both"/>
        <w:rPr>
          <w:rFonts w:ascii="Times New Roman" w:hAnsi="Times New Roman"/>
          <w:sz w:val="20"/>
        </w:rPr>
      </w:pPr>
    </w:p>
    <w:p w14:paraId="4668C560" w14:textId="20635CA1" w:rsidR="00C9698B" w:rsidRPr="00537881" w:rsidRDefault="00C9698B" w:rsidP="00C9698B">
      <w:pPr>
        <w:ind w:left="567"/>
        <w:jc w:val="both"/>
        <w:rPr>
          <w:rFonts w:ascii="Times New Roman" w:hAnsi="Times New Roman"/>
          <w:sz w:val="20"/>
        </w:rPr>
      </w:pPr>
      <w:r w:rsidRPr="00537881">
        <w:rPr>
          <w:rFonts w:ascii="Times New Roman" w:hAnsi="Times New Roman"/>
          <w:sz w:val="20"/>
        </w:rPr>
        <w:t>Por tratarse de un período intermedio, la Entidad optó por presentar información condensada, de acuerdo con los lineamientos de la NIC N° 34 “Información Financiera Intermedia”, por lo cual no se incluye toda la información requerida en la presentación de estados financieros completos bajo NIIF. En consecuencia, los presentes estados financieros deber ser leídos en conjunto con los estados financieros finalizados al 31 de diciembre de 2020. Sin embargo, se incluyen notas que explican los eventos y transacciones que son significativas para el entendimiento de los cambios en la situación financiera desde el 31 de diciembre de 2020.</w:t>
      </w:r>
    </w:p>
    <w:p w14:paraId="5161596B" w14:textId="77777777" w:rsidR="007D01BC" w:rsidRPr="00537881" w:rsidRDefault="007D01BC" w:rsidP="001D0F93">
      <w:pPr>
        <w:ind w:left="567"/>
        <w:jc w:val="both"/>
        <w:rPr>
          <w:rFonts w:ascii="Times New Roman" w:hAnsi="Times New Roman"/>
          <w:sz w:val="20"/>
        </w:rPr>
      </w:pPr>
    </w:p>
    <w:p w14:paraId="7E6652A4" w14:textId="77777777" w:rsidR="001D0F93" w:rsidRPr="00537881" w:rsidRDefault="001D0F93" w:rsidP="001D0F93">
      <w:pPr>
        <w:ind w:left="567"/>
        <w:jc w:val="both"/>
        <w:rPr>
          <w:rFonts w:ascii="Times New Roman" w:hAnsi="Times New Roman"/>
          <w:sz w:val="20"/>
        </w:rPr>
      </w:pPr>
      <w:r w:rsidRPr="00537881">
        <w:rPr>
          <w:rFonts w:ascii="Times New Roman" w:hAnsi="Times New Roman"/>
          <w:sz w:val="20"/>
        </w:rPr>
        <w:t>Asimismo, el B.C.R.A. mediante las Comunicaciones “A” 6323 y 6324 estableció lineamientos para la elaboración y presentación de los estados financieros de las entidades financieras a partir de los ejercicios iniciados el 1° de enero de 2018, incluyendo los requerimientos adicionales de información así como la información a ser presentada en forma de Anexos.</w:t>
      </w:r>
    </w:p>
    <w:p w14:paraId="0020C3C8" w14:textId="77777777" w:rsidR="008C709E" w:rsidRPr="00537881" w:rsidRDefault="008C709E" w:rsidP="001D0F93">
      <w:pPr>
        <w:ind w:left="567"/>
        <w:jc w:val="both"/>
        <w:rPr>
          <w:rFonts w:ascii="Times New Roman" w:hAnsi="Times New Roman"/>
          <w:sz w:val="20"/>
        </w:rPr>
      </w:pPr>
    </w:p>
    <w:p w14:paraId="7F7E5643" w14:textId="1E58454F" w:rsidR="001D0F93" w:rsidRDefault="001D0F93" w:rsidP="001D0F93">
      <w:pPr>
        <w:ind w:left="567"/>
        <w:jc w:val="both"/>
        <w:rPr>
          <w:rFonts w:ascii="Times New Roman" w:hAnsi="Times New Roman"/>
          <w:sz w:val="20"/>
        </w:rPr>
      </w:pPr>
      <w:r w:rsidRPr="00537881">
        <w:rPr>
          <w:rFonts w:ascii="Times New Roman" w:hAnsi="Times New Roman"/>
          <w:sz w:val="20"/>
        </w:rPr>
        <w:t xml:space="preserve">Los presentes estados financieros fueron aprobados por el Directorio de </w:t>
      </w:r>
      <w:r w:rsidR="003D0A2E" w:rsidRPr="00537881">
        <w:rPr>
          <w:rFonts w:ascii="Times New Roman" w:hAnsi="Times New Roman"/>
          <w:color w:val="000000"/>
          <w:sz w:val="20"/>
        </w:rPr>
        <w:t xml:space="preserve">Banco BBVA Argentina S.A. </w:t>
      </w:r>
      <w:r w:rsidRPr="00537881">
        <w:rPr>
          <w:rFonts w:ascii="Times New Roman" w:hAnsi="Times New Roman"/>
          <w:sz w:val="20"/>
        </w:rPr>
        <w:t xml:space="preserve">el </w:t>
      </w:r>
      <w:r w:rsidR="00CC6390" w:rsidRPr="00537881">
        <w:rPr>
          <w:rFonts w:ascii="Times New Roman" w:hAnsi="Times New Roman"/>
          <w:sz w:val="20"/>
        </w:rPr>
        <w:t>24</w:t>
      </w:r>
      <w:r w:rsidR="00CA39CF" w:rsidRPr="00537881">
        <w:rPr>
          <w:rFonts w:ascii="Times New Roman" w:hAnsi="Times New Roman"/>
          <w:sz w:val="20"/>
        </w:rPr>
        <w:t xml:space="preserve"> </w:t>
      </w:r>
      <w:r w:rsidRPr="00537881">
        <w:rPr>
          <w:rFonts w:ascii="Times New Roman" w:hAnsi="Times New Roman"/>
          <w:sz w:val="20"/>
        </w:rPr>
        <w:t xml:space="preserve">de </w:t>
      </w:r>
      <w:r w:rsidR="00740F99" w:rsidRPr="00537881">
        <w:rPr>
          <w:rFonts w:ascii="Times New Roman" w:hAnsi="Times New Roman"/>
          <w:sz w:val="20"/>
        </w:rPr>
        <w:t>noviembre</w:t>
      </w:r>
      <w:r w:rsidR="003B0412" w:rsidRPr="00537881">
        <w:rPr>
          <w:rFonts w:ascii="Times New Roman" w:hAnsi="Times New Roman"/>
          <w:sz w:val="20"/>
        </w:rPr>
        <w:t xml:space="preserve"> </w:t>
      </w:r>
      <w:r w:rsidRPr="00537881">
        <w:rPr>
          <w:rFonts w:ascii="Times New Roman" w:hAnsi="Times New Roman"/>
          <w:sz w:val="20"/>
        </w:rPr>
        <w:t>de 20</w:t>
      </w:r>
      <w:r w:rsidR="00C9698B" w:rsidRPr="00537881">
        <w:rPr>
          <w:rFonts w:ascii="Times New Roman" w:hAnsi="Times New Roman"/>
          <w:sz w:val="20"/>
        </w:rPr>
        <w:t>21</w:t>
      </w:r>
      <w:r w:rsidRPr="00537881">
        <w:rPr>
          <w:rFonts w:ascii="Times New Roman" w:hAnsi="Times New Roman"/>
          <w:sz w:val="20"/>
        </w:rPr>
        <w:t>.</w:t>
      </w:r>
    </w:p>
    <w:p w14:paraId="46471338" w14:textId="77777777" w:rsidR="00D4303C" w:rsidRDefault="00D4303C" w:rsidP="001D0F93">
      <w:pPr>
        <w:ind w:left="567"/>
        <w:jc w:val="both"/>
        <w:rPr>
          <w:rFonts w:ascii="Times New Roman" w:hAnsi="Times New Roman"/>
          <w:sz w:val="20"/>
        </w:rPr>
      </w:pPr>
    </w:p>
    <w:p w14:paraId="55DA6E92" w14:textId="77777777" w:rsidR="00FC3663" w:rsidRPr="00110E8B" w:rsidRDefault="00FC3663" w:rsidP="001D0F93">
      <w:pPr>
        <w:ind w:left="567"/>
        <w:jc w:val="both"/>
        <w:rPr>
          <w:rFonts w:ascii="Times New Roman" w:hAnsi="Times New Roman"/>
          <w:sz w:val="20"/>
        </w:rPr>
      </w:pPr>
    </w:p>
    <w:p w14:paraId="2ABA68A9" w14:textId="59068B4D" w:rsidR="007C5188" w:rsidRPr="008A0C1A" w:rsidRDefault="00AC0EBC" w:rsidP="00C930C5">
      <w:pPr>
        <w:pStyle w:val="Prrafodelista"/>
        <w:numPr>
          <w:ilvl w:val="0"/>
          <w:numId w:val="11"/>
        </w:numPr>
        <w:tabs>
          <w:tab w:val="num" w:pos="-1843"/>
        </w:tabs>
        <w:spacing w:after="240"/>
        <w:ind w:right="-427"/>
        <w:rPr>
          <w:b/>
          <w:sz w:val="20"/>
          <w:szCs w:val="20"/>
          <w:lang w:val="es-AR"/>
        </w:rPr>
      </w:pPr>
      <w:r w:rsidRPr="008A0C1A">
        <w:rPr>
          <w:b/>
          <w:sz w:val="20"/>
          <w:szCs w:val="20"/>
          <w:lang w:val="es-AR"/>
        </w:rPr>
        <w:t>Moneda funcional y de presentación</w:t>
      </w:r>
    </w:p>
    <w:p w14:paraId="4EB30084" w14:textId="432CDEC4" w:rsidR="00CA5316" w:rsidRPr="008A0C1A" w:rsidRDefault="0022713F" w:rsidP="00CA5316">
      <w:pPr>
        <w:spacing w:after="120" w:line="240" w:lineRule="exact"/>
        <w:ind w:left="567"/>
        <w:jc w:val="both"/>
        <w:rPr>
          <w:rFonts w:ascii="Times New Roman" w:hAnsi="Times New Roman"/>
          <w:sz w:val="20"/>
        </w:rPr>
      </w:pPr>
      <w:r w:rsidRPr="008A0C1A">
        <w:rPr>
          <w:rFonts w:ascii="Times New Roman" w:hAnsi="Times New Roman"/>
          <w:sz w:val="20"/>
        </w:rPr>
        <w:t>El Banco</w:t>
      </w:r>
      <w:r w:rsidR="00AC0EBC" w:rsidRPr="008A0C1A">
        <w:rPr>
          <w:rFonts w:ascii="Times New Roman" w:hAnsi="Times New Roman"/>
          <w:sz w:val="20"/>
        </w:rPr>
        <w:t xml:space="preserve"> considera al peso como su moneda funcional y de presentación. Los montos se presentan en miles de pesos, excepto que se indique lo contrario.</w:t>
      </w:r>
      <w:r w:rsidR="00CA5316" w:rsidRPr="008A0C1A">
        <w:rPr>
          <w:rFonts w:ascii="Times New Roman" w:hAnsi="Times New Roman"/>
          <w:sz w:val="20"/>
        </w:rPr>
        <w:t xml:space="preserve"> Todos los períodos</w:t>
      </w:r>
      <w:r w:rsidR="00D63B9A" w:rsidRPr="008A0C1A">
        <w:rPr>
          <w:rFonts w:ascii="Times New Roman" w:hAnsi="Times New Roman"/>
          <w:sz w:val="20"/>
        </w:rPr>
        <w:t xml:space="preserve"> y el ejercicio,</w:t>
      </w:r>
      <w:r w:rsidR="00CA5316" w:rsidRPr="008A0C1A">
        <w:rPr>
          <w:rFonts w:ascii="Times New Roman" w:hAnsi="Times New Roman"/>
          <w:sz w:val="20"/>
        </w:rPr>
        <w:t xml:space="preserve"> reflejados en estos estados financieros se exponen en moneda homogénea al 3</w:t>
      </w:r>
      <w:r w:rsidR="004B08B2" w:rsidRPr="008A0C1A">
        <w:rPr>
          <w:rFonts w:ascii="Times New Roman" w:hAnsi="Times New Roman"/>
          <w:sz w:val="20"/>
        </w:rPr>
        <w:t>0</w:t>
      </w:r>
      <w:r w:rsidR="00CA5316" w:rsidRPr="008A0C1A">
        <w:rPr>
          <w:rFonts w:ascii="Times New Roman" w:hAnsi="Times New Roman"/>
          <w:sz w:val="20"/>
        </w:rPr>
        <w:t xml:space="preserve"> de </w:t>
      </w:r>
      <w:r w:rsidR="004A2008" w:rsidRPr="008A0C1A">
        <w:rPr>
          <w:rFonts w:ascii="Times New Roman" w:hAnsi="Times New Roman"/>
          <w:sz w:val="20"/>
        </w:rPr>
        <w:t>septiembre</w:t>
      </w:r>
      <w:r w:rsidR="00CA5316" w:rsidRPr="008A0C1A">
        <w:rPr>
          <w:rFonts w:ascii="Times New Roman" w:hAnsi="Times New Roman"/>
          <w:sz w:val="20"/>
        </w:rPr>
        <w:t xml:space="preserve"> de 2021.</w:t>
      </w:r>
    </w:p>
    <w:p w14:paraId="1D03E2E6" w14:textId="77777777" w:rsidR="00CA5316" w:rsidRPr="008A0C1A" w:rsidRDefault="00CA5316" w:rsidP="002E0A1C">
      <w:pPr>
        <w:autoSpaceDE w:val="0"/>
        <w:autoSpaceDN w:val="0"/>
        <w:adjustRightInd w:val="0"/>
        <w:spacing w:after="120" w:line="240" w:lineRule="exact"/>
        <w:ind w:left="567"/>
        <w:jc w:val="both"/>
        <w:rPr>
          <w:rFonts w:ascii="Times New Roman" w:hAnsi="Times New Roman"/>
          <w:b/>
          <w:color w:val="000000"/>
          <w:sz w:val="20"/>
        </w:rPr>
      </w:pPr>
    </w:p>
    <w:p w14:paraId="1A9F6A48" w14:textId="57666802" w:rsidR="00CA5316" w:rsidRPr="00AD07AB" w:rsidRDefault="001C694B" w:rsidP="002E0A1C">
      <w:pPr>
        <w:autoSpaceDE w:val="0"/>
        <w:autoSpaceDN w:val="0"/>
        <w:adjustRightInd w:val="0"/>
        <w:spacing w:after="120" w:line="240" w:lineRule="exact"/>
        <w:ind w:left="567"/>
        <w:jc w:val="both"/>
        <w:rPr>
          <w:rFonts w:ascii="Times New Roman" w:hAnsi="Times New Roman"/>
          <w:color w:val="000000"/>
          <w:sz w:val="20"/>
        </w:rPr>
      </w:pPr>
      <w:r w:rsidRPr="008A0C1A">
        <w:rPr>
          <w:rFonts w:ascii="Times New Roman" w:hAnsi="Times New Roman"/>
          <w:b/>
          <w:color w:val="000000"/>
          <w:sz w:val="20"/>
        </w:rPr>
        <w:t>Unidad de medida</w:t>
      </w:r>
    </w:p>
    <w:p w14:paraId="2ACD9C5C" w14:textId="77777777" w:rsidR="002E0A1C" w:rsidRDefault="002E0A1C" w:rsidP="002E0A1C">
      <w:pPr>
        <w:autoSpaceDE w:val="0"/>
        <w:autoSpaceDN w:val="0"/>
        <w:adjustRightInd w:val="0"/>
        <w:spacing w:after="120" w:line="240" w:lineRule="exact"/>
        <w:ind w:left="567"/>
        <w:jc w:val="both"/>
        <w:rPr>
          <w:rFonts w:ascii="Times New Roman" w:hAnsi="Times New Roman"/>
          <w:color w:val="000000"/>
          <w:sz w:val="20"/>
        </w:rPr>
      </w:pPr>
      <w:r w:rsidRPr="00AD07AB">
        <w:rPr>
          <w:rFonts w:ascii="Times New Roman" w:hAnsi="Times New Roman"/>
          <w:color w:val="000000"/>
          <w:sz w:val="20"/>
        </w:rPr>
        <w:t>La NIC 29 requiere la presentación de estados financieros expresados en términos de la unidad de medida del</w:t>
      </w:r>
      <w:r>
        <w:rPr>
          <w:rFonts w:ascii="Times New Roman" w:hAnsi="Times New Roman"/>
          <w:color w:val="000000"/>
          <w:sz w:val="20"/>
        </w:rPr>
        <w:t xml:space="preserve"> cierre del período de reporte, cuando la moneda funcional de la entidad corresponda a la de una economía hiperinflacionaria. Para identificar la existencia de un contexto de hiperinflación, la NIC 29 brinda tanto pautas cualitativas como una pauta cuantitativa que consiste en que la tasa acumulada de inflación en los últimos tres años alcance o sobrepase el 100%. En el caso de la Argentina, los organismos profesionales llegaron al consenso que la economía es considerada hiperinflacionaria en función de los parámetros establecidos en la NIC 29 a partir del 1 de julio de 2018.</w:t>
      </w:r>
    </w:p>
    <w:p w14:paraId="2CF43D48" w14:textId="77777777" w:rsidR="002E0A1C" w:rsidRDefault="002E0A1C" w:rsidP="002E0A1C">
      <w:pPr>
        <w:autoSpaceDE w:val="0"/>
        <w:autoSpaceDN w:val="0"/>
        <w:adjustRightInd w:val="0"/>
        <w:spacing w:after="120" w:line="240" w:lineRule="exact"/>
        <w:ind w:left="567"/>
        <w:jc w:val="both"/>
        <w:rPr>
          <w:rFonts w:ascii="Times New Roman" w:hAnsi="Times New Roman"/>
          <w:color w:val="000000"/>
          <w:sz w:val="20"/>
        </w:rPr>
      </w:pPr>
      <w:r>
        <w:rPr>
          <w:rFonts w:ascii="Times New Roman" w:hAnsi="Times New Roman"/>
          <w:color w:val="000000"/>
          <w:sz w:val="20"/>
        </w:rPr>
        <w:lastRenderedPageBreak/>
        <w:t>Mediante la Comunicación “A” 6651 y modificatorias, el B.C.R.A. dispuso la aplicación de la NIC 29 en forma retroactiva a partir de los ejercicios iniciados el 1 de enero de 2020.</w:t>
      </w:r>
    </w:p>
    <w:p w14:paraId="30DFAE0D" w14:textId="77777777" w:rsidR="002E0A1C" w:rsidRDefault="002E0A1C" w:rsidP="002E0A1C">
      <w:pPr>
        <w:autoSpaceDE w:val="0"/>
        <w:autoSpaceDN w:val="0"/>
        <w:adjustRightInd w:val="0"/>
        <w:spacing w:after="120" w:line="240" w:lineRule="exact"/>
        <w:ind w:left="567"/>
        <w:jc w:val="both"/>
        <w:rPr>
          <w:rFonts w:ascii="Times New Roman" w:hAnsi="Times New Roman"/>
          <w:color w:val="000000"/>
          <w:sz w:val="20"/>
        </w:rPr>
      </w:pPr>
      <w:r>
        <w:rPr>
          <w:rFonts w:ascii="Times New Roman" w:hAnsi="Times New Roman"/>
          <w:color w:val="000000"/>
          <w:sz w:val="20"/>
        </w:rPr>
        <w:t>A tales fines, se utilizan los siguientes índices de precios:</w:t>
      </w:r>
    </w:p>
    <w:p w14:paraId="1024F9B9" w14:textId="77777777" w:rsidR="002E0A1C" w:rsidRDefault="002E0A1C" w:rsidP="00F07536">
      <w:pPr>
        <w:pStyle w:val="Prrafodelista"/>
        <w:numPr>
          <w:ilvl w:val="0"/>
          <w:numId w:val="53"/>
        </w:numPr>
        <w:autoSpaceDE w:val="0"/>
        <w:autoSpaceDN w:val="0"/>
        <w:adjustRightInd w:val="0"/>
        <w:spacing w:after="120" w:line="240" w:lineRule="exact"/>
        <w:ind w:left="993"/>
        <w:jc w:val="both"/>
        <w:rPr>
          <w:color w:val="000000"/>
          <w:sz w:val="20"/>
          <w:szCs w:val="20"/>
          <w:lang w:val="es-AR"/>
        </w:rPr>
      </w:pPr>
      <w:r>
        <w:rPr>
          <w:color w:val="000000"/>
          <w:sz w:val="20"/>
          <w:szCs w:val="20"/>
          <w:lang w:val="es-AR"/>
        </w:rPr>
        <w:t>Para partidas posteriores a diciembre de 2016: Precios al Consumidor (IPC) elaborado por el Instituto Nacional de Estadística y Censos (INDEC).</w:t>
      </w:r>
    </w:p>
    <w:p w14:paraId="758CEF3E" w14:textId="77777777" w:rsidR="002E0A1C" w:rsidRDefault="002E0A1C" w:rsidP="00F07536">
      <w:pPr>
        <w:pStyle w:val="Prrafodelista"/>
        <w:numPr>
          <w:ilvl w:val="0"/>
          <w:numId w:val="53"/>
        </w:numPr>
        <w:autoSpaceDE w:val="0"/>
        <w:autoSpaceDN w:val="0"/>
        <w:adjustRightInd w:val="0"/>
        <w:spacing w:after="120" w:line="240" w:lineRule="exact"/>
        <w:ind w:left="993"/>
        <w:jc w:val="both"/>
        <w:rPr>
          <w:color w:val="000000"/>
          <w:sz w:val="20"/>
          <w:szCs w:val="20"/>
          <w:lang w:val="es-AR"/>
        </w:rPr>
      </w:pPr>
      <w:r>
        <w:rPr>
          <w:color w:val="000000"/>
          <w:sz w:val="20"/>
          <w:szCs w:val="20"/>
          <w:lang w:val="es-AR"/>
        </w:rPr>
        <w:t>Para partidas anteriores a diciembre de 2016: el índice de precios publicado por la Federación Argentina de Consejos Profesionales en Ciencias Económicas (FACPCE).</w:t>
      </w:r>
    </w:p>
    <w:p w14:paraId="3AC310D7" w14:textId="77777777" w:rsidR="002E0A1C" w:rsidRDefault="002E0A1C" w:rsidP="002E0A1C">
      <w:pPr>
        <w:autoSpaceDE w:val="0"/>
        <w:autoSpaceDN w:val="0"/>
        <w:adjustRightInd w:val="0"/>
        <w:spacing w:after="120" w:line="240" w:lineRule="exact"/>
        <w:ind w:left="567"/>
        <w:jc w:val="both"/>
        <w:rPr>
          <w:rFonts w:ascii="Times New Roman" w:hAnsi="Times New Roman"/>
          <w:color w:val="000000"/>
          <w:sz w:val="20"/>
        </w:rPr>
      </w:pPr>
      <w:r>
        <w:rPr>
          <w:rFonts w:ascii="Times New Roman" w:hAnsi="Times New Roman"/>
          <w:color w:val="000000"/>
          <w:sz w:val="20"/>
        </w:rPr>
        <w:t xml:space="preserve">Bajo NIC 29 los activos y pasivos que no están expresados en términos de la unidad de medida del cierre del período de reporte se ajustan aplicando el índice de precios. El monto ajustado de un elemento no monetario se reduce cuando excede su valor recuperable. </w:t>
      </w:r>
    </w:p>
    <w:p w14:paraId="6869D08F" w14:textId="622CA9E6" w:rsidR="002E0A1C" w:rsidRDefault="002E0A1C" w:rsidP="002E0A1C">
      <w:pPr>
        <w:pStyle w:val="Prrafodelista"/>
        <w:tabs>
          <w:tab w:val="left" w:pos="1134"/>
        </w:tabs>
        <w:autoSpaceDE w:val="0"/>
        <w:autoSpaceDN w:val="0"/>
        <w:adjustRightInd w:val="0"/>
        <w:spacing w:after="120" w:line="240" w:lineRule="exact"/>
        <w:ind w:left="567"/>
        <w:jc w:val="both"/>
        <w:rPr>
          <w:color w:val="000000"/>
          <w:sz w:val="20"/>
          <w:szCs w:val="20"/>
          <w:lang w:val="es-AR"/>
        </w:rPr>
      </w:pPr>
      <w:r>
        <w:rPr>
          <w:color w:val="000000"/>
          <w:sz w:val="20"/>
          <w:szCs w:val="20"/>
          <w:lang w:val="es-AR"/>
        </w:rPr>
        <w:t>El impacto de la implementación de la NIC 29 al inicio del primer ejercicio de aplicación es reconocido en Resultados no asignados. Todos los ítems del estado consolidado de resultados y del estado consolidado de otros resultados integrales se reexpresan en términos de la unidad de medida corriente al cierre del período. La ganancia o pérdida sobre la posición monetaria neta se incluye en el estado consolidado de resultados en el rubro “Resultado por la posición monetaria neta”, excepto aquellas relacionadas con las inversiones en instrumentos de patrimonio valuados a valor razonable con cambios en resultado que se exponen en términos reales en el rubro “Resultado neto por medición de instrumentos financieros a valor razonable con cambios en resultados” en el estado consolidado de resultados.</w:t>
      </w:r>
    </w:p>
    <w:p w14:paraId="3E72F097" w14:textId="77777777" w:rsidR="002E0A1C" w:rsidRDefault="002E0A1C" w:rsidP="002E0A1C">
      <w:pPr>
        <w:autoSpaceDE w:val="0"/>
        <w:autoSpaceDN w:val="0"/>
        <w:adjustRightInd w:val="0"/>
        <w:spacing w:after="120" w:line="240" w:lineRule="exact"/>
        <w:ind w:left="567"/>
        <w:jc w:val="both"/>
        <w:rPr>
          <w:rFonts w:ascii="Times New Roman" w:hAnsi="Times New Roman"/>
          <w:color w:val="000000"/>
          <w:sz w:val="20"/>
        </w:rPr>
      </w:pPr>
      <w:r>
        <w:rPr>
          <w:rFonts w:ascii="Times New Roman" w:hAnsi="Times New Roman"/>
          <w:color w:val="000000"/>
          <w:sz w:val="20"/>
        </w:rPr>
        <w:t>El Banco prepara sus estados financieros basados en el enfoque de costo histórico y ha aplicado la NIC 29 como sigue:</w:t>
      </w:r>
    </w:p>
    <w:p w14:paraId="5A84A73F" w14:textId="00F961E0" w:rsidR="002E0A1C" w:rsidRDefault="002E0A1C" w:rsidP="00F07536">
      <w:pPr>
        <w:pStyle w:val="Prrafodelista"/>
        <w:numPr>
          <w:ilvl w:val="0"/>
          <w:numId w:val="54"/>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Se reexpresó el estado de situación financiera al 31 de diciembre de 2020 en términos de la unidad de medida corriente al 3</w:t>
      </w:r>
      <w:r w:rsidR="004B08B2">
        <w:rPr>
          <w:color w:val="000000"/>
          <w:sz w:val="20"/>
          <w:szCs w:val="20"/>
          <w:lang w:val="es-AR"/>
        </w:rPr>
        <w:t>0</w:t>
      </w:r>
      <w:r>
        <w:rPr>
          <w:color w:val="000000"/>
          <w:sz w:val="20"/>
          <w:szCs w:val="20"/>
          <w:lang w:val="es-AR"/>
        </w:rPr>
        <w:t xml:space="preserve"> de </w:t>
      </w:r>
      <w:r w:rsidR="0064516F">
        <w:rPr>
          <w:color w:val="000000"/>
          <w:sz w:val="20"/>
          <w:szCs w:val="20"/>
          <w:lang w:val="es-AR"/>
        </w:rPr>
        <w:t>septiembre</w:t>
      </w:r>
      <w:r>
        <w:rPr>
          <w:color w:val="000000"/>
          <w:sz w:val="20"/>
          <w:szCs w:val="20"/>
          <w:lang w:val="es-AR"/>
        </w:rPr>
        <w:t xml:space="preserve"> de 2021;</w:t>
      </w:r>
    </w:p>
    <w:p w14:paraId="2E110649" w14:textId="475C14F4" w:rsidR="002E0A1C" w:rsidRDefault="002E0A1C" w:rsidP="00F07536">
      <w:pPr>
        <w:pStyle w:val="Prrafodelista"/>
        <w:numPr>
          <w:ilvl w:val="0"/>
          <w:numId w:val="54"/>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Se reexpresó el estado de resultados, el estado de otros resultados integrales, el estado de cambios en el patrimonio y el estado de flujos de fondos finalizado el 3</w:t>
      </w:r>
      <w:r w:rsidR="004B08B2">
        <w:rPr>
          <w:color w:val="000000"/>
          <w:sz w:val="20"/>
          <w:szCs w:val="20"/>
          <w:lang w:val="es-AR"/>
        </w:rPr>
        <w:t>0</w:t>
      </w:r>
      <w:r>
        <w:rPr>
          <w:color w:val="000000"/>
          <w:sz w:val="20"/>
          <w:szCs w:val="20"/>
          <w:lang w:val="es-AR"/>
        </w:rPr>
        <w:t xml:space="preserve"> de </w:t>
      </w:r>
      <w:r w:rsidR="0064516F">
        <w:rPr>
          <w:color w:val="000000"/>
          <w:sz w:val="20"/>
          <w:szCs w:val="20"/>
          <w:lang w:val="es-AR"/>
        </w:rPr>
        <w:t>septiembre</w:t>
      </w:r>
      <w:r>
        <w:rPr>
          <w:color w:val="000000"/>
          <w:sz w:val="20"/>
          <w:szCs w:val="20"/>
          <w:lang w:val="es-AR"/>
        </w:rPr>
        <w:t xml:space="preserve"> de 2020 en términos de la unidad de medida corriente al 3</w:t>
      </w:r>
      <w:r w:rsidR="004B08B2">
        <w:rPr>
          <w:color w:val="000000"/>
          <w:sz w:val="20"/>
          <w:szCs w:val="20"/>
          <w:lang w:val="es-AR"/>
        </w:rPr>
        <w:t>0</w:t>
      </w:r>
      <w:r>
        <w:rPr>
          <w:color w:val="000000"/>
          <w:sz w:val="20"/>
          <w:szCs w:val="20"/>
          <w:lang w:val="es-AR"/>
        </w:rPr>
        <w:t xml:space="preserve"> de </w:t>
      </w:r>
      <w:r w:rsidR="0064516F">
        <w:rPr>
          <w:color w:val="000000"/>
          <w:sz w:val="20"/>
          <w:szCs w:val="20"/>
          <w:lang w:val="es-AR"/>
        </w:rPr>
        <w:t>septiembre</w:t>
      </w:r>
      <w:r>
        <w:rPr>
          <w:color w:val="000000"/>
          <w:sz w:val="20"/>
          <w:szCs w:val="20"/>
          <w:lang w:val="es-AR"/>
        </w:rPr>
        <w:t xml:space="preserve"> de 2021, determinando y revelando en forma separada la ganancia o pérdida sobre la posición monetaria neta;</w:t>
      </w:r>
    </w:p>
    <w:p w14:paraId="5E2AF5A9" w14:textId="289A6963" w:rsidR="002E0A1C" w:rsidRDefault="002E0A1C" w:rsidP="00F07536">
      <w:pPr>
        <w:pStyle w:val="Prrafodelista"/>
        <w:numPr>
          <w:ilvl w:val="0"/>
          <w:numId w:val="54"/>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Se recalculó el importe de Otros resultados integrales acumulados al 31 de diciembre de 2020 y Otros resultados integrales del período al 3</w:t>
      </w:r>
      <w:r w:rsidR="004B08B2">
        <w:rPr>
          <w:color w:val="000000"/>
          <w:sz w:val="20"/>
          <w:szCs w:val="20"/>
          <w:lang w:val="es-AR"/>
        </w:rPr>
        <w:t>0</w:t>
      </w:r>
      <w:r>
        <w:rPr>
          <w:color w:val="000000"/>
          <w:sz w:val="20"/>
          <w:szCs w:val="20"/>
          <w:lang w:val="es-AR"/>
        </w:rPr>
        <w:t xml:space="preserve"> de </w:t>
      </w:r>
      <w:r w:rsidR="0064516F">
        <w:rPr>
          <w:color w:val="000000"/>
          <w:sz w:val="20"/>
          <w:szCs w:val="20"/>
          <w:lang w:val="es-AR"/>
        </w:rPr>
        <w:t>septiembre</w:t>
      </w:r>
      <w:r>
        <w:rPr>
          <w:color w:val="000000"/>
          <w:sz w:val="20"/>
          <w:szCs w:val="20"/>
          <w:lang w:val="es-AR"/>
        </w:rPr>
        <w:t xml:space="preserve"> de 2020  haciendo uso de la opción establecida por la Comunicación "A" 7222 del B.C.R.A. que permitió la aplicación anticipada de las disposiciones indicadas en la Comunicación "A" 7211 dejando sin efecto lo dispuesto por la Comunicación "A" 6849 en relación con la presentación de la pérdida monetaria asociada a las posiciones registradas a valor razonable con impacto en Otros Resultados Integrales</w:t>
      </w:r>
    </w:p>
    <w:p w14:paraId="311F37C0" w14:textId="252D076C" w:rsidR="002E0A1C" w:rsidRDefault="002E0A1C" w:rsidP="00F07536">
      <w:pPr>
        <w:pStyle w:val="Prrafodelista"/>
        <w:numPr>
          <w:ilvl w:val="0"/>
          <w:numId w:val="54"/>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Se reexpresó el estado de situación financiera al 3</w:t>
      </w:r>
      <w:r w:rsidR="004B08B2">
        <w:rPr>
          <w:color w:val="000000"/>
          <w:sz w:val="20"/>
          <w:szCs w:val="20"/>
          <w:lang w:val="es-AR"/>
        </w:rPr>
        <w:t>0</w:t>
      </w:r>
      <w:r>
        <w:rPr>
          <w:color w:val="000000"/>
          <w:sz w:val="20"/>
          <w:szCs w:val="20"/>
          <w:lang w:val="es-AR"/>
        </w:rPr>
        <w:t xml:space="preserve"> de </w:t>
      </w:r>
      <w:r w:rsidR="0064516F">
        <w:rPr>
          <w:color w:val="000000"/>
          <w:sz w:val="20"/>
          <w:szCs w:val="20"/>
          <w:lang w:val="es-AR"/>
        </w:rPr>
        <w:t>septiembre</w:t>
      </w:r>
      <w:r w:rsidR="004B08B2">
        <w:rPr>
          <w:color w:val="000000"/>
          <w:sz w:val="20"/>
          <w:szCs w:val="20"/>
          <w:lang w:val="es-AR"/>
        </w:rPr>
        <w:t xml:space="preserve"> </w:t>
      </w:r>
      <w:r>
        <w:rPr>
          <w:color w:val="000000"/>
          <w:sz w:val="20"/>
          <w:szCs w:val="20"/>
          <w:lang w:val="es-AR"/>
        </w:rPr>
        <w:t>de 2021;</w:t>
      </w:r>
    </w:p>
    <w:p w14:paraId="15AA950C" w14:textId="6AD0F311" w:rsidR="002E0A1C" w:rsidRDefault="002E0A1C" w:rsidP="00F07536">
      <w:pPr>
        <w:pStyle w:val="Prrafodelista"/>
        <w:numPr>
          <w:ilvl w:val="0"/>
          <w:numId w:val="54"/>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Se reexpresó el estado de resultados, el estado de otros resultados integrales, el estado de cambios en el patrimonio y el estado de flujos de fondos finalizado el 3</w:t>
      </w:r>
      <w:r w:rsidR="004B08B2">
        <w:rPr>
          <w:color w:val="000000"/>
          <w:sz w:val="20"/>
          <w:szCs w:val="20"/>
          <w:lang w:val="es-AR"/>
        </w:rPr>
        <w:t>0</w:t>
      </w:r>
      <w:r>
        <w:rPr>
          <w:color w:val="000000"/>
          <w:sz w:val="20"/>
          <w:szCs w:val="20"/>
          <w:lang w:val="es-AR"/>
        </w:rPr>
        <w:t xml:space="preserve"> de</w:t>
      </w:r>
      <w:r w:rsidR="004B08B2">
        <w:rPr>
          <w:color w:val="000000"/>
          <w:sz w:val="20"/>
          <w:szCs w:val="20"/>
          <w:lang w:val="es-AR"/>
        </w:rPr>
        <w:t xml:space="preserve"> </w:t>
      </w:r>
      <w:r w:rsidR="0064516F">
        <w:rPr>
          <w:color w:val="000000"/>
          <w:sz w:val="20"/>
          <w:szCs w:val="20"/>
          <w:lang w:val="es-AR"/>
        </w:rPr>
        <w:t>septiembre</w:t>
      </w:r>
      <w:r>
        <w:rPr>
          <w:color w:val="000000"/>
          <w:sz w:val="20"/>
          <w:szCs w:val="20"/>
          <w:lang w:val="es-AR"/>
        </w:rPr>
        <w:t xml:space="preserve"> de 2021, determinando y revelando en forma separada la ganancia o pérdida sobre la posición monetaria neta.</w:t>
      </w:r>
    </w:p>
    <w:p w14:paraId="0B541B1C" w14:textId="77777777" w:rsidR="0021727D" w:rsidRDefault="0021727D" w:rsidP="002E0A1C">
      <w:pPr>
        <w:autoSpaceDE w:val="0"/>
        <w:autoSpaceDN w:val="0"/>
        <w:adjustRightInd w:val="0"/>
        <w:spacing w:after="120" w:line="240" w:lineRule="exact"/>
        <w:ind w:left="567"/>
        <w:jc w:val="both"/>
        <w:rPr>
          <w:rFonts w:ascii="Times New Roman" w:hAnsi="Times New Roman"/>
          <w:color w:val="000000"/>
          <w:sz w:val="20"/>
        </w:rPr>
      </w:pPr>
    </w:p>
    <w:p w14:paraId="34A0C8A8" w14:textId="77777777" w:rsidR="0021727D" w:rsidRDefault="0021727D" w:rsidP="002E0A1C">
      <w:pPr>
        <w:autoSpaceDE w:val="0"/>
        <w:autoSpaceDN w:val="0"/>
        <w:adjustRightInd w:val="0"/>
        <w:spacing w:after="120" w:line="240" w:lineRule="exact"/>
        <w:ind w:left="567"/>
        <w:jc w:val="both"/>
        <w:rPr>
          <w:rFonts w:ascii="Times New Roman" w:hAnsi="Times New Roman"/>
          <w:color w:val="000000"/>
          <w:sz w:val="20"/>
        </w:rPr>
      </w:pPr>
    </w:p>
    <w:p w14:paraId="173E9373" w14:textId="77777777" w:rsidR="0021727D" w:rsidRDefault="0021727D" w:rsidP="002E0A1C">
      <w:pPr>
        <w:autoSpaceDE w:val="0"/>
        <w:autoSpaceDN w:val="0"/>
        <w:adjustRightInd w:val="0"/>
        <w:spacing w:after="120" w:line="240" w:lineRule="exact"/>
        <w:ind w:left="567"/>
        <w:jc w:val="both"/>
        <w:rPr>
          <w:rFonts w:ascii="Times New Roman" w:hAnsi="Times New Roman"/>
          <w:color w:val="000000"/>
          <w:sz w:val="20"/>
        </w:rPr>
      </w:pPr>
    </w:p>
    <w:p w14:paraId="4C24AE19" w14:textId="77777777" w:rsidR="002E0A1C" w:rsidRDefault="002E0A1C" w:rsidP="002E0A1C">
      <w:pPr>
        <w:autoSpaceDE w:val="0"/>
        <w:autoSpaceDN w:val="0"/>
        <w:adjustRightInd w:val="0"/>
        <w:spacing w:after="120" w:line="240" w:lineRule="exact"/>
        <w:ind w:left="567"/>
        <w:jc w:val="both"/>
        <w:rPr>
          <w:rFonts w:ascii="Times New Roman" w:hAnsi="Times New Roman"/>
          <w:color w:val="000000"/>
          <w:sz w:val="20"/>
        </w:rPr>
      </w:pPr>
      <w:r>
        <w:rPr>
          <w:rFonts w:ascii="Times New Roman" w:hAnsi="Times New Roman"/>
          <w:color w:val="000000"/>
          <w:sz w:val="20"/>
        </w:rPr>
        <w:t>A fin de aplicar la NIC 29 al Estado de situación financiera, el Banco aplicó la siguiente metodología y criterios:</w:t>
      </w:r>
    </w:p>
    <w:p w14:paraId="3637CC86" w14:textId="77777777" w:rsidR="002E0A1C" w:rsidRDefault="002E0A1C" w:rsidP="00F07536">
      <w:pPr>
        <w:pStyle w:val="Prrafodelista"/>
        <w:numPr>
          <w:ilvl w:val="0"/>
          <w:numId w:val="55"/>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Los activos y pasivos no monetarios fueron reexpresados aplicando el índice de precios, desde la fecha de su incorporación. Los montos reexpresados han sido reducidos a su valor recuperable aplicando la NIIF correspondiente, de corresponder.</w:t>
      </w:r>
    </w:p>
    <w:p w14:paraId="15AE098C" w14:textId="77777777" w:rsidR="002E0A1C" w:rsidRDefault="002E0A1C" w:rsidP="00F07536">
      <w:pPr>
        <w:pStyle w:val="Prrafodelista"/>
        <w:numPr>
          <w:ilvl w:val="0"/>
          <w:numId w:val="55"/>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Los activos y pasivos monetarios no fueron reexpresados.</w:t>
      </w:r>
    </w:p>
    <w:p w14:paraId="50B103AB" w14:textId="77777777" w:rsidR="002E0A1C" w:rsidRDefault="002E0A1C" w:rsidP="00F07536">
      <w:pPr>
        <w:pStyle w:val="Prrafodelista"/>
        <w:numPr>
          <w:ilvl w:val="0"/>
          <w:numId w:val="55"/>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Activos y pasivos relacionados contractualmente a cambios de precios, tales como títulos y préstamos indexables, fueron medidos en función del contrato pertinente.</w:t>
      </w:r>
    </w:p>
    <w:p w14:paraId="31E69FB9" w14:textId="77777777" w:rsidR="002E0A1C" w:rsidRDefault="002E0A1C" w:rsidP="00F07536">
      <w:pPr>
        <w:pStyle w:val="Prrafodelista"/>
        <w:numPr>
          <w:ilvl w:val="0"/>
          <w:numId w:val="55"/>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La medición de las inversiones contabilizadas aplicando el método de la participación, se realizó en base a información de las asociadas y de los negocios conjuntos preparada de acuerdo con NIC 29.</w:t>
      </w:r>
    </w:p>
    <w:p w14:paraId="778A458F" w14:textId="77777777" w:rsidR="002E0A1C" w:rsidRDefault="002E0A1C" w:rsidP="00F07536">
      <w:pPr>
        <w:pStyle w:val="Prrafodelista"/>
        <w:numPr>
          <w:ilvl w:val="0"/>
          <w:numId w:val="55"/>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Los activos y pasivos por impuesto a las ganancias diferido fueron recalculados en función de los valores reexpresados.</w:t>
      </w:r>
    </w:p>
    <w:p w14:paraId="0E9B787C" w14:textId="77777777" w:rsidR="002E0A1C" w:rsidRDefault="002E0A1C" w:rsidP="002E0A1C">
      <w:pPr>
        <w:autoSpaceDE w:val="0"/>
        <w:autoSpaceDN w:val="0"/>
        <w:adjustRightInd w:val="0"/>
        <w:spacing w:after="120" w:line="240" w:lineRule="exact"/>
        <w:ind w:left="567"/>
        <w:jc w:val="both"/>
        <w:rPr>
          <w:rFonts w:ascii="Times New Roman" w:hAnsi="Times New Roman"/>
          <w:color w:val="000000"/>
          <w:sz w:val="20"/>
        </w:rPr>
      </w:pPr>
      <w:r>
        <w:rPr>
          <w:rFonts w:ascii="Times New Roman" w:hAnsi="Times New Roman"/>
          <w:color w:val="000000"/>
          <w:sz w:val="20"/>
        </w:rPr>
        <w:t>A fin de aplicar la NIC 29 al Estado de resultados, al estado de otros resultados integrales, y al estado de flujos de efectivo, el Banco aplicó la siguiente metodología y criterios:</w:t>
      </w:r>
    </w:p>
    <w:p w14:paraId="7D69F87F" w14:textId="29392D71" w:rsidR="002E0A1C" w:rsidRDefault="002E0A1C" w:rsidP="00F07536">
      <w:pPr>
        <w:pStyle w:val="Prrafodelista"/>
        <w:numPr>
          <w:ilvl w:val="0"/>
          <w:numId w:val="56"/>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Todos los ítems del Estado de resultados, del estado de otros resultados integrales, y del estado de flujos de efectivo fueron reexpresados en términos de la unidad de medida corriente al 3</w:t>
      </w:r>
      <w:r w:rsidR="004B08B2">
        <w:rPr>
          <w:color w:val="000000"/>
          <w:sz w:val="20"/>
          <w:szCs w:val="20"/>
          <w:lang w:val="es-AR"/>
        </w:rPr>
        <w:t>0</w:t>
      </w:r>
      <w:r>
        <w:rPr>
          <w:color w:val="000000"/>
          <w:sz w:val="20"/>
          <w:szCs w:val="20"/>
          <w:lang w:val="es-AR"/>
        </w:rPr>
        <w:t xml:space="preserve"> de </w:t>
      </w:r>
      <w:r w:rsidR="0064516F">
        <w:rPr>
          <w:color w:val="000000"/>
          <w:sz w:val="20"/>
          <w:szCs w:val="20"/>
          <w:lang w:val="es-AR"/>
        </w:rPr>
        <w:t>septiembre</w:t>
      </w:r>
      <w:r>
        <w:rPr>
          <w:color w:val="000000"/>
          <w:sz w:val="20"/>
          <w:szCs w:val="20"/>
          <w:lang w:val="es-AR"/>
        </w:rPr>
        <w:t xml:space="preserve"> de 2021.</w:t>
      </w:r>
    </w:p>
    <w:p w14:paraId="656F1CF7" w14:textId="77777777" w:rsidR="002E0A1C" w:rsidRDefault="002E0A1C" w:rsidP="00F07536">
      <w:pPr>
        <w:pStyle w:val="Prrafodelista"/>
        <w:numPr>
          <w:ilvl w:val="0"/>
          <w:numId w:val="56"/>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La ganancia o pérdida por la posición monetaria neta se incluye en el Estado de resultados (con las excepciones mencionadas anteriormente respecto de las inversiones en instrumentos del patrimonio valuadas a valor razonable).</w:t>
      </w:r>
    </w:p>
    <w:p w14:paraId="76834ED7" w14:textId="4EF60E81" w:rsidR="002E0A1C" w:rsidRPr="0010644F" w:rsidRDefault="002E0A1C" w:rsidP="00F07536">
      <w:pPr>
        <w:pStyle w:val="Prrafodelista"/>
        <w:numPr>
          <w:ilvl w:val="0"/>
          <w:numId w:val="56"/>
        </w:numPr>
        <w:autoSpaceDE w:val="0"/>
        <w:autoSpaceDN w:val="0"/>
        <w:adjustRightInd w:val="0"/>
        <w:spacing w:after="120" w:line="240" w:lineRule="exact"/>
        <w:ind w:left="1134"/>
        <w:jc w:val="both"/>
        <w:rPr>
          <w:color w:val="000000"/>
          <w:sz w:val="20"/>
          <w:szCs w:val="20"/>
          <w:lang w:val="es-AR"/>
        </w:rPr>
      </w:pPr>
      <w:r>
        <w:rPr>
          <w:color w:val="000000"/>
          <w:sz w:val="20"/>
          <w:szCs w:val="20"/>
          <w:lang w:val="es-AR"/>
        </w:rPr>
        <w:t xml:space="preserve">La ganancia o pérdida generada por el efectivo y equivalentes de efectivo se presenta en el Estado de flujos de efectivo en forma separada de los flujos de fondos de las actividades operativas, de inversión y de financiación, como un concepto de reconciliación entre el efectivo y equivalentes de efectivo al </w:t>
      </w:r>
      <w:r w:rsidRPr="0010644F">
        <w:rPr>
          <w:color w:val="000000"/>
          <w:sz w:val="20"/>
          <w:szCs w:val="20"/>
          <w:lang w:val="es-AR"/>
        </w:rPr>
        <w:t>inicio del ejercicio y al cierre del período.</w:t>
      </w:r>
    </w:p>
    <w:p w14:paraId="509755B6" w14:textId="77777777" w:rsidR="00E4133F" w:rsidRPr="0010644F" w:rsidRDefault="00E4133F" w:rsidP="00D92D2E">
      <w:pPr>
        <w:autoSpaceDE w:val="0"/>
        <w:autoSpaceDN w:val="0"/>
        <w:adjustRightInd w:val="0"/>
        <w:spacing w:after="120" w:line="240" w:lineRule="exact"/>
        <w:ind w:left="567"/>
        <w:jc w:val="both"/>
        <w:rPr>
          <w:rFonts w:ascii="Times New Roman" w:hAnsi="Times New Roman"/>
          <w:b/>
          <w:color w:val="000000"/>
          <w:sz w:val="20"/>
        </w:rPr>
      </w:pPr>
    </w:p>
    <w:p w14:paraId="46057C06" w14:textId="77777777" w:rsidR="00AC0EBC" w:rsidRPr="008A0C1A" w:rsidRDefault="00AC0EBC" w:rsidP="008C709E">
      <w:pPr>
        <w:pStyle w:val="Prrafodelista"/>
        <w:numPr>
          <w:ilvl w:val="0"/>
          <w:numId w:val="11"/>
        </w:numPr>
        <w:tabs>
          <w:tab w:val="num" w:pos="-1843"/>
        </w:tabs>
        <w:spacing w:before="240"/>
        <w:ind w:right="-427"/>
        <w:rPr>
          <w:b/>
          <w:sz w:val="20"/>
          <w:szCs w:val="20"/>
          <w:lang w:val="es-AR"/>
        </w:rPr>
      </w:pPr>
      <w:r w:rsidRPr="008A0C1A">
        <w:rPr>
          <w:b/>
          <w:sz w:val="20"/>
          <w:szCs w:val="20"/>
          <w:lang w:val="es-AR"/>
        </w:rPr>
        <w:t>Juicios y estimaciones contables</w:t>
      </w:r>
    </w:p>
    <w:p w14:paraId="3215067E" w14:textId="77777777" w:rsidR="00720537" w:rsidRDefault="00720537" w:rsidP="00720537">
      <w:pPr>
        <w:spacing w:after="120"/>
        <w:ind w:left="607"/>
        <w:jc w:val="both"/>
        <w:rPr>
          <w:rFonts w:ascii="Times New Roman" w:hAnsi="Times New Roman"/>
          <w:sz w:val="20"/>
        </w:rPr>
      </w:pPr>
    </w:p>
    <w:p w14:paraId="1786EEBC" w14:textId="575338D0" w:rsidR="00720537" w:rsidRPr="0021681B" w:rsidRDefault="00C9698B" w:rsidP="00720537">
      <w:pPr>
        <w:spacing w:after="120"/>
        <w:ind w:left="607"/>
        <w:jc w:val="both"/>
        <w:rPr>
          <w:rFonts w:ascii="Times New Roman" w:hAnsi="Times New Roman"/>
          <w:sz w:val="20"/>
        </w:rPr>
      </w:pPr>
      <w:r w:rsidRPr="0021681B">
        <w:rPr>
          <w:rFonts w:ascii="Times New Roman" w:hAnsi="Times New Roman"/>
          <w:sz w:val="20"/>
        </w:rPr>
        <w:t>Los juicios significativos realizados por la Dirección en la aplicación de las políticas contables así como las premisas y estimaciones sobre incertidumbres al 3</w:t>
      </w:r>
      <w:r w:rsidR="00F64133" w:rsidRPr="0021681B">
        <w:rPr>
          <w:rFonts w:ascii="Times New Roman" w:hAnsi="Times New Roman"/>
          <w:sz w:val="20"/>
        </w:rPr>
        <w:t>0</w:t>
      </w:r>
      <w:r w:rsidRPr="0021681B">
        <w:rPr>
          <w:rFonts w:ascii="Times New Roman" w:hAnsi="Times New Roman"/>
          <w:sz w:val="20"/>
        </w:rPr>
        <w:t xml:space="preserve"> de</w:t>
      </w:r>
      <w:r w:rsidR="00F64133" w:rsidRPr="0021681B">
        <w:rPr>
          <w:rFonts w:ascii="Times New Roman" w:hAnsi="Times New Roman"/>
          <w:sz w:val="20"/>
        </w:rPr>
        <w:t xml:space="preserve"> </w:t>
      </w:r>
      <w:r w:rsidR="0064516F">
        <w:rPr>
          <w:rFonts w:ascii="Times New Roman" w:hAnsi="Times New Roman"/>
          <w:sz w:val="20"/>
        </w:rPr>
        <w:t>septiembre</w:t>
      </w:r>
      <w:r w:rsidRPr="0021681B">
        <w:rPr>
          <w:rFonts w:ascii="Times New Roman" w:hAnsi="Times New Roman"/>
          <w:sz w:val="20"/>
        </w:rPr>
        <w:t xml:space="preserve"> de 2021 fueron los mismos que los descriptos en la Nota 4.1. y 4.2. a los estados financieros consolidados al 31 de diciembre de 20</w:t>
      </w:r>
      <w:r w:rsidR="00B03C34" w:rsidRPr="0021681B">
        <w:rPr>
          <w:rFonts w:ascii="Times New Roman" w:hAnsi="Times New Roman"/>
          <w:sz w:val="20"/>
        </w:rPr>
        <w:t>20</w:t>
      </w:r>
      <w:r w:rsidR="00720537" w:rsidRPr="0021681B">
        <w:rPr>
          <w:rFonts w:ascii="Times New Roman" w:hAnsi="Times New Roman"/>
          <w:sz w:val="20"/>
        </w:rPr>
        <w:t>, excepto lo mencionado en la Nota 43 b.3) – “Técnicas de valuación para niveles 2 y 3” relacionado con la valuación de las Obligaciones Negociables.</w:t>
      </w:r>
    </w:p>
    <w:p w14:paraId="1DA3DABF" w14:textId="5FC8197A" w:rsidR="00C9698B" w:rsidRDefault="00C9698B" w:rsidP="00C9698B">
      <w:pPr>
        <w:spacing w:after="120" w:line="240" w:lineRule="exact"/>
        <w:ind w:left="567"/>
        <w:jc w:val="both"/>
        <w:rPr>
          <w:rFonts w:ascii="Times New Roman" w:hAnsi="Times New Roman"/>
          <w:sz w:val="20"/>
        </w:rPr>
      </w:pPr>
      <w:r w:rsidRPr="0021681B">
        <w:rPr>
          <w:rFonts w:ascii="Times New Roman" w:hAnsi="Times New Roman"/>
          <w:sz w:val="20"/>
        </w:rPr>
        <w:t>Asimismo, el Grupo aplica las mismas metodologías para la determinación de los valores razonables y los</w:t>
      </w:r>
      <w:r w:rsidRPr="0010644F">
        <w:rPr>
          <w:rFonts w:ascii="Times New Roman" w:hAnsi="Times New Roman"/>
          <w:sz w:val="20"/>
        </w:rPr>
        <w:t xml:space="preserve"> mismo</w:t>
      </w:r>
      <w:r w:rsidRPr="00601404">
        <w:rPr>
          <w:rFonts w:ascii="Times New Roman" w:hAnsi="Times New Roman"/>
          <w:sz w:val="20"/>
        </w:rPr>
        <w:t>s criterios para la clasificación de los niveles de jerarquía de valores razonables descriptos en la Nota 4.3. a los estados financieros consolidados al 31 de diciembre de 20</w:t>
      </w:r>
      <w:r w:rsidR="00B03C34" w:rsidRPr="00601404">
        <w:rPr>
          <w:rFonts w:ascii="Times New Roman" w:hAnsi="Times New Roman"/>
          <w:sz w:val="20"/>
        </w:rPr>
        <w:t>20</w:t>
      </w:r>
      <w:r w:rsidRPr="00601404">
        <w:rPr>
          <w:rFonts w:ascii="Times New Roman" w:hAnsi="Times New Roman"/>
          <w:sz w:val="20"/>
        </w:rPr>
        <w:t>.</w:t>
      </w:r>
    </w:p>
    <w:p w14:paraId="7E9F9EEF" w14:textId="77777777" w:rsidR="00587178" w:rsidRDefault="00587178" w:rsidP="00C9698B">
      <w:pPr>
        <w:spacing w:after="120" w:line="240" w:lineRule="exact"/>
        <w:ind w:left="567"/>
        <w:jc w:val="both"/>
        <w:rPr>
          <w:rFonts w:ascii="Times New Roman" w:hAnsi="Times New Roman"/>
          <w:sz w:val="20"/>
        </w:rPr>
      </w:pPr>
    </w:p>
    <w:p w14:paraId="4C618043" w14:textId="77777777" w:rsidR="0064516F" w:rsidRDefault="0064516F" w:rsidP="00C9698B">
      <w:pPr>
        <w:spacing w:after="120" w:line="240" w:lineRule="exact"/>
        <w:ind w:left="567"/>
        <w:jc w:val="both"/>
        <w:rPr>
          <w:rFonts w:ascii="Times New Roman" w:hAnsi="Times New Roman"/>
          <w:sz w:val="20"/>
        </w:rPr>
      </w:pPr>
    </w:p>
    <w:p w14:paraId="24A1E312" w14:textId="356274E9" w:rsidR="0062068F" w:rsidRPr="00A14AB2" w:rsidRDefault="0068064E" w:rsidP="008C709E">
      <w:pPr>
        <w:pStyle w:val="Prrafodelista"/>
        <w:numPr>
          <w:ilvl w:val="0"/>
          <w:numId w:val="11"/>
        </w:numPr>
        <w:autoSpaceDE w:val="0"/>
        <w:autoSpaceDN w:val="0"/>
        <w:adjustRightInd w:val="0"/>
        <w:spacing w:before="240" w:after="120"/>
        <w:jc w:val="both"/>
        <w:rPr>
          <w:b/>
          <w:sz w:val="20"/>
          <w:szCs w:val="20"/>
          <w:lang w:val="es-AR"/>
        </w:rPr>
      </w:pPr>
      <w:r w:rsidRPr="00A14AB2">
        <w:rPr>
          <w:b/>
          <w:color w:val="000000"/>
          <w:sz w:val="20"/>
          <w:szCs w:val="20"/>
          <w:lang w:val="es-AR"/>
        </w:rPr>
        <w:t>Polí</w:t>
      </w:r>
      <w:r w:rsidR="0062068F" w:rsidRPr="00A14AB2">
        <w:rPr>
          <w:b/>
          <w:color w:val="000000"/>
          <w:sz w:val="20"/>
          <w:szCs w:val="20"/>
          <w:lang w:val="es-AR"/>
        </w:rPr>
        <w:t>ticas contables significativas</w:t>
      </w:r>
      <w:r w:rsidR="00836986" w:rsidRPr="00A14AB2">
        <w:rPr>
          <w:b/>
          <w:color w:val="000000"/>
          <w:sz w:val="20"/>
          <w:szCs w:val="20"/>
          <w:lang w:val="es-AR"/>
        </w:rPr>
        <w:t xml:space="preserve"> y lineamientos del B.C.R.A.</w:t>
      </w:r>
    </w:p>
    <w:p w14:paraId="23EBF482" w14:textId="7DD586BC" w:rsidR="00B03C34" w:rsidRPr="00A14AB2" w:rsidRDefault="00836986" w:rsidP="008C709E">
      <w:pPr>
        <w:autoSpaceDE w:val="0"/>
        <w:autoSpaceDN w:val="0"/>
        <w:adjustRightInd w:val="0"/>
        <w:spacing w:before="240" w:after="120" w:line="240" w:lineRule="exact"/>
        <w:ind w:left="567"/>
        <w:jc w:val="both"/>
        <w:rPr>
          <w:rFonts w:ascii="Times New Roman" w:hAnsi="Times New Roman"/>
          <w:color w:val="000000"/>
          <w:sz w:val="20"/>
        </w:rPr>
      </w:pPr>
      <w:r w:rsidRPr="00A14AB2">
        <w:rPr>
          <w:rFonts w:ascii="Times New Roman" w:hAnsi="Times New Roman"/>
          <w:color w:val="000000"/>
          <w:sz w:val="20"/>
        </w:rPr>
        <w:t>En estos estados financieros intermedios consolidados condensados, la Entidad aplicó las mismas políticas y lineamientos provistos por el B.C.R.A. que en la preparación de sus estados financieros al 31 de diciembre de 2020, excepto por lo indicado en nota 15.c) apartado "Ajuste por inflación impositivo. Ejercicios fiscales 2016, 2017 y 2018."</w:t>
      </w:r>
    </w:p>
    <w:p w14:paraId="254377E3" w14:textId="53FF2B42" w:rsidR="00BA500A" w:rsidRPr="00A14AB2" w:rsidRDefault="00447A15" w:rsidP="008C709E">
      <w:pPr>
        <w:autoSpaceDE w:val="0"/>
        <w:autoSpaceDN w:val="0"/>
        <w:adjustRightInd w:val="0"/>
        <w:spacing w:before="240" w:after="120" w:line="240" w:lineRule="exact"/>
        <w:ind w:left="567"/>
        <w:jc w:val="both"/>
        <w:rPr>
          <w:rFonts w:ascii="Times New Roman" w:hAnsi="Times New Roman"/>
          <w:b/>
          <w:color w:val="000000"/>
          <w:sz w:val="20"/>
          <w:lang w:eastAsia="en-US"/>
        </w:rPr>
      </w:pPr>
      <w:r w:rsidRPr="00A14AB2">
        <w:rPr>
          <w:rFonts w:ascii="Times New Roman" w:hAnsi="Times New Roman"/>
          <w:b/>
          <w:color w:val="000000"/>
          <w:sz w:val="20"/>
          <w:lang w:eastAsia="en-US"/>
        </w:rPr>
        <w:t xml:space="preserve">5.1   </w:t>
      </w:r>
      <w:r w:rsidR="00BA500A" w:rsidRPr="00A14AB2">
        <w:rPr>
          <w:rFonts w:ascii="Times New Roman" w:hAnsi="Times New Roman"/>
          <w:b/>
          <w:color w:val="000000"/>
          <w:sz w:val="20"/>
          <w:lang w:eastAsia="en-US"/>
        </w:rPr>
        <w:t>Información comparativa</w:t>
      </w:r>
    </w:p>
    <w:p w14:paraId="47133906" w14:textId="4CE7CB8D" w:rsidR="00F40C2D" w:rsidRPr="00A14AB2" w:rsidRDefault="00BA500A" w:rsidP="008C709E">
      <w:pPr>
        <w:autoSpaceDE w:val="0"/>
        <w:autoSpaceDN w:val="0"/>
        <w:adjustRightInd w:val="0"/>
        <w:spacing w:before="240" w:after="120" w:line="240" w:lineRule="exact"/>
        <w:ind w:left="709"/>
        <w:jc w:val="both"/>
        <w:rPr>
          <w:rFonts w:ascii="Times New Roman" w:hAnsi="Times New Roman"/>
          <w:color w:val="000000"/>
          <w:sz w:val="20"/>
          <w:lang w:eastAsia="en-US"/>
        </w:rPr>
      </w:pPr>
      <w:r w:rsidRPr="00A14AB2">
        <w:rPr>
          <w:rFonts w:ascii="Times New Roman" w:hAnsi="Times New Roman"/>
          <w:color w:val="000000"/>
          <w:sz w:val="20"/>
          <w:lang w:eastAsia="en-US"/>
        </w:rPr>
        <w:t>El estado consolidado de situación financiera</w:t>
      </w:r>
      <w:r w:rsidR="00F50E29" w:rsidRPr="00A14AB2">
        <w:rPr>
          <w:rFonts w:ascii="Times New Roman" w:hAnsi="Times New Roman"/>
          <w:color w:val="000000"/>
          <w:sz w:val="20"/>
          <w:lang w:eastAsia="en-US"/>
        </w:rPr>
        <w:t xml:space="preserve"> condensado</w:t>
      </w:r>
      <w:r w:rsidRPr="00A14AB2">
        <w:rPr>
          <w:rFonts w:ascii="Times New Roman" w:hAnsi="Times New Roman"/>
          <w:color w:val="000000"/>
          <w:sz w:val="20"/>
          <w:lang w:eastAsia="en-US"/>
        </w:rPr>
        <w:t xml:space="preserve"> al 3</w:t>
      </w:r>
      <w:r w:rsidR="00F64133" w:rsidRPr="00A14AB2">
        <w:rPr>
          <w:rFonts w:ascii="Times New Roman" w:hAnsi="Times New Roman"/>
          <w:color w:val="000000"/>
          <w:sz w:val="20"/>
          <w:lang w:eastAsia="en-US"/>
        </w:rPr>
        <w:t>0</w:t>
      </w:r>
      <w:r w:rsidRPr="00A14AB2">
        <w:rPr>
          <w:rFonts w:ascii="Times New Roman" w:hAnsi="Times New Roman"/>
          <w:color w:val="000000"/>
          <w:sz w:val="20"/>
          <w:lang w:eastAsia="en-US"/>
        </w:rPr>
        <w:t xml:space="preserve"> de </w:t>
      </w:r>
      <w:r w:rsidR="0064516F" w:rsidRPr="00A14AB2">
        <w:rPr>
          <w:rFonts w:ascii="Times New Roman" w:hAnsi="Times New Roman"/>
          <w:color w:val="000000"/>
          <w:sz w:val="20"/>
          <w:lang w:eastAsia="en-US"/>
        </w:rPr>
        <w:t>septiembre</w:t>
      </w:r>
      <w:r w:rsidRPr="00A14AB2">
        <w:rPr>
          <w:rFonts w:ascii="Times New Roman" w:hAnsi="Times New Roman"/>
          <w:color w:val="000000"/>
          <w:sz w:val="20"/>
          <w:lang w:eastAsia="en-US"/>
        </w:rPr>
        <w:t xml:space="preserve"> de 2021 se presenta en forma comparativa con el cierre del ejercicio precedente, mientras que los estados consolidados </w:t>
      </w:r>
      <w:r w:rsidR="00F50E29" w:rsidRPr="00A14AB2">
        <w:rPr>
          <w:rFonts w:ascii="Times New Roman" w:hAnsi="Times New Roman"/>
          <w:color w:val="000000"/>
          <w:sz w:val="20"/>
          <w:lang w:eastAsia="en-US"/>
        </w:rPr>
        <w:t xml:space="preserve">condensados </w:t>
      </w:r>
      <w:r w:rsidRPr="00A14AB2">
        <w:rPr>
          <w:rFonts w:ascii="Times New Roman" w:hAnsi="Times New Roman"/>
          <w:color w:val="000000"/>
          <w:sz w:val="20"/>
          <w:lang w:eastAsia="en-US"/>
        </w:rPr>
        <w:t xml:space="preserve">de resultados, otros resultados integrales, de cambios en el patrimonio y de flujo de efectivo y las notas relacionadas por el período de </w:t>
      </w:r>
      <w:r w:rsidR="0064516F" w:rsidRPr="00A14AB2">
        <w:rPr>
          <w:rFonts w:ascii="Times New Roman" w:hAnsi="Times New Roman"/>
          <w:color w:val="000000"/>
          <w:sz w:val="20"/>
          <w:lang w:eastAsia="en-US"/>
        </w:rPr>
        <w:t>nueve</w:t>
      </w:r>
      <w:r w:rsidRPr="00A14AB2">
        <w:rPr>
          <w:rFonts w:ascii="Times New Roman" w:hAnsi="Times New Roman"/>
          <w:color w:val="000000"/>
          <w:sz w:val="20"/>
          <w:lang w:eastAsia="en-US"/>
        </w:rPr>
        <w:t xml:space="preserve"> meses finalizado el 3</w:t>
      </w:r>
      <w:r w:rsidR="00F64133" w:rsidRPr="00A14AB2">
        <w:rPr>
          <w:rFonts w:ascii="Times New Roman" w:hAnsi="Times New Roman"/>
          <w:color w:val="000000"/>
          <w:sz w:val="20"/>
          <w:lang w:eastAsia="en-US"/>
        </w:rPr>
        <w:t>0</w:t>
      </w:r>
      <w:r w:rsidRPr="00A14AB2">
        <w:rPr>
          <w:rFonts w:ascii="Times New Roman" w:hAnsi="Times New Roman"/>
          <w:color w:val="000000"/>
          <w:sz w:val="20"/>
          <w:lang w:eastAsia="en-US"/>
        </w:rPr>
        <w:t xml:space="preserve"> de </w:t>
      </w:r>
      <w:r w:rsidR="0064516F" w:rsidRPr="00A14AB2">
        <w:rPr>
          <w:rFonts w:ascii="Times New Roman" w:hAnsi="Times New Roman"/>
          <w:color w:val="000000"/>
          <w:sz w:val="20"/>
          <w:lang w:eastAsia="en-US"/>
        </w:rPr>
        <w:t>septiembre</w:t>
      </w:r>
      <w:r w:rsidRPr="00A14AB2">
        <w:rPr>
          <w:rFonts w:ascii="Times New Roman" w:hAnsi="Times New Roman"/>
          <w:color w:val="000000"/>
          <w:sz w:val="20"/>
          <w:lang w:eastAsia="en-US"/>
        </w:rPr>
        <w:t xml:space="preserve"> de 2021, se presentan en forma comparativa con los saldos del mismo período del ejercicio anterior. </w:t>
      </w:r>
    </w:p>
    <w:p w14:paraId="7543CAE7" w14:textId="72352306" w:rsidR="009927EC" w:rsidRPr="00A14AB2" w:rsidRDefault="009927EC" w:rsidP="009927EC">
      <w:pPr>
        <w:autoSpaceDE w:val="0"/>
        <w:autoSpaceDN w:val="0"/>
        <w:adjustRightInd w:val="0"/>
        <w:spacing w:after="120" w:line="240" w:lineRule="exact"/>
        <w:ind w:left="709"/>
        <w:jc w:val="both"/>
        <w:rPr>
          <w:rFonts w:ascii="Times New Roman" w:hAnsi="Times New Roman"/>
          <w:color w:val="000000"/>
          <w:sz w:val="20"/>
          <w:lang w:eastAsia="en-US"/>
        </w:rPr>
      </w:pPr>
      <w:r w:rsidRPr="00A14AB2">
        <w:rPr>
          <w:rFonts w:ascii="Times New Roman" w:hAnsi="Times New Roman"/>
          <w:color w:val="000000"/>
          <w:sz w:val="20"/>
          <w:lang w:eastAsia="en-US"/>
        </w:rPr>
        <w:t xml:space="preserve">La información comparativa ha sido reexpresada </w:t>
      </w:r>
      <w:r w:rsidR="00F50E29" w:rsidRPr="00A14AB2">
        <w:rPr>
          <w:rFonts w:ascii="Times New Roman" w:hAnsi="Times New Roman"/>
          <w:color w:val="000000"/>
          <w:sz w:val="20"/>
          <w:lang w:eastAsia="en-US"/>
        </w:rPr>
        <w:t>en moneda de cierre de acuerdo a lo señalado en la nota 3.</w:t>
      </w:r>
    </w:p>
    <w:p w14:paraId="2096D6E4" w14:textId="0ED7D735" w:rsidR="00966D34" w:rsidRPr="00A14AB2" w:rsidRDefault="009927EC" w:rsidP="009927EC">
      <w:pPr>
        <w:autoSpaceDE w:val="0"/>
        <w:autoSpaceDN w:val="0"/>
        <w:adjustRightInd w:val="0"/>
        <w:spacing w:after="120" w:line="240" w:lineRule="exact"/>
        <w:ind w:left="709"/>
        <w:jc w:val="both"/>
        <w:rPr>
          <w:rFonts w:ascii="Times New Roman" w:hAnsi="Times New Roman"/>
          <w:color w:val="000000"/>
          <w:sz w:val="20"/>
          <w:lang w:eastAsia="en-US"/>
        </w:rPr>
      </w:pPr>
      <w:r w:rsidRPr="00A14AB2">
        <w:rPr>
          <w:rFonts w:ascii="Times New Roman" w:hAnsi="Times New Roman"/>
          <w:color w:val="000000"/>
          <w:sz w:val="20"/>
          <w:lang w:eastAsia="en-US"/>
        </w:rPr>
        <w:t>Asimismo se realizaron ciertas:</w:t>
      </w:r>
    </w:p>
    <w:p w14:paraId="60BA7C2E" w14:textId="7778D827" w:rsidR="009927EC" w:rsidRPr="00A14AB2" w:rsidRDefault="00107CE5" w:rsidP="00F07536">
      <w:pPr>
        <w:pStyle w:val="Prrafodelista"/>
        <w:numPr>
          <w:ilvl w:val="0"/>
          <w:numId w:val="51"/>
        </w:numPr>
        <w:autoSpaceDE w:val="0"/>
        <w:autoSpaceDN w:val="0"/>
        <w:adjustRightInd w:val="0"/>
        <w:spacing w:after="120" w:line="240" w:lineRule="exact"/>
        <w:jc w:val="both"/>
        <w:rPr>
          <w:color w:val="000000"/>
          <w:sz w:val="20"/>
          <w:lang w:val="es-AR"/>
        </w:rPr>
      </w:pPr>
      <w:r w:rsidRPr="00A14AB2">
        <w:rPr>
          <w:color w:val="000000"/>
          <w:sz w:val="20"/>
          <w:lang w:val="es-AR"/>
        </w:rPr>
        <w:t>r</w:t>
      </w:r>
      <w:r w:rsidR="009927EC" w:rsidRPr="00A14AB2">
        <w:rPr>
          <w:color w:val="000000"/>
          <w:sz w:val="20"/>
          <w:lang w:val="es-AR"/>
        </w:rPr>
        <w:t>eclasificaciones</w:t>
      </w:r>
      <w:r w:rsidR="003B6D8E" w:rsidRPr="00A14AB2">
        <w:rPr>
          <w:color w:val="000000"/>
          <w:sz w:val="20"/>
          <w:lang w:val="es-AR"/>
        </w:rPr>
        <w:t xml:space="preserve"> al 3</w:t>
      </w:r>
      <w:r w:rsidR="00F64133" w:rsidRPr="00A14AB2">
        <w:rPr>
          <w:color w:val="000000"/>
          <w:sz w:val="20"/>
          <w:lang w:val="es-AR"/>
        </w:rPr>
        <w:t>0</w:t>
      </w:r>
      <w:r w:rsidR="003B6D8E" w:rsidRPr="00A14AB2">
        <w:rPr>
          <w:color w:val="000000"/>
          <w:sz w:val="20"/>
          <w:lang w:val="es-AR"/>
        </w:rPr>
        <w:t xml:space="preserve"> de </w:t>
      </w:r>
      <w:r w:rsidR="0064516F" w:rsidRPr="00A14AB2">
        <w:rPr>
          <w:color w:val="000000"/>
          <w:sz w:val="20"/>
          <w:lang w:val="es-AR"/>
        </w:rPr>
        <w:t>septiembre</w:t>
      </w:r>
      <w:r w:rsidR="003B6D8E" w:rsidRPr="00A14AB2">
        <w:rPr>
          <w:color w:val="000000"/>
          <w:sz w:val="20"/>
          <w:lang w:val="es-AR"/>
        </w:rPr>
        <w:t xml:space="preserve"> 2020</w:t>
      </w:r>
      <w:r w:rsidR="009927EC" w:rsidRPr="00A14AB2">
        <w:rPr>
          <w:color w:val="000000"/>
          <w:sz w:val="20"/>
          <w:lang w:val="es-AR"/>
        </w:rPr>
        <w:t xml:space="preserve"> en cumplimiento de lo dispuesto por la Comunicación “A” 7211, a fin de exponerlos sobre bases uniformes, y</w:t>
      </w:r>
    </w:p>
    <w:p w14:paraId="6D3ADC75" w14:textId="270E95CF" w:rsidR="009927EC" w:rsidRPr="00A14AB2" w:rsidRDefault="009927EC" w:rsidP="00F07536">
      <w:pPr>
        <w:pStyle w:val="Prrafodelista"/>
        <w:numPr>
          <w:ilvl w:val="0"/>
          <w:numId w:val="51"/>
        </w:numPr>
        <w:autoSpaceDE w:val="0"/>
        <w:autoSpaceDN w:val="0"/>
        <w:adjustRightInd w:val="0"/>
        <w:spacing w:after="120" w:line="240" w:lineRule="exact"/>
        <w:jc w:val="both"/>
        <w:rPr>
          <w:color w:val="000000"/>
          <w:sz w:val="20"/>
          <w:lang w:val="es-AR"/>
        </w:rPr>
      </w:pPr>
      <w:r w:rsidRPr="00A14AB2">
        <w:rPr>
          <w:color w:val="000000"/>
          <w:sz w:val="20"/>
          <w:lang w:val="es-AR"/>
        </w:rPr>
        <w:t>modificaciones originadas por ajustes de resultados de ejercicios anteri</w:t>
      </w:r>
      <w:r w:rsidR="003B6D8E" w:rsidRPr="00A14AB2">
        <w:rPr>
          <w:color w:val="000000"/>
          <w:sz w:val="20"/>
          <w:lang w:val="es-AR"/>
        </w:rPr>
        <w:t>ores según se señala en la nota</w:t>
      </w:r>
      <w:r w:rsidRPr="00A14AB2">
        <w:rPr>
          <w:color w:val="000000"/>
          <w:sz w:val="20"/>
          <w:lang w:val="es-AR"/>
        </w:rPr>
        <w:t xml:space="preserve"> 2.b). </w:t>
      </w:r>
    </w:p>
    <w:p w14:paraId="36C88B5C" w14:textId="31223D26" w:rsidR="009927EC" w:rsidRPr="00A14AB2" w:rsidRDefault="009927EC" w:rsidP="009927EC">
      <w:pPr>
        <w:autoSpaceDE w:val="0"/>
        <w:autoSpaceDN w:val="0"/>
        <w:adjustRightInd w:val="0"/>
        <w:spacing w:after="120" w:line="240" w:lineRule="exact"/>
        <w:ind w:left="709"/>
        <w:jc w:val="both"/>
        <w:rPr>
          <w:rFonts w:ascii="Times New Roman" w:hAnsi="Times New Roman"/>
          <w:color w:val="000000"/>
          <w:sz w:val="20"/>
          <w:lang w:eastAsia="en-US"/>
        </w:rPr>
      </w:pPr>
      <w:r w:rsidRPr="00A14AB2">
        <w:rPr>
          <w:rFonts w:ascii="Times New Roman" w:hAnsi="Times New Roman"/>
          <w:color w:val="000000"/>
          <w:sz w:val="20"/>
          <w:lang w:eastAsia="en-US"/>
        </w:rPr>
        <w:t>Las modificaciones de la información comparativa, no implican cambios en las decisiones tomadas en base a ella.</w:t>
      </w:r>
    </w:p>
    <w:p w14:paraId="02D43D4E" w14:textId="266F04C1" w:rsidR="00447A15" w:rsidRPr="00A14AB2" w:rsidRDefault="00447A15" w:rsidP="008C709E">
      <w:pPr>
        <w:spacing w:before="240"/>
        <w:ind w:left="567"/>
        <w:jc w:val="both"/>
        <w:rPr>
          <w:rFonts w:ascii="Times New Roman" w:hAnsi="Times New Roman"/>
          <w:b/>
          <w:color w:val="000000"/>
          <w:sz w:val="20"/>
          <w:lang w:eastAsia="es-AR"/>
        </w:rPr>
      </w:pPr>
      <w:r w:rsidRPr="00A14AB2">
        <w:rPr>
          <w:rFonts w:ascii="Times New Roman" w:hAnsi="Times New Roman"/>
          <w:b/>
          <w:color w:val="000000"/>
          <w:sz w:val="20"/>
          <w:lang w:eastAsia="es-AR"/>
        </w:rPr>
        <w:t>5.2   Cambio en el Modelo de Negocio</w:t>
      </w:r>
    </w:p>
    <w:p w14:paraId="7013BFE1" w14:textId="77777777" w:rsidR="00B0152D" w:rsidRPr="00A14AB2" w:rsidRDefault="00B0152D" w:rsidP="008C709E">
      <w:pPr>
        <w:spacing w:before="240"/>
        <w:ind w:left="709"/>
        <w:jc w:val="both"/>
        <w:rPr>
          <w:rFonts w:ascii="Times New Roman" w:hAnsi="Times New Roman"/>
          <w:color w:val="000000"/>
          <w:sz w:val="20"/>
          <w:lang w:eastAsia="es-AR"/>
        </w:rPr>
      </w:pPr>
      <w:r w:rsidRPr="00A14AB2">
        <w:rPr>
          <w:rFonts w:ascii="Times New Roman" w:hAnsi="Times New Roman"/>
          <w:color w:val="000000"/>
          <w:sz w:val="20"/>
          <w:lang w:eastAsia="es-AR"/>
        </w:rPr>
        <w:t xml:space="preserve">A partir del 1° de enero de 2021, se produjo un cambio en el modelo de negocio de la Entidad relacionado con la valuación de las tenencias de instrumentos de renta fija cuyo plazo residual al momento de adquisición supere los 90 días de vencimiento y que por regulación del B.C.R.A. puedan utilizarse para integrar efectivo mínimo o encajes. </w:t>
      </w:r>
    </w:p>
    <w:p w14:paraId="40B50C68" w14:textId="77777777" w:rsidR="00B0152D" w:rsidRPr="00A14AB2" w:rsidRDefault="00B0152D" w:rsidP="00B0152D">
      <w:pPr>
        <w:ind w:left="709"/>
        <w:jc w:val="both"/>
        <w:rPr>
          <w:rFonts w:ascii="Times New Roman" w:hAnsi="Times New Roman"/>
          <w:color w:val="000000"/>
          <w:sz w:val="20"/>
          <w:lang w:eastAsia="es-AR"/>
        </w:rPr>
      </w:pPr>
    </w:p>
    <w:p w14:paraId="7CA9BA62" w14:textId="77777777" w:rsidR="00B0152D" w:rsidRPr="00A14AB2" w:rsidRDefault="00B0152D" w:rsidP="00B0152D">
      <w:pPr>
        <w:ind w:left="709"/>
        <w:jc w:val="both"/>
        <w:rPr>
          <w:rFonts w:ascii="Times New Roman" w:hAnsi="Times New Roman"/>
          <w:color w:val="000000"/>
          <w:sz w:val="20"/>
          <w:lang w:eastAsia="es-AR"/>
        </w:rPr>
      </w:pPr>
      <w:r w:rsidRPr="00A14AB2">
        <w:rPr>
          <w:rFonts w:ascii="Times New Roman" w:hAnsi="Times New Roman"/>
          <w:color w:val="000000"/>
          <w:sz w:val="20"/>
          <w:lang w:eastAsia="es-AR"/>
        </w:rPr>
        <w:t xml:space="preserve">Anteriormente, estos títulos fueron considerados bajo el modelo de negocio para obtener flujo de efectivo contractuales o venta (“HTCS” por sus siglas en inglés) y valuados a valor razonable con cambios en otro resultado integral de acuerdo a la intención de la Gerencia del Banco de mantener estos instrumentos financieros para cumplir con la integración de efectivo mínimo o encaje así como venderlos, considerando que el requerimiento del B.C.R.A. sería temporal dada la situación económica. </w:t>
      </w:r>
    </w:p>
    <w:p w14:paraId="1660422E" w14:textId="77777777" w:rsidR="00B0152D" w:rsidRPr="00A14AB2" w:rsidRDefault="00B0152D" w:rsidP="00B0152D">
      <w:pPr>
        <w:ind w:left="709"/>
        <w:jc w:val="both"/>
        <w:rPr>
          <w:rFonts w:ascii="Times New Roman" w:hAnsi="Times New Roman"/>
          <w:color w:val="000000"/>
          <w:sz w:val="20"/>
          <w:lang w:eastAsia="es-AR"/>
        </w:rPr>
      </w:pPr>
    </w:p>
    <w:p w14:paraId="05D7ACDD" w14:textId="77777777" w:rsidR="00B0152D" w:rsidRPr="00A14AB2" w:rsidRDefault="00B0152D" w:rsidP="00B0152D">
      <w:pPr>
        <w:ind w:left="709"/>
        <w:jc w:val="both"/>
        <w:rPr>
          <w:rFonts w:ascii="Times New Roman" w:hAnsi="Times New Roman"/>
          <w:color w:val="000000"/>
          <w:sz w:val="20"/>
          <w:lang w:eastAsia="es-AR"/>
        </w:rPr>
      </w:pPr>
      <w:r w:rsidRPr="00A14AB2">
        <w:rPr>
          <w:rFonts w:ascii="Times New Roman" w:hAnsi="Times New Roman"/>
          <w:color w:val="000000"/>
          <w:sz w:val="20"/>
          <w:lang w:eastAsia="es-AR"/>
        </w:rPr>
        <w:t xml:space="preserve">Durante el año 2020, el B.C.R.A. extendió el requerimiento de mantener estos instrumentos para integrar efectivo mínimo o encajes, lo que llevó a la Gerencia del Banco a reevaluar el modelo de negocio de estos activos financieros. </w:t>
      </w:r>
    </w:p>
    <w:p w14:paraId="3E0F5F12" w14:textId="77777777" w:rsidR="00B0152D" w:rsidRPr="00A14AB2" w:rsidRDefault="00B0152D" w:rsidP="00B0152D">
      <w:pPr>
        <w:ind w:left="709"/>
        <w:jc w:val="both"/>
        <w:rPr>
          <w:rFonts w:ascii="Times New Roman" w:hAnsi="Times New Roman"/>
          <w:color w:val="000000"/>
          <w:sz w:val="20"/>
          <w:lang w:eastAsia="es-AR"/>
        </w:rPr>
      </w:pPr>
    </w:p>
    <w:p w14:paraId="6EBF05A3" w14:textId="77777777" w:rsidR="00B0152D" w:rsidRPr="00A14AB2" w:rsidRDefault="00B0152D" w:rsidP="00B0152D">
      <w:pPr>
        <w:ind w:left="709"/>
        <w:jc w:val="both"/>
        <w:rPr>
          <w:rFonts w:ascii="Times New Roman" w:hAnsi="Times New Roman"/>
          <w:color w:val="000000"/>
          <w:sz w:val="20"/>
          <w:lang w:eastAsia="es-AR"/>
        </w:rPr>
      </w:pPr>
      <w:r w:rsidRPr="00A14AB2">
        <w:rPr>
          <w:rFonts w:ascii="Times New Roman" w:hAnsi="Times New Roman"/>
          <w:color w:val="000000"/>
          <w:sz w:val="20"/>
          <w:lang w:eastAsia="es-AR"/>
        </w:rPr>
        <w:lastRenderedPageBreak/>
        <w:t>De acuerdo con lo mencionado en el primer párrafo, los instrumentos de renta fija, cualquiera sea su forma de ajuste, que sean emitidos por el Gobierno Nacional, Provincias, Municipios o el propio B.C.R.A. (instrumentos de regulación monetaria), serán considerados bajo el modelo de negocio para obtener flujo de efectivo contractuales (“HTC” por sus siglas en inglés) y valuados a costo amortizado.</w:t>
      </w:r>
    </w:p>
    <w:p w14:paraId="31481EB9" w14:textId="77777777" w:rsidR="00B0152D" w:rsidRPr="00A14AB2" w:rsidRDefault="00B0152D" w:rsidP="00B0152D">
      <w:pPr>
        <w:ind w:left="709"/>
        <w:jc w:val="both"/>
        <w:rPr>
          <w:rFonts w:ascii="Times New Roman" w:hAnsi="Times New Roman"/>
          <w:color w:val="000000"/>
          <w:sz w:val="20"/>
          <w:lang w:eastAsia="es-AR"/>
        </w:rPr>
      </w:pPr>
    </w:p>
    <w:p w14:paraId="36CF7740" w14:textId="42969815" w:rsidR="00B0152D" w:rsidRPr="00A14AB2" w:rsidRDefault="00B0152D" w:rsidP="00B0152D">
      <w:pPr>
        <w:ind w:left="709"/>
        <w:jc w:val="both"/>
        <w:rPr>
          <w:rFonts w:ascii="Times New Roman" w:hAnsi="Times New Roman"/>
          <w:color w:val="000000"/>
          <w:sz w:val="20"/>
          <w:lang w:eastAsia="es-AR"/>
        </w:rPr>
      </w:pPr>
      <w:r w:rsidRPr="00A14AB2">
        <w:rPr>
          <w:rFonts w:ascii="Times New Roman" w:hAnsi="Times New Roman"/>
          <w:color w:val="000000"/>
          <w:sz w:val="20"/>
          <w:lang w:eastAsia="es-AR"/>
        </w:rPr>
        <w:t xml:space="preserve">El importe reclasificado a costo amortizado es de </w:t>
      </w:r>
      <w:r w:rsidR="00A14AB2" w:rsidRPr="00A14AB2">
        <w:rPr>
          <w:rFonts w:ascii="Times New Roman" w:hAnsi="Times New Roman"/>
          <w:color w:val="000000"/>
          <w:sz w:val="20"/>
          <w:lang w:eastAsia="es-AR"/>
        </w:rPr>
        <w:t>19.513.734</w:t>
      </w:r>
      <w:r w:rsidRPr="00A14AB2">
        <w:rPr>
          <w:rFonts w:ascii="Times New Roman" w:hAnsi="Times New Roman"/>
          <w:color w:val="000000"/>
          <w:sz w:val="20"/>
          <w:lang w:eastAsia="es-AR"/>
        </w:rPr>
        <w:t xml:space="preserve"> al 3</w:t>
      </w:r>
      <w:r w:rsidR="00395D51" w:rsidRPr="00A14AB2">
        <w:rPr>
          <w:rFonts w:ascii="Times New Roman" w:hAnsi="Times New Roman"/>
          <w:color w:val="000000"/>
          <w:sz w:val="20"/>
          <w:lang w:eastAsia="es-AR"/>
        </w:rPr>
        <w:t>0</w:t>
      </w:r>
      <w:r w:rsidRPr="00A14AB2">
        <w:rPr>
          <w:rFonts w:ascii="Times New Roman" w:hAnsi="Times New Roman"/>
          <w:color w:val="000000"/>
          <w:sz w:val="20"/>
          <w:lang w:eastAsia="es-AR"/>
        </w:rPr>
        <w:t xml:space="preserve"> de </w:t>
      </w:r>
      <w:r w:rsidR="0064516F" w:rsidRPr="00A14AB2">
        <w:rPr>
          <w:rFonts w:ascii="Times New Roman" w:hAnsi="Times New Roman"/>
          <w:color w:val="000000"/>
          <w:sz w:val="20"/>
          <w:lang w:eastAsia="es-AR"/>
        </w:rPr>
        <w:t>septiembre</w:t>
      </w:r>
      <w:r w:rsidR="00395D51" w:rsidRPr="00A14AB2">
        <w:rPr>
          <w:rFonts w:ascii="Times New Roman" w:hAnsi="Times New Roman"/>
          <w:color w:val="000000"/>
          <w:sz w:val="20"/>
          <w:lang w:eastAsia="es-AR"/>
        </w:rPr>
        <w:t xml:space="preserve"> </w:t>
      </w:r>
      <w:r w:rsidRPr="00A14AB2">
        <w:rPr>
          <w:rFonts w:ascii="Times New Roman" w:hAnsi="Times New Roman"/>
          <w:color w:val="000000"/>
          <w:sz w:val="20"/>
          <w:lang w:eastAsia="es-AR"/>
        </w:rPr>
        <w:t>de 2021.</w:t>
      </w:r>
    </w:p>
    <w:p w14:paraId="501E9622" w14:textId="77777777" w:rsidR="00B0152D" w:rsidRPr="00A14AB2" w:rsidRDefault="00B0152D" w:rsidP="00B0152D">
      <w:pPr>
        <w:ind w:left="709"/>
        <w:jc w:val="both"/>
        <w:rPr>
          <w:rFonts w:ascii="Times New Roman" w:hAnsi="Times New Roman"/>
          <w:color w:val="000000"/>
          <w:sz w:val="20"/>
          <w:lang w:eastAsia="es-AR"/>
        </w:rPr>
      </w:pPr>
    </w:p>
    <w:p w14:paraId="407285EC" w14:textId="7F4E7EF8" w:rsidR="00B0152D" w:rsidRDefault="00B0152D" w:rsidP="00B0152D">
      <w:pPr>
        <w:ind w:left="709"/>
        <w:jc w:val="both"/>
        <w:rPr>
          <w:rFonts w:ascii="Times New Roman" w:hAnsi="Times New Roman"/>
          <w:color w:val="000000"/>
          <w:sz w:val="20"/>
          <w:lang w:eastAsia="es-AR"/>
        </w:rPr>
      </w:pPr>
      <w:r w:rsidRPr="00A14AB2">
        <w:rPr>
          <w:rFonts w:ascii="Times New Roman" w:hAnsi="Times New Roman"/>
          <w:color w:val="000000"/>
          <w:sz w:val="20"/>
          <w:lang w:eastAsia="es-AR"/>
        </w:rPr>
        <w:t xml:space="preserve">Asimismo, a modo informativo, el valor razonable y la </w:t>
      </w:r>
      <w:r w:rsidR="00A14AB2" w:rsidRPr="00A14AB2">
        <w:rPr>
          <w:rFonts w:ascii="Times New Roman" w:hAnsi="Times New Roman"/>
          <w:color w:val="000000"/>
          <w:sz w:val="20"/>
          <w:lang w:eastAsia="es-AR"/>
        </w:rPr>
        <w:t xml:space="preserve">disminución </w:t>
      </w:r>
      <w:r w:rsidRPr="00A14AB2">
        <w:rPr>
          <w:rFonts w:ascii="Times New Roman" w:hAnsi="Times New Roman"/>
          <w:color w:val="000000"/>
          <w:sz w:val="20"/>
          <w:lang w:eastAsia="es-AR"/>
        </w:rPr>
        <w:t>en el resultado integral total al 3</w:t>
      </w:r>
      <w:r w:rsidR="00395D51" w:rsidRPr="00A14AB2">
        <w:rPr>
          <w:rFonts w:ascii="Times New Roman" w:hAnsi="Times New Roman"/>
          <w:color w:val="000000"/>
          <w:sz w:val="20"/>
          <w:lang w:eastAsia="es-AR"/>
        </w:rPr>
        <w:t>0</w:t>
      </w:r>
      <w:r w:rsidRPr="00A14AB2">
        <w:rPr>
          <w:rFonts w:ascii="Times New Roman" w:hAnsi="Times New Roman"/>
          <w:color w:val="000000"/>
          <w:sz w:val="20"/>
          <w:lang w:eastAsia="es-AR"/>
        </w:rPr>
        <w:t xml:space="preserve"> de </w:t>
      </w:r>
      <w:r w:rsidR="0064516F" w:rsidRPr="00A14AB2">
        <w:rPr>
          <w:rFonts w:ascii="Times New Roman" w:hAnsi="Times New Roman"/>
          <w:color w:val="000000"/>
          <w:sz w:val="20"/>
          <w:lang w:eastAsia="es-AR"/>
        </w:rPr>
        <w:t>septiembre</w:t>
      </w:r>
      <w:r w:rsidRPr="00A14AB2">
        <w:rPr>
          <w:rFonts w:ascii="Times New Roman" w:hAnsi="Times New Roman"/>
          <w:color w:val="000000"/>
          <w:sz w:val="20"/>
          <w:lang w:eastAsia="es-AR"/>
        </w:rPr>
        <w:t xml:space="preserve"> de 2021 hubiera sido de </w:t>
      </w:r>
      <w:r w:rsidR="00A14AB2" w:rsidRPr="00A14AB2">
        <w:rPr>
          <w:rFonts w:ascii="Times New Roman" w:hAnsi="Times New Roman"/>
          <w:color w:val="000000"/>
          <w:sz w:val="20"/>
          <w:lang w:eastAsia="es-AR"/>
        </w:rPr>
        <w:t>19.333.221</w:t>
      </w:r>
      <w:r w:rsidRPr="00A14AB2">
        <w:rPr>
          <w:rFonts w:ascii="Times New Roman" w:hAnsi="Times New Roman"/>
          <w:color w:val="000000"/>
          <w:sz w:val="20"/>
          <w:lang w:eastAsia="es-AR"/>
        </w:rPr>
        <w:t xml:space="preserve"> y </w:t>
      </w:r>
      <w:r w:rsidR="00395D51" w:rsidRPr="00A14AB2">
        <w:rPr>
          <w:rFonts w:ascii="Times New Roman" w:hAnsi="Times New Roman"/>
          <w:color w:val="000000"/>
          <w:sz w:val="20"/>
          <w:lang w:eastAsia="es-AR"/>
        </w:rPr>
        <w:t>1</w:t>
      </w:r>
      <w:r w:rsidR="00A14AB2" w:rsidRPr="00A14AB2">
        <w:rPr>
          <w:rFonts w:ascii="Times New Roman" w:hAnsi="Times New Roman"/>
          <w:color w:val="000000"/>
          <w:sz w:val="20"/>
          <w:lang w:eastAsia="es-AR"/>
        </w:rPr>
        <w:t>80.513</w:t>
      </w:r>
      <w:r w:rsidRPr="00A14AB2">
        <w:rPr>
          <w:rFonts w:ascii="Times New Roman" w:hAnsi="Times New Roman"/>
          <w:color w:val="000000"/>
          <w:sz w:val="20"/>
          <w:lang w:eastAsia="es-AR"/>
        </w:rPr>
        <w:t>, respectivamente, en caso que estos activos financieros no se hubieran reclasificado.</w:t>
      </w:r>
    </w:p>
    <w:p w14:paraId="66CB9D87" w14:textId="77777777" w:rsidR="00CA5316" w:rsidRPr="00B0152D" w:rsidRDefault="00CA5316" w:rsidP="00B0152D">
      <w:pPr>
        <w:ind w:left="709"/>
        <w:jc w:val="both"/>
        <w:rPr>
          <w:rFonts w:ascii="Times New Roman" w:hAnsi="Times New Roman"/>
          <w:color w:val="000000"/>
          <w:sz w:val="20"/>
          <w:lang w:eastAsia="es-AR"/>
        </w:rPr>
      </w:pPr>
    </w:p>
    <w:p w14:paraId="7FBBB21A" w14:textId="77777777" w:rsidR="00F87FCA" w:rsidRPr="008A0C1A" w:rsidRDefault="00F87FCA" w:rsidP="00F87FCA">
      <w:pPr>
        <w:pStyle w:val="Prrafodelista"/>
        <w:numPr>
          <w:ilvl w:val="0"/>
          <w:numId w:val="11"/>
        </w:numPr>
        <w:autoSpaceDE w:val="0"/>
        <w:autoSpaceDN w:val="0"/>
        <w:adjustRightInd w:val="0"/>
        <w:spacing w:before="240" w:after="120" w:line="240" w:lineRule="exact"/>
        <w:jc w:val="both"/>
        <w:rPr>
          <w:b/>
          <w:color w:val="000000"/>
          <w:sz w:val="20"/>
          <w:szCs w:val="20"/>
          <w:lang w:val="es-AR"/>
        </w:rPr>
      </w:pPr>
      <w:r w:rsidRPr="008A0C1A">
        <w:rPr>
          <w:b/>
          <w:color w:val="000000"/>
          <w:sz w:val="20"/>
          <w:szCs w:val="20"/>
          <w:lang w:val="es-AR"/>
        </w:rPr>
        <w:t>Cambios en políticas contables y nuevas NIIF emitidas aún no vigentes</w:t>
      </w:r>
    </w:p>
    <w:p w14:paraId="228DD3BD" w14:textId="77777777" w:rsidR="00F87FCA" w:rsidRDefault="00F87FCA" w:rsidP="00FC3663">
      <w:pPr>
        <w:spacing w:line="240" w:lineRule="exact"/>
        <w:ind w:left="709"/>
        <w:jc w:val="both"/>
        <w:rPr>
          <w:rFonts w:ascii="Times New Roman" w:hAnsi="Times New Roman"/>
          <w:color w:val="000000"/>
          <w:sz w:val="20"/>
          <w:lang w:eastAsia="en-US"/>
        </w:rPr>
      </w:pPr>
      <w:r w:rsidRPr="00FC3663">
        <w:rPr>
          <w:rFonts w:ascii="Times New Roman" w:hAnsi="Times New Roman"/>
          <w:color w:val="000000"/>
          <w:sz w:val="20"/>
          <w:lang w:eastAsia="en-US"/>
        </w:rPr>
        <w:t xml:space="preserve">De acuerdo con lo establecido por la Comunicación “A” 6114 del B.C.R.A., a medida que se aprueben nuevas NIIF, haya modificaciones o derogación de las vigentes y, una vez que estos cambios sean adoptados a través de Circulares de Adopción de la Federación Argentina de Consejos Profesionales de Ciencias Económicas (FACPCE), el B.C.R.A. se expedirá acerca de su aprobación para las entidades financieras. Con carácter general, no se admitirá la aplicación anticipada de ninguna NIIF, a menos que en oportunidad de adoptarse, se admita específicamente. </w:t>
      </w:r>
    </w:p>
    <w:p w14:paraId="4A4F0E0A" w14:textId="77777777" w:rsidR="00FC3663" w:rsidRDefault="00FC3663" w:rsidP="00FC3663">
      <w:pPr>
        <w:spacing w:line="240" w:lineRule="exact"/>
        <w:ind w:left="709"/>
        <w:jc w:val="both"/>
        <w:rPr>
          <w:rFonts w:ascii="Times New Roman" w:hAnsi="Times New Roman"/>
          <w:color w:val="000000"/>
          <w:sz w:val="20"/>
          <w:lang w:eastAsia="en-US"/>
        </w:rPr>
      </w:pPr>
    </w:p>
    <w:p w14:paraId="3600CACF" w14:textId="177C2D32" w:rsidR="00F87FCA" w:rsidRDefault="00F87FCA" w:rsidP="00FC3663">
      <w:pPr>
        <w:spacing w:line="240" w:lineRule="exact"/>
        <w:ind w:left="709"/>
        <w:jc w:val="both"/>
        <w:rPr>
          <w:rFonts w:ascii="Times New Roman" w:hAnsi="Times New Roman"/>
          <w:color w:val="000000"/>
          <w:sz w:val="20"/>
          <w:lang w:eastAsia="en-US"/>
        </w:rPr>
      </w:pPr>
      <w:r w:rsidRPr="00FC3663">
        <w:rPr>
          <w:rFonts w:ascii="Times New Roman" w:hAnsi="Times New Roman"/>
          <w:color w:val="000000"/>
          <w:sz w:val="20"/>
          <w:lang w:eastAsia="en-US"/>
        </w:rPr>
        <w:t>Las siguientes NIIF o modificaciones a las actuales tienen vigencia a partir del ejercicio a iniciarse el 1 de enero de 202</w:t>
      </w:r>
      <w:r w:rsidR="00E226E3" w:rsidRPr="00FC3663">
        <w:rPr>
          <w:rFonts w:ascii="Times New Roman" w:hAnsi="Times New Roman"/>
          <w:color w:val="000000"/>
          <w:sz w:val="20"/>
          <w:lang w:eastAsia="en-US"/>
        </w:rPr>
        <w:t>2</w:t>
      </w:r>
      <w:r w:rsidRPr="00FC3663">
        <w:rPr>
          <w:rFonts w:ascii="Times New Roman" w:hAnsi="Times New Roman"/>
          <w:color w:val="000000"/>
          <w:sz w:val="20"/>
          <w:lang w:eastAsia="en-US"/>
        </w:rPr>
        <w:t>, que permiten su aplicación anticipada. El Grupo ha decidido no aplicarlas anticipadamente en estos estados financieros</w:t>
      </w:r>
      <w:r w:rsidR="003B6D8E" w:rsidRPr="00FC3663">
        <w:rPr>
          <w:rFonts w:ascii="Times New Roman" w:hAnsi="Times New Roman"/>
          <w:color w:val="000000"/>
          <w:sz w:val="20"/>
          <w:lang w:eastAsia="en-US"/>
        </w:rPr>
        <w:t xml:space="preserve"> intermedios consolidados condensados</w:t>
      </w:r>
      <w:r w:rsidRPr="00FC3663">
        <w:rPr>
          <w:rFonts w:ascii="Times New Roman" w:hAnsi="Times New Roman"/>
          <w:color w:val="000000"/>
          <w:sz w:val="20"/>
          <w:lang w:eastAsia="en-US"/>
        </w:rPr>
        <w:t>.</w:t>
      </w:r>
    </w:p>
    <w:p w14:paraId="0967C9C6" w14:textId="77777777" w:rsidR="001C694B" w:rsidRDefault="001C694B" w:rsidP="00FC3663">
      <w:pPr>
        <w:spacing w:line="240" w:lineRule="exact"/>
        <w:ind w:left="709"/>
        <w:jc w:val="both"/>
        <w:rPr>
          <w:rFonts w:ascii="Times New Roman" w:hAnsi="Times New Roman"/>
          <w:color w:val="000000"/>
          <w:sz w:val="20"/>
          <w:lang w:eastAsia="en-US"/>
        </w:rPr>
      </w:pPr>
    </w:p>
    <w:p w14:paraId="29F48FCC" w14:textId="77777777" w:rsidR="00587178" w:rsidRDefault="00587178" w:rsidP="00FC3663">
      <w:pPr>
        <w:spacing w:line="240" w:lineRule="exact"/>
        <w:ind w:left="709"/>
        <w:jc w:val="both"/>
        <w:rPr>
          <w:rFonts w:ascii="Times New Roman" w:hAnsi="Times New Roman"/>
          <w:color w:val="000000"/>
          <w:sz w:val="20"/>
          <w:lang w:eastAsia="en-US"/>
        </w:rPr>
      </w:pPr>
    </w:p>
    <w:tbl>
      <w:tblPr>
        <w:tblStyle w:val="Tabladecuadrcula5oscura-nfasis5"/>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946"/>
        <w:gridCol w:w="1843"/>
      </w:tblGrid>
      <w:tr w:rsidR="00641991" w:rsidRPr="00E226E3" w14:paraId="4C0221AB" w14:textId="77777777" w:rsidTr="00A60E23">
        <w:trPr>
          <w:cnfStyle w:val="100000000000" w:firstRow="1" w:lastRow="0" w:firstColumn="0" w:lastColumn="0" w:oddVBand="0" w:evenVBand="0" w:oddHBand="0" w:evenHBand="0" w:firstRowFirstColumn="0" w:firstRowLastColumn="0" w:lastRowFirstColumn="0" w:lastRowLastColumn="0"/>
          <w:trHeight w:val="396"/>
        </w:trPr>
        <w:tc>
          <w:tcPr>
            <w:tcW w:w="6946" w:type="dxa"/>
            <w:tcBorders>
              <w:top w:val="single" w:sz="4" w:space="0" w:color="auto"/>
              <w:left w:val="single" w:sz="4" w:space="0" w:color="auto"/>
              <w:right w:val="single" w:sz="4" w:space="0" w:color="auto"/>
            </w:tcBorders>
            <w:shd w:val="clear" w:color="auto" w:fill="auto"/>
            <w:vAlign w:val="center"/>
          </w:tcPr>
          <w:p w14:paraId="459B10DA" w14:textId="77777777" w:rsidR="00641991" w:rsidRPr="00E226E3" w:rsidRDefault="00641991" w:rsidP="00873E9F">
            <w:pPr>
              <w:jc w:val="center"/>
              <w:rPr>
                <w:rFonts w:ascii="Times New Roman" w:hAnsi="Times New Roman"/>
                <w:color w:val="000000" w:themeColor="text1"/>
                <w:sz w:val="20"/>
              </w:rPr>
            </w:pPr>
            <w:r w:rsidRPr="00E226E3">
              <w:rPr>
                <w:rFonts w:ascii="Times New Roman" w:hAnsi="Times New Roman"/>
                <w:color w:val="000000" w:themeColor="text1"/>
                <w:sz w:val="20"/>
              </w:rPr>
              <w:t>Nueva norma o modificación</w:t>
            </w:r>
          </w:p>
        </w:tc>
        <w:tc>
          <w:tcPr>
            <w:tcW w:w="1843" w:type="dxa"/>
            <w:tcBorders>
              <w:top w:val="single" w:sz="4" w:space="0" w:color="auto"/>
              <w:left w:val="single" w:sz="4" w:space="0" w:color="auto"/>
              <w:right w:val="single" w:sz="4" w:space="0" w:color="auto"/>
            </w:tcBorders>
            <w:shd w:val="clear" w:color="auto" w:fill="auto"/>
            <w:vAlign w:val="center"/>
          </w:tcPr>
          <w:p w14:paraId="68E24872" w14:textId="77777777" w:rsidR="00641991" w:rsidRPr="00E226E3" w:rsidRDefault="00641991" w:rsidP="00A60E23">
            <w:pPr>
              <w:jc w:val="center"/>
              <w:rPr>
                <w:rFonts w:ascii="Times New Roman" w:hAnsi="Times New Roman"/>
                <w:color w:val="000000" w:themeColor="text1"/>
                <w:sz w:val="20"/>
              </w:rPr>
            </w:pPr>
            <w:r w:rsidRPr="00E226E3">
              <w:rPr>
                <w:rFonts w:ascii="Times New Roman" w:hAnsi="Times New Roman"/>
                <w:color w:val="000000" w:themeColor="text1"/>
                <w:sz w:val="20"/>
              </w:rPr>
              <w:t>Vigente a partir del</w:t>
            </w:r>
          </w:p>
        </w:tc>
      </w:tr>
      <w:tr w:rsidR="00641991" w:rsidRPr="00E226E3" w14:paraId="7FFB32CD" w14:textId="77777777" w:rsidTr="00A60E23">
        <w:tc>
          <w:tcPr>
            <w:tcW w:w="6946" w:type="dxa"/>
            <w:shd w:val="clear" w:color="auto" w:fill="auto"/>
          </w:tcPr>
          <w:p w14:paraId="3F59620E" w14:textId="56B0B4AB" w:rsidR="00641991" w:rsidRPr="00E226E3" w:rsidRDefault="00641991" w:rsidP="00F42914">
            <w:pPr>
              <w:jc w:val="both"/>
              <w:rPr>
                <w:rFonts w:ascii="Times New Roman" w:hAnsi="Times New Roman"/>
                <w:sz w:val="20"/>
              </w:rPr>
            </w:pPr>
            <w:r w:rsidRPr="00E226E3">
              <w:rPr>
                <w:rFonts w:ascii="Times New Roman" w:hAnsi="Times New Roman"/>
                <w:sz w:val="20"/>
              </w:rPr>
              <w:t xml:space="preserve">Contratos </w:t>
            </w:r>
            <w:r w:rsidR="00F42914">
              <w:rPr>
                <w:rFonts w:ascii="Times New Roman" w:hAnsi="Times New Roman"/>
                <w:sz w:val="20"/>
              </w:rPr>
              <w:t>onerosos</w:t>
            </w:r>
            <w:r w:rsidRPr="00E226E3">
              <w:rPr>
                <w:rFonts w:ascii="Times New Roman" w:hAnsi="Times New Roman"/>
                <w:sz w:val="20"/>
              </w:rPr>
              <w:t>. Costos de cumplimiento de contrato (Modificación a la NIC 37)</w:t>
            </w:r>
          </w:p>
        </w:tc>
        <w:tc>
          <w:tcPr>
            <w:tcW w:w="1843" w:type="dxa"/>
            <w:shd w:val="clear" w:color="auto" w:fill="auto"/>
            <w:vAlign w:val="center"/>
          </w:tcPr>
          <w:p w14:paraId="63138C53" w14:textId="77777777" w:rsidR="00641991" w:rsidRPr="00E226E3" w:rsidRDefault="00641991" w:rsidP="00FC3663">
            <w:pPr>
              <w:jc w:val="center"/>
              <w:rPr>
                <w:rFonts w:ascii="Times New Roman" w:hAnsi="Times New Roman"/>
                <w:sz w:val="20"/>
              </w:rPr>
            </w:pPr>
            <w:r w:rsidRPr="00E226E3">
              <w:rPr>
                <w:rFonts w:ascii="Times New Roman" w:hAnsi="Times New Roman"/>
                <w:sz w:val="20"/>
              </w:rPr>
              <w:t>1 de enero de 2022</w:t>
            </w:r>
          </w:p>
        </w:tc>
      </w:tr>
      <w:tr w:rsidR="00641991" w:rsidRPr="00E226E3" w14:paraId="7819DC1A" w14:textId="77777777" w:rsidTr="00A60E23">
        <w:tc>
          <w:tcPr>
            <w:tcW w:w="6946" w:type="dxa"/>
            <w:shd w:val="clear" w:color="auto" w:fill="auto"/>
          </w:tcPr>
          <w:p w14:paraId="62D8DCD4" w14:textId="77777777" w:rsidR="00641991" w:rsidRPr="00E226E3" w:rsidRDefault="00641991" w:rsidP="00873E9F">
            <w:pPr>
              <w:jc w:val="both"/>
              <w:rPr>
                <w:rFonts w:ascii="Times New Roman" w:hAnsi="Times New Roman"/>
                <w:sz w:val="20"/>
              </w:rPr>
            </w:pPr>
            <w:r w:rsidRPr="00E226E3">
              <w:rPr>
                <w:rFonts w:ascii="Times New Roman" w:hAnsi="Times New Roman"/>
                <w:sz w:val="20"/>
              </w:rPr>
              <w:t>Mejoras anuales a las normas NIIF 2018-2020</w:t>
            </w:r>
          </w:p>
        </w:tc>
        <w:tc>
          <w:tcPr>
            <w:tcW w:w="1843" w:type="dxa"/>
            <w:shd w:val="clear" w:color="auto" w:fill="auto"/>
            <w:vAlign w:val="center"/>
          </w:tcPr>
          <w:p w14:paraId="349CA2AF" w14:textId="77777777" w:rsidR="00641991" w:rsidRPr="00E226E3" w:rsidRDefault="00641991" w:rsidP="00FC3663">
            <w:pPr>
              <w:jc w:val="center"/>
              <w:rPr>
                <w:rFonts w:ascii="Times New Roman" w:hAnsi="Times New Roman"/>
                <w:sz w:val="20"/>
              </w:rPr>
            </w:pPr>
            <w:r w:rsidRPr="00E226E3">
              <w:rPr>
                <w:rFonts w:ascii="Times New Roman" w:hAnsi="Times New Roman"/>
                <w:sz w:val="20"/>
              </w:rPr>
              <w:t>1 de enero de 2022</w:t>
            </w:r>
          </w:p>
        </w:tc>
      </w:tr>
      <w:tr w:rsidR="00641991" w:rsidRPr="00E226E3" w14:paraId="1CAE2FB4" w14:textId="77777777" w:rsidTr="00A60E23">
        <w:tc>
          <w:tcPr>
            <w:tcW w:w="6946" w:type="dxa"/>
            <w:shd w:val="clear" w:color="auto" w:fill="auto"/>
          </w:tcPr>
          <w:p w14:paraId="131DCB0F" w14:textId="77777777" w:rsidR="00641991" w:rsidRPr="00E226E3" w:rsidRDefault="00641991" w:rsidP="00873E9F">
            <w:pPr>
              <w:jc w:val="both"/>
              <w:rPr>
                <w:rFonts w:ascii="Times New Roman" w:hAnsi="Times New Roman"/>
                <w:sz w:val="20"/>
              </w:rPr>
            </w:pPr>
            <w:r w:rsidRPr="00E226E3">
              <w:rPr>
                <w:rFonts w:ascii="Times New Roman" w:hAnsi="Times New Roman"/>
                <w:sz w:val="20"/>
              </w:rPr>
              <w:t>Propiedad, planta y equipo: Ingresos recibidos antes del uso previsto (Modificación a la NIC 16)</w:t>
            </w:r>
          </w:p>
        </w:tc>
        <w:tc>
          <w:tcPr>
            <w:tcW w:w="1843" w:type="dxa"/>
            <w:shd w:val="clear" w:color="auto" w:fill="auto"/>
            <w:vAlign w:val="center"/>
          </w:tcPr>
          <w:p w14:paraId="7903AA6E" w14:textId="77777777" w:rsidR="00641991" w:rsidRPr="00E226E3" w:rsidRDefault="00641991" w:rsidP="00FC3663">
            <w:pPr>
              <w:jc w:val="center"/>
              <w:rPr>
                <w:rFonts w:ascii="Times New Roman" w:hAnsi="Times New Roman"/>
                <w:sz w:val="20"/>
              </w:rPr>
            </w:pPr>
            <w:r w:rsidRPr="00E226E3">
              <w:rPr>
                <w:rFonts w:ascii="Times New Roman" w:hAnsi="Times New Roman"/>
                <w:sz w:val="20"/>
              </w:rPr>
              <w:t>1 de enero de 2022</w:t>
            </w:r>
          </w:p>
        </w:tc>
      </w:tr>
      <w:tr w:rsidR="00641991" w:rsidRPr="00E226E3" w14:paraId="1AC79F12" w14:textId="77777777" w:rsidTr="00A60E23">
        <w:tc>
          <w:tcPr>
            <w:tcW w:w="6946" w:type="dxa"/>
            <w:shd w:val="clear" w:color="auto" w:fill="auto"/>
          </w:tcPr>
          <w:p w14:paraId="6168DC0A" w14:textId="77777777" w:rsidR="00641991" w:rsidRPr="00E226E3" w:rsidRDefault="00641991" w:rsidP="00873E9F">
            <w:pPr>
              <w:jc w:val="both"/>
              <w:rPr>
                <w:rFonts w:ascii="Times New Roman" w:hAnsi="Times New Roman"/>
                <w:sz w:val="20"/>
              </w:rPr>
            </w:pPr>
            <w:r w:rsidRPr="00E226E3">
              <w:rPr>
                <w:rFonts w:ascii="Times New Roman" w:hAnsi="Times New Roman"/>
                <w:sz w:val="20"/>
              </w:rPr>
              <w:t>Referencia al Marco conceptual (Modificaciones a la NIIF 3)</w:t>
            </w:r>
          </w:p>
        </w:tc>
        <w:tc>
          <w:tcPr>
            <w:tcW w:w="1843" w:type="dxa"/>
            <w:shd w:val="clear" w:color="auto" w:fill="auto"/>
            <w:vAlign w:val="center"/>
          </w:tcPr>
          <w:p w14:paraId="0ECE48B2" w14:textId="77777777" w:rsidR="00641991" w:rsidRPr="00E226E3" w:rsidRDefault="00641991" w:rsidP="00FC3663">
            <w:pPr>
              <w:jc w:val="center"/>
              <w:rPr>
                <w:rFonts w:ascii="Times New Roman" w:hAnsi="Times New Roman"/>
                <w:sz w:val="20"/>
              </w:rPr>
            </w:pPr>
            <w:r w:rsidRPr="00E226E3">
              <w:rPr>
                <w:rFonts w:ascii="Times New Roman" w:hAnsi="Times New Roman"/>
                <w:sz w:val="20"/>
              </w:rPr>
              <w:t>1 de enero de 2022</w:t>
            </w:r>
          </w:p>
        </w:tc>
      </w:tr>
      <w:tr w:rsidR="00641991" w:rsidRPr="00E226E3" w14:paraId="1552E26D" w14:textId="77777777" w:rsidTr="00A60E23">
        <w:tc>
          <w:tcPr>
            <w:tcW w:w="6946" w:type="dxa"/>
            <w:shd w:val="clear" w:color="auto" w:fill="auto"/>
          </w:tcPr>
          <w:p w14:paraId="772E372C" w14:textId="77777777" w:rsidR="00641991" w:rsidRPr="00E226E3" w:rsidRDefault="00641991" w:rsidP="00873E9F">
            <w:pPr>
              <w:jc w:val="both"/>
              <w:rPr>
                <w:rFonts w:ascii="Times New Roman" w:hAnsi="Times New Roman"/>
                <w:sz w:val="20"/>
              </w:rPr>
            </w:pPr>
            <w:r w:rsidRPr="00E226E3">
              <w:rPr>
                <w:rFonts w:ascii="Times New Roman" w:hAnsi="Times New Roman"/>
                <w:sz w:val="20"/>
              </w:rPr>
              <w:t>NIIF 17 Contratos de seguro y Modificaciones a NIIF 17</w:t>
            </w:r>
          </w:p>
        </w:tc>
        <w:tc>
          <w:tcPr>
            <w:tcW w:w="1843" w:type="dxa"/>
            <w:shd w:val="clear" w:color="auto" w:fill="auto"/>
            <w:vAlign w:val="center"/>
          </w:tcPr>
          <w:p w14:paraId="430797AF" w14:textId="77777777" w:rsidR="00641991" w:rsidRPr="00E226E3" w:rsidRDefault="00641991" w:rsidP="00FC3663">
            <w:pPr>
              <w:jc w:val="center"/>
              <w:rPr>
                <w:rFonts w:ascii="Times New Roman" w:hAnsi="Times New Roman"/>
                <w:sz w:val="20"/>
              </w:rPr>
            </w:pPr>
            <w:r w:rsidRPr="00E226E3">
              <w:rPr>
                <w:rFonts w:ascii="Times New Roman" w:hAnsi="Times New Roman"/>
                <w:sz w:val="20"/>
              </w:rPr>
              <w:t>1 de enero de 2023</w:t>
            </w:r>
          </w:p>
        </w:tc>
      </w:tr>
      <w:tr w:rsidR="00641991" w:rsidRPr="00E226E3" w14:paraId="74BA933A" w14:textId="77777777" w:rsidTr="00A60E23">
        <w:tc>
          <w:tcPr>
            <w:tcW w:w="6946" w:type="dxa"/>
            <w:shd w:val="clear" w:color="auto" w:fill="auto"/>
          </w:tcPr>
          <w:p w14:paraId="27C53EE0" w14:textId="77777777" w:rsidR="00641991" w:rsidRPr="00E226E3" w:rsidRDefault="00641991" w:rsidP="00873E9F">
            <w:pPr>
              <w:jc w:val="both"/>
              <w:rPr>
                <w:rFonts w:ascii="Times New Roman" w:hAnsi="Times New Roman"/>
                <w:sz w:val="20"/>
              </w:rPr>
            </w:pPr>
            <w:r w:rsidRPr="00E226E3">
              <w:rPr>
                <w:rFonts w:ascii="Times New Roman" w:hAnsi="Times New Roman"/>
                <w:sz w:val="20"/>
              </w:rPr>
              <w:t>Clasificación de deudas como corrientes y no corrientes (Modificación de la NIC 1)</w:t>
            </w:r>
          </w:p>
        </w:tc>
        <w:tc>
          <w:tcPr>
            <w:tcW w:w="1843" w:type="dxa"/>
            <w:shd w:val="clear" w:color="auto" w:fill="auto"/>
            <w:vAlign w:val="center"/>
          </w:tcPr>
          <w:p w14:paraId="5509D198" w14:textId="77777777" w:rsidR="00641991" w:rsidRPr="00E226E3" w:rsidRDefault="00641991" w:rsidP="00FC3663">
            <w:pPr>
              <w:jc w:val="center"/>
              <w:rPr>
                <w:rFonts w:ascii="Times New Roman" w:hAnsi="Times New Roman"/>
                <w:sz w:val="20"/>
              </w:rPr>
            </w:pPr>
            <w:r w:rsidRPr="00E226E3">
              <w:rPr>
                <w:rFonts w:ascii="Times New Roman" w:hAnsi="Times New Roman"/>
                <w:sz w:val="20"/>
              </w:rPr>
              <w:t>1 de enero de 2023</w:t>
            </w:r>
          </w:p>
        </w:tc>
      </w:tr>
      <w:tr w:rsidR="006C6B18" w:rsidRPr="00E226E3" w14:paraId="208B1B18" w14:textId="77777777" w:rsidTr="00A60E23">
        <w:tc>
          <w:tcPr>
            <w:tcW w:w="6946" w:type="dxa"/>
            <w:shd w:val="clear" w:color="auto" w:fill="auto"/>
          </w:tcPr>
          <w:p w14:paraId="19A3A4DF" w14:textId="55A72819" w:rsidR="006C6B18" w:rsidRPr="00E226E3" w:rsidRDefault="006C6B18" w:rsidP="00873E9F">
            <w:pPr>
              <w:jc w:val="both"/>
              <w:rPr>
                <w:rFonts w:ascii="Times New Roman" w:hAnsi="Times New Roman"/>
                <w:sz w:val="20"/>
              </w:rPr>
            </w:pPr>
            <w:r w:rsidRPr="006C6B18">
              <w:rPr>
                <w:rFonts w:ascii="Times New Roman" w:hAnsi="Times New Roman"/>
                <w:sz w:val="20"/>
              </w:rPr>
              <w:t>Definición de estimaciones contables (Modificación a la NIC 8)</w:t>
            </w:r>
          </w:p>
        </w:tc>
        <w:tc>
          <w:tcPr>
            <w:tcW w:w="1843" w:type="dxa"/>
            <w:shd w:val="clear" w:color="auto" w:fill="auto"/>
            <w:vAlign w:val="center"/>
          </w:tcPr>
          <w:p w14:paraId="35F8B02A" w14:textId="6D5A1B24" w:rsidR="006C6B18" w:rsidRPr="00E226E3" w:rsidRDefault="009C1EB6" w:rsidP="00FC3663">
            <w:pPr>
              <w:jc w:val="center"/>
              <w:rPr>
                <w:rFonts w:ascii="Times New Roman" w:hAnsi="Times New Roman"/>
                <w:sz w:val="20"/>
              </w:rPr>
            </w:pPr>
            <w:r w:rsidRPr="00E226E3">
              <w:rPr>
                <w:rFonts w:ascii="Times New Roman" w:hAnsi="Times New Roman"/>
                <w:sz w:val="20"/>
              </w:rPr>
              <w:t>1 de enero de 2023</w:t>
            </w:r>
          </w:p>
        </w:tc>
      </w:tr>
      <w:tr w:rsidR="006C6B18" w:rsidRPr="00E226E3" w14:paraId="13B8864D" w14:textId="77777777" w:rsidTr="00A60E23">
        <w:tc>
          <w:tcPr>
            <w:tcW w:w="6946" w:type="dxa"/>
            <w:shd w:val="clear" w:color="auto" w:fill="auto"/>
          </w:tcPr>
          <w:p w14:paraId="6843750C" w14:textId="08DA1D99" w:rsidR="006C6B18" w:rsidRPr="00E226E3" w:rsidRDefault="009C1EB6" w:rsidP="00873E9F">
            <w:pPr>
              <w:jc w:val="both"/>
              <w:rPr>
                <w:rFonts w:ascii="Times New Roman" w:hAnsi="Times New Roman"/>
                <w:sz w:val="20"/>
              </w:rPr>
            </w:pPr>
            <w:r w:rsidRPr="009C1EB6">
              <w:rPr>
                <w:rFonts w:ascii="Times New Roman" w:hAnsi="Times New Roman"/>
                <w:sz w:val="20"/>
              </w:rPr>
              <w:t>Revelación de políticas contables (Modificaciones a la NIC 1 y al IFRS Practice Statement 2)</w:t>
            </w:r>
          </w:p>
        </w:tc>
        <w:tc>
          <w:tcPr>
            <w:tcW w:w="1843" w:type="dxa"/>
            <w:shd w:val="clear" w:color="auto" w:fill="auto"/>
            <w:vAlign w:val="center"/>
          </w:tcPr>
          <w:p w14:paraId="7EEE36C8" w14:textId="087B73B5" w:rsidR="006C6B18" w:rsidRPr="00E226E3" w:rsidRDefault="00107CE5" w:rsidP="00FC3663">
            <w:pPr>
              <w:jc w:val="center"/>
              <w:rPr>
                <w:rFonts w:ascii="Times New Roman" w:hAnsi="Times New Roman"/>
                <w:sz w:val="20"/>
              </w:rPr>
            </w:pPr>
            <w:r w:rsidRPr="00E226E3">
              <w:rPr>
                <w:rFonts w:ascii="Times New Roman" w:hAnsi="Times New Roman"/>
                <w:sz w:val="20"/>
              </w:rPr>
              <w:t>1 de enero de 2023</w:t>
            </w:r>
          </w:p>
        </w:tc>
      </w:tr>
      <w:tr w:rsidR="009A62A8" w:rsidRPr="00E226E3" w14:paraId="29EEB6F3" w14:textId="77777777" w:rsidTr="00BF0456">
        <w:tc>
          <w:tcPr>
            <w:tcW w:w="6946" w:type="dxa"/>
            <w:shd w:val="clear" w:color="auto" w:fill="auto"/>
          </w:tcPr>
          <w:p w14:paraId="343FAF90" w14:textId="57D68327" w:rsidR="009A62A8" w:rsidRPr="009C1EB6" w:rsidRDefault="00241FFD" w:rsidP="009A62A8">
            <w:pPr>
              <w:jc w:val="both"/>
              <w:rPr>
                <w:rFonts w:ascii="Times New Roman" w:hAnsi="Times New Roman"/>
                <w:sz w:val="20"/>
              </w:rPr>
            </w:pPr>
            <w:r>
              <w:rPr>
                <w:rFonts w:ascii="Times New Roman" w:hAnsi="Times New Roman"/>
                <w:sz w:val="20"/>
              </w:rPr>
              <w:t>Impuesto diferido relacionado</w:t>
            </w:r>
            <w:r w:rsidR="009A62A8">
              <w:rPr>
                <w:rFonts w:ascii="Times New Roman" w:hAnsi="Times New Roman"/>
                <w:sz w:val="20"/>
              </w:rPr>
              <w:t xml:space="preserve"> con activos y pasivos que surgen de una transacción única (Modificación a IAS 12)</w:t>
            </w:r>
          </w:p>
        </w:tc>
        <w:tc>
          <w:tcPr>
            <w:tcW w:w="1843" w:type="dxa"/>
            <w:shd w:val="clear" w:color="auto" w:fill="auto"/>
            <w:vAlign w:val="center"/>
          </w:tcPr>
          <w:p w14:paraId="0A3EE548" w14:textId="7674C562" w:rsidR="009A62A8" w:rsidRPr="00E226E3" w:rsidRDefault="009A62A8" w:rsidP="009A62A8">
            <w:pPr>
              <w:jc w:val="center"/>
              <w:rPr>
                <w:rFonts w:ascii="Times New Roman" w:hAnsi="Times New Roman"/>
                <w:sz w:val="20"/>
              </w:rPr>
            </w:pPr>
            <w:r>
              <w:rPr>
                <w:rFonts w:ascii="Times New Roman" w:hAnsi="Times New Roman"/>
                <w:sz w:val="20"/>
              </w:rPr>
              <w:t>1 de enero de 2023</w:t>
            </w:r>
          </w:p>
        </w:tc>
      </w:tr>
      <w:tr w:rsidR="009A62A8" w:rsidRPr="00E226E3" w14:paraId="0ABF37C2" w14:textId="77777777" w:rsidTr="00BF0456">
        <w:tc>
          <w:tcPr>
            <w:tcW w:w="6946" w:type="dxa"/>
            <w:shd w:val="clear" w:color="auto" w:fill="auto"/>
          </w:tcPr>
          <w:p w14:paraId="34AEFE33" w14:textId="77777777" w:rsidR="009A62A8" w:rsidRPr="00E226E3" w:rsidRDefault="009A62A8" w:rsidP="009A62A8">
            <w:pPr>
              <w:jc w:val="both"/>
              <w:rPr>
                <w:rFonts w:ascii="Times New Roman" w:hAnsi="Times New Roman"/>
                <w:sz w:val="20"/>
              </w:rPr>
            </w:pPr>
            <w:r w:rsidRPr="00E226E3">
              <w:rPr>
                <w:rFonts w:ascii="Times New Roman" w:hAnsi="Times New Roman"/>
                <w:sz w:val="20"/>
              </w:rPr>
              <w:t>Venta o contribución de activos entre el inversor y sus asociadas o negocios conjuntos</w:t>
            </w:r>
          </w:p>
        </w:tc>
        <w:tc>
          <w:tcPr>
            <w:tcW w:w="1843" w:type="dxa"/>
            <w:shd w:val="clear" w:color="auto" w:fill="auto"/>
            <w:vAlign w:val="center"/>
          </w:tcPr>
          <w:p w14:paraId="385AB42F" w14:textId="7F4FFD35" w:rsidR="009A62A8" w:rsidRPr="00E226E3" w:rsidRDefault="00F42914" w:rsidP="009A62A8">
            <w:pPr>
              <w:jc w:val="center"/>
              <w:rPr>
                <w:rFonts w:ascii="Times New Roman" w:hAnsi="Times New Roman"/>
                <w:sz w:val="20"/>
              </w:rPr>
            </w:pPr>
            <w:r>
              <w:rPr>
                <w:rFonts w:ascii="Times New Roman" w:hAnsi="Times New Roman"/>
                <w:sz w:val="20"/>
              </w:rPr>
              <w:t>Opcional</w:t>
            </w:r>
          </w:p>
        </w:tc>
      </w:tr>
    </w:tbl>
    <w:p w14:paraId="07724851" w14:textId="77777777" w:rsidR="00D103CF" w:rsidRPr="00E226E3" w:rsidRDefault="00D103CF" w:rsidP="00F87FCA">
      <w:pPr>
        <w:pStyle w:val="Normal60"/>
        <w:spacing w:line="240" w:lineRule="auto"/>
        <w:ind w:left="567"/>
        <w:rPr>
          <w:rFonts w:ascii="Times New Roman" w:eastAsia="Times New Roman" w:hAnsi="Times New Roman"/>
          <w:color w:val="000000"/>
          <w:lang w:val="es-AR"/>
        </w:rPr>
      </w:pPr>
    </w:p>
    <w:p w14:paraId="3474A47E" w14:textId="2D07C8E3" w:rsidR="00F87FCA" w:rsidRDefault="00F87FCA" w:rsidP="00F87FCA">
      <w:pPr>
        <w:pStyle w:val="Normal60"/>
        <w:spacing w:line="240" w:lineRule="auto"/>
        <w:ind w:left="567"/>
        <w:rPr>
          <w:rFonts w:ascii="Times New Roman" w:eastAsia="Times New Roman" w:hAnsi="Times New Roman"/>
          <w:color w:val="000000"/>
          <w:lang w:val="es-AR"/>
        </w:rPr>
      </w:pPr>
      <w:r w:rsidRPr="00E226E3">
        <w:rPr>
          <w:rFonts w:ascii="Times New Roman" w:eastAsia="Times New Roman" w:hAnsi="Times New Roman"/>
          <w:color w:val="000000"/>
          <w:lang w:val="es-AR"/>
        </w:rPr>
        <w:t xml:space="preserve">De las cuales, el Grupo considera que los mismos no tendrán un impacto significativo en sus estados financieros </w:t>
      </w:r>
      <w:r w:rsidR="00B8767B">
        <w:rPr>
          <w:rFonts w:ascii="Times New Roman" w:eastAsia="Times New Roman" w:hAnsi="Times New Roman"/>
          <w:color w:val="000000"/>
          <w:lang w:val="es-AR"/>
        </w:rPr>
        <w:t>intermedios consolidados condensados.</w:t>
      </w:r>
    </w:p>
    <w:p w14:paraId="4992EE6E" w14:textId="77777777" w:rsidR="00AE4C22" w:rsidRDefault="00AE4C22" w:rsidP="00D103CF">
      <w:pPr>
        <w:pStyle w:val="Normal60"/>
        <w:spacing w:after="0" w:line="240" w:lineRule="auto"/>
        <w:ind w:left="567"/>
        <w:rPr>
          <w:rFonts w:ascii="Times New Roman" w:eastAsia="Times New Roman" w:hAnsi="Times New Roman"/>
          <w:color w:val="000000"/>
          <w:lang w:val="es-AR"/>
        </w:rPr>
      </w:pPr>
    </w:p>
    <w:p w14:paraId="583BE168" w14:textId="77777777" w:rsidR="00AE4C22" w:rsidRDefault="00AE4C22" w:rsidP="00D103CF">
      <w:pPr>
        <w:pStyle w:val="Normal60"/>
        <w:spacing w:after="0" w:line="240" w:lineRule="auto"/>
        <w:ind w:left="567"/>
        <w:rPr>
          <w:rFonts w:ascii="Times New Roman" w:eastAsia="Times New Roman" w:hAnsi="Times New Roman"/>
          <w:color w:val="000000"/>
          <w:lang w:val="es-AR"/>
        </w:rPr>
      </w:pPr>
    </w:p>
    <w:p w14:paraId="3E640690" w14:textId="77777777" w:rsidR="00D57E92" w:rsidRDefault="00D57E92" w:rsidP="00D103CF">
      <w:pPr>
        <w:pStyle w:val="Normal60"/>
        <w:spacing w:after="0" w:line="240" w:lineRule="auto"/>
        <w:ind w:left="567"/>
        <w:rPr>
          <w:rFonts w:ascii="Times New Roman" w:eastAsia="Times New Roman" w:hAnsi="Times New Roman"/>
          <w:color w:val="000000"/>
          <w:lang w:val="es-AR"/>
        </w:rPr>
      </w:pPr>
    </w:p>
    <w:p w14:paraId="179412F8" w14:textId="1B304F59" w:rsidR="00A20CC9" w:rsidRPr="00D57E92" w:rsidRDefault="00A20CC9" w:rsidP="00C60CC8">
      <w:pPr>
        <w:pStyle w:val="Prrafodelista"/>
        <w:numPr>
          <w:ilvl w:val="0"/>
          <w:numId w:val="11"/>
        </w:numPr>
        <w:spacing w:after="120" w:line="240" w:lineRule="exact"/>
        <w:jc w:val="both"/>
        <w:rPr>
          <w:b/>
          <w:color w:val="000000"/>
          <w:sz w:val="20"/>
          <w:szCs w:val="20"/>
          <w:lang w:val="es-AR"/>
        </w:rPr>
      </w:pPr>
      <w:r w:rsidRPr="00D57E92">
        <w:rPr>
          <w:b/>
          <w:color w:val="000000"/>
          <w:sz w:val="20"/>
          <w:szCs w:val="20"/>
          <w:lang w:val="es-AR"/>
        </w:rPr>
        <w:t>Efectivo y depósitos en bancos</w:t>
      </w:r>
    </w:p>
    <w:p w14:paraId="120DED6A" w14:textId="32E62984" w:rsidR="007E14EF" w:rsidRDefault="00F826C7" w:rsidP="00202B38">
      <w:pPr>
        <w:spacing w:line="240" w:lineRule="exact"/>
        <w:ind w:left="709"/>
        <w:jc w:val="both"/>
        <w:rPr>
          <w:rFonts w:ascii="Times New Roman" w:hAnsi="Times New Roman"/>
          <w:color w:val="000000"/>
          <w:sz w:val="20"/>
          <w:lang w:eastAsia="en-US"/>
        </w:rPr>
      </w:pPr>
      <w:r w:rsidRPr="00A5050E">
        <w:rPr>
          <w:rFonts w:ascii="Times New Roman" w:hAnsi="Times New Roman"/>
          <w:color w:val="000000"/>
          <w:sz w:val="20"/>
          <w:lang w:eastAsia="en-US"/>
        </w:rPr>
        <w:t xml:space="preserve">La composición del rubro en </w:t>
      </w:r>
      <w:r w:rsidR="000A0AE9" w:rsidRPr="00A5050E">
        <w:rPr>
          <w:rFonts w:ascii="Times New Roman" w:hAnsi="Times New Roman"/>
          <w:color w:val="000000"/>
          <w:sz w:val="20"/>
          <w:lang w:eastAsia="en-US"/>
        </w:rPr>
        <w:t>el</w:t>
      </w:r>
      <w:r w:rsidR="007A3D51" w:rsidRPr="00A5050E">
        <w:rPr>
          <w:rFonts w:ascii="Times New Roman" w:hAnsi="Times New Roman"/>
          <w:color w:val="000000"/>
          <w:sz w:val="20"/>
          <w:lang w:eastAsia="en-US"/>
        </w:rPr>
        <w:t xml:space="preserve"> Estado</w:t>
      </w:r>
      <w:r w:rsidR="000A0AE9" w:rsidRPr="00A5050E">
        <w:rPr>
          <w:rFonts w:ascii="Times New Roman" w:hAnsi="Times New Roman"/>
          <w:color w:val="000000"/>
          <w:sz w:val="20"/>
          <w:lang w:eastAsia="en-US"/>
        </w:rPr>
        <w:t xml:space="preserve"> Consolidado </w:t>
      </w:r>
      <w:r w:rsidR="007A3D51" w:rsidRPr="00A5050E">
        <w:rPr>
          <w:rFonts w:ascii="Times New Roman" w:hAnsi="Times New Roman"/>
          <w:color w:val="000000"/>
          <w:sz w:val="20"/>
          <w:lang w:eastAsia="en-US"/>
        </w:rPr>
        <w:t>de Situación Financiera</w:t>
      </w:r>
      <w:r w:rsidR="00647FA9">
        <w:rPr>
          <w:rFonts w:ascii="Times New Roman" w:hAnsi="Times New Roman"/>
          <w:color w:val="000000"/>
          <w:sz w:val="20"/>
          <w:lang w:eastAsia="en-US"/>
        </w:rPr>
        <w:t xml:space="preserve"> </w:t>
      </w:r>
      <w:r w:rsidR="00FF2399">
        <w:rPr>
          <w:rFonts w:ascii="Times New Roman" w:hAnsi="Times New Roman"/>
          <w:color w:val="000000"/>
          <w:sz w:val="20"/>
          <w:lang w:eastAsia="en-US"/>
        </w:rPr>
        <w:t>C</w:t>
      </w:r>
      <w:r w:rsidR="00647FA9">
        <w:rPr>
          <w:rFonts w:ascii="Times New Roman" w:hAnsi="Times New Roman"/>
          <w:color w:val="000000"/>
          <w:sz w:val="20"/>
          <w:lang w:eastAsia="en-US"/>
        </w:rPr>
        <w:t>ondensado</w:t>
      </w:r>
      <w:r w:rsidR="007034C0" w:rsidRPr="00A5050E">
        <w:rPr>
          <w:rFonts w:ascii="Times New Roman" w:hAnsi="Times New Roman"/>
          <w:color w:val="000000"/>
          <w:sz w:val="20"/>
          <w:lang w:eastAsia="en-US"/>
        </w:rPr>
        <w:t xml:space="preserve"> </w:t>
      </w:r>
      <w:r w:rsidR="007A3D51" w:rsidRPr="00A5050E">
        <w:rPr>
          <w:rFonts w:ascii="Times New Roman" w:hAnsi="Times New Roman"/>
          <w:color w:val="000000"/>
          <w:sz w:val="20"/>
          <w:lang w:eastAsia="en-US"/>
        </w:rPr>
        <w:t>y e</w:t>
      </w:r>
      <w:r w:rsidR="000A0AE9" w:rsidRPr="00A5050E">
        <w:rPr>
          <w:rFonts w:ascii="Times New Roman" w:hAnsi="Times New Roman"/>
          <w:color w:val="000000"/>
          <w:sz w:val="20"/>
          <w:lang w:eastAsia="en-US"/>
        </w:rPr>
        <w:t>l saldo de e</w:t>
      </w:r>
      <w:r w:rsidR="00A20CC9" w:rsidRPr="00A5050E">
        <w:rPr>
          <w:rFonts w:ascii="Times New Roman" w:hAnsi="Times New Roman"/>
          <w:color w:val="000000"/>
          <w:sz w:val="20"/>
          <w:lang w:eastAsia="en-US"/>
        </w:rPr>
        <w:t>fectivo y equivalentes computado a los efectos de la preparación de</w:t>
      </w:r>
      <w:r w:rsidR="000A0AE9" w:rsidRPr="00A5050E">
        <w:rPr>
          <w:rFonts w:ascii="Times New Roman" w:hAnsi="Times New Roman"/>
          <w:color w:val="000000"/>
          <w:sz w:val="20"/>
          <w:lang w:eastAsia="en-US"/>
        </w:rPr>
        <w:t xml:space="preserve">l </w:t>
      </w:r>
      <w:r w:rsidR="00A20CC9" w:rsidRPr="00A5050E">
        <w:rPr>
          <w:rFonts w:ascii="Times New Roman" w:hAnsi="Times New Roman"/>
          <w:color w:val="000000"/>
          <w:sz w:val="20"/>
          <w:lang w:eastAsia="en-US"/>
        </w:rPr>
        <w:t>Estado</w:t>
      </w:r>
      <w:r w:rsidR="000A0AE9" w:rsidRPr="00A5050E">
        <w:rPr>
          <w:rFonts w:ascii="Times New Roman" w:hAnsi="Times New Roman"/>
          <w:color w:val="000000"/>
          <w:sz w:val="20"/>
          <w:lang w:eastAsia="en-US"/>
        </w:rPr>
        <w:t xml:space="preserve"> Consolidado de F</w:t>
      </w:r>
      <w:r w:rsidR="00A20CC9" w:rsidRPr="00A5050E">
        <w:rPr>
          <w:rFonts w:ascii="Times New Roman" w:hAnsi="Times New Roman"/>
          <w:color w:val="000000"/>
          <w:sz w:val="20"/>
          <w:lang w:eastAsia="en-US"/>
        </w:rPr>
        <w:t xml:space="preserve">lujos de </w:t>
      </w:r>
      <w:r w:rsidR="000A0AE9" w:rsidRPr="00A5050E">
        <w:rPr>
          <w:rFonts w:ascii="Times New Roman" w:hAnsi="Times New Roman"/>
          <w:color w:val="000000"/>
          <w:sz w:val="20"/>
          <w:lang w:eastAsia="en-US"/>
        </w:rPr>
        <w:t>E</w:t>
      </w:r>
      <w:r w:rsidR="00A20CC9" w:rsidRPr="00A5050E">
        <w:rPr>
          <w:rFonts w:ascii="Times New Roman" w:hAnsi="Times New Roman"/>
          <w:color w:val="000000"/>
          <w:sz w:val="20"/>
          <w:lang w:eastAsia="en-US"/>
        </w:rPr>
        <w:t>fectivo</w:t>
      </w:r>
      <w:r w:rsidR="007034C0" w:rsidRPr="00A5050E">
        <w:rPr>
          <w:rFonts w:ascii="Times New Roman" w:hAnsi="Times New Roman"/>
          <w:color w:val="000000"/>
          <w:sz w:val="20"/>
          <w:lang w:eastAsia="en-US"/>
        </w:rPr>
        <w:t xml:space="preserve"> </w:t>
      </w:r>
      <w:r w:rsidR="00FF2399">
        <w:rPr>
          <w:rFonts w:ascii="Times New Roman" w:hAnsi="Times New Roman"/>
          <w:color w:val="000000"/>
          <w:sz w:val="20"/>
          <w:lang w:eastAsia="en-US"/>
        </w:rPr>
        <w:t>C</w:t>
      </w:r>
      <w:r w:rsidR="00647FA9">
        <w:rPr>
          <w:rFonts w:ascii="Times New Roman" w:hAnsi="Times New Roman"/>
          <w:color w:val="000000"/>
          <w:sz w:val="20"/>
          <w:lang w:eastAsia="en-US"/>
        </w:rPr>
        <w:t xml:space="preserve">ondensado </w:t>
      </w:r>
      <w:r w:rsidR="00A20CC9" w:rsidRPr="00A5050E">
        <w:rPr>
          <w:rFonts w:ascii="Times New Roman" w:hAnsi="Times New Roman"/>
          <w:color w:val="000000"/>
          <w:sz w:val="20"/>
          <w:lang w:eastAsia="en-US"/>
        </w:rPr>
        <w:t>incluye</w:t>
      </w:r>
      <w:r w:rsidR="00092203" w:rsidRPr="00A5050E">
        <w:rPr>
          <w:rFonts w:ascii="Times New Roman" w:hAnsi="Times New Roman"/>
          <w:color w:val="000000"/>
          <w:sz w:val="20"/>
          <w:lang w:eastAsia="en-US"/>
        </w:rPr>
        <w:t>n</w:t>
      </w:r>
      <w:r w:rsidR="00A20CC9" w:rsidRPr="00A5050E">
        <w:rPr>
          <w:rFonts w:ascii="Times New Roman" w:hAnsi="Times New Roman"/>
          <w:color w:val="000000"/>
          <w:sz w:val="20"/>
          <w:lang w:eastAsia="en-US"/>
        </w:rPr>
        <w:t xml:space="preserve"> los siguientes conceptos:</w:t>
      </w:r>
    </w:p>
    <w:p w14:paraId="6796FDD4" w14:textId="77777777" w:rsidR="00202B38" w:rsidRDefault="00202B38" w:rsidP="00202B38">
      <w:pPr>
        <w:spacing w:line="240" w:lineRule="exact"/>
        <w:ind w:left="709"/>
        <w:jc w:val="both"/>
        <w:rPr>
          <w:rFonts w:ascii="Times New Roman" w:hAnsi="Times New Roman"/>
          <w:color w:val="000000"/>
          <w:sz w:val="20"/>
          <w:lang w:eastAsia="en-US"/>
        </w:rPr>
      </w:pPr>
    </w:p>
    <w:p w14:paraId="28EA8642" w14:textId="77777777" w:rsidR="001F41D4" w:rsidRDefault="001F41D4" w:rsidP="00202B38">
      <w:pPr>
        <w:spacing w:line="240" w:lineRule="exact"/>
        <w:ind w:left="709"/>
        <w:jc w:val="both"/>
        <w:rPr>
          <w:rFonts w:ascii="Times New Roman" w:hAnsi="Times New Roman"/>
          <w:color w:val="000000"/>
          <w:sz w:val="20"/>
          <w:lang w:eastAsia="en-US"/>
        </w:rPr>
      </w:pPr>
    </w:p>
    <w:p w14:paraId="07C4AE3F" w14:textId="5585AB17" w:rsidR="00D315F9" w:rsidRDefault="004E4446" w:rsidP="007E14EF">
      <w:pPr>
        <w:pStyle w:val="Textoindependiente2"/>
        <w:spacing w:after="120"/>
        <w:ind w:left="1821" w:right="-499" w:hanging="1112"/>
        <w:rPr>
          <w:noProof/>
          <w:lang w:eastAsia="es-AR"/>
        </w:rPr>
      </w:pPr>
      <w:r w:rsidRPr="004D7399">
        <w:rPr>
          <w:noProof/>
          <w:lang w:eastAsia="es-AR"/>
        </w:rPr>
        <w:drawing>
          <wp:inline distT="0" distB="0" distL="0" distR="0" wp14:anchorId="578ACDAE" wp14:editId="1A68DF9A">
            <wp:extent cx="6031230" cy="905752"/>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1230" cy="905752"/>
                    </a:xfrm>
                    <a:prstGeom prst="rect">
                      <a:avLst/>
                    </a:prstGeom>
                    <a:noFill/>
                    <a:ln>
                      <a:noFill/>
                    </a:ln>
                  </pic:spPr>
                </pic:pic>
              </a:graphicData>
            </a:graphic>
          </wp:inline>
        </w:drawing>
      </w:r>
    </w:p>
    <w:p w14:paraId="1FD93305" w14:textId="77777777" w:rsidR="001F41D4" w:rsidRDefault="001F41D4" w:rsidP="007E14EF">
      <w:pPr>
        <w:pStyle w:val="Textoindependiente2"/>
        <w:spacing w:after="120"/>
        <w:ind w:left="1821" w:right="-499" w:hanging="1112"/>
        <w:rPr>
          <w:noProof/>
          <w:lang w:eastAsia="es-AR"/>
        </w:rPr>
      </w:pPr>
    </w:p>
    <w:p w14:paraId="540F25F4" w14:textId="77777777" w:rsidR="00D12586" w:rsidRPr="00D57E92" w:rsidRDefault="00D12586" w:rsidP="00C60CC8">
      <w:pPr>
        <w:pStyle w:val="Prrafodelista"/>
        <w:numPr>
          <w:ilvl w:val="0"/>
          <w:numId w:val="11"/>
        </w:numPr>
        <w:ind w:right="-427"/>
        <w:jc w:val="both"/>
        <w:rPr>
          <w:b/>
          <w:sz w:val="20"/>
          <w:szCs w:val="20"/>
          <w:lang w:val="es-AR"/>
        </w:rPr>
      </w:pPr>
      <w:r w:rsidRPr="00D57E92">
        <w:rPr>
          <w:b/>
          <w:sz w:val="20"/>
          <w:szCs w:val="20"/>
          <w:lang w:val="es-AR"/>
        </w:rPr>
        <w:t>Títulos de deuda a valor razonable con cambios en resultados</w:t>
      </w:r>
    </w:p>
    <w:p w14:paraId="04EAEA64" w14:textId="362F425B" w:rsidR="00C67278" w:rsidRPr="008733D6" w:rsidRDefault="0003190E" w:rsidP="0003190E">
      <w:pPr>
        <w:pStyle w:val="Prrafodelista"/>
        <w:tabs>
          <w:tab w:val="left" w:pos="1665"/>
        </w:tabs>
        <w:ind w:left="785" w:right="-427"/>
        <w:jc w:val="both"/>
        <w:rPr>
          <w:b/>
          <w:sz w:val="20"/>
          <w:szCs w:val="20"/>
          <w:lang w:val="es-AR"/>
        </w:rPr>
      </w:pPr>
      <w:r w:rsidRPr="008733D6">
        <w:rPr>
          <w:b/>
          <w:sz w:val="20"/>
          <w:szCs w:val="20"/>
          <w:lang w:val="es-AR"/>
        </w:rPr>
        <w:tab/>
      </w:r>
    </w:p>
    <w:p w14:paraId="0B933189" w14:textId="0062F51E" w:rsidR="00CA5316" w:rsidRDefault="004E4446" w:rsidP="00202B38">
      <w:pPr>
        <w:ind w:left="709"/>
        <w:rPr>
          <w:rFonts w:ascii="Times New Roman" w:hAnsi="Times New Roman"/>
          <w:b/>
          <w:sz w:val="20"/>
          <w:lang w:eastAsia="en-US"/>
        </w:rPr>
      </w:pPr>
      <w:r w:rsidRPr="004D7399">
        <w:rPr>
          <w:noProof/>
          <w:lang w:eastAsia="es-AR"/>
        </w:rPr>
        <w:drawing>
          <wp:inline distT="0" distB="0" distL="0" distR="0" wp14:anchorId="11A8947E" wp14:editId="4456C7B9">
            <wp:extent cx="6031230" cy="905752"/>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1230" cy="905752"/>
                    </a:xfrm>
                    <a:prstGeom prst="rect">
                      <a:avLst/>
                    </a:prstGeom>
                    <a:noFill/>
                    <a:ln>
                      <a:noFill/>
                    </a:ln>
                  </pic:spPr>
                </pic:pic>
              </a:graphicData>
            </a:graphic>
          </wp:inline>
        </w:drawing>
      </w:r>
    </w:p>
    <w:p w14:paraId="10C06E87" w14:textId="77777777" w:rsidR="002B7186" w:rsidRDefault="002B7186">
      <w:pPr>
        <w:rPr>
          <w:rFonts w:ascii="Times New Roman" w:hAnsi="Times New Roman"/>
          <w:b/>
          <w:sz w:val="20"/>
          <w:lang w:eastAsia="en-US"/>
        </w:rPr>
      </w:pPr>
    </w:p>
    <w:p w14:paraId="61A06707" w14:textId="77777777" w:rsidR="00D12586" w:rsidRPr="002B7186" w:rsidRDefault="00381A7A" w:rsidP="008D4DB6">
      <w:pPr>
        <w:pStyle w:val="Prrafodelista"/>
        <w:numPr>
          <w:ilvl w:val="0"/>
          <w:numId w:val="11"/>
        </w:numPr>
        <w:spacing w:before="120" w:after="120"/>
        <w:ind w:right="-427"/>
        <w:jc w:val="both"/>
        <w:rPr>
          <w:b/>
          <w:sz w:val="20"/>
          <w:szCs w:val="20"/>
          <w:lang w:val="es-AR"/>
        </w:rPr>
      </w:pPr>
      <w:r w:rsidRPr="00A5050E">
        <w:rPr>
          <w:b/>
          <w:sz w:val="20"/>
          <w:szCs w:val="20"/>
          <w:lang w:val="es-AR"/>
        </w:rPr>
        <w:t xml:space="preserve"> </w:t>
      </w:r>
      <w:r w:rsidR="00D12586" w:rsidRPr="002B7186">
        <w:rPr>
          <w:b/>
          <w:sz w:val="20"/>
          <w:szCs w:val="20"/>
          <w:lang w:val="es-AR"/>
        </w:rPr>
        <w:t>Instrumentos derivados</w:t>
      </w:r>
    </w:p>
    <w:p w14:paraId="304CFD99" w14:textId="482AA739" w:rsidR="00EF7431" w:rsidRPr="002B7186" w:rsidRDefault="00EF7431" w:rsidP="008D4DB6">
      <w:pPr>
        <w:pStyle w:val="Prrafodelista"/>
        <w:spacing w:before="120" w:after="120"/>
        <w:ind w:left="709" w:right="-1"/>
        <w:jc w:val="both"/>
        <w:rPr>
          <w:sz w:val="20"/>
          <w:szCs w:val="20"/>
          <w:u w:val="single"/>
          <w:lang w:val="es-AR" w:eastAsia="es-ES"/>
        </w:rPr>
      </w:pPr>
      <w:r w:rsidRPr="002B7186">
        <w:rPr>
          <w:sz w:val="20"/>
          <w:szCs w:val="20"/>
          <w:u w:val="single"/>
          <w:lang w:val="es-AR" w:eastAsia="es-ES"/>
        </w:rPr>
        <w:t xml:space="preserve">Banco: </w:t>
      </w:r>
    </w:p>
    <w:p w14:paraId="6BDD678C" w14:textId="0C83ED9E" w:rsidR="00E212F7" w:rsidRPr="00B445A9" w:rsidRDefault="00E212F7" w:rsidP="008C709E">
      <w:pPr>
        <w:pStyle w:val="Prrafodelista"/>
        <w:spacing w:before="240" w:after="120"/>
        <w:ind w:left="709" w:right="-1"/>
        <w:jc w:val="both"/>
        <w:rPr>
          <w:sz w:val="20"/>
          <w:szCs w:val="20"/>
          <w:lang w:val="es-AR" w:eastAsia="es-ES"/>
        </w:rPr>
      </w:pPr>
      <w:r w:rsidRPr="00B445A9">
        <w:rPr>
          <w:sz w:val="20"/>
          <w:szCs w:val="20"/>
          <w:lang w:val="es-AR" w:eastAsia="es-ES"/>
        </w:rPr>
        <w:t xml:space="preserve">En el curso </w:t>
      </w:r>
      <w:r w:rsidR="000E46E1" w:rsidRPr="00B445A9">
        <w:rPr>
          <w:sz w:val="20"/>
          <w:szCs w:val="20"/>
          <w:lang w:val="es-AR" w:eastAsia="es-ES"/>
        </w:rPr>
        <w:t>normal de sus negocios, el Banco</w:t>
      </w:r>
      <w:r w:rsidRPr="00B445A9">
        <w:rPr>
          <w:sz w:val="20"/>
          <w:szCs w:val="20"/>
          <w:lang w:val="es-AR" w:eastAsia="es-ES"/>
        </w:rPr>
        <w:t xml:space="preserve"> concertó operaciones a término de moneda extranjera con liquidación diaria o </w:t>
      </w:r>
      <w:r w:rsidR="003F4836" w:rsidRPr="00B445A9">
        <w:rPr>
          <w:sz w:val="20"/>
          <w:szCs w:val="20"/>
          <w:lang w:val="es-AR" w:eastAsia="es-ES"/>
        </w:rPr>
        <w:t>al vencimiento</w:t>
      </w:r>
      <w:r w:rsidRPr="00B445A9">
        <w:rPr>
          <w:sz w:val="20"/>
          <w:szCs w:val="20"/>
          <w:lang w:val="es-AR" w:eastAsia="es-ES"/>
        </w:rPr>
        <w:t xml:space="preserve"> de diferencias, sin entrega del subyacente y operaciones </w:t>
      </w:r>
      <w:r w:rsidR="000E46E1" w:rsidRPr="00B445A9">
        <w:rPr>
          <w:sz w:val="20"/>
          <w:szCs w:val="20"/>
          <w:lang w:val="es-AR" w:eastAsia="es-ES"/>
        </w:rPr>
        <w:t>de permuta de tasas de interés (swap de tasas)</w:t>
      </w:r>
      <w:r w:rsidRPr="00B445A9">
        <w:rPr>
          <w:sz w:val="20"/>
          <w:szCs w:val="20"/>
          <w:lang w:val="es-AR" w:eastAsia="es-ES"/>
        </w:rPr>
        <w:t xml:space="preserve">. Estas operaciones no califican como cobertura de acuerdo con la NIIF </w:t>
      </w:r>
      <w:r w:rsidR="005D5584" w:rsidRPr="00B445A9">
        <w:rPr>
          <w:sz w:val="20"/>
          <w:szCs w:val="20"/>
          <w:lang w:val="es-AR" w:eastAsia="es-ES"/>
        </w:rPr>
        <w:t xml:space="preserve">N° </w:t>
      </w:r>
      <w:r w:rsidRPr="00B445A9">
        <w:rPr>
          <w:sz w:val="20"/>
          <w:szCs w:val="20"/>
          <w:lang w:val="es-AR" w:eastAsia="es-ES"/>
        </w:rPr>
        <w:t xml:space="preserve">9 </w:t>
      </w:r>
      <w:r w:rsidR="00F42E54" w:rsidRPr="00B445A9">
        <w:rPr>
          <w:sz w:val="20"/>
          <w:szCs w:val="20"/>
          <w:lang w:val="es-AR" w:eastAsia="es-ES"/>
        </w:rPr>
        <w:t>“</w:t>
      </w:r>
      <w:r w:rsidRPr="00B445A9">
        <w:rPr>
          <w:sz w:val="20"/>
          <w:szCs w:val="20"/>
          <w:lang w:val="es-AR" w:eastAsia="es-ES"/>
        </w:rPr>
        <w:t>Instrumentos Financieros</w:t>
      </w:r>
      <w:r w:rsidR="00F42E54" w:rsidRPr="00B445A9">
        <w:rPr>
          <w:sz w:val="20"/>
          <w:szCs w:val="20"/>
          <w:lang w:val="es-AR" w:eastAsia="es-ES"/>
        </w:rPr>
        <w:t>”</w:t>
      </w:r>
      <w:r w:rsidRPr="00B445A9">
        <w:rPr>
          <w:sz w:val="20"/>
          <w:szCs w:val="20"/>
          <w:lang w:val="es-AR" w:eastAsia="es-ES"/>
        </w:rPr>
        <w:t>.</w:t>
      </w:r>
    </w:p>
    <w:p w14:paraId="451152CB" w14:textId="1BA4C4B0" w:rsidR="002510D8" w:rsidRPr="00B445A9" w:rsidRDefault="00E212F7" w:rsidP="008D4DB6">
      <w:pPr>
        <w:pStyle w:val="Prrafodelista"/>
        <w:spacing w:before="120" w:after="120"/>
        <w:ind w:left="709" w:right="-1"/>
        <w:jc w:val="both"/>
        <w:rPr>
          <w:sz w:val="20"/>
          <w:szCs w:val="20"/>
          <w:lang w:val="es-AR" w:eastAsia="es-ES"/>
        </w:rPr>
      </w:pPr>
      <w:r w:rsidRPr="00B445A9">
        <w:rPr>
          <w:sz w:val="20"/>
          <w:szCs w:val="20"/>
          <w:lang w:val="es-AR" w:eastAsia="es-ES"/>
        </w:rPr>
        <w:t xml:space="preserve">Los instrumentos mencionados </w:t>
      </w:r>
      <w:r w:rsidR="007A3D51" w:rsidRPr="00B445A9">
        <w:rPr>
          <w:sz w:val="20"/>
          <w:szCs w:val="20"/>
          <w:lang w:val="es-AR" w:eastAsia="es-ES"/>
        </w:rPr>
        <w:t xml:space="preserve">se miden </w:t>
      </w:r>
      <w:r w:rsidRPr="00B445A9">
        <w:rPr>
          <w:sz w:val="20"/>
          <w:szCs w:val="20"/>
          <w:lang w:val="es-AR" w:eastAsia="es-ES"/>
        </w:rPr>
        <w:t xml:space="preserve">a su valor razonable y </w:t>
      </w:r>
      <w:r w:rsidR="00AD416E" w:rsidRPr="00B445A9">
        <w:rPr>
          <w:sz w:val="20"/>
          <w:szCs w:val="20"/>
          <w:lang w:val="es-AR" w:eastAsia="es-ES"/>
        </w:rPr>
        <w:t>se reconocieron en el Estado</w:t>
      </w:r>
      <w:r w:rsidR="00F42E54" w:rsidRPr="00B445A9">
        <w:rPr>
          <w:sz w:val="20"/>
          <w:szCs w:val="20"/>
          <w:lang w:val="es-AR" w:eastAsia="es-ES"/>
        </w:rPr>
        <w:t xml:space="preserve"> Consolidado</w:t>
      </w:r>
      <w:r w:rsidR="00AD416E" w:rsidRPr="00B445A9">
        <w:rPr>
          <w:sz w:val="20"/>
          <w:szCs w:val="20"/>
          <w:lang w:val="es-AR" w:eastAsia="es-ES"/>
        </w:rPr>
        <w:t xml:space="preserve"> de Situación Financiera </w:t>
      </w:r>
      <w:r w:rsidR="00FF2399" w:rsidRPr="00B445A9">
        <w:rPr>
          <w:sz w:val="20"/>
          <w:szCs w:val="20"/>
          <w:lang w:val="es-AR" w:eastAsia="es-ES"/>
        </w:rPr>
        <w:t>C</w:t>
      </w:r>
      <w:r w:rsidR="00647FA9" w:rsidRPr="00B445A9">
        <w:rPr>
          <w:sz w:val="20"/>
          <w:szCs w:val="20"/>
          <w:lang w:val="es-AR" w:eastAsia="es-ES"/>
        </w:rPr>
        <w:t xml:space="preserve">ondensado </w:t>
      </w:r>
      <w:r w:rsidR="00AD416E" w:rsidRPr="00B445A9">
        <w:rPr>
          <w:sz w:val="20"/>
          <w:szCs w:val="20"/>
          <w:lang w:val="es-AR" w:eastAsia="es-ES"/>
        </w:rPr>
        <w:t xml:space="preserve">en la línea “Instrumentos derivados”; y </w:t>
      </w:r>
      <w:r w:rsidRPr="00B445A9">
        <w:rPr>
          <w:sz w:val="20"/>
          <w:szCs w:val="20"/>
          <w:lang w:val="es-AR" w:eastAsia="es-ES"/>
        </w:rPr>
        <w:t xml:space="preserve">los cambios en los valores razonables se reconocieron en el Estado </w:t>
      </w:r>
      <w:r w:rsidR="002D28AD" w:rsidRPr="00B445A9">
        <w:rPr>
          <w:sz w:val="20"/>
          <w:szCs w:val="20"/>
          <w:lang w:val="es-AR" w:eastAsia="es-ES"/>
        </w:rPr>
        <w:t>Consolidado de Resultados</w:t>
      </w:r>
      <w:r w:rsidR="00647FA9" w:rsidRPr="00B445A9">
        <w:rPr>
          <w:sz w:val="20"/>
          <w:szCs w:val="20"/>
          <w:lang w:val="es-AR" w:eastAsia="es-ES"/>
        </w:rPr>
        <w:t xml:space="preserve"> </w:t>
      </w:r>
      <w:r w:rsidR="00FF2399" w:rsidRPr="00B445A9">
        <w:rPr>
          <w:sz w:val="20"/>
          <w:szCs w:val="20"/>
          <w:lang w:val="es-AR" w:eastAsia="es-ES"/>
        </w:rPr>
        <w:t>C</w:t>
      </w:r>
      <w:r w:rsidR="00647FA9" w:rsidRPr="00B445A9">
        <w:rPr>
          <w:sz w:val="20"/>
          <w:szCs w:val="20"/>
          <w:lang w:val="es-AR" w:eastAsia="es-ES"/>
        </w:rPr>
        <w:t>ondensado</w:t>
      </w:r>
      <w:r w:rsidR="008A28B4" w:rsidRPr="00B445A9">
        <w:rPr>
          <w:sz w:val="20"/>
          <w:szCs w:val="20"/>
          <w:lang w:val="es-AR" w:eastAsia="es-ES"/>
        </w:rPr>
        <w:t xml:space="preserve"> </w:t>
      </w:r>
      <w:r w:rsidR="002D28AD" w:rsidRPr="00B445A9">
        <w:rPr>
          <w:sz w:val="20"/>
          <w:szCs w:val="20"/>
          <w:lang w:val="es-AR" w:eastAsia="es-ES"/>
        </w:rPr>
        <w:t>en la línea</w:t>
      </w:r>
      <w:r w:rsidRPr="00B445A9">
        <w:rPr>
          <w:sz w:val="20"/>
          <w:szCs w:val="20"/>
          <w:lang w:val="es-AR" w:eastAsia="es-ES"/>
        </w:rPr>
        <w:t xml:space="preserve"> “</w:t>
      </w:r>
      <w:r w:rsidR="005533AB" w:rsidRPr="00B445A9">
        <w:rPr>
          <w:sz w:val="20"/>
          <w:szCs w:val="20"/>
          <w:lang w:val="es-AR" w:eastAsia="es-ES"/>
        </w:rPr>
        <w:t>Resultado neto por medición de instrumentos financieros a valor razonable con cambios en resultados</w:t>
      </w:r>
      <w:r w:rsidR="00EF7431" w:rsidRPr="00B445A9">
        <w:rPr>
          <w:sz w:val="20"/>
          <w:szCs w:val="20"/>
          <w:lang w:val="es-AR" w:eastAsia="es-ES"/>
        </w:rPr>
        <w:t xml:space="preserve">”. </w:t>
      </w:r>
    </w:p>
    <w:p w14:paraId="7D1AAD21" w14:textId="3AB1E565" w:rsidR="00E212F7" w:rsidRPr="002B7186" w:rsidRDefault="00EF7431" w:rsidP="00D103CF">
      <w:pPr>
        <w:pStyle w:val="Prrafodelista"/>
        <w:spacing w:before="120"/>
        <w:ind w:left="709" w:right="-1"/>
        <w:jc w:val="both"/>
        <w:rPr>
          <w:sz w:val="20"/>
          <w:szCs w:val="20"/>
          <w:lang w:val="es-AR" w:eastAsia="es-ES"/>
        </w:rPr>
      </w:pPr>
      <w:r w:rsidRPr="00B445A9">
        <w:rPr>
          <w:sz w:val="20"/>
          <w:szCs w:val="20"/>
          <w:lang w:val="es-AR" w:eastAsia="es-ES"/>
        </w:rPr>
        <w:t>Al 3</w:t>
      </w:r>
      <w:r w:rsidR="00F64133" w:rsidRPr="00B445A9">
        <w:rPr>
          <w:sz w:val="20"/>
          <w:szCs w:val="20"/>
          <w:lang w:val="es-AR" w:eastAsia="es-ES"/>
        </w:rPr>
        <w:t>0</w:t>
      </w:r>
      <w:r w:rsidR="003A57B7" w:rsidRPr="00B445A9">
        <w:rPr>
          <w:sz w:val="20"/>
          <w:szCs w:val="20"/>
          <w:lang w:val="es-AR" w:eastAsia="es-ES"/>
        </w:rPr>
        <w:t xml:space="preserve"> de </w:t>
      </w:r>
      <w:r w:rsidR="0064516F" w:rsidRPr="00B445A9">
        <w:rPr>
          <w:sz w:val="20"/>
          <w:szCs w:val="20"/>
          <w:lang w:val="es-AR" w:eastAsia="es-ES"/>
        </w:rPr>
        <w:t>septiembre</w:t>
      </w:r>
      <w:r w:rsidRPr="00B445A9">
        <w:rPr>
          <w:sz w:val="20"/>
          <w:szCs w:val="20"/>
          <w:lang w:val="es-AR" w:eastAsia="es-ES"/>
        </w:rPr>
        <w:t xml:space="preserve"> de 202</w:t>
      </w:r>
      <w:r w:rsidR="003A57B7" w:rsidRPr="00B445A9">
        <w:rPr>
          <w:sz w:val="20"/>
          <w:szCs w:val="20"/>
          <w:lang w:val="es-AR" w:eastAsia="es-ES"/>
        </w:rPr>
        <w:t>1</w:t>
      </w:r>
      <w:r w:rsidRPr="00B445A9">
        <w:rPr>
          <w:sz w:val="20"/>
          <w:szCs w:val="20"/>
          <w:lang w:val="es-AR" w:eastAsia="es-ES"/>
        </w:rPr>
        <w:t xml:space="preserve"> el Banco registra primas por opciones de venta tomadas que corresponden al derecho del Banco a vender su participación en Prisma Medios de Pago S.A. al comprador</w:t>
      </w:r>
      <w:r w:rsidR="001E7B07" w:rsidRPr="00B445A9">
        <w:rPr>
          <w:sz w:val="20"/>
          <w:szCs w:val="20"/>
          <w:lang w:val="es-AR" w:eastAsia="es-ES"/>
        </w:rPr>
        <w:t xml:space="preserve"> (Al Zenith (Netherlands) B.V. - Nota 16)</w:t>
      </w:r>
      <w:r w:rsidRPr="00B445A9">
        <w:rPr>
          <w:sz w:val="20"/>
          <w:szCs w:val="20"/>
          <w:lang w:val="es-AR" w:eastAsia="es-ES"/>
        </w:rPr>
        <w:t xml:space="preserve"> el 30 de diciembre de 2021. Fue valuada a su valor razonable determinado por la Gerencia sobre la base de un informe elaborado por profesionales independientes (Nota 43).</w:t>
      </w:r>
      <w:r w:rsidR="00A42257" w:rsidRPr="00B445A9">
        <w:rPr>
          <w:sz w:val="20"/>
          <w:szCs w:val="20"/>
          <w:lang w:val="es-AR" w:eastAsia="es-ES"/>
        </w:rPr>
        <w:t xml:space="preserve"> Cabe señalar que, con fecha 1° de octubre de 2021, </w:t>
      </w:r>
      <w:r w:rsidR="00FC3F4E" w:rsidRPr="00B445A9">
        <w:rPr>
          <w:sz w:val="20"/>
          <w:szCs w:val="20"/>
          <w:lang w:val="es-AR" w:eastAsia="es-ES"/>
        </w:rPr>
        <w:t xml:space="preserve">el Banco </w:t>
      </w:r>
      <w:r w:rsidR="00A42257" w:rsidRPr="00B445A9">
        <w:rPr>
          <w:sz w:val="20"/>
          <w:szCs w:val="20"/>
          <w:lang w:val="es-AR" w:eastAsia="es-ES"/>
        </w:rPr>
        <w:t>envió</w:t>
      </w:r>
      <w:r w:rsidR="00F42914">
        <w:rPr>
          <w:sz w:val="20"/>
          <w:szCs w:val="20"/>
          <w:lang w:val="es-AR" w:eastAsia="es-ES"/>
        </w:rPr>
        <w:t xml:space="preserve"> al comprador</w:t>
      </w:r>
      <w:r w:rsidR="00A42257" w:rsidRPr="00B445A9">
        <w:rPr>
          <w:sz w:val="20"/>
          <w:szCs w:val="20"/>
          <w:lang w:val="es-AR" w:eastAsia="es-ES"/>
        </w:rPr>
        <w:t xml:space="preserve"> la notificación correspondiente al ejercicio de la opción de venta (Nota 58).</w:t>
      </w:r>
    </w:p>
    <w:p w14:paraId="06AA3D57" w14:textId="77777777" w:rsidR="00D103CF" w:rsidRDefault="00D103CF" w:rsidP="00D103CF">
      <w:pPr>
        <w:pStyle w:val="Prrafodelista"/>
        <w:ind w:left="709" w:right="-1"/>
        <w:jc w:val="both"/>
        <w:rPr>
          <w:sz w:val="20"/>
          <w:szCs w:val="20"/>
          <w:lang w:val="es-AR" w:eastAsia="es-ES"/>
        </w:rPr>
      </w:pPr>
    </w:p>
    <w:p w14:paraId="3F91B5F2" w14:textId="77777777" w:rsidR="00BF0456" w:rsidRDefault="00BF0456" w:rsidP="00D103CF">
      <w:pPr>
        <w:pStyle w:val="Prrafodelista"/>
        <w:ind w:left="709" w:right="-1"/>
        <w:jc w:val="both"/>
        <w:rPr>
          <w:sz w:val="20"/>
          <w:szCs w:val="20"/>
          <w:lang w:val="es-AR" w:eastAsia="es-ES"/>
        </w:rPr>
      </w:pPr>
    </w:p>
    <w:p w14:paraId="53FDCF9E" w14:textId="77777777" w:rsidR="00BF0456" w:rsidRPr="002B7186" w:rsidRDefault="00BF0456" w:rsidP="00D103CF">
      <w:pPr>
        <w:pStyle w:val="Prrafodelista"/>
        <w:ind w:left="709" w:right="-1"/>
        <w:jc w:val="both"/>
        <w:rPr>
          <w:sz w:val="20"/>
          <w:szCs w:val="20"/>
          <w:lang w:val="es-AR" w:eastAsia="es-ES"/>
        </w:rPr>
      </w:pPr>
    </w:p>
    <w:p w14:paraId="571392C1" w14:textId="77777777" w:rsidR="000D3A00" w:rsidRDefault="000D3A00" w:rsidP="00202B38">
      <w:pPr>
        <w:pStyle w:val="Prrafodelista"/>
        <w:ind w:left="709" w:right="-1"/>
        <w:jc w:val="both"/>
        <w:rPr>
          <w:sz w:val="20"/>
          <w:szCs w:val="20"/>
          <w:lang w:val="es-AR" w:eastAsia="es-ES"/>
        </w:rPr>
      </w:pPr>
    </w:p>
    <w:p w14:paraId="69BCF30C" w14:textId="77777777" w:rsidR="00E212F7" w:rsidRPr="002B7186" w:rsidRDefault="00E212F7" w:rsidP="00202B38">
      <w:pPr>
        <w:pStyle w:val="Prrafodelista"/>
        <w:ind w:left="709" w:right="-1"/>
        <w:jc w:val="both"/>
        <w:rPr>
          <w:sz w:val="20"/>
          <w:szCs w:val="20"/>
          <w:lang w:val="es-AR" w:eastAsia="es-ES"/>
        </w:rPr>
      </w:pPr>
      <w:r w:rsidRPr="002B7186">
        <w:rPr>
          <w:sz w:val="20"/>
          <w:szCs w:val="20"/>
          <w:lang w:val="es-AR" w:eastAsia="es-ES"/>
        </w:rPr>
        <w:t>La composición del rubro es la siguiente:</w:t>
      </w:r>
    </w:p>
    <w:p w14:paraId="5848E115" w14:textId="77777777" w:rsidR="00202B38" w:rsidRPr="002B7186" w:rsidRDefault="00202B38" w:rsidP="00202B38">
      <w:pPr>
        <w:pStyle w:val="Prrafodelista"/>
        <w:ind w:left="709" w:right="141"/>
        <w:jc w:val="both"/>
        <w:rPr>
          <w:sz w:val="20"/>
          <w:szCs w:val="20"/>
          <w:u w:val="single"/>
          <w:lang w:val="es-AR" w:eastAsia="es-ES"/>
        </w:rPr>
      </w:pPr>
    </w:p>
    <w:p w14:paraId="0C432AD3" w14:textId="77777777" w:rsidR="00AE4C22" w:rsidRDefault="00AE4C22" w:rsidP="00202B38">
      <w:pPr>
        <w:pStyle w:val="Prrafodelista"/>
        <w:ind w:left="709" w:right="141"/>
        <w:jc w:val="both"/>
        <w:rPr>
          <w:sz w:val="20"/>
          <w:szCs w:val="20"/>
          <w:u w:val="single"/>
          <w:lang w:val="es-AR" w:eastAsia="es-ES"/>
        </w:rPr>
      </w:pPr>
    </w:p>
    <w:p w14:paraId="72FC9373" w14:textId="77777777" w:rsidR="00E212F7" w:rsidRPr="002B7186" w:rsidRDefault="00E212F7" w:rsidP="00202B38">
      <w:pPr>
        <w:pStyle w:val="Prrafodelista"/>
        <w:ind w:left="709" w:right="141"/>
        <w:jc w:val="both"/>
        <w:rPr>
          <w:sz w:val="20"/>
          <w:szCs w:val="20"/>
          <w:u w:val="single"/>
          <w:lang w:val="es-AR" w:eastAsia="es-ES"/>
        </w:rPr>
      </w:pPr>
      <w:r w:rsidRPr="002B7186">
        <w:rPr>
          <w:sz w:val="20"/>
          <w:szCs w:val="20"/>
          <w:u w:val="single"/>
          <w:lang w:val="es-AR" w:eastAsia="es-ES"/>
        </w:rPr>
        <w:t>Activos</w:t>
      </w:r>
    </w:p>
    <w:p w14:paraId="4F62EAA7" w14:textId="77777777" w:rsidR="00202B38" w:rsidRPr="002B7186" w:rsidRDefault="00202B38" w:rsidP="00202B38">
      <w:pPr>
        <w:pStyle w:val="Prrafodelista"/>
        <w:ind w:left="709" w:right="141"/>
        <w:jc w:val="both"/>
        <w:rPr>
          <w:sz w:val="20"/>
          <w:szCs w:val="20"/>
          <w:u w:val="single"/>
          <w:lang w:val="es-AR" w:eastAsia="es-ES"/>
        </w:rPr>
      </w:pPr>
    </w:p>
    <w:p w14:paraId="11F7E940" w14:textId="12EBF141" w:rsidR="0003190E" w:rsidRPr="002B7186" w:rsidRDefault="004E4446" w:rsidP="0003190E">
      <w:pPr>
        <w:pStyle w:val="Prrafodelista"/>
        <w:spacing w:after="120"/>
        <w:ind w:left="709" w:right="142"/>
        <w:jc w:val="both"/>
        <w:rPr>
          <w:sz w:val="20"/>
          <w:szCs w:val="20"/>
          <w:u w:val="single"/>
          <w:lang w:val="es-AR" w:eastAsia="es-ES"/>
        </w:rPr>
      </w:pPr>
      <w:r w:rsidRPr="001F41D4">
        <w:rPr>
          <w:noProof/>
          <w:lang w:val="es-AR" w:eastAsia="es-AR"/>
        </w:rPr>
        <w:drawing>
          <wp:inline distT="0" distB="0" distL="0" distR="0" wp14:anchorId="05B8F380" wp14:editId="5038E790">
            <wp:extent cx="6031230" cy="1041638"/>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1230" cy="1041638"/>
                    </a:xfrm>
                    <a:prstGeom prst="rect">
                      <a:avLst/>
                    </a:prstGeom>
                    <a:noFill/>
                    <a:ln>
                      <a:noFill/>
                    </a:ln>
                  </pic:spPr>
                </pic:pic>
              </a:graphicData>
            </a:graphic>
          </wp:inline>
        </w:drawing>
      </w:r>
    </w:p>
    <w:p w14:paraId="67E0C928" w14:textId="70901F26" w:rsidR="0003190E" w:rsidRPr="002B7186" w:rsidRDefault="0003190E" w:rsidP="00202B38">
      <w:pPr>
        <w:pStyle w:val="Prrafodelista"/>
        <w:ind w:left="709" w:right="141"/>
        <w:jc w:val="both"/>
        <w:rPr>
          <w:sz w:val="20"/>
          <w:szCs w:val="20"/>
          <w:u w:val="single"/>
          <w:lang w:val="es-AR" w:eastAsia="es-ES"/>
        </w:rPr>
      </w:pPr>
      <w:r w:rsidRPr="002B7186">
        <w:rPr>
          <w:sz w:val="20"/>
          <w:szCs w:val="20"/>
          <w:u w:val="single"/>
          <w:lang w:val="es-AR" w:eastAsia="es-ES"/>
        </w:rPr>
        <w:t>Pasivos</w:t>
      </w:r>
    </w:p>
    <w:p w14:paraId="7EEFC4EE" w14:textId="77777777" w:rsidR="00202B38" w:rsidRPr="002B7186" w:rsidRDefault="00202B38" w:rsidP="00202B38">
      <w:pPr>
        <w:pStyle w:val="Prrafodelista"/>
        <w:ind w:left="709" w:right="141"/>
        <w:jc w:val="both"/>
        <w:rPr>
          <w:sz w:val="20"/>
          <w:szCs w:val="20"/>
          <w:u w:val="single"/>
          <w:lang w:val="es-AR" w:eastAsia="es-ES"/>
        </w:rPr>
      </w:pPr>
    </w:p>
    <w:p w14:paraId="2E91F8F6" w14:textId="62B011CD" w:rsidR="0003190E" w:rsidRPr="002B7186" w:rsidRDefault="004E4446" w:rsidP="008D4DB6">
      <w:pPr>
        <w:pStyle w:val="Prrafodelista"/>
        <w:spacing w:after="120"/>
        <w:ind w:left="709" w:right="142"/>
        <w:jc w:val="both"/>
        <w:rPr>
          <w:sz w:val="20"/>
          <w:szCs w:val="20"/>
          <w:lang w:val="es-AR" w:eastAsia="es-ES"/>
        </w:rPr>
      </w:pPr>
      <w:r w:rsidRPr="001F41D4">
        <w:rPr>
          <w:noProof/>
          <w:lang w:val="es-AR" w:eastAsia="es-AR"/>
        </w:rPr>
        <w:drawing>
          <wp:inline distT="0" distB="0" distL="0" distR="0" wp14:anchorId="29CE79A5" wp14:editId="3218539C">
            <wp:extent cx="6031230" cy="769412"/>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1230" cy="769412"/>
                    </a:xfrm>
                    <a:prstGeom prst="rect">
                      <a:avLst/>
                    </a:prstGeom>
                    <a:noFill/>
                    <a:ln>
                      <a:noFill/>
                    </a:ln>
                  </pic:spPr>
                </pic:pic>
              </a:graphicData>
            </a:graphic>
          </wp:inline>
        </w:drawing>
      </w:r>
    </w:p>
    <w:p w14:paraId="415CDEAD" w14:textId="77777777" w:rsidR="002B7186" w:rsidRDefault="002B7186" w:rsidP="009C6D09">
      <w:pPr>
        <w:spacing w:after="120" w:line="240" w:lineRule="exact"/>
        <w:ind w:left="709"/>
        <w:jc w:val="both"/>
        <w:rPr>
          <w:rFonts w:ascii="Times New Roman" w:hAnsi="Times New Roman"/>
          <w:color w:val="000000"/>
          <w:sz w:val="20"/>
        </w:rPr>
      </w:pPr>
    </w:p>
    <w:p w14:paraId="670308A1" w14:textId="416B5027" w:rsidR="00130A71" w:rsidRDefault="00E212F7" w:rsidP="009C6D09">
      <w:pPr>
        <w:spacing w:after="120" w:line="240" w:lineRule="exact"/>
        <w:ind w:left="709"/>
        <w:jc w:val="both"/>
        <w:rPr>
          <w:rFonts w:ascii="Times New Roman" w:hAnsi="Times New Roman"/>
          <w:color w:val="000000"/>
          <w:sz w:val="20"/>
        </w:rPr>
      </w:pPr>
      <w:r w:rsidRPr="002B7186">
        <w:rPr>
          <w:rFonts w:ascii="Times New Roman" w:hAnsi="Times New Roman"/>
          <w:color w:val="000000"/>
          <w:sz w:val="20"/>
        </w:rPr>
        <w:t>Los valores nocionales de las operaciones a término y de los forward de moneda extranjera, e</w:t>
      </w:r>
      <w:r w:rsidR="003932D8" w:rsidRPr="002B7186">
        <w:rPr>
          <w:rFonts w:ascii="Times New Roman" w:hAnsi="Times New Roman"/>
          <w:color w:val="000000"/>
          <w:sz w:val="20"/>
        </w:rPr>
        <w:t xml:space="preserve">xpresados en </w:t>
      </w:r>
      <w:r w:rsidRPr="002B7186">
        <w:rPr>
          <w:rFonts w:ascii="Times New Roman" w:hAnsi="Times New Roman"/>
          <w:color w:val="000000"/>
          <w:sz w:val="20"/>
        </w:rPr>
        <w:t>dólares esta</w:t>
      </w:r>
      <w:r w:rsidR="00AF6501" w:rsidRPr="002B7186">
        <w:rPr>
          <w:rFonts w:ascii="Times New Roman" w:hAnsi="Times New Roman"/>
          <w:color w:val="000000"/>
          <w:sz w:val="20"/>
        </w:rPr>
        <w:t>dounidenses</w:t>
      </w:r>
      <w:r w:rsidR="00887708" w:rsidRPr="002B7186">
        <w:rPr>
          <w:rFonts w:ascii="Times New Roman" w:hAnsi="Times New Roman"/>
          <w:color w:val="000000"/>
          <w:sz w:val="20"/>
        </w:rPr>
        <w:t xml:space="preserve"> </w:t>
      </w:r>
      <w:r w:rsidR="00EA6E6E" w:rsidRPr="002B7186">
        <w:rPr>
          <w:rFonts w:ascii="Times New Roman" w:hAnsi="Times New Roman"/>
          <w:color w:val="000000"/>
          <w:sz w:val="20"/>
        </w:rPr>
        <w:t xml:space="preserve">(U$S) </w:t>
      </w:r>
      <w:r w:rsidR="00887708" w:rsidRPr="002B7186">
        <w:rPr>
          <w:rFonts w:ascii="Times New Roman" w:hAnsi="Times New Roman"/>
          <w:color w:val="000000"/>
          <w:sz w:val="20"/>
        </w:rPr>
        <w:t>y en euros</w:t>
      </w:r>
      <w:r w:rsidRPr="002B7186">
        <w:rPr>
          <w:rFonts w:ascii="Times New Roman" w:hAnsi="Times New Roman"/>
          <w:color w:val="000000"/>
          <w:sz w:val="20"/>
        </w:rPr>
        <w:t>,</w:t>
      </w:r>
      <w:r w:rsidR="00C04ABB" w:rsidRPr="002B7186">
        <w:rPr>
          <w:rFonts w:ascii="Times New Roman" w:hAnsi="Times New Roman"/>
          <w:color w:val="000000"/>
          <w:sz w:val="20"/>
        </w:rPr>
        <w:t xml:space="preserve"> según corresponda</w:t>
      </w:r>
      <w:r w:rsidR="003F4836" w:rsidRPr="002B7186">
        <w:rPr>
          <w:rFonts w:ascii="Times New Roman" w:hAnsi="Times New Roman"/>
          <w:color w:val="000000"/>
          <w:sz w:val="20"/>
        </w:rPr>
        <w:t>,</w:t>
      </w:r>
      <w:r w:rsidR="00AA2A85" w:rsidRPr="002B7186">
        <w:rPr>
          <w:rFonts w:ascii="Times New Roman" w:hAnsi="Times New Roman"/>
          <w:color w:val="000000"/>
          <w:sz w:val="20"/>
        </w:rPr>
        <w:t xml:space="preserve"> así como los valores base de la</w:t>
      </w:r>
      <w:r w:rsidRPr="002B7186">
        <w:rPr>
          <w:rFonts w:ascii="Times New Roman" w:hAnsi="Times New Roman"/>
          <w:color w:val="000000"/>
          <w:sz w:val="20"/>
        </w:rPr>
        <w:t xml:space="preserve">s permutas de </w:t>
      </w:r>
      <w:r w:rsidR="008E5EE2" w:rsidRPr="002B7186">
        <w:rPr>
          <w:rFonts w:ascii="Times New Roman" w:hAnsi="Times New Roman"/>
          <w:color w:val="000000"/>
          <w:sz w:val="20"/>
        </w:rPr>
        <w:t>tasa</w:t>
      </w:r>
      <w:r w:rsidR="00913007" w:rsidRPr="002B7186">
        <w:rPr>
          <w:rFonts w:ascii="Times New Roman" w:hAnsi="Times New Roman"/>
          <w:color w:val="000000"/>
          <w:sz w:val="20"/>
        </w:rPr>
        <w:t xml:space="preserve"> de interés</w:t>
      </w:r>
      <w:r w:rsidR="008E5EE2" w:rsidRPr="002B7186">
        <w:rPr>
          <w:rFonts w:ascii="Times New Roman" w:hAnsi="Times New Roman"/>
          <w:color w:val="000000"/>
          <w:sz w:val="20"/>
        </w:rPr>
        <w:t xml:space="preserve"> se informan a continuación</w:t>
      </w:r>
      <w:r w:rsidR="00AC6A27" w:rsidRPr="002B7186">
        <w:rPr>
          <w:rFonts w:ascii="Times New Roman" w:hAnsi="Times New Roman"/>
          <w:color w:val="000000"/>
          <w:sz w:val="20"/>
        </w:rPr>
        <w:t>:</w:t>
      </w:r>
    </w:p>
    <w:p w14:paraId="72B672B0" w14:textId="4F274AC2" w:rsidR="00130A71" w:rsidRPr="00EC50DC" w:rsidRDefault="004E4446" w:rsidP="001F41D4">
      <w:pPr>
        <w:pStyle w:val="Prrafodelista"/>
        <w:ind w:left="1146" w:right="-427"/>
        <w:jc w:val="both"/>
        <w:rPr>
          <w:b/>
          <w:sz w:val="20"/>
          <w:szCs w:val="20"/>
          <w:lang w:val="es-AR"/>
        </w:rPr>
      </w:pPr>
      <w:r w:rsidRPr="001F41D4">
        <w:rPr>
          <w:noProof/>
          <w:lang w:val="es-AR" w:eastAsia="es-AR"/>
        </w:rPr>
        <w:drawing>
          <wp:inline distT="0" distB="0" distL="0" distR="0" wp14:anchorId="316BE180" wp14:editId="6A4C4868">
            <wp:extent cx="5414838" cy="1448632"/>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822" cy="1453711"/>
                    </a:xfrm>
                    <a:prstGeom prst="rect">
                      <a:avLst/>
                    </a:prstGeom>
                    <a:noFill/>
                    <a:ln>
                      <a:noFill/>
                    </a:ln>
                  </pic:spPr>
                </pic:pic>
              </a:graphicData>
            </a:graphic>
          </wp:inline>
        </w:drawing>
      </w:r>
    </w:p>
    <w:p w14:paraId="7A4BD67A" w14:textId="77777777" w:rsidR="00CA5316" w:rsidRPr="004E4446" w:rsidRDefault="00CA5316" w:rsidP="00130A71">
      <w:pPr>
        <w:pStyle w:val="Prrafodelista"/>
        <w:ind w:left="786" w:right="-427"/>
        <w:jc w:val="both"/>
        <w:rPr>
          <w:lang w:val="es-AR"/>
        </w:rPr>
      </w:pPr>
    </w:p>
    <w:p w14:paraId="39F2F624" w14:textId="7E45E60E" w:rsidR="00130A71" w:rsidRPr="004E4446" w:rsidRDefault="004E4446" w:rsidP="004E4446">
      <w:pPr>
        <w:pStyle w:val="Prrafodelista"/>
        <w:numPr>
          <w:ilvl w:val="0"/>
          <w:numId w:val="76"/>
        </w:numPr>
        <w:ind w:right="-427"/>
        <w:jc w:val="both"/>
        <w:rPr>
          <w:vertAlign w:val="superscript"/>
          <w:lang w:val="es-AR"/>
        </w:rPr>
      </w:pPr>
      <w:r w:rsidRPr="004E4446">
        <w:rPr>
          <w:vertAlign w:val="superscript"/>
          <w:lang w:val="es-AR"/>
        </w:rPr>
        <w:t>Tasa variable: Tasa Badlar, tasa de interés para depósitos de más de un millón de pesos, para plazos de 30 a 35 días.</w:t>
      </w:r>
    </w:p>
    <w:p w14:paraId="43BD9309" w14:textId="77777777" w:rsidR="003757C7" w:rsidRPr="004E4446" w:rsidRDefault="003757C7" w:rsidP="00130A71">
      <w:pPr>
        <w:pStyle w:val="Prrafodelista"/>
        <w:ind w:left="786" w:right="-427"/>
        <w:jc w:val="both"/>
        <w:rPr>
          <w:sz w:val="20"/>
          <w:szCs w:val="20"/>
          <w:lang w:val="es-AR"/>
        </w:rPr>
      </w:pPr>
    </w:p>
    <w:p w14:paraId="025F8910" w14:textId="77777777" w:rsidR="003757C7" w:rsidRPr="004E4446" w:rsidRDefault="003757C7" w:rsidP="00130A71">
      <w:pPr>
        <w:pStyle w:val="Prrafodelista"/>
        <w:ind w:left="786" w:right="-427"/>
        <w:jc w:val="both"/>
        <w:rPr>
          <w:sz w:val="20"/>
          <w:szCs w:val="20"/>
          <w:lang w:val="es-AR"/>
        </w:rPr>
      </w:pPr>
    </w:p>
    <w:p w14:paraId="2619E52F" w14:textId="77777777" w:rsidR="003757C7" w:rsidRPr="004E4446" w:rsidRDefault="003757C7" w:rsidP="00130A71">
      <w:pPr>
        <w:pStyle w:val="Prrafodelista"/>
        <w:ind w:left="786" w:right="-427"/>
        <w:jc w:val="both"/>
        <w:rPr>
          <w:sz w:val="20"/>
          <w:szCs w:val="20"/>
          <w:lang w:val="es-AR"/>
        </w:rPr>
      </w:pPr>
    </w:p>
    <w:p w14:paraId="4A7A02A9" w14:textId="77777777" w:rsidR="003757C7" w:rsidRPr="004E4446" w:rsidRDefault="003757C7" w:rsidP="00130A71">
      <w:pPr>
        <w:pStyle w:val="Prrafodelista"/>
        <w:ind w:left="786" w:right="-427"/>
        <w:jc w:val="both"/>
        <w:rPr>
          <w:sz w:val="20"/>
          <w:szCs w:val="20"/>
          <w:lang w:val="es-AR"/>
        </w:rPr>
      </w:pPr>
    </w:p>
    <w:p w14:paraId="2260F17F" w14:textId="77777777" w:rsidR="003757C7" w:rsidRDefault="003757C7" w:rsidP="00130A71">
      <w:pPr>
        <w:pStyle w:val="Prrafodelista"/>
        <w:ind w:left="786" w:right="-427"/>
        <w:jc w:val="both"/>
        <w:rPr>
          <w:b/>
          <w:sz w:val="20"/>
          <w:szCs w:val="20"/>
          <w:lang w:val="es-AR"/>
        </w:rPr>
      </w:pPr>
    </w:p>
    <w:p w14:paraId="07CEA48B" w14:textId="77777777" w:rsidR="00AE4C22" w:rsidRDefault="00AE4C22" w:rsidP="00130A71">
      <w:pPr>
        <w:pStyle w:val="Prrafodelista"/>
        <w:ind w:left="786" w:right="-427"/>
        <w:jc w:val="both"/>
        <w:rPr>
          <w:b/>
          <w:sz w:val="20"/>
          <w:szCs w:val="20"/>
          <w:lang w:val="es-AR"/>
        </w:rPr>
      </w:pPr>
    </w:p>
    <w:p w14:paraId="1D8B0B57" w14:textId="77777777" w:rsidR="00AE4C22" w:rsidRDefault="00AE4C22" w:rsidP="00130A71">
      <w:pPr>
        <w:pStyle w:val="Prrafodelista"/>
        <w:ind w:left="786" w:right="-427"/>
        <w:jc w:val="both"/>
        <w:rPr>
          <w:b/>
          <w:sz w:val="20"/>
          <w:szCs w:val="20"/>
          <w:lang w:val="es-AR"/>
        </w:rPr>
      </w:pPr>
    </w:p>
    <w:p w14:paraId="50D38137" w14:textId="77777777" w:rsidR="00AE4C22" w:rsidRPr="00EC50DC" w:rsidRDefault="00AE4C22" w:rsidP="00130A71">
      <w:pPr>
        <w:pStyle w:val="Prrafodelista"/>
        <w:ind w:left="786" w:right="-427"/>
        <w:jc w:val="both"/>
        <w:rPr>
          <w:b/>
          <w:sz w:val="20"/>
          <w:szCs w:val="20"/>
          <w:lang w:val="es-AR"/>
        </w:rPr>
      </w:pPr>
    </w:p>
    <w:p w14:paraId="3FCD2EE2" w14:textId="77777777" w:rsidR="003855AE" w:rsidRPr="002B7186" w:rsidRDefault="003855AE" w:rsidP="00C60CC8">
      <w:pPr>
        <w:pStyle w:val="Prrafodelista"/>
        <w:numPr>
          <w:ilvl w:val="0"/>
          <w:numId w:val="11"/>
        </w:numPr>
        <w:ind w:right="-427"/>
        <w:jc w:val="both"/>
        <w:rPr>
          <w:b/>
          <w:sz w:val="20"/>
          <w:szCs w:val="20"/>
        </w:rPr>
      </w:pPr>
      <w:r w:rsidRPr="002B7186">
        <w:rPr>
          <w:b/>
          <w:sz w:val="20"/>
          <w:szCs w:val="20"/>
        </w:rPr>
        <w:t>Operaciones de pase</w:t>
      </w:r>
    </w:p>
    <w:p w14:paraId="3D8C6566" w14:textId="77777777" w:rsidR="007449C1" w:rsidRPr="008733D6" w:rsidRDefault="007449C1" w:rsidP="007449C1">
      <w:pPr>
        <w:ind w:left="567" w:right="-427"/>
        <w:jc w:val="both"/>
        <w:rPr>
          <w:rFonts w:ascii="Times New Roman" w:hAnsi="Times New Roman"/>
          <w:sz w:val="20"/>
        </w:rPr>
      </w:pPr>
    </w:p>
    <w:p w14:paraId="7F1C800E" w14:textId="64CFBFA6" w:rsidR="00CB6DFE" w:rsidRPr="008733D6" w:rsidRDefault="00CB6DFE" w:rsidP="00575ACB">
      <w:pPr>
        <w:pStyle w:val="Prrafodelista"/>
        <w:ind w:left="709" w:right="141"/>
        <w:jc w:val="both"/>
        <w:rPr>
          <w:sz w:val="20"/>
          <w:szCs w:val="20"/>
          <w:lang w:val="es-AR" w:eastAsia="es-ES"/>
        </w:rPr>
      </w:pPr>
      <w:r w:rsidRPr="008733D6">
        <w:rPr>
          <w:sz w:val="20"/>
          <w:szCs w:val="20"/>
          <w:lang w:val="es-AR" w:eastAsia="es-ES"/>
        </w:rPr>
        <w:t>La composición del rubro es la siguiente:</w:t>
      </w:r>
    </w:p>
    <w:p w14:paraId="4A6FFAAF" w14:textId="77777777" w:rsidR="00CA5316" w:rsidRDefault="00CA5316" w:rsidP="007D0F58">
      <w:pPr>
        <w:pStyle w:val="Prrafodelista"/>
        <w:ind w:left="709" w:right="141"/>
        <w:jc w:val="both"/>
        <w:rPr>
          <w:sz w:val="20"/>
          <w:szCs w:val="20"/>
          <w:u w:val="single"/>
          <w:lang w:val="es-AR" w:eastAsia="es-ES"/>
        </w:rPr>
      </w:pPr>
    </w:p>
    <w:p w14:paraId="3B361F89" w14:textId="6E8253C1" w:rsidR="00D54601" w:rsidRDefault="00D82568" w:rsidP="007D0F58">
      <w:pPr>
        <w:pStyle w:val="Prrafodelista"/>
        <w:ind w:left="709" w:right="141"/>
        <w:jc w:val="both"/>
        <w:rPr>
          <w:sz w:val="20"/>
          <w:szCs w:val="20"/>
          <w:u w:val="single"/>
          <w:lang w:val="es-AR" w:eastAsia="es-ES"/>
        </w:rPr>
      </w:pPr>
      <w:r w:rsidRPr="008733D6">
        <w:rPr>
          <w:sz w:val="20"/>
          <w:szCs w:val="20"/>
          <w:u w:val="single"/>
          <w:lang w:val="es-AR" w:eastAsia="es-ES"/>
        </w:rPr>
        <w:t>Operaciones de pase activo</w:t>
      </w:r>
    </w:p>
    <w:p w14:paraId="2F6ABE7A" w14:textId="77777777" w:rsidR="004E4446" w:rsidRPr="008733D6" w:rsidRDefault="004E4446" w:rsidP="007D0F58">
      <w:pPr>
        <w:pStyle w:val="Prrafodelista"/>
        <w:ind w:left="709" w:right="141"/>
        <w:jc w:val="both"/>
        <w:rPr>
          <w:sz w:val="20"/>
          <w:szCs w:val="20"/>
          <w:u w:val="single"/>
          <w:lang w:val="es-AR" w:eastAsia="es-ES"/>
        </w:rPr>
      </w:pPr>
    </w:p>
    <w:p w14:paraId="70FC271E" w14:textId="05413706" w:rsidR="0003190E" w:rsidRDefault="004E4446" w:rsidP="0003190E">
      <w:pPr>
        <w:pStyle w:val="Prrafodelista"/>
        <w:ind w:left="709" w:right="141"/>
        <w:jc w:val="both"/>
        <w:rPr>
          <w:noProof/>
          <w:lang w:val="es-AR" w:eastAsia="es-AR"/>
        </w:rPr>
      </w:pPr>
      <w:r w:rsidRPr="00B445A9">
        <w:rPr>
          <w:noProof/>
          <w:lang w:val="es-AR" w:eastAsia="es-AR"/>
        </w:rPr>
        <w:drawing>
          <wp:inline distT="0" distB="0" distL="0" distR="0" wp14:anchorId="5D5AF000" wp14:editId="0B82BB97">
            <wp:extent cx="6031230" cy="718394"/>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1230" cy="718394"/>
                    </a:xfrm>
                    <a:prstGeom prst="rect">
                      <a:avLst/>
                    </a:prstGeom>
                    <a:noFill/>
                    <a:ln>
                      <a:noFill/>
                    </a:ln>
                  </pic:spPr>
                </pic:pic>
              </a:graphicData>
            </a:graphic>
          </wp:inline>
        </w:drawing>
      </w:r>
    </w:p>
    <w:p w14:paraId="07B3F0BB" w14:textId="6ACBB9B9" w:rsidR="00202B38" w:rsidRDefault="00202B38" w:rsidP="0003190E">
      <w:pPr>
        <w:pStyle w:val="Prrafodelista"/>
        <w:ind w:left="709" w:right="141"/>
        <w:jc w:val="both"/>
        <w:rPr>
          <w:sz w:val="20"/>
          <w:szCs w:val="20"/>
          <w:u w:val="single"/>
          <w:lang w:val="es-AR" w:eastAsia="es-ES"/>
        </w:rPr>
      </w:pPr>
    </w:p>
    <w:p w14:paraId="2ABD91F1" w14:textId="77777777" w:rsidR="00130A71" w:rsidRDefault="00130A71" w:rsidP="0003190E">
      <w:pPr>
        <w:pStyle w:val="Prrafodelista"/>
        <w:ind w:left="709" w:right="141"/>
        <w:jc w:val="both"/>
        <w:rPr>
          <w:sz w:val="20"/>
          <w:szCs w:val="20"/>
          <w:u w:val="single"/>
          <w:lang w:val="es-AR" w:eastAsia="es-ES"/>
        </w:rPr>
      </w:pPr>
    </w:p>
    <w:p w14:paraId="5ECA7C28" w14:textId="77777777" w:rsidR="00B27121" w:rsidRPr="006978C2" w:rsidRDefault="00B27121" w:rsidP="00C60CC8">
      <w:pPr>
        <w:pStyle w:val="Prrafodelista"/>
        <w:numPr>
          <w:ilvl w:val="0"/>
          <w:numId w:val="11"/>
        </w:numPr>
        <w:ind w:right="-427"/>
        <w:jc w:val="both"/>
        <w:rPr>
          <w:b/>
          <w:sz w:val="20"/>
          <w:szCs w:val="20"/>
          <w:lang w:val="es-AR"/>
        </w:rPr>
      </w:pPr>
      <w:r w:rsidRPr="006978C2">
        <w:rPr>
          <w:b/>
          <w:sz w:val="20"/>
          <w:szCs w:val="20"/>
        </w:rPr>
        <w:t>Otros activos financieros</w:t>
      </w:r>
    </w:p>
    <w:p w14:paraId="5C70F248" w14:textId="77777777" w:rsidR="005A2D05" w:rsidRPr="00F85B5C" w:rsidRDefault="005A2D05" w:rsidP="007449C1">
      <w:pPr>
        <w:ind w:right="-427"/>
        <w:jc w:val="both"/>
        <w:rPr>
          <w:rFonts w:ascii="Times New Roman" w:hAnsi="Times New Roman"/>
          <w:b/>
          <w:sz w:val="20"/>
        </w:rPr>
      </w:pPr>
    </w:p>
    <w:p w14:paraId="51D2E455" w14:textId="7649FA4D" w:rsidR="00803D98" w:rsidRDefault="003C6C60" w:rsidP="00DB06F3">
      <w:pPr>
        <w:pStyle w:val="Prrafodelista"/>
        <w:ind w:left="607" w:right="142"/>
        <w:jc w:val="both"/>
        <w:rPr>
          <w:sz w:val="20"/>
          <w:szCs w:val="20"/>
          <w:lang w:val="es-AR" w:eastAsia="es-ES"/>
        </w:rPr>
      </w:pPr>
      <w:r w:rsidRPr="00F85B5C">
        <w:rPr>
          <w:sz w:val="20"/>
          <w:szCs w:val="20"/>
          <w:lang w:val="es-AR" w:eastAsia="es-ES"/>
        </w:rPr>
        <w:t xml:space="preserve">  </w:t>
      </w:r>
      <w:r w:rsidR="002D6EA8" w:rsidRPr="00F85B5C">
        <w:rPr>
          <w:sz w:val="20"/>
          <w:szCs w:val="20"/>
          <w:lang w:val="es-AR" w:eastAsia="es-ES"/>
        </w:rPr>
        <w:t xml:space="preserve">La composición </w:t>
      </w:r>
      <w:r w:rsidR="008652DA" w:rsidRPr="00F85B5C">
        <w:rPr>
          <w:sz w:val="20"/>
          <w:szCs w:val="20"/>
          <w:lang w:val="es-AR" w:eastAsia="es-ES"/>
        </w:rPr>
        <w:t>de otros activos financieros</w:t>
      </w:r>
      <w:r w:rsidR="002D6EA8" w:rsidRPr="00F85B5C">
        <w:rPr>
          <w:sz w:val="20"/>
          <w:szCs w:val="20"/>
          <w:lang w:val="es-AR" w:eastAsia="es-ES"/>
        </w:rPr>
        <w:t xml:space="preserve"> es la siguiente:</w:t>
      </w:r>
    </w:p>
    <w:p w14:paraId="472D0870" w14:textId="3A3BB029" w:rsidR="00D103CF" w:rsidRDefault="00D103CF" w:rsidP="00DB06F3">
      <w:pPr>
        <w:pStyle w:val="Prrafodelista"/>
        <w:ind w:left="607" w:right="142"/>
        <w:jc w:val="both"/>
        <w:rPr>
          <w:sz w:val="20"/>
          <w:szCs w:val="20"/>
          <w:lang w:val="es-AR" w:eastAsia="es-ES"/>
        </w:rPr>
      </w:pPr>
    </w:p>
    <w:p w14:paraId="1EAFF4E6" w14:textId="24180AB5" w:rsidR="005A5817" w:rsidRPr="00F85B5C" w:rsidRDefault="004E4446" w:rsidP="00DB06F3">
      <w:pPr>
        <w:pStyle w:val="Prrafodelista"/>
        <w:ind w:left="607" w:right="142"/>
        <w:jc w:val="both"/>
        <w:rPr>
          <w:sz w:val="20"/>
          <w:szCs w:val="20"/>
          <w:lang w:val="es-AR" w:eastAsia="es-ES"/>
        </w:rPr>
      </w:pPr>
      <w:r w:rsidRPr="00B445A9">
        <w:rPr>
          <w:noProof/>
          <w:lang w:val="es-AR" w:eastAsia="es-AR"/>
        </w:rPr>
        <w:drawing>
          <wp:inline distT="0" distB="0" distL="0" distR="0" wp14:anchorId="2182738A" wp14:editId="3163425C">
            <wp:extent cx="6031230" cy="2391459"/>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1230" cy="2391459"/>
                    </a:xfrm>
                    <a:prstGeom prst="rect">
                      <a:avLst/>
                    </a:prstGeom>
                    <a:noFill/>
                    <a:ln>
                      <a:noFill/>
                    </a:ln>
                  </pic:spPr>
                </pic:pic>
              </a:graphicData>
            </a:graphic>
          </wp:inline>
        </w:drawing>
      </w:r>
    </w:p>
    <w:p w14:paraId="100C0E7F" w14:textId="77777777" w:rsidR="005A5817" w:rsidRDefault="005A5817" w:rsidP="00FA3850">
      <w:pPr>
        <w:ind w:left="567" w:right="-427"/>
        <w:jc w:val="both"/>
        <w:rPr>
          <w:rFonts w:ascii="Times New Roman" w:hAnsi="Times New Roman"/>
          <w:sz w:val="20"/>
        </w:rPr>
      </w:pPr>
    </w:p>
    <w:p w14:paraId="00C31367" w14:textId="77777777" w:rsidR="0064516F" w:rsidRDefault="0064516F" w:rsidP="00FA3850">
      <w:pPr>
        <w:ind w:left="567" w:right="-427"/>
        <w:jc w:val="both"/>
        <w:rPr>
          <w:rFonts w:ascii="Times New Roman" w:hAnsi="Times New Roman"/>
          <w:sz w:val="20"/>
        </w:rPr>
      </w:pPr>
    </w:p>
    <w:p w14:paraId="56CBF763" w14:textId="77777777" w:rsidR="0064516F" w:rsidRPr="00110E8B" w:rsidRDefault="0064516F" w:rsidP="00FA3850">
      <w:pPr>
        <w:ind w:left="567" w:right="-427"/>
        <w:jc w:val="both"/>
        <w:rPr>
          <w:rFonts w:ascii="Times New Roman" w:hAnsi="Times New Roman"/>
          <w:sz w:val="20"/>
        </w:rPr>
      </w:pPr>
    </w:p>
    <w:p w14:paraId="5FFA9A3A" w14:textId="66FC372C" w:rsidR="00344B31" w:rsidRPr="00BF0456" w:rsidRDefault="00344B31" w:rsidP="00C60CC8">
      <w:pPr>
        <w:pStyle w:val="Prrafodelista"/>
        <w:numPr>
          <w:ilvl w:val="0"/>
          <w:numId w:val="11"/>
        </w:numPr>
        <w:ind w:right="-427"/>
        <w:jc w:val="both"/>
        <w:rPr>
          <w:b/>
          <w:sz w:val="20"/>
          <w:szCs w:val="20"/>
        </w:rPr>
      </w:pPr>
      <w:r w:rsidRPr="00BF0456">
        <w:rPr>
          <w:b/>
          <w:sz w:val="20"/>
          <w:szCs w:val="20"/>
        </w:rPr>
        <w:t>Préstamos y otras financiaciones</w:t>
      </w:r>
    </w:p>
    <w:p w14:paraId="2BFB97E3" w14:textId="77777777" w:rsidR="00344B31" w:rsidRPr="00110E8B" w:rsidRDefault="00344B31" w:rsidP="00477B94">
      <w:pPr>
        <w:ind w:right="-427"/>
        <w:jc w:val="both"/>
        <w:rPr>
          <w:rFonts w:ascii="Times New Roman" w:hAnsi="Times New Roman"/>
          <w:b/>
          <w:sz w:val="20"/>
        </w:rPr>
      </w:pPr>
    </w:p>
    <w:p w14:paraId="6DFE99C2" w14:textId="432E9D0F" w:rsidR="00344B31" w:rsidRDefault="00BB46DE" w:rsidP="00000701">
      <w:pPr>
        <w:pStyle w:val="Prrafodelista"/>
        <w:ind w:left="709"/>
        <w:jc w:val="both"/>
        <w:rPr>
          <w:sz w:val="20"/>
          <w:szCs w:val="20"/>
          <w:lang w:val="es-AR" w:eastAsia="es-ES"/>
        </w:rPr>
      </w:pPr>
      <w:r w:rsidRPr="00110E8B">
        <w:rPr>
          <w:sz w:val="20"/>
          <w:szCs w:val="20"/>
          <w:lang w:val="es-AR" w:eastAsia="es-ES"/>
        </w:rPr>
        <w:t>El Grupo mantiene los préstamos y otras financiaciones bajo un modelo de negocios cuyo objetivo es</w:t>
      </w:r>
      <w:r w:rsidR="00323899" w:rsidRPr="00110E8B">
        <w:rPr>
          <w:sz w:val="20"/>
          <w:szCs w:val="20"/>
          <w:lang w:val="es-AR" w:eastAsia="es-ES"/>
        </w:rPr>
        <w:t xml:space="preserve"> </w:t>
      </w:r>
      <w:r w:rsidRPr="00110E8B">
        <w:rPr>
          <w:sz w:val="20"/>
          <w:szCs w:val="20"/>
          <w:lang w:val="es-AR" w:eastAsia="es-ES"/>
        </w:rPr>
        <w:t>cobrar los flujos de fondos contractuales. En con</w:t>
      </w:r>
      <w:r w:rsidR="005533AB" w:rsidRPr="00110E8B">
        <w:rPr>
          <w:sz w:val="20"/>
          <w:szCs w:val="20"/>
          <w:lang w:val="es-AR" w:eastAsia="es-ES"/>
        </w:rPr>
        <w:t xml:space="preserve">secuencia, mide los préstamos </w:t>
      </w:r>
      <w:r w:rsidRPr="00110E8B">
        <w:rPr>
          <w:sz w:val="20"/>
          <w:szCs w:val="20"/>
          <w:lang w:val="es-AR" w:eastAsia="es-ES"/>
        </w:rPr>
        <w:t>y otras financiaciones a su costo amortizado.</w:t>
      </w:r>
      <w:r w:rsidR="00344B31" w:rsidRPr="00110E8B">
        <w:rPr>
          <w:sz w:val="20"/>
          <w:szCs w:val="20"/>
          <w:lang w:val="es-AR" w:eastAsia="es-ES"/>
        </w:rPr>
        <w:t xml:space="preserve"> A continuación se expone la composición de su saldo:</w:t>
      </w:r>
    </w:p>
    <w:p w14:paraId="7D7D0A07" w14:textId="77777777" w:rsidR="0089402B" w:rsidRDefault="0089402B" w:rsidP="00000701">
      <w:pPr>
        <w:pStyle w:val="Prrafodelista"/>
        <w:ind w:left="709"/>
        <w:jc w:val="both"/>
        <w:rPr>
          <w:sz w:val="20"/>
          <w:szCs w:val="20"/>
          <w:lang w:val="es-AR" w:eastAsia="es-ES"/>
        </w:rPr>
      </w:pPr>
    </w:p>
    <w:p w14:paraId="212D2507" w14:textId="0D0B024D" w:rsidR="00352AC6" w:rsidRDefault="004E4446" w:rsidP="00344B31">
      <w:pPr>
        <w:pStyle w:val="Prrafodelista"/>
        <w:ind w:left="709" w:right="141"/>
        <w:jc w:val="both"/>
        <w:rPr>
          <w:sz w:val="20"/>
          <w:szCs w:val="20"/>
          <w:lang w:val="es-AR" w:eastAsia="es-ES"/>
        </w:rPr>
      </w:pPr>
      <w:r w:rsidRPr="00B445A9">
        <w:rPr>
          <w:noProof/>
          <w:lang w:val="es-AR" w:eastAsia="es-AR"/>
        </w:rPr>
        <w:lastRenderedPageBreak/>
        <w:drawing>
          <wp:inline distT="0" distB="0" distL="0" distR="0" wp14:anchorId="2773C7D5" wp14:editId="47F5873B">
            <wp:extent cx="6031230" cy="2910906"/>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1230" cy="2910906"/>
                    </a:xfrm>
                    <a:prstGeom prst="rect">
                      <a:avLst/>
                    </a:prstGeom>
                    <a:noFill/>
                    <a:ln>
                      <a:noFill/>
                    </a:ln>
                  </pic:spPr>
                </pic:pic>
              </a:graphicData>
            </a:graphic>
          </wp:inline>
        </w:drawing>
      </w:r>
    </w:p>
    <w:p w14:paraId="2E334C75" w14:textId="77777777" w:rsidR="0089402B" w:rsidRDefault="0089402B" w:rsidP="00344B31">
      <w:pPr>
        <w:pStyle w:val="Prrafodelista"/>
        <w:ind w:left="709" w:right="141"/>
        <w:jc w:val="both"/>
        <w:rPr>
          <w:sz w:val="20"/>
          <w:szCs w:val="20"/>
          <w:lang w:val="es-AR" w:eastAsia="es-ES"/>
        </w:rPr>
      </w:pPr>
    </w:p>
    <w:p w14:paraId="7E069356" w14:textId="77777777" w:rsidR="00091E60" w:rsidRDefault="00091E60" w:rsidP="00D82ED2">
      <w:pPr>
        <w:pStyle w:val="Prrafodelista"/>
        <w:ind w:left="567" w:right="-427"/>
        <w:jc w:val="both"/>
        <w:rPr>
          <w:b/>
          <w:sz w:val="20"/>
          <w:szCs w:val="20"/>
          <w:u w:val="single"/>
          <w:lang w:val="es-AR"/>
        </w:rPr>
      </w:pPr>
    </w:p>
    <w:p w14:paraId="0BD0B2F1" w14:textId="2B6756E4" w:rsidR="00D82ED2" w:rsidRPr="00110E8B" w:rsidRDefault="00D82ED2" w:rsidP="00D82ED2">
      <w:pPr>
        <w:pStyle w:val="Prrafodelista"/>
        <w:ind w:left="567" w:right="-427"/>
        <w:jc w:val="both"/>
        <w:rPr>
          <w:b/>
          <w:sz w:val="20"/>
          <w:szCs w:val="20"/>
          <w:u w:val="single"/>
          <w:lang w:val="es-AR"/>
        </w:rPr>
      </w:pPr>
      <w:r w:rsidRPr="00110E8B">
        <w:rPr>
          <w:b/>
          <w:sz w:val="20"/>
          <w:szCs w:val="20"/>
          <w:u w:val="single"/>
          <w:lang w:val="es-AR"/>
        </w:rPr>
        <w:t>Arrendamientos financieros</w:t>
      </w:r>
    </w:p>
    <w:p w14:paraId="15EC1B43" w14:textId="13AD8F03" w:rsidR="0051540E" w:rsidRPr="00110E8B" w:rsidRDefault="0051540E" w:rsidP="00D82ED2">
      <w:pPr>
        <w:pStyle w:val="Prrafodelista"/>
        <w:ind w:left="567" w:right="141"/>
        <w:jc w:val="both"/>
        <w:rPr>
          <w:sz w:val="20"/>
          <w:szCs w:val="20"/>
          <w:lang w:val="es-AR" w:eastAsia="es-ES"/>
        </w:rPr>
      </w:pPr>
    </w:p>
    <w:p w14:paraId="04B2675D" w14:textId="20E9E2A4" w:rsidR="00D65314" w:rsidRPr="00110E8B" w:rsidRDefault="00D82ED2" w:rsidP="00D65314">
      <w:pPr>
        <w:pStyle w:val="Prrafodelista"/>
        <w:ind w:left="567" w:right="141"/>
        <w:jc w:val="both"/>
        <w:rPr>
          <w:sz w:val="20"/>
          <w:szCs w:val="20"/>
          <w:lang w:val="es-AR" w:eastAsia="es-ES"/>
        </w:rPr>
      </w:pPr>
      <w:r w:rsidRPr="00110E8B">
        <w:rPr>
          <w:sz w:val="20"/>
          <w:szCs w:val="20"/>
          <w:lang w:val="es-AR" w:eastAsia="es-ES"/>
        </w:rPr>
        <w:t>El Grupo</w:t>
      </w:r>
      <w:r w:rsidR="008C4F55" w:rsidRPr="00110E8B">
        <w:rPr>
          <w:sz w:val="20"/>
          <w:szCs w:val="20"/>
          <w:lang w:val="es-AR" w:eastAsia="es-ES"/>
        </w:rPr>
        <w:t xml:space="preserve"> como arrendador,</w:t>
      </w:r>
      <w:r w:rsidRPr="00110E8B">
        <w:rPr>
          <w:sz w:val="20"/>
          <w:szCs w:val="20"/>
          <w:lang w:val="es-AR" w:eastAsia="es-ES"/>
        </w:rPr>
        <w:t xml:space="preserve"> celebró contratos de arrendamientos financieros relacionados con rodados y máquinas y equipos.</w:t>
      </w:r>
      <w:r w:rsidR="00662DD6">
        <w:rPr>
          <w:sz w:val="20"/>
          <w:szCs w:val="20"/>
          <w:lang w:val="es-AR" w:eastAsia="es-ES"/>
        </w:rPr>
        <w:t xml:space="preserve"> </w:t>
      </w:r>
      <w:r w:rsidRPr="00110E8B">
        <w:rPr>
          <w:sz w:val="20"/>
          <w:szCs w:val="20"/>
          <w:lang w:val="es-AR" w:eastAsia="es-ES"/>
        </w:rPr>
        <w:t>La siguiente tabla muestra la inversión bruta total de los arrendamientos (leasing) financieros y el valor actual de los pagos mínimos a recibir por los mismos:</w:t>
      </w:r>
    </w:p>
    <w:p w14:paraId="26EDEAFF" w14:textId="551D7FA8" w:rsidR="00496D08" w:rsidRPr="00110E8B" w:rsidRDefault="00496D08" w:rsidP="00536593">
      <w:pPr>
        <w:pStyle w:val="Prrafodelista"/>
        <w:ind w:left="567" w:right="141"/>
        <w:jc w:val="center"/>
        <w:rPr>
          <w:sz w:val="20"/>
          <w:szCs w:val="20"/>
          <w:lang w:val="es-AR" w:eastAsia="es-ES"/>
        </w:rPr>
      </w:pPr>
    </w:p>
    <w:p w14:paraId="4856DD72" w14:textId="1F582EBE" w:rsidR="00496D08" w:rsidRDefault="00C63B89" w:rsidP="0021727D">
      <w:pPr>
        <w:ind w:left="607" w:right="141"/>
        <w:jc w:val="both"/>
        <w:rPr>
          <w:sz w:val="20"/>
        </w:rPr>
      </w:pPr>
      <w:r>
        <w:rPr>
          <w:sz w:val="20"/>
        </w:rPr>
        <w:t xml:space="preserve">                   </w:t>
      </w:r>
      <w:r w:rsidR="00335CCB" w:rsidRPr="00235CAA">
        <w:rPr>
          <w:noProof/>
          <w:lang w:eastAsia="es-AR"/>
        </w:rPr>
        <w:drawing>
          <wp:inline distT="0" distB="0" distL="0" distR="0" wp14:anchorId="0836E9C8" wp14:editId="3151CB09">
            <wp:extent cx="4333461" cy="225500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6529" cy="2261805"/>
                    </a:xfrm>
                    <a:prstGeom prst="rect">
                      <a:avLst/>
                    </a:prstGeom>
                    <a:noFill/>
                    <a:ln>
                      <a:noFill/>
                    </a:ln>
                  </pic:spPr>
                </pic:pic>
              </a:graphicData>
            </a:graphic>
          </wp:inline>
        </w:drawing>
      </w:r>
    </w:p>
    <w:p w14:paraId="7C424052" w14:textId="77777777" w:rsidR="00FC3663" w:rsidRDefault="00FC3663" w:rsidP="00662DD6">
      <w:pPr>
        <w:ind w:left="1214" w:right="141"/>
        <w:jc w:val="both"/>
        <w:rPr>
          <w:sz w:val="20"/>
        </w:rPr>
      </w:pPr>
    </w:p>
    <w:p w14:paraId="55E6FE2E" w14:textId="6437B7A5" w:rsidR="00496D08" w:rsidRPr="00110E8B" w:rsidRDefault="00496D08" w:rsidP="00D65314">
      <w:pPr>
        <w:pStyle w:val="Prrafodelista"/>
        <w:ind w:left="567" w:right="141"/>
        <w:jc w:val="both"/>
        <w:rPr>
          <w:color w:val="000000"/>
          <w:sz w:val="20"/>
          <w:szCs w:val="20"/>
          <w:lang w:val="es-AR"/>
        </w:rPr>
      </w:pPr>
      <w:r w:rsidRPr="00110E8B">
        <w:rPr>
          <w:color w:val="000000"/>
          <w:sz w:val="20"/>
          <w:szCs w:val="20"/>
          <w:lang w:val="es-AR"/>
        </w:rPr>
        <w:t xml:space="preserve">La desagregación de los préstamos y otras financiaciones por situación crediticia (determinada según los criterios dispuestos por el B.C.R.A. en las normas de clasificación de deudores) y las garantías recibidas se presentan en el Anexo B. La información sobre concentración de préstamos y otras financiaciones se presenta </w:t>
      </w:r>
      <w:r w:rsidRPr="00110E8B">
        <w:rPr>
          <w:color w:val="000000"/>
          <w:sz w:val="20"/>
          <w:szCs w:val="20"/>
          <w:lang w:val="es-AR"/>
        </w:rPr>
        <w:lastRenderedPageBreak/>
        <w:t>en el Anexo C. La conciliación de la información incluida en dicho</w:t>
      </w:r>
      <w:r w:rsidR="00F42914">
        <w:rPr>
          <w:color w:val="000000"/>
          <w:sz w:val="20"/>
          <w:szCs w:val="20"/>
          <w:lang w:val="es-AR"/>
        </w:rPr>
        <w:t>s</w:t>
      </w:r>
      <w:r w:rsidRPr="00110E8B">
        <w:rPr>
          <w:color w:val="000000"/>
          <w:sz w:val="20"/>
          <w:szCs w:val="20"/>
          <w:lang w:val="es-AR"/>
        </w:rPr>
        <w:t xml:space="preserve"> Anexo</w:t>
      </w:r>
      <w:r w:rsidR="00F42914">
        <w:rPr>
          <w:color w:val="000000"/>
          <w:sz w:val="20"/>
          <w:szCs w:val="20"/>
          <w:lang w:val="es-AR"/>
        </w:rPr>
        <w:t>s</w:t>
      </w:r>
      <w:r w:rsidRPr="00110E8B">
        <w:rPr>
          <w:color w:val="000000"/>
          <w:sz w:val="20"/>
          <w:szCs w:val="20"/>
          <w:lang w:val="es-AR"/>
        </w:rPr>
        <w:t xml:space="preserve"> con los saldos contables se muestra a continuación:</w:t>
      </w:r>
    </w:p>
    <w:p w14:paraId="712FB041" w14:textId="4585D2D3" w:rsidR="004B04F7" w:rsidRDefault="004B04F7" w:rsidP="00D65314">
      <w:pPr>
        <w:pStyle w:val="Prrafodelista"/>
        <w:ind w:left="567" w:right="141"/>
        <w:jc w:val="both"/>
        <w:rPr>
          <w:sz w:val="20"/>
          <w:szCs w:val="20"/>
          <w:lang w:val="es-AR" w:eastAsia="es-ES"/>
        </w:rPr>
      </w:pPr>
    </w:p>
    <w:p w14:paraId="398E81B3" w14:textId="751B2877" w:rsidR="00496D08" w:rsidRDefault="00182E07" w:rsidP="00FC3663">
      <w:pPr>
        <w:pStyle w:val="Prrafodelista"/>
        <w:ind w:left="567" w:right="141"/>
        <w:jc w:val="both"/>
        <w:rPr>
          <w:sz w:val="20"/>
          <w:szCs w:val="20"/>
          <w:lang w:val="es-AR" w:eastAsia="es-ES"/>
        </w:rPr>
      </w:pPr>
      <w:r w:rsidRPr="00235CAA">
        <w:rPr>
          <w:noProof/>
          <w:lang w:val="es-AR" w:eastAsia="es-AR"/>
        </w:rPr>
        <w:drawing>
          <wp:inline distT="0" distB="0" distL="0" distR="0" wp14:anchorId="745EAE0E" wp14:editId="29E6E1A0">
            <wp:extent cx="6031230" cy="213970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1230" cy="2139703"/>
                    </a:xfrm>
                    <a:prstGeom prst="rect">
                      <a:avLst/>
                    </a:prstGeom>
                    <a:noFill/>
                    <a:ln>
                      <a:noFill/>
                    </a:ln>
                  </pic:spPr>
                </pic:pic>
              </a:graphicData>
            </a:graphic>
          </wp:inline>
        </w:drawing>
      </w:r>
    </w:p>
    <w:p w14:paraId="6B7FDDFC" w14:textId="77777777" w:rsidR="00FC3663" w:rsidRDefault="00FC3663" w:rsidP="00FC3663">
      <w:pPr>
        <w:pStyle w:val="Prrafodelista"/>
        <w:ind w:left="567" w:right="141"/>
        <w:jc w:val="both"/>
        <w:rPr>
          <w:sz w:val="20"/>
          <w:szCs w:val="20"/>
          <w:lang w:val="es-AR" w:eastAsia="es-ES"/>
        </w:rPr>
      </w:pPr>
    </w:p>
    <w:p w14:paraId="1B1A5A4C" w14:textId="79D7C6A2" w:rsidR="006176C8" w:rsidRPr="006176C8" w:rsidRDefault="006176C8" w:rsidP="00FC3663">
      <w:pPr>
        <w:pStyle w:val="Prrafodelista"/>
        <w:ind w:left="567" w:right="141"/>
        <w:jc w:val="both"/>
        <w:rPr>
          <w:sz w:val="20"/>
          <w:szCs w:val="20"/>
          <w:lang w:val="es-AR" w:eastAsia="es-ES"/>
        </w:rPr>
      </w:pPr>
      <w:r w:rsidRPr="00587178">
        <w:rPr>
          <w:sz w:val="20"/>
          <w:szCs w:val="20"/>
          <w:lang w:val="es-AR" w:eastAsia="es-ES"/>
        </w:rPr>
        <w:t>La información sobre el riesgo crediticio de préstamos y otras financiaciones y previsiones medidas de acuerdo al modelo de pérdidas crediticias esperadas se presentan en nota 47.2 de los presentes estados financieros intermedios consolidados condensados.</w:t>
      </w:r>
    </w:p>
    <w:p w14:paraId="78F863C4" w14:textId="77777777" w:rsidR="006176C8" w:rsidRPr="00FC3663" w:rsidRDefault="006176C8" w:rsidP="00FC3663">
      <w:pPr>
        <w:pStyle w:val="Prrafodelista"/>
        <w:ind w:left="567" w:right="141"/>
        <w:jc w:val="both"/>
        <w:rPr>
          <w:sz w:val="20"/>
          <w:szCs w:val="20"/>
          <w:lang w:val="es-AR" w:eastAsia="es-ES"/>
        </w:rPr>
      </w:pPr>
    </w:p>
    <w:p w14:paraId="6E9607C4" w14:textId="3EE902C9" w:rsidR="00F530FD" w:rsidRDefault="00F530FD" w:rsidP="00F530FD">
      <w:pPr>
        <w:ind w:left="567" w:right="-1"/>
        <w:jc w:val="both"/>
        <w:rPr>
          <w:rFonts w:ascii="Times New Roman" w:hAnsi="Times New Roman"/>
          <w:sz w:val="20"/>
        </w:rPr>
      </w:pPr>
      <w:r w:rsidRPr="00110E8B">
        <w:rPr>
          <w:rFonts w:ascii="Times New Roman" w:hAnsi="Times New Roman"/>
          <w:sz w:val="20"/>
        </w:rPr>
        <w:t>Al 3</w:t>
      </w:r>
      <w:r w:rsidR="00F64133">
        <w:rPr>
          <w:rFonts w:ascii="Times New Roman" w:hAnsi="Times New Roman"/>
          <w:sz w:val="20"/>
        </w:rPr>
        <w:t>0</w:t>
      </w:r>
      <w:r w:rsidRPr="00110E8B">
        <w:rPr>
          <w:rFonts w:ascii="Times New Roman" w:hAnsi="Times New Roman"/>
          <w:sz w:val="20"/>
        </w:rPr>
        <w:t xml:space="preserve"> de </w:t>
      </w:r>
      <w:r w:rsidR="0064516F">
        <w:rPr>
          <w:rFonts w:ascii="Times New Roman" w:hAnsi="Times New Roman"/>
          <w:sz w:val="20"/>
        </w:rPr>
        <w:t>septiembre</w:t>
      </w:r>
      <w:r w:rsidRPr="00110E8B">
        <w:rPr>
          <w:rFonts w:ascii="Times New Roman" w:hAnsi="Times New Roman"/>
          <w:sz w:val="20"/>
        </w:rPr>
        <w:t xml:space="preserve"> de 20</w:t>
      </w:r>
      <w:r w:rsidR="003B299C" w:rsidRPr="00110E8B">
        <w:rPr>
          <w:rFonts w:ascii="Times New Roman" w:hAnsi="Times New Roman"/>
          <w:sz w:val="20"/>
        </w:rPr>
        <w:t>2</w:t>
      </w:r>
      <w:r w:rsidR="003A57B7">
        <w:rPr>
          <w:rFonts w:ascii="Times New Roman" w:hAnsi="Times New Roman"/>
          <w:sz w:val="20"/>
        </w:rPr>
        <w:t xml:space="preserve">1 y al 31 de diciembre de </w:t>
      </w:r>
      <w:r w:rsidR="00903A62" w:rsidRPr="00854D26">
        <w:rPr>
          <w:rFonts w:ascii="Times New Roman" w:hAnsi="Times New Roman"/>
          <w:sz w:val="20"/>
        </w:rPr>
        <w:t>20</w:t>
      </w:r>
      <w:r w:rsidR="003A57B7">
        <w:rPr>
          <w:rFonts w:ascii="Times New Roman" w:hAnsi="Times New Roman"/>
          <w:sz w:val="20"/>
        </w:rPr>
        <w:t>20,</w:t>
      </w:r>
      <w:r w:rsidRPr="00854D26">
        <w:rPr>
          <w:rFonts w:ascii="Times New Roman" w:hAnsi="Times New Roman"/>
          <w:sz w:val="20"/>
        </w:rPr>
        <w:t xml:space="preserve"> el</w:t>
      </w:r>
      <w:r w:rsidRPr="00110E8B">
        <w:rPr>
          <w:rFonts w:ascii="Times New Roman" w:hAnsi="Times New Roman"/>
          <w:sz w:val="20"/>
        </w:rPr>
        <w:t xml:space="preserve"> Grupo mantiene </w:t>
      </w:r>
      <w:r w:rsidR="00854D26" w:rsidRPr="00854D26">
        <w:rPr>
          <w:rFonts w:ascii="Times New Roman" w:hAnsi="Times New Roman"/>
          <w:sz w:val="20"/>
        </w:rPr>
        <w:t>los siguientes compromisos de préstamo</w:t>
      </w:r>
      <w:r w:rsidRPr="00110E8B">
        <w:rPr>
          <w:rFonts w:ascii="Times New Roman" w:hAnsi="Times New Roman"/>
          <w:sz w:val="20"/>
        </w:rPr>
        <w:t xml:space="preserve"> registrad</w:t>
      </w:r>
      <w:r w:rsidR="00854D26">
        <w:rPr>
          <w:rFonts w:ascii="Times New Roman" w:hAnsi="Times New Roman"/>
          <w:sz w:val="20"/>
        </w:rPr>
        <w:t>o</w:t>
      </w:r>
      <w:r w:rsidRPr="00110E8B">
        <w:rPr>
          <w:rFonts w:ascii="Times New Roman" w:hAnsi="Times New Roman"/>
          <w:sz w:val="20"/>
        </w:rPr>
        <w:t xml:space="preserve">s en partidas fuera de balance de acuerdo con el marco de información contable del B.C.R.A.: </w:t>
      </w:r>
    </w:p>
    <w:p w14:paraId="10EE106E" w14:textId="77777777" w:rsidR="00182E07" w:rsidRDefault="00182E07" w:rsidP="00F530FD">
      <w:pPr>
        <w:ind w:left="567" w:right="-1"/>
        <w:jc w:val="both"/>
        <w:rPr>
          <w:rFonts w:ascii="Times New Roman" w:hAnsi="Times New Roman"/>
          <w:sz w:val="20"/>
        </w:rPr>
      </w:pPr>
    </w:p>
    <w:p w14:paraId="7E431E64" w14:textId="02D1A926" w:rsidR="00182E07" w:rsidRDefault="00B445A9" w:rsidP="00B445A9">
      <w:pPr>
        <w:ind w:left="567" w:right="-1"/>
        <w:jc w:val="both"/>
        <w:rPr>
          <w:rFonts w:ascii="Times New Roman" w:hAnsi="Times New Roman"/>
          <w:sz w:val="20"/>
        </w:rPr>
      </w:pPr>
      <w:r w:rsidRPr="00B445A9">
        <w:rPr>
          <w:noProof/>
          <w:lang w:eastAsia="es-AR"/>
        </w:rPr>
        <w:drawing>
          <wp:inline distT="0" distB="0" distL="0" distR="0" wp14:anchorId="09BFE328" wp14:editId="196A8A4C">
            <wp:extent cx="6031230" cy="1265611"/>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1230" cy="1265611"/>
                    </a:xfrm>
                    <a:prstGeom prst="rect">
                      <a:avLst/>
                    </a:prstGeom>
                    <a:noFill/>
                    <a:ln>
                      <a:noFill/>
                    </a:ln>
                  </pic:spPr>
                </pic:pic>
              </a:graphicData>
            </a:graphic>
          </wp:inline>
        </w:drawing>
      </w:r>
    </w:p>
    <w:p w14:paraId="2A837C29" w14:textId="2F7404EF" w:rsidR="002A7999" w:rsidRDefault="002A7999" w:rsidP="002A7999">
      <w:pPr>
        <w:ind w:left="284" w:right="-1"/>
        <w:jc w:val="both"/>
        <w:rPr>
          <w:rFonts w:ascii="Times New Roman" w:hAnsi="Times New Roman"/>
          <w:sz w:val="20"/>
        </w:rPr>
      </w:pPr>
    </w:p>
    <w:p w14:paraId="6EEC28F2" w14:textId="5D4F5276" w:rsidR="00F40D2C" w:rsidRPr="00110E8B" w:rsidRDefault="00F40D2C" w:rsidP="00F40D2C">
      <w:pPr>
        <w:ind w:left="567" w:right="-1"/>
        <w:jc w:val="both"/>
        <w:rPr>
          <w:rFonts w:ascii="Times New Roman" w:hAnsi="Times New Roman"/>
          <w:sz w:val="20"/>
        </w:rPr>
      </w:pPr>
      <w:r w:rsidRPr="00F75BD1">
        <w:rPr>
          <w:rFonts w:ascii="Times New Roman" w:hAnsi="Times New Roman"/>
          <w:sz w:val="20"/>
        </w:rPr>
        <w:t xml:space="preserve">Los riesgos relacionados con </w:t>
      </w:r>
      <w:r w:rsidR="00854D26" w:rsidRPr="00F75BD1">
        <w:rPr>
          <w:rFonts w:ascii="Times New Roman" w:hAnsi="Times New Roman"/>
          <w:sz w:val="20"/>
        </w:rPr>
        <w:t xml:space="preserve">los compromisos de préstamos mencionados </w:t>
      </w:r>
      <w:r w:rsidRPr="00F75BD1">
        <w:rPr>
          <w:rFonts w:ascii="Times New Roman" w:hAnsi="Times New Roman"/>
          <w:sz w:val="20"/>
        </w:rPr>
        <w:t>precedentemente se encuentran evaluados y controlados en el marco de la política de riesgos de crédito del Grupo</w:t>
      </w:r>
      <w:r w:rsidR="00854D26" w:rsidRPr="00F75BD1">
        <w:rPr>
          <w:rFonts w:ascii="Times New Roman" w:hAnsi="Times New Roman"/>
          <w:sz w:val="20"/>
        </w:rPr>
        <w:t xml:space="preserve"> (Nota </w:t>
      </w:r>
      <w:r w:rsidR="00E21CF6" w:rsidRPr="00F75BD1">
        <w:rPr>
          <w:rFonts w:ascii="Times New Roman" w:hAnsi="Times New Roman"/>
          <w:sz w:val="20"/>
        </w:rPr>
        <w:t>47</w:t>
      </w:r>
      <w:r w:rsidR="00854D26" w:rsidRPr="00F75BD1">
        <w:rPr>
          <w:rFonts w:ascii="Times New Roman" w:hAnsi="Times New Roman"/>
          <w:sz w:val="20"/>
        </w:rPr>
        <w:t>.</w:t>
      </w:r>
      <w:r w:rsidR="00E21CF6" w:rsidRPr="00F75BD1">
        <w:rPr>
          <w:rFonts w:ascii="Times New Roman" w:hAnsi="Times New Roman"/>
          <w:sz w:val="20"/>
        </w:rPr>
        <w:t>1</w:t>
      </w:r>
      <w:r w:rsidR="00A90F24" w:rsidRPr="00F75BD1">
        <w:rPr>
          <w:rFonts w:ascii="Times New Roman" w:hAnsi="Times New Roman"/>
          <w:sz w:val="20"/>
        </w:rPr>
        <w:t xml:space="preserve"> a los estados financieros consolidados al 31 de diciembre de 2020</w:t>
      </w:r>
      <w:r w:rsidR="00DB13BE" w:rsidRPr="00F75BD1">
        <w:rPr>
          <w:rFonts w:ascii="Times New Roman" w:hAnsi="Times New Roman"/>
          <w:sz w:val="20"/>
        </w:rPr>
        <w:t>)</w:t>
      </w:r>
      <w:r w:rsidR="00091E60" w:rsidRPr="00F75BD1">
        <w:rPr>
          <w:rFonts w:ascii="Times New Roman" w:hAnsi="Times New Roman"/>
          <w:sz w:val="20"/>
        </w:rPr>
        <w:t>.</w:t>
      </w:r>
    </w:p>
    <w:p w14:paraId="25CF1B52" w14:textId="77777777" w:rsidR="00C612BC" w:rsidRDefault="00C612BC" w:rsidP="00F40D2C">
      <w:pPr>
        <w:ind w:left="567" w:right="-1"/>
        <w:jc w:val="both"/>
        <w:rPr>
          <w:rFonts w:ascii="Times New Roman" w:hAnsi="Times New Roman"/>
          <w:sz w:val="20"/>
        </w:rPr>
      </w:pPr>
    </w:p>
    <w:p w14:paraId="76BD5FE5" w14:textId="77777777" w:rsidR="00BC077F" w:rsidRDefault="00BC077F" w:rsidP="00F40D2C">
      <w:pPr>
        <w:ind w:left="567" w:right="-1"/>
        <w:jc w:val="both"/>
        <w:rPr>
          <w:rFonts w:ascii="Times New Roman" w:hAnsi="Times New Roman"/>
          <w:sz w:val="20"/>
        </w:rPr>
      </w:pPr>
    </w:p>
    <w:p w14:paraId="5A14DCDC" w14:textId="77777777" w:rsidR="00BC077F" w:rsidRDefault="00BC077F" w:rsidP="00F40D2C">
      <w:pPr>
        <w:ind w:left="567" w:right="-1"/>
        <w:jc w:val="both"/>
        <w:rPr>
          <w:rFonts w:ascii="Times New Roman" w:hAnsi="Times New Roman"/>
          <w:sz w:val="20"/>
        </w:rPr>
      </w:pPr>
    </w:p>
    <w:p w14:paraId="6D69C9BF" w14:textId="77777777" w:rsidR="00BC077F" w:rsidRDefault="00BC077F" w:rsidP="00F40D2C">
      <w:pPr>
        <w:ind w:left="567" w:right="-1"/>
        <w:jc w:val="both"/>
        <w:rPr>
          <w:rFonts w:ascii="Times New Roman" w:hAnsi="Times New Roman"/>
          <w:sz w:val="20"/>
        </w:rPr>
      </w:pPr>
    </w:p>
    <w:p w14:paraId="0E6D9ED3" w14:textId="77777777" w:rsidR="00BC077F" w:rsidRDefault="00BC077F" w:rsidP="00F40D2C">
      <w:pPr>
        <w:ind w:left="567" w:right="-1"/>
        <w:jc w:val="both"/>
        <w:rPr>
          <w:rFonts w:ascii="Times New Roman" w:hAnsi="Times New Roman"/>
          <w:sz w:val="20"/>
        </w:rPr>
      </w:pPr>
    </w:p>
    <w:p w14:paraId="1E72B0A3" w14:textId="77777777" w:rsidR="00BC077F" w:rsidRDefault="00BC077F" w:rsidP="00F40D2C">
      <w:pPr>
        <w:ind w:left="567" w:right="-1"/>
        <w:jc w:val="both"/>
        <w:rPr>
          <w:rFonts w:ascii="Times New Roman" w:hAnsi="Times New Roman"/>
          <w:sz w:val="20"/>
        </w:rPr>
      </w:pPr>
    </w:p>
    <w:p w14:paraId="30EF2898" w14:textId="77777777" w:rsidR="00BC077F" w:rsidRDefault="00BC077F" w:rsidP="00F40D2C">
      <w:pPr>
        <w:ind w:left="567" w:right="-1"/>
        <w:jc w:val="both"/>
        <w:rPr>
          <w:rFonts w:ascii="Times New Roman" w:hAnsi="Times New Roman"/>
          <w:sz w:val="20"/>
        </w:rPr>
      </w:pPr>
    </w:p>
    <w:p w14:paraId="61F51EB7" w14:textId="77777777" w:rsidR="00BC077F" w:rsidRDefault="00BC077F" w:rsidP="00F40D2C">
      <w:pPr>
        <w:ind w:left="567" w:right="-1"/>
        <w:jc w:val="both"/>
        <w:rPr>
          <w:rFonts w:ascii="Times New Roman" w:hAnsi="Times New Roman"/>
          <w:sz w:val="20"/>
        </w:rPr>
      </w:pPr>
    </w:p>
    <w:p w14:paraId="13A847F9" w14:textId="77777777" w:rsidR="00BC077F" w:rsidRDefault="00BC077F" w:rsidP="00F40D2C">
      <w:pPr>
        <w:ind w:left="567" w:right="-1"/>
        <w:jc w:val="both"/>
        <w:rPr>
          <w:rFonts w:ascii="Times New Roman" w:hAnsi="Times New Roman"/>
          <w:sz w:val="20"/>
        </w:rPr>
      </w:pPr>
    </w:p>
    <w:p w14:paraId="413D30B1" w14:textId="77777777" w:rsidR="0021727D" w:rsidRDefault="0021727D" w:rsidP="00B95258">
      <w:pPr>
        <w:ind w:left="567" w:right="-1"/>
        <w:jc w:val="both"/>
        <w:rPr>
          <w:rFonts w:ascii="Times New Roman" w:hAnsi="Times New Roman"/>
          <w:sz w:val="20"/>
        </w:rPr>
      </w:pPr>
    </w:p>
    <w:p w14:paraId="63451A06" w14:textId="35EB8D2F" w:rsidR="00130A71" w:rsidRPr="00BC077F" w:rsidRDefault="00130A71" w:rsidP="00130A71">
      <w:pPr>
        <w:ind w:left="567"/>
        <w:jc w:val="both"/>
        <w:rPr>
          <w:rFonts w:ascii="Times New Roman" w:hAnsi="Times New Roman"/>
          <w:b/>
          <w:sz w:val="20"/>
          <w:u w:val="single"/>
        </w:rPr>
      </w:pPr>
      <w:r w:rsidRPr="00BC077F">
        <w:rPr>
          <w:rFonts w:ascii="Times New Roman" w:hAnsi="Times New Roman"/>
          <w:b/>
          <w:sz w:val="20"/>
          <w:u w:val="single"/>
        </w:rPr>
        <w:t>Línea de financiamiento para la inve</w:t>
      </w:r>
      <w:r w:rsidR="00F14640" w:rsidRPr="00BC077F">
        <w:rPr>
          <w:rFonts w:ascii="Times New Roman" w:hAnsi="Times New Roman"/>
          <w:b/>
          <w:sz w:val="20"/>
          <w:u w:val="single"/>
        </w:rPr>
        <w:t xml:space="preserve">rsión productiva – Cupos 2020, </w:t>
      </w:r>
      <w:r w:rsidRPr="00BC077F">
        <w:rPr>
          <w:rFonts w:ascii="Times New Roman" w:hAnsi="Times New Roman"/>
          <w:b/>
          <w:sz w:val="20"/>
          <w:u w:val="single"/>
        </w:rPr>
        <w:t>2021</w:t>
      </w:r>
      <w:r w:rsidR="00F14640" w:rsidRPr="00BC077F">
        <w:rPr>
          <w:rFonts w:ascii="Times New Roman" w:hAnsi="Times New Roman"/>
          <w:b/>
          <w:sz w:val="20"/>
          <w:u w:val="single"/>
        </w:rPr>
        <w:t xml:space="preserve"> y 202</w:t>
      </w:r>
      <w:r w:rsidR="005E6B0B" w:rsidRPr="00BC077F">
        <w:rPr>
          <w:rFonts w:ascii="Times New Roman" w:hAnsi="Times New Roman"/>
          <w:b/>
          <w:sz w:val="20"/>
          <w:u w:val="single"/>
        </w:rPr>
        <w:t>1/202</w:t>
      </w:r>
      <w:r w:rsidR="00F14640" w:rsidRPr="00BC077F">
        <w:rPr>
          <w:rFonts w:ascii="Times New Roman" w:hAnsi="Times New Roman"/>
          <w:b/>
          <w:sz w:val="20"/>
          <w:u w:val="single"/>
        </w:rPr>
        <w:t>2</w:t>
      </w:r>
    </w:p>
    <w:p w14:paraId="02025C16" w14:textId="77777777" w:rsidR="00130A71" w:rsidRPr="00BC077F" w:rsidRDefault="00130A71" w:rsidP="00130A71">
      <w:pPr>
        <w:ind w:left="567"/>
        <w:jc w:val="both"/>
        <w:rPr>
          <w:rFonts w:ascii="Times New Roman" w:hAnsi="Times New Roman"/>
          <w:sz w:val="20"/>
          <w:u w:val="single"/>
        </w:rPr>
      </w:pPr>
    </w:p>
    <w:p w14:paraId="6D0435C3" w14:textId="5DAF75E7" w:rsidR="00130A71" w:rsidRPr="00D845CE" w:rsidRDefault="00130A71" w:rsidP="00130A71">
      <w:pPr>
        <w:ind w:left="567"/>
        <w:jc w:val="both"/>
        <w:rPr>
          <w:rFonts w:ascii="Times New Roman" w:hAnsi="Times New Roman"/>
          <w:sz w:val="20"/>
        </w:rPr>
      </w:pPr>
      <w:r w:rsidRPr="00BC077F">
        <w:rPr>
          <w:rFonts w:ascii="Times New Roman" w:hAnsi="Times New Roman"/>
          <w:sz w:val="20"/>
        </w:rPr>
        <w:t>De acuerdo con</w:t>
      </w:r>
      <w:r w:rsidR="00107CE5" w:rsidRPr="00BC077F">
        <w:rPr>
          <w:rFonts w:ascii="Times New Roman" w:hAnsi="Times New Roman"/>
          <w:sz w:val="20"/>
        </w:rPr>
        <w:t xml:space="preserve"> lo indicado en Nota 1.3</w:t>
      </w:r>
      <w:r w:rsidRPr="00BC077F">
        <w:rPr>
          <w:rFonts w:ascii="Times New Roman" w:hAnsi="Times New Roman"/>
          <w:sz w:val="20"/>
        </w:rPr>
        <w:t>, el B.C.R.A. estableció una línea de financiamiento para la inversión productiva de micro, pequeñas y medianas empresas (MiPyMEs) destinada a proyectos de inversión para la adquisición de bienes de capital y/o a la construcción de instalaciones necesarias para la producción de bienes y/o servicios y la comercialización de bienes y/o servicios, a la financiación de capital de trabajo, al descuento de cheques de pago diferido y de otros documentos y a otras financiaciones elegibles especiales admitidas por</w:t>
      </w:r>
      <w:r w:rsidRPr="00D845CE">
        <w:rPr>
          <w:rFonts w:ascii="Times New Roman" w:hAnsi="Times New Roman"/>
          <w:sz w:val="20"/>
        </w:rPr>
        <w:t xml:space="preserve"> la normativa aplicable.</w:t>
      </w:r>
    </w:p>
    <w:p w14:paraId="11DA38B1" w14:textId="77777777" w:rsidR="00130A71" w:rsidRPr="00D845CE" w:rsidRDefault="00130A71" w:rsidP="00130A71">
      <w:pPr>
        <w:ind w:left="567"/>
        <w:jc w:val="both"/>
        <w:rPr>
          <w:rFonts w:ascii="Times New Roman" w:hAnsi="Times New Roman"/>
          <w:sz w:val="20"/>
        </w:rPr>
      </w:pPr>
    </w:p>
    <w:p w14:paraId="7B893254" w14:textId="491140B0" w:rsidR="00130A71" w:rsidRDefault="00107CE5" w:rsidP="00130A71">
      <w:pPr>
        <w:ind w:left="567"/>
        <w:jc w:val="both"/>
        <w:rPr>
          <w:rFonts w:ascii="Times New Roman" w:hAnsi="Times New Roman"/>
          <w:sz w:val="20"/>
        </w:rPr>
      </w:pPr>
      <w:r w:rsidRPr="00D845CE">
        <w:rPr>
          <w:rFonts w:ascii="Times New Roman" w:hAnsi="Times New Roman"/>
          <w:sz w:val="20"/>
        </w:rPr>
        <w:t>Las financiaciones deben ser otorgadas</w:t>
      </w:r>
      <w:r w:rsidR="009C17C0">
        <w:rPr>
          <w:rFonts w:ascii="Times New Roman" w:hAnsi="Times New Roman"/>
          <w:sz w:val="20"/>
        </w:rPr>
        <w:t xml:space="preserve"> en el marco de los Cupos 2020,</w:t>
      </w:r>
      <w:r w:rsidRPr="00D845CE">
        <w:rPr>
          <w:rFonts w:ascii="Times New Roman" w:hAnsi="Times New Roman"/>
          <w:sz w:val="20"/>
        </w:rPr>
        <w:t xml:space="preserve"> 2021</w:t>
      </w:r>
      <w:r w:rsidR="009C17C0">
        <w:rPr>
          <w:rFonts w:ascii="Times New Roman" w:hAnsi="Times New Roman"/>
          <w:sz w:val="20"/>
        </w:rPr>
        <w:t xml:space="preserve"> y </w:t>
      </w:r>
      <w:r w:rsidR="005E6B0B">
        <w:rPr>
          <w:rFonts w:ascii="Times New Roman" w:hAnsi="Times New Roman"/>
          <w:sz w:val="20"/>
        </w:rPr>
        <w:t>2021/</w:t>
      </w:r>
      <w:r w:rsidR="009C17C0">
        <w:rPr>
          <w:rFonts w:ascii="Times New Roman" w:hAnsi="Times New Roman"/>
          <w:sz w:val="20"/>
        </w:rPr>
        <w:t>2022</w:t>
      </w:r>
      <w:r w:rsidRPr="00D845CE">
        <w:rPr>
          <w:rFonts w:ascii="Times New Roman" w:hAnsi="Times New Roman"/>
          <w:sz w:val="20"/>
        </w:rPr>
        <w:t xml:space="preserve"> cuyas condiciones se detallan a continuación:</w:t>
      </w:r>
    </w:p>
    <w:p w14:paraId="0C4484EA" w14:textId="77777777" w:rsidR="00BC077F" w:rsidRPr="00D845CE" w:rsidRDefault="00BC077F" w:rsidP="00130A71">
      <w:pPr>
        <w:ind w:left="567"/>
        <w:jc w:val="both"/>
        <w:rPr>
          <w:rFonts w:ascii="Times New Roman" w:hAnsi="Times New Roman"/>
          <w:sz w:val="20"/>
        </w:rPr>
      </w:pPr>
    </w:p>
    <w:p w14:paraId="5602A96B" w14:textId="77777777" w:rsidR="00130A71" w:rsidRPr="00D845CE" w:rsidRDefault="00130A71" w:rsidP="00130A71">
      <w:pPr>
        <w:ind w:left="567"/>
        <w:jc w:val="both"/>
        <w:rPr>
          <w:rFonts w:ascii="Times New Roman" w:hAnsi="Times New Roman"/>
          <w:sz w:val="20"/>
        </w:rPr>
      </w:pPr>
    </w:p>
    <w:tbl>
      <w:tblPr>
        <w:tblStyle w:val="Tablaconcuadrcula"/>
        <w:tblW w:w="10632" w:type="dxa"/>
        <w:tblInd w:w="-34" w:type="dxa"/>
        <w:tblLook w:val="04A0" w:firstRow="1" w:lastRow="0" w:firstColumn="1" w:lastColumn="0" w:noHBand="0" w:noVBand="1"/>
      </w:tblPr>
      <w:tblGrid>
        <w:gridCol w:w="1702"/>
        <w:gridCol w:w="2976"/>
        <w:gridCol w:w="2977"/>
        <w:gridCol w:w="2977"/>
      </w:tblGrid>
      <w:tr w:rsidR="00312345" w:rsidRPr="00D845CE" w14:paraId="1913563E" w14:textId="3A17D341" w:rsidTr="00F61128">
        <w:tc>
          <w:tcPr>
            <w:tcW w:w="1702" w:type="dxa"/>
          </w:tcPr>
          <w:p w14:paraId="595CC7D6" w14:textId="264DFD9E" w:rsidR="00312345" w:rsidRPr="00D845CE" w:rsidRDefault="00312345" w:rsidP="00312345">
            <w:pPr>
              <w:ind w:left="567"/>
              <w:jc w:val="center"/>
              <w:rPr>
                <w:rFonts w:ascii="Times New Roman" w:hAnsi="Times New Roman"/>
                <w:sz w:val="20"/>
              </w:rPr>
            </w:pPr>
          </w:p>
        </w:tc>
        <w:tc>
          <w:tcPr>
            <w:tcW w:w="2976" w:type="dxa"/>
          </w:tcPr>
          <w:p w14:paraId="576B3861" w14:textId="77777777" w:rsidR="00312345" w:rsidRPr="00D845CE" w:rsidRDefault="00312345" w:rsidP="00312345">
            <w:pPr>
              <w:ind w:left="-108"/>
              <w:jc w:val="center"/>
              <w:rPr>
                <w:rFonts w:ascii="Times New Roman" w:hAnsi="Times New Roman"/>
                <w:b/>
                <w:bCs/>
                <w:sz w:val="20"/>
              </w:rPr>
            </w:pPr>
            <w:r w:rsidRPr="00D845CE">
              <w:rPr>
                <w:rFonts w:ascii="Times New Roman" w:hAnsi="Times New Roman"/>
                <w:b/>
                <w:bCs/>
                <w:sz w:val="20"/>
              </w:rPr>
              <w:t>Cupo 2020</w:t>
            </w:r>
          </w:p>
        </w:tc>
        <w:tc>
          <w:tcPr>
            <w:tcW w:w="2977" w:type="dxa"/>
          </w:tcPr>
          <w:p w14:paraId="475EC0B2" w14:textId="77777777" w:rsidR="00312345" w:rsidRPr="00D845CE" w:rsidRDefault="00312345" w:rsidP="00312345">
            <w:pPr>
              <w:jc w:val="center"/>
              <w:rPr>
                <w:rFonts w:ascii="Times New Roman" w:hAnsi="Times New Roman"/>
                <w:b/>
                <w:bCs/>
                <w:sz w:val="20"/>
              </w:rPr>
            </w:pPr>
            <w:r w:rsidRPr="00D845CE">
              <w:rPr>
                <w:rFonts w:ascii="Times New Roman" w:hAnsi="Times New Roman"/>
                <w:b/>
                <w:bCs/>
                <w:sz w:val="20"/>
              </w:rPr>
              <w:t>Cupo 2021</w:t>
            </w:r>
          </w:p>
        </w:tc>
        <w:tc>
          <w:tcPr>
            <w:tcW w:w="2977" w:type="dxa"/>
          </w:tcPr>
          <w:p w14:paraId="3F1041F9" w14:textId="51938285" w:rsidR="00312345" w:rsidRPr="00D845CE" w:rsidRDefault="00312345" w:rsidP="00F61128">
            <w:pPr>
              <w:jc w:val="center"/>
              <w:rPr>
                <w:rFonts w:ascii="Times New Roman" w:hAnsi="Times New Roman"/>
                <w:b/>
                <w:bCs/>
                <w:sz w:val="20"/>
              </w:rPr>
            </w:pPr>
            <w:r w:rsidRPr="00D845CE">
              <w:rPr>
                <w:rFonts w:ascii="Times New Roman" w:hAnsi="Times New Roman"/>
                <w:b/>
                <w:bCs/>
                <w:sz w:val="20"/>
              </w:rPr>
              <w:t>Cupo 202</w:t>
            </w:r>
            <w:r w:rsidR="005E6B0B">
              <w:rPr>
                <w:rFonts w:ascii="Times New Roman" w:hAnsi="Times New Roman"/>
                <w:b/>
                <w:bCs/>
                <w:sz w:val="20"/>
              </w:rPr>
              <w:t>1/202</w:t>
            </w:r>
            <w:r w:rsidR="00F61128">
              <w:rPr>
                <w:rFonts w:ascii="Times New Roman" w:hAnsi="Times New Roman"/>
                <w:b/>
                <w:bCs/>
                <w:sz w:val="20"/>
              </w:rPr>
              <w:t>2</w:t>
            </w:r>
          </w:p>
        </w:tc>
      </w:tr>
      <w:tr w:rsidR="00312345" w:rsidRPr="00D845CE" w14:paraId="72FF7080" w14:textId="6DBFD3BB" w:rsidTr="00F61128">
        <w:tc>
          <w:tcPr>
            <w:tcW w:w="1702" w:type="dxa"/>
            <w:vAlign w:val="center"/>
          </w:tcPr>
          <w:p w14:paraId="15E03961" w14:textId="77777777" w:rsidR="00312345" w:rsidRPr="00D845CE" w:rsidRDefault="00312345" w:rsidP="00312345">
            <w:pPr>
              <w:jc w:val="center"/>
              <w:rPr>
                <w:rFonts w:ascii="Times New Roman" w:hAnsi="Times New Roman"/>
                <w:sz w:val="20"/>
              </w:rPr>
            </w:pPr>
            <w:r w:rsidRPr="00D845CE">
              <w:rPr>
                <w:rFonts w:ascii="Times New Roman" w:hAnsi="Times New Roman"/>
                <w:sz w:val="20"/>
              </w:rPr>
              <w:t>Monto a destinar</w:t>
            </w:r>
          </w:p>
        </w:tc>
        <w:tc>
          <w:tcPr>
            <w:tcW w:w="2976" w:type="dxa"/>
          </w:tcPr>
          <w:p w14:paraId="56060232" w14:textId="77777777" w:rsidR="00312345" w:rsidRPr="00D845CE" w:rsidRDefault="00312345" w:rsidP="00312345">
            <w:pPr>
              <w:jc w:val="center"/>
              <w:rPr>
                <w:rFonts w:ascii="Times New Roman" w:hAnsi="Times New Roman"/>
                <w:sz w:val="20"/>
              </w:rPr>
            </w:pPr>
            <w:r w:rsidRPr="00D845CE">
              <w:rPr>
                <w:rFonts w:ascii="Times New Roman" w:hAnsi="Times New Roman"/>
                <w:sz w:val="20"/>
              </w:rPr>
              <w:t>Como mínimo el equivalente al 7,5% del promedio mensual de los saldos diarios de sus depósitos al sector privado no financiero en pesos de septiembre de 2020</w:t>
            </w:r>
          </w:p>
        </w:tc>
        <w:tc>
          <w:tcPr>
            <w:tcW w:w="2977" w:type="dxa"/>
          </w:tcPr>
          <w:p w14:paraId="20EB6E7E" w14:textId="77777777" w:rsidR="00312345" w:rsidRDefault="00312345" w:rsidP="00312345">
            <w:pPr>
              <w:jc w:val="center"/>
              <w:rPr>
                <w:rFonts w:ascii="Times New Roman" w:hAnsi="Times New Roman"/>
                <w:sz w:val="20"/>
              </w:rPr>
            </w:pPr>
            <w:r w:rsidRPr="00F61128">
              <w:rPr>
                <w:rFonts w:ascii="Times New Roman" w:hAnsi="Times New Roman"/>
                <w:sz w:val="20"/>
              </w:rPr>
              <w:t>Como mínimo el equivalente al 7,5% del promedio mensual de los saldos diarios de sus depósitos al sector privado no financiero en pesos de marzo de 2021</w:t>
            </w:r>
          </w:p>
          <w:p w14:paraId="3F8F2EB3" w14:textId="77777777" w:rsidR="00F61128" w:rsidRPr="00F61128" w:rsidRDefault="00F61128" w:rsidP="00312345">
            <w:pPr>
              <w:jc w:val="center"/>
              <w:rPr>
                <w:rFonts w:ascii="Times New Roman" w:hAnsi="Times New Roman"/>
                <w:sz w:val="20"/>
              </w:rPr>
            </w:pPr>
          </w:p>
        </w:tc>
        <w:tc>
          <w:tcPr>
            <w:tcW w:w="2977" w:type="dxa"/>
          </w:tcPr>
          <w:p w14:paraId="732AAACF" w14:textId="22BDC69A" w:rsidR="00312345" w:rsidRPr="00F61128" w:rsidRDefault="00312345" w:rsidP="00F61128">
            <w:pPr>
              <w:jc w:val="center"/>
              <w:rPr>
                <w:rFonts w:ascii="Times New Roman" w:hAnsi="Times New Roman"/>
                <w:sz w:val="20"/>
              </w:rPr>
            </w:pPr>
            <w:r w:rsidRPr="00F61128">
              <w:rPr>
                <w:rFonts w:ascii="Times New Roman" w:hAnsi="Times New Roman"/>
                <w:sz w:val="20"/>
              </w:rPr>
              <w:t>Como mínimo el equivalente al 7,5% del promedio mensual de los saldos diarios de sus depósitos al sector privado no financiero en pesos de</w:t>
            </w:r>
            <w:r w:rsidR="00F61128">
              <w:rPr>
                <w:rFonts w:ascii="Times New Roman" w:hAnsi="Times New Roman"/>
                <w:sz w:val="20"/>
              </w:rPr>
              <w:t xml:space="preserve"> septiembre</w:t>
            </w:r>
            <w:r w:rsidRPr="00F61128">
              <w:rPr>
                <w:rFonts w:ascii="Times New Roman" w:hAnsi="Times New Roman"/>
                <w:sz w:val="20"/>
              </w:rPr>
              <w:t xml:space="preserve"> de 2021</w:t>
            </w:r>
          </w:p>
        </w:tc>
      </w:tr>
      <w:tr w:rsidR="00312345" w:rsidRPr="00D845CE" w14:paraId="2D2EAC0A" w14:textId="46E7CD65" w:rsidTr="00F61128">
        <w:tc>
          <w:tcPr>
            <w:tcW w:w="1702" w:type="dxa"/>
            <w:vAlign w:val="center"/>
          </w:tcPr>
          <w:p w14:paraId="4C8BD8C8" w14:textId="77777777" w:rsidR="00312345" w:rsidRPr="00D845CE" w:rsidRDefault="00312345" w:rsidP="00312345">
            <w:pPr>
              <w:jc w:val="center"/>
              <w:rPr>
                <w:rFonts w:ascii="Times New Roman" w:hAnsi="Times New Roman"/>
                <w:sz w:val="20"/>
              </w:rPr>
            </w:pPr>
            <w:r w:rsidRPr="00D845CE">
              <w:rPr>
                <w:rFonts w:ascii="Times New Roman" w:hAnsi="Times New Roman"/>
                <w:sz w:val="20"/>
              </w:rPr>
              <w:t>Cómputo de aplicaciones</w:t>
            </w:r>
          </w:p>
        </w:tc>
        <w:tc>
          <w:tcPr>
            <w:tcW w:w="2976" w:type="dxa"/>
          </w:tcPr>
          <w:p w14:paraId="2C085B48" w14:textId="77777777" w:rsidR="00312345" w:rsidRPr="00D845CE" w:rsidRDefault="00312345" w:rsidP="00312345">
            <w:pPr>
              <w:pStyle w:val="Prrafodelista"/>
              <w:ind w:left="0"/>
              <w:jc w:val="center"/>
              <w:rPr>
                <w:sz w:val="20"/>
                <w:szCs w:val="20"/>
              </w:rPr>
            </w:pPr>
            <w:r w:rsidRPr="00D845CE">
              <w:rPr>
                <w:sz w:val="20"/>
                <w:szCs w:val="20"/>
              </w:rPr>
              <w:t xml:space="preserve">Entre el </w:t>
            </w:r>
          </w:p>
          <w:p w14:paraId="57A29ED7" w14:textId="77777777" w:rsidR="00312345" w:rsidRPr="00D845CE" w:rsidRDefault="00312345" w:rsidP="00312345">
            <w:pPr>
              <w:pStyle w:val="Prrafodelista"/>
              <w:ind w:left="0"/>
              <w:jc w:val="center"/>
              <w:rPr>
                <w:sz w:val="20"/>
                <w:szCs w:val="20"/>
              </w:rPr>
            </w:pPr>
            <w:r w:rsidRPr="00D845CE">
              <w:rPr>
                <w:sz w:val="20"/>
                <w:szCs w:val="20"/>
              </w:rPr>
              <w:t>16.10.2020 y el 31.03.2021</w:t>
            </w:r>
          </w:p>
        </w:tc>
        <w:tc>
          <w:tcPr>
            <w:tcW w:w="2977" w:type="dxa"/>
          </w:tcPr>
          <w:p w14:paraId="14B4751A" w14:textId="77777777" w:rsidR="00312345" w:rsidRPr="00F61128" w:rsidRDefault="00312345" w:rsidP="00312345">
            <w:pPr>
              <w:jc w:val="center"/>
              <w:rPr>
                <w:rFonts w:ascii="Times New Roman" w:hAnsi="Times New Roman"/>
                <w:sz w:val="20"/>
              </w:rPr>
            </w:pPr>
            <w:r w:rsidRPr="00F61128">
              <w:rPr>
                <w:rFonts w:ascii="Times New Roman" w:hAnsi="Times New Roman"/>
                <w:sz w:val="20"/>
              </w:rPr>
              <w:t xml:space="preserve">Entre el </w:t>
            </w:r>
          </w:p>
          <w:p w14:paraId="69FD1580" w14:textId="77777777" w:rsidR="00312345" w:rsidRPr="00F61128" w:rsidRDefault="00312345" w:rsidP="00312345">
            <w:pPr>
              <w:jc w:val="center"/>
              <w:rPr>
                <w:rFonts w:ascii="Times New Roman" w:hAnsi="Times New Roman"/>
                <w:sz w:val="20"/>
              </w:rPr>
            </w:pPr>
            <w:r w:rsidRPr="00F61128">
              <w:rPr>
                <w:rFonts w:ascii="Times New Roman" w:hAnsi="Times New Roman"/>
                <w:sz w:val="20"/>
              </w:rPr>
              <w:t>1.04.2021 y el 30.09.2021</w:t>
            </w:r>
          </w:p>
        </w:tc>
        <w:tc>
          <w:tcPr>
            <w:tcW w:w="2977" w:type="dxa"/>
          </w:tcPr>
          <w:p w14:paraId="67158D11" w14:textId="77777777" w:rsidR="00312345" w:rsidRPr="00F61128" w:rsidRDefault="00312345" w:rsidP="00312345">
            <w:pPr>
              <w:jc w:val="center"/>
              <w:rPr>
                <w:rFonts w:ascii="Times New Roman" w:hAnsi="Times New Roman"/>
                <w:sz w:val="20"/>
              </w:rPr>
            </w:pPr>
            <w:r w:rsidRPr="00F61128">
              <w:rPr>
                <w:rFonts w:ascii="Times New Roman" w:hAnsi="Times New Roman"/>
                <w:sz w:val="20"/>
              </w:rPr>
              <w:t xml:space="preserve">Entre el </w:t>
            </w:r>
          </w:p>
          <w:p w14:paraId="45BF81D2" w14:textId="5F725862" w:rsidR="00312345" w:rsidRPr="00F61128" w:rsidRDefault="00F61128" w:rsidP="00F61128">
            <w:pPr>
              <w:jc w:val="center"/>
              <w:rPr>
                <w:rFonts w:ascii="Times New Roman" w:hAnsi="Times New Roman"/>
                <w:sz w:val="20"/>
              </w:rPr>
            </w:pPr>
            <w:r>
              <w:rPr>
                <w:rFonts w:ascii="Times New Roman" w:hAnsi="Times New Roman"/>
                <w:sz w:val="20"/>
              </w:rPr>
              <w:t>1.10</w:t>
            </w:r>
            <w:r w:rsidR="00312345" w:rsidRPr="00F61128">
              <w:rPr>
                <w:rFonts w:ascii="Times New Roman" w:hAnsi="Times New Roman"/>
                <w:sz w:val="20"/>
              </w:rPr>
              <w:t>.2021 y el 3</w:t>
            </w:r>
            <w:r>
              <w:rPr>
                <w:rFonts w:ascii="Times New Roman" w:hAnsi="Times New Roman"/>
                <w:sz w:val="20"/>
              </w:rPr>
              <w:t>1.03</w:t>
            </w:r>
            <w:r w:rsidR="00312345" w:rsidRPr="00F61128">
              <w:rPr>
                <w:rFonts w:ascii="Times New Roman" w:hAnsi="Times New Roman"/>
                <w:sz w:val="20"/>
              </w:rPr>
              <w:t>.202</w:t>
            </w:r>
            <w:r>
              <w:rPr>
                <w:rFonts w:ascii="Times New Roman" w:hAnsi="Times New Roman"/>
                <w:sz w:val="20"/>
              </w:rPr>
              <w:t>2</w:t>
            </w:r>
          </w:p>
        </w:tc>
      </w:tr>
      <w:tr w:rsidR="00312345" w:rsidRPr="00D845CE" w14:paraId="49D2C9AC" w14:textId="5EE41EDE" w:rsidTr="00F61128">
        <w:tc>
          <w:tcPr>
            <w:tcW w:w="1702" w:type="dxa"/>
            <w:vAlign w:val="center"/>
          </w:tcPr>
          <w:p w14:paraId="728ABB9E" w14:textId="77777777" w:rsidR="00312345" w:rsidRPr="00D845CE" w:rsidRDefault="00312345" w:rsidP="00312345">
            <w:pPr>
              <w:jc w:val="center"/>
              <w:rPr>
                <w:rFonts w:ascii="Times New Roman" w:hAnsi="Times New Roman"/>
                <w:sz w:val="20"/>
              </w:rPr>
            </w:pPr>
            <w:r w:rsidRPr="00D845CE">
              <w:rPr>
                <w:rFonts w:ascii="Times New Roman" w:hAnsi="Times New Roman"/>
                <w:sz w:val="20"/>
              </w:rPr>
              <w:t>Moneda</w:t>
            </w:r>
          </w:p>
        </w:tc>
        <w:tc>
          <w:tcPr>
            <w:tcW w:w="8930" w:type="dxa"/>
            <w:gridSpan w:val="3"/>
          </w:tcPr>
          <w:p w14:paraId="708112B9" w14:textId="7515DA75" w:rsidR="00312345" w:rsidRPr="00D845CE" w:rsidRDefault="00312345" w:rsidP="00312345">
            <w:pPr>
              <w:ind w:left="567"/>
              <w:jc w:val="center"/>
              <w:rPr>
                <w:rFonts w:ascii="Times New Roman" w:hAnsi="Times New Roman"/>
                <w:sz w:val="20"/>
              </w:rPr>
            </w:pPr>
            <w:r w:rsidRPr="00D845CE">
              <w:rPr>
                <w:rFonts w:ascii="Times New Roman" w:hAnsi="Times New Roman"/>
                <w:sz w:val="20"/>
              </w:rPr>
              <w:t>Pesos</w:t>
            </w:r>
          </w:p>
        </w:tc>
      </w:tr>
      <w:tr w:rsidR="00312345" w:rsidRPr="00D845CE" w14:paraId="1F629782" w14:textId="22B82883" w:rsidTr="00F61128">
        <w:tc>
          <w:tcPr>
            <w:tcW w:w="1702" w:type="dxa"/>
            <w:vAlign w:val="center"/>
          </w:tcPr>
          <w:p w14:paraId="368FB8E1" w14:textId="77777777" w:rsidR="00312345" w:rsidRPr="00D845CE" w:rsidRDefault="00312345" w:rsidP="00312345">
            <w:pPr>
              <w:jc w:val="center"/>
              <w:rPr>
                <w:rFonts w:ascii="Times New Roman" w:hAnsi="Times New Roman"/>
                <w:sz w:val="20"/>
              </w:rPr>
            </w:pPr>
            <w:r w:rsidRPr="00D845CE">
              <w:rPr>
                <w:rFonts w:ascii="Times New Roman" w:hAnsi="Times New Roman"/>
                <w:sz w:val="20"/>
              </w:rPr>
              <w:t>Plazo mínimo</w:t>
            </w:r>
          </w:p>
        </w:tc>
        <w:tc>
          <w:tcPr>
            <w:tcW w:w="8930" w:type="dxa"/>
            <w:gridSpan w:val="3"/>
          </w:tcPr>
          <w:p w14:paraId="0DF6F33F" w14:textId="0C77C0B8" w:rsidR="00312345" w:rsidRPr="00D845CE" w:rsidRDefault="00312345" w:rsidP="00F14640">
            <w:pPr>
              <w:jc w:val="center"/>
              <w:rPr>
                <w:rFonts w:ascii="Times New Roman" w:hAnsi="Times New Roman"/>
                <w:sz w:val="20"/>
              </w:rPr>
            </w:pPr>
            <w:r w:rsidRPr="00D845CE">
              <w:rPr>
                <w:rFonts w:ascii="Times New Roman" w:hAnsi="Times New Roman"/>
                <w:sz w:val="20"/>
              </w:rPr>
              <w:t>Las financiaciones deben tener, al momento del desembolso, un plazo promedio igual o superior a 24 meses, sin que el plazo total sea inferior a 36 meses.  Las operaciones destinadas a financiación de capital de trabajo, descuento de cheques de pago diferido y de otros documentos no tendrán plazo mínimo;</w:t>
            </w:r>
          </w:p>
        </w:tc>
      </w:tr>
      <w:tr w:rsidR="00312345" w:rsidRPr="00D845CE" w14:paraId="1F6D2D6E" w14:textId="55DE8091" w:rsidTr="00F61128">
        <w:tc>
          <w:tcPr>
            <w:tcW w:w="1702" w:type="dxa"/>
            <w:vAlign w:val="center"/>
          </w:tcPr>
          <w:p w14:paraId="245B1325" w14:textId="77777777" w:rsidR="00312345" w:rsidRPr="00D845CE" w:rsidRDefault="00312345" w:rsidP="00312345">
            <w:pPr>
              <w:jc w:val="center"/>
              <w:rPr>
                <w:rFonts w:ascii="Times New Roman" w:hAnsi="Times New Roman"/>
                <w:sz w:val="20"/>
              </w:rPr>
            </w:pPr>
            <w:r w:rsidRPr="00D845CE">
              <w:rPr>
                <w:rFonts w:ascii="Times New Roman" w:hAnsi="Times New Roman"/>
                <w:sz w:val="20"/>
              </w:rPr>
              <w:t>Tasa de interés máxima</w:t>
            </w:r>
          </w:p>
        </w:tc>
        <w:tc>
          <w:tcPr>
            <w:tcW w:w="8930" w:type="dxa"/>
            <w:gridSpan w:val="3"/>
          </w:tcPr>
          <w:p w14:paraId="53F71BDB" w14:textId="76860739" w:rsidR="00312345" w:rsidRPr="00D845CE" w:rsidRDefault="00312345" w:rsidP="00F14640">
            <w:pPr>
              <w:jc w:val="center"/>
              <w:rPr>
                <w:rFonts w:ascii="Times New Roman" w:hAnsi="Times New Roman"/>
                <w:sz w:val="20"/>
              </w:rPr>
            </w:pPr>
            <w:r w:rsidRPr="00D845CE">
              <w:rPr>
                <w:rFonts w:ascii="Times New Roman" w:hAnsi="Times New Roman"/>
                <w:sz w:val="20"/>
              </w:rPr>
              <w:t>La tasa de interés será de hasta el 30% nominal anual fija para el destino de proyectos de inversión y hasta el 35% nominal anual fija para los otros destinos.</w:t>
            </w:r>
          </w:p>
        </w:tc>
      </w:tr>
    </w:tbl>
    <w:p w14:paraId="3A7485AA" w14:textId="77777777" w:rsidR="00130A71" w:rsidRDefault="00130A71" w:rsidP="00130A71">
      <w:pPr>
        <w:ind w:left="567"/>
        <w:jc w:val="both"/>
        <w:rPr>
          <w:rFonts w:ascii="Times New Roman" w:hAnsi="Times New Roman"/>
          <w:sz w:val="20"/>
        </w:rPr>
      </w:pPr>
    </w:p>
    <w:p w14:paraId="3BABC406" w14:textId="77777777" w:rsidR="00BC077F" w:rsidRPr="00D845CE" w:rsidRDefault="00BC077F" w:rsidP="00130A71">
      <w:pPr>
        <w:ind w:left="567"/>
        <w:jc w:val="both"/>
        <w:rPr>
          <w:rFonts w:ascii="Times New Roman" w:hAnsi="Times New Roman"/>
          <w:sz w:val="20"/>
        </w:rPr>
      </w:pPr>
    </w:p>
    <w:p w14:paraId="6098BC34" w14:textId="77777777" w:rsidR="00130A71" w:rsidRPr="00D845CE" w:rsidRDefault="00130A71" w:rsidP="00130A71">
      <w:pPr>
        <w:ind w:left="567"/>
        <w:jc w:val="both"/>
        <w:rPr>
          <w:rFonts w:ascii="Times New Roman" w:hAnsi="Times New Roman"/>
          <w:sz w:val="20"/>
        </w:rPr>
      </w:pPr>
    </w:p>
    <w:p w14:paraId="44C8FB7F" w14:textId="2BABD065" w:rsidR="00040902" w:rsidRPr="00952DA9" w:rsidRDefault="00040902" w:rsidP="00040902">
      <w:pPr>
        <w:ind w:left="567"/>
        <w:jc w:val="both"/>
        <w:rPr>
          <w:rFonts w:ascii="Times New Roman" w:hAnsi="Times New Roman"/>
          <w:sz w:val="20"/>
        </w:rPr>
      </w:pPr>
      <w:r w:rsidRPr="00952DA9">
        <w:rPr>
          <w:rFonts w:ascii="Times New Roman" w:hAnsi="Times New Roman"/>
          <w:sz w:val="20"/>
        </w:rPr>
        <w:t xml:space="preserve">Al 30 de septiembre de 2021, el total desembolsado por la Entidad bajo el Cupo 2021 asciende a </w:t>
      </w:r>
      <w:r w:rsidR="00241FFD" w:rsidRPr="00241FFD">
        <w:rPr>
          <w:rFonts w:ascii="Times New Roman" w:hAnsi="Times New Roman"/>
          <w:sz w:val="20"/>
        </w:rPr>
        <w:t>41.734.860</w:t>
      </w:r>
      <w:r w:rsidR="00241FFD">
        <w:rPr>
          <w:rFonts w:ascii="Segoe UI" w:hAnsi="Segoe UI" w:cs="Segoe UI"/>
          <w:color w:val="000000"/>
          <w:sz w:val="21"/>
          <w:szCs w:val="21"/>
        </w:rPr>
        <w:t xml:space="preserve"> </w:t>
      </w:r>
      <w:r w:rsidRPr="00952DA9">
        <w:rPr>
          <w:rFonts w:ascii="Times New Roman" w:hAnsi="Times New Roman"/>
          <w:sz w:val="20"/>
        </w:rPr>
        <w:t xml:space="preserve">y el promedio simple de los saldos diarios de las financiaciones vigentes entre el 1 de abril de 2021 y el 30 de septiembre de 2021 asciende </w:t>
      </w:r>
      <w:r w:rsidRPr="00241FFD">
        <w:rPr>
          <w:rFonts w:ascii="Times New Roman" w:hAnsi="Times New Roman"/>
          <w:sz w:val="20"/>
        </w:rPr>
        <w:t xml:space="preserve">a </w:t>
      </w:r>
      <w:r w:rsidR="00241FFD" w:rsidRPr="00241FFD">
        <w:rPr>
          <w:rFonts w:ascii="Times New Roman" w:hAnsi="Times New Roman"/>
          <w:sz w:val="20"/>
        </w:rPr>
        <w:t>30.093.764</w:t>
      </w:r>
      <w:r w:rsidRPr="00241FFD">
        <w:rPr>
          <w:rFonts w:ascii="Times New Roman" w:hAnsi="Times New Roman"/>
          <w:sz w:val="20"/>
        </w:rPr>
        <w:t xml:space="preserve">, </w:t>
      </w:r>
      <w:r w:rsidRPr="00952DA9">
        <w:rPr>
          <w:rFonts w:ascii="Times New Roman" w:hAnsi="Times New Roman"/>
          <w:sz w:val="20"/>
        </w:rPr>
        <w:t xml:space="preserve">habiéndose cumplido con el cupo de </w:t>
      </w:r>
      <w:r w:rsidR="00952DA9" w:rsidRPr="00952DA9">
        <w:rPr>
          <w:rFonts w:ascii="Times New Roman" w:hAnsi="Times New Roman"/>
          <w:sz w:val="20"/>
        </w:rPr>
        <w:t>24.446.302</w:t>
      </w:r>
      <w:r w:rsidRPr="00952DA9">
        <w:rPr>
          <w:rFonts w:ascii="Times New Roman" w:hAnsi="Times New Roman"/>
          <w:sz w:val="20"/>
        </w:rPr>
        <w:t xml:space="preserve"> exigido por el B.C.R.A. a la Entidad según Comunicación “B” 1216</w:t>
      </w:r>
      <w:r w:rsidR="00952DA9" w:rsidRPr="00952DA9">
        <w:rPr>
          <w:rFonts w:ascii="Times New Roman" w:hAnsi="Times New Roman"/>
          <w:sz w:val="20"/>
        </w:rPr>
        <w:t>4</w:t>
      </w:r>
      <w:r w:rsidRPr="00952DA9">
        <w:rPr>
          <w:rFonts w:ascii="Times New Roman" w:hAnsi="Times New Roman"/>
          <w:sz w:val="20"/>
        </w:rPr>
        <w:t>.</w:t>
      </w:r>
    </w:p>
    <w:p w14:paraId="0D4C8012" w14:textId="77777777" w:rsidR="00130A71" w:rsidRPr="00952DA9" w:rsidRDefault="00130A71" w:rsidP="00130A71">
      <w:pPr>
        <w:ind w:left="567"/>
        <w:jc w:val="both"/>
        <w:rPr>
          <w:rFonts w:ascii="Times New Roman" w:hAnsi="Times New Roman"/>
          <w:sz w:val="20"/>
        </w:rPr>
      </w:pPr>
    </w:p>
    <w:p w14:paraId="4F710EDB" w14:textId="23031A36" w:rsidR="00130A71" w:rsidRPr="00E51677" w:rsidRDefault="00130A71" w:rsidP="00130A71">
      <w:pPr>
        <w:ind w:left="567"/>
        <w:jc w:val="both"/>
        <w:rPr>
          <w:rFonts w:ascii="Times New Roman" w:hAnsi="Times New Roman"/>
          <w:sz w:val="20"/>
        </w:rPr>
      </w:pPr>
      <w:r w:rsidRPr="00952DA9">
        <w:rPr>
          <w:rFonts w:ascii="Times New Roman" w:hAnsi="Times New Roman"/>
          <w:sz w:val="20"/>
        </w:rPr>
        <w:t xml:space="preserve">En el marco de esta normativa el monto total a desembolsar por parte de la Entidad en relación al Cupo </w:t>
      </w:r>
      <w:r w:rsidR="005E6B0B">
        <w:rPr>
          <w:rFonts w:ascii="Times New Roman" w:hAnsi="Times New Roman"/>
          <w:sz w:val="20"/>
        </w:rPr>
        <w:t>2021/</w:t>
      </w:r>
      <w:r w:rsidRPr="00952DA9">
        <w:rPr>
          <w:rFonts w:ascii="Times New Roman" w:hAnsi="Times New Roman"/>
          <w:sz w:val="20"/>
        </w:rPr>
        <w:t>202</w:t>
      </w:r>
      <w:r w:rsidR="00952DA9" w:rsidRPr="00952DA9">
        <w:rPr>
          <w:rFonts w:ascii="Times New Roman" w:hAnsi="Times New Roman"/>
          <w:sz w:val="20"/>
        </w:rPr>
        <w:t>2</w:t>
      </w:r>
      <w:r w:rsidRPr="00952DA9">
        <w:rPr>
          <w:rFonts w:ascii="Times New Roman" w:hAnsi="Times New Roman"/>
          <w:sz w:val="20"/>
        </w:rPr>
        <w:t xml:space="preserve"> asciende a </w:t>
      </w:r>
      <w:r w:rsidR="00952DA9" w:rsidRPr="00952DA9">
        <w:rPr>
          <w:rFonts w:ascii="Times New Roman" w:hAnsi="Times New Roman"/>
          <w:sz w:val="20"/>
        </w:rPr>
        <w:t>32.447.048</w:t>
      </w:r>
      <w:r w:rsidRPr="00952DA9">
        <w:rPr>
          <w:rFonts w:ascii="Times New Roman" w:hAnsi="Times New Roman"/>
          <w:sz w:val="20"/>
        </w:rPr>
        <w:t xml:space="preserve"> según Comunicación “B” 12</w:t>
      </w:r>
      <w:r w:rsidR="00952DA9" w:rsidRPr="00952DA9">
        <w:rPr>
          <w:rFonts w:ascii="Times New Roman" w:hAnsi="Times New Roman"/>
          <w:sz w:val="20"/>
        </w:rPr>
        <w:t>238</w:t>
      </w:r>
      <w:r w:rsidRPr="00952DA9">
        <w:rPr>
          <w:rFonts w:ascii="Times New Roman" w:hAnsi="Times New Roman"/>
          <w:sz w:val="20"/>
        </w:rPr>
        <w:t>.</w:t>
      </w:r>
    </w:p>
    <w:p w14:paraId="3F53CE49" w14:textId="77777777" w:rsidR="00130A71" w:rsidRPr="00E51677" w:rsidRDefault="00130A71" w:rsidP="00130A71">
      <w:pPr>
        <w:ind w:left="567"/>
        <w:rPr>
          <w:rFonts w:ascii="Times New Roman" w:hAnsi="Times New Roman"/>
          <w:sz w:val="20"/>
        </w:rPr>
      </w:pPr>
    </w:p>
    <w:p w14:paraId="5C357126" w14:textId="77777777" w:rsidR="00130A71" w:rsidRDefault="00130A71" w:rsidP="00B95258">
      <w:pPr>
        <w:ind w:left="567" w:right="-1"/>
        <w:jc w:val="both"/>
        <w:rPr>
          <w:rFonts w:ascii="Times New Roman" w:hAnsi="Times New Roman"/>
          <w:sz w:val="20"/>
        </w:rPr>
      </w:pPr>
    </w:p>
    <w:p w14:paraId="08A8F44D" w14:textId="77777777" w:rsidR="0021727D" w:rsidRDefault="0021727D" w:rsidP="00B95258">
      <w:pPr>
        <w:ind w:left="567" w:right="-1"/>
        <w:jc w:val="both"/>
        <w:rPr>
          <w:rFonts w:ascii="Times New Roman" w:hAnsi="Times New Roman"/>
          <w:sz w:val="20"/>
        </w:rPr>
      </w:pPr>
    </w:p>
    <w:p w14:paraId="54B0DDA0" w14:textId="77777777" w:rsidR="0021727D" w:rsidRDefault="0021727D" w:rsidP="00B95258">
      <w:pPr>
        <w:ind w:left="567" w:right="-1"/>
        <w:jc w:val="both"/>
        <w:rPr>
          <w:rFonts w:ascii="Times New Roman" w:hAnsi="Times New Roman"/>
          <w:sz w:val="20"/>
        </w:rPr>
      </w:pPr>
    </w:p>
    <w:p w14:paraId="2033310C" w14:textId="77777777" w:rsidR="0021727D" w:rsidRDefault="0021727D" w:rsidP="00B95258">
      <w:pPr>
        <w:ind w:left="567" w:right="-1"/>
        <w:jc w:val="both"/>
        <w:rPr>
          <w:rFonts w:ascii="Times New Roman" w:hAnsi="Times New Roman"/>
          <w:sz w:val="20"/>
        </w:rPr>
      </w:pPr>
    </w:p>
    <w:p w14:paraId="66ED5EBE" w14:textId="77777777" w:rsidR="0021727D" w:rsidRDefault="0021727D" w:rsidP="00B95258">
      <w:pPr>
        <w:ind w:left="567" w:right="-1"/>
        <w:jc w:val="both"/>
        <w:rPr>
          <w:rFonts w:ascii="Times New Roman" w:hAnsi="Times New Roman"/>
          <w:sz w:val="20"/>
        </w:rPr>
      </w:pPr>
    </w:p>
    <w:p w14:paraId="3B588081" w14:textId="77777777" w:rsidR="0021727D" w:rsidRDefault="0021727D" w:rsidP="00B95258">
      <w:pPr>
        <w:ind w:left="567" w:right="-1"/>
        <w:jc w:val="both"/>
        <w:rPr>
          <w:rFonts w:ascii="Times New Roman" w:hAnsi="Times New Roman"/>
          <w:sz w:val="20"/>
        </w:rPr>
      </w:pPr>
    </w:p>
    <w:p w14:paraId="55E8877F" w14:textId="4E9F891D" w:rsidR="00E65361" w:rsidRPr="00110E8B" w:rsidRDefault="0070419C" w:rsidP="00C60CC8">
      <w:pPr>
        <w:pStyle w:val="Prrafodelista"/>
        <w:numPr>
          <w:ilvl w:val="0"/>
          <w:numId w:val="11"/>
        </w:numPr>
        <w:ind w:right="-427"/>
        <w:jc w:val="both"/>
        <w:rPr>
          <w:b/>
          <w:sz w:val="20"/>
          <w:szCs w:val="20"/>
          <w:lang w:val="es-AR" w:eastAsia="es-ES"/>
        </w:rPr>
      </w:pPr>
      <w:r w:rsidRPr="00110E8B">
        <w:rPr>
          <w:b/>
          <w:sz w:val="20"/>
          <w:szCs w:val="20"/>
        </w:rPr>
        <w:lastRenderedPageBreak/>
        <w:t>Otros</w:t>
      </w:r>
      <w:r w:rsidR="009C1F2A" w:rsidRPr="00110E8B">
        <w:rPr>
          <w:b/>
          <w:sz w:val="20"/>
          <w:szCs w:val="20"/>
          <w:lang w:val="es-AR" w:eastAsia="es-ES"/>
        </w:rPr>
        <w:t xml:space="preserve"> t</w:t>
      </w:r>
      <w:r w:rsidRPr="00110E8B">
        <w:rPr>
          <w:b/>
          <w:sz w:val="20"/>
          <w:szCs w:val="20"/>
          <w:lang w:val="es-AR" w:eastAsia="es-ES"/>
        </w:rPr>
        <w:t>ítulos de deuda</w:t>
      </w:r>
    </w:p>
    <w:p w14:paraId="0A1C3C7A" w14:textId="77777777" w:rsidR="00BE598F" w:rsidRPr="00110E8B" w:rsidRDefault="00BE598F" w:rsidP="00BE598F">
      <w:pPr>
        <w:ind w:left="756" w:right="-427"/>
        <w:jc w:val="both"/>
        <w:rPr>
          <w:rFonts w:ascii="Times New Roman" w:hAnsi="Times New Roman"/>
          <w:b/>
          <w:sz w:val="20"/>
        </w:rPr>
      </w:pPr>
    </w:p>
    <w:p w14:paraId="7848D462" w14:textId="77777777" w:rsidR="0078113E" w:rsidRDefault="00C67C38" w:rsidP="00C60CC8">
      <w:pPr>
        <w:pStyle w:val="Prrafodelista"/>
        <w:numPr>
          <w:ilvl w:val="1"/>
          <w:numId w:val="12"/>
        </w:numPr>
        <w:ind w:left="1276" w:right="141" w:hanging="425"/>
        <w:jc w:val="both"/>
        <w:rPr>
          <w:b/>
          <w:sz w:val="20"/>
          <w:szCs w:val="20"/>
          <w:lang w:val="es-AR" w:eastAsia="es-ES"/>
        </w:rPr>
      </w:pPr>
      <w:r w:rsidRPr="00110E8B">
        <w:rPr>
          <w:b/>
          <w:sz w:val="20"/>
          <w:szCs w:val="20"/>
          <w:lang w:val="es-AR" w:eastAsia="es-ES"/>
        </w:rPr>
        <w:t xml:space="preserve"> </w:t>
      </w:r>
      <w:r w:rsidR="0078113E" w:rsidRPr="009A5C83">
        <w:rPr>
          <w:b/>
          <w:sz w:val="20"/>
          <w:szCs w:val="20"/>
          <w:lang w:val="es-AR" w:eastAsia="es-ES"/>
        </w:rPr>
        <w:t xml:space="preserve">Activos financieros medidos a </w:t>
      </w:r>
      <w:r w:rsidR="00802F4F" w:rsidRPr="009A5C83">
        <w:rPr>
          <w:b/>
          <w:sz w:val="20"/>
          <w:szCs w:val="20"/>
          <w:lang w:val="es-AR" w:eastAsia="es-ES"/>
        </w:rPr>
        <w:t>costo amortizado</w:t>
      </w:r>
    </w:p>
    <w:p w14:paraId="6A5C4FAE" w14:textId="1E8EB80D" w:rsidR="00BE7058" w:rsidRPr="008161FA" w:rsidRDefault="00BE7058" w:rsidP="00496D08">
      <w:pPr>
        <w:pStyle w:val="Prrafodelista"/>
        <w:ind w:left="851" w:right="141"/>
        <w:jc w:val="both"/>
        <w:rPr>
          <w:b/>
          <w:sz w:val="20"/>
          <w:szCs w:val="20"/>
          <w:lang w:val="es-AR" w:eastAsia="es-ES"/>
        </w:rPr>
      </w:pPr>
    </w:p>
    <w:p w14:paraId="3E1270D6" w14:textId="2364DCCC" w:rsidR="005A2D0C" w:rsidRDefault="00182E07" w:rsidP="00B95258">
      <w:pPr>
        <w:ind w:left="756" w:right="-1"/>
        <w:jc w:val="both"/>
        <w:rPr>
          <w:rFonts w:ascii="Times New Roman" w:hAnsi="Times New Roman"/>
          <w:sz w:val="20"/>
        </w:rPr>
      </w:pPr>
      <w:r w:rsidRPr="001F4522">
        <w:rPr>
          <w:noProof/>
          <w:lang w:eastAsia="es-AR"/>
        </w:rPr>
        <w:drawing>
          <wp:inline distT="0" distB="0" distL="0" distR="0" wp14:anchorId="0385B094" wp14:editId="274850EA">
            <wp:extent cx="6031230" cy="114861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1230" cy="1148611"/>
                    </a:xfrm>
                    <a:prstGeom prst="rect">
                      <a:avLst/>
                    </a:prstGeom>
                    <a:noFill/>
                    <a:ln>
                      <a:noFill/>
                    </a:ln>
                  </pic:spPr>
                </pic:pic>
              </a:graphicData>
            </a:graphic>
          </wp:inline>
        </w:drawing>
      </w:r>
    </w:p>
    <w:p w14:paraId="00965AC7" w14:textId="77777777" w:rsidR="003C4F9E" w:rsidRDefault="003C4F9E" w:rsidP="00B95258">
      <w:pPr>
        <w:ind w:left="756" w:right="-1"/>
        <w:jc w:val="both"/>
        <w:rPr>
          <w:rFonts w:ascii="Times New Roman" w:hAnsi="Times New Roman"/>
          <w:sz w:val="20"/>
        </w:rPr>
      </w:pPr>
    </w:p>
    <w:p w14:paraId="51BCAA2B" w14:textId="7F0D12E2" w:rsidR="0078113E" w:rsidRDefault="002D28AD" w:rsidP="00C60CC8">
      <w:pPr>
        <w:pStyle w:val="Prrafodelista"/>
        <w:numPr>
          <w:ilvl w:val="1"/>
          <w:numId w:val="12"/>
        </w:numPr>
        <w:ind w:left="1276" w:right="141" w:hanging="425"/>
        <w:jc w:val="both"/>
        <w:rPr>
          <w:b/>
          <w:sz w:val="20"/>
          <w:szCs w:val="20"/>
          <w:lang w:val="es-AR" w:eastAsia="es-ES"/>
        </w:rPr>
      </w:pPr>
      <w:r w:rsidRPr="008161FA">
        <w:rPr>
          <w:b/>
          <w:sz w:val="20"/>
          <w:szCs w:val="20"/>
          <w:lang w:val="es-AR" w:eastAsia="es-ES"/>
        </w:rPr>
        <w:t xml:space="preserve"> </w:t>
      </w:r>
      <w:r w:rsidR="0078113E" w:rsidRPr="008161FA">
        <w:rPr>
          <w:b/>
          <w:sz w:val="20"/>
          <w:szCs w:val="20"/>
          <w:lang w:val="es-AR" w:eastAsia="es-ES"/>
        </w:rPr>
        <w:t xml:space="preserve">Activos financieros medidos a valor razonable con cambios en </w:t>
      </w:r>
      <w:r w:rsidR="00CE653F" w:rsidRPr="008161FA">
        <w:rPr>
          <w:b/>
          <w:sz w:val="20"/>
          <w:szCs w:val="20"/>
          <w:lang w:val="es-AR" w:eastAsia="es-ES"/>
        </w:rPr>
        <w:t>otros resultados integrales</w:t>
      </w:r>
    </w:p>
    <w:p w14:paraId="7CA58FBF" w14:textId="77777777" w:rsidR="0089402B" w:rsidRDefault="0089402B" w:rsidP="0089402B">
      <w:pPr>
        <w:pStyle w:val="Prrafodelista"/>
        <w:ind w:left="1276" w:right="141"/>
        <w:jc w:val="both"/>
        <w:rPr>
          <w:b/>
          <w:sz w:val="20"/>
          <w:szCs w:val="20"/>
          <w:lang w:val="es-AR" w:eastAsia="es-ES"/>
        </w:rPr>
      </w:pPr>
    </w:p>
    <w:p w14:paraId="28F0F2D8" w14:textId="59549310" w:rsidR="00B37611" w:rsidRPr="00CD464D" w:rsidRDefault="00182E07" w:rsidP="00182E07">
      <w:pPr>
        <w:pStyle w:val="Prrafodelista"/>
        <w:ind w:left="851" w:right="141"/>
        <w:jc w:val="both"/>
        <w:rPr>
          <w:b/>
          <w:sz w:val="20"/>
          <w:szCs w:val="20"/>
          <w:lang w:val="es-AR" w:eastAsia="es-ES"/>
        </w:rPr>
      </w:pPr>
      <w:r w:rsidRPr="001F4522">
        <w:rPr>
          <w:noProof/>
          <w:lang w:val="es-AR" w:eastAsia="es-AR"/>
        </w:rPr>
        <w:drawing>
          <wp:inline distT="0" distB="0" distL="0" distR="0" wp14:anchorId="36206901" wp14:editId="1C54E98A">
            <wp:extent cx="6031230" cy="127426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1230" cy="1274261"/>
                    </a:xfrm>
                    <a:prstGeom prst="rect">
                      <a:avLst/>
                    </a:prstGeom>
                    <a:noFill/>
                    <a:ln>
                      <a:noFill/>
                    </a:ln>
                  </pic:spPr>
                </pic:pic>
              </a:graphicData>
            </a:graphic>
          </wp:inline>
        </w:drawing>
      </w:r>
    </w:p>
    <w:p w14:paraId="2F0AB147" w14:textId="38E433B6" w:rsidR="003A5CE7" w:rsidRPr="008161FA" w:rsidRDefault="003A5CE7" w:rsidP="00B37611">
      <w:pPr>
        <w:ind w:left="851" w:right="141"/>
        <w:jc w:val="both"/>
        <w:rPr>
          <w:b/>
          <w:sz w:val="20"/>
        </w:rPr>
      </w:pPr>
    </w:p>
    <w:p w14:paraId="6257EA99" w14:textId="36C05DBB" w:rsidR="00E21CF6" w:rsidRPr="005D6406" w:rsidRDefault="00E21CF6" w:rsidP="00F07536">
      <w:pPr>
        <w:pStyle w:val="Prrafodelista"/>
        <w:numPr>
          <w:ilvl w:val="0"/>
          <w:numId w:val="47"/>
        </w:numPr>
        <w:ind w:right="283"/>
        <w:jc w:val="both"/>
        <w:rPr>
          <w:b/>
          <w:sz w:val="22"/>
          <w:szCs w:val="22"/>
          <w:vertAlign w:val="superscript"/>
          <w:lang w:val="es-AR" w:eastAsia="es-ES"/>
        </w:rPr>
      </w:pPr>
      <w:r w:rsidRPr="005D6406">
        <w:rPr>
          <w:sz w:val="22"/>
          <w:szCs w:val="22"/>
          <w:vertAlign w:val="superscript"/>
          <w:lang w:val="es-AR" w:eastAsia="es-ES"/>
        </w:rPr>
        <w:t>Expuesto en este rubro de acuerdo con el plan de cuentas establecido por el B.C.R.A.</w:t>
      </w:r>
    </w:p>
    <w:p w14:paraId="1E9312FE" w14:textId="77777777" w:rsidR="00130A71" w:rsidRDefault="00130A71" w:rsidP="0074314C">
      <w:pPr>
        <w:pStyle w:val="Prrafodelista"/>
        <w:ind w:left="851" w:right="283"/>
        <w:jc w:val="both"/>
        <w:rPr>
          <w:b/>
          <w:sz w:val="20"/>
          <w:szCs w:val="20"/>
          <w:lang w:val="es-AR" w:eastAsia="es-ES"/>
        </w:rPr>
      </w:pPr>
    </w:p>
    <w:p w14:paraId="28369E93" w14:textId="77777777" w:rsidR="003C4F9E" w:rsidRDefault="003C4F9E" w:rsidP="0074314C">
      <w:pPr>
        <w:pStyle w:val="Prrafodelista"/>
        <w:ind w:left="851" w:right="283"/>
        <w:jc w:val="both"/>
        <w:rPr>
          <w:b/>
          <w:sz w:val="20"/>
          <w:szCs w:val="20"/>
          <w:lang w:val="es-AR" w:eastAsia="es-ES"/>
        </w:rPr>
      </w:pPr>
    </w:p>
    <w:p w14:paraId="67BA80D3" w14:textId="765BA195" w:rsidR="00F94233" w:rsidRPr="00B83CA3" w:rsidRDefault="00F94233" w:rsidP="00C60CC8">
      <w:pPr>
        <w:pStyle w:val="Prrafodelista"/>
        <w:numPr>
          <w:ilvl w:val="0"/>
          <w:numId w:val="11"/>
        </w:numPr>
        <w:ind w:right="-427"/>
        <w:jc w:val="both"/>
        <w:rPr>
          <w:b/>
          <w:sz w:val="20"/>
          <w:szCs w:val="20"/>
          <w:lang w:val="es-AR"/>
        </w:rPr>
      </w:pPr>
      <w:r w:rsidRPr="00B83CA3">
        <w:rPr>
          <w:b/>
          <w:sz w:val="20"/>
          <w:szCs w:val="20"/>
          <w:lang w:val="es-AR"/>
        </w:rPr>
        <w:t>Activos financieros entregados en garantía</w:t>
      </w:r>
    </w:p>
    <w:p w14:paraId="78ED03E1" w14:textId="77777777" w:rsidR="00BB46DE" w:rsidRPr="00110E8B" w:rsidRDefault="00BB46DE" w:rsidP="00D54601">
      <w:pPr>
        <w:pStyle w:val="Prrafodelista"/>
        <w:ind w:left="756" w:right="-427"/>
        <w:jc w:val="both"/>
        <w:rPr>
          <w:b/>
          <w:sz w:val="20"/>
          <w:szCs w:val="20"/>
          <w:lang w:val="es-AR"/>
        </w:rPr>
      </w:pPr>
    </w:p>
    <w:p w14:paraId="2CAA21BE" w14:textId="2A2E2A86" w:rsidR="00D1457F" w:rsidRDefault="00F40D2C" w:rsidP="00172D91">
      <w:pPr>
        <w:ind w:left="607"/>
        <w:jc w:val="both"/>
        <w:rPr>
          <w:rFonts w:ascii="Times New Roman" w:hAnsi="Times New Roman"/>
          <w:sz w:val="20"/>
        </w:rPr>
      </w:pPr>
      <w:r w:rsidRPr="00110E8B">
        <w:rPr>
          <w:rFonts w:ascii="Times New Roman" w:hAnsi="Times New Roman"/>
          <w:sz w:val="20"/>
        </w:rPr>
        <w:t xml:space="preserve">La composición de los activos financieros afectados en garantía al </w:t>
      </w:r>
      <w:r w:rsidR="00A90F24" w:rsidRPr="00110E8B">
        <w:rPr>
          <w:rFonts w:ascii="Times New Roman" w:hAnsi="Times New Roman"/>
          <w:sz w:val="20"/>
        </w:rPr>
        <w:t>3</w:t>
      </w:r>
      <w:r w:rsidR="00F850BC">
        <w:rPr>
          <w:rFonts w:ascii="Times New Roman" w:hAnsi="Times New Roman"/>
          <w:sz w:val="20"/>
        </w:rPr>
        <w:t>0</w:t>
      </w:r>
      <w:r w:rsidR="00A90F24" w:rsidRPr="00110E8B">
        <w:rPr>
          <w:rFonts w:ascii="Times New Roman" w:hAnsi="Times New Roman"/>
          <w:sz w:val="20"/>
        </w:rPr>
        <w:t xml:space="preserve"> de </w:t>
      </w:r>
      <w:r w:rsidR="0064516F">
        <w:rPr>
          <w:rFonts w:ascii="Times New Roman" w:hAnsi="Times New Roman"/>
          <w:sz w:val="20"/>
        </w:rPr>
        <w:t>septiembre</w:t>
      </w:r>
      <w:r w:rsidR="00A90F24" w:rsidRPr="00110E8B">
        <w:rPr>
          <w:rFonts w:ascii="Times New Roman" w:hAnsi="Times New Roman"/>
          <w:sz w:val="20"/>
        </w:rPr>
        <w:t xml:space="preserve"> de 202</w:t>
      </w:r>
      <w:r w:rsidR="00A90F24">
        <w:rPr>
          <w:rFonts w:ascii="Times New Roman" w:hAnsi="Times New Roman"/>
          <w:sz w:val="20"/>
        </w:rPr>
        <w:t xml:space="preserve">1 y </w:t>
      </w:r>
      <w:r w:rsidRPr="00110E8B">
        <w:rPr>
          <w:rFonts w:ascii="Times New Roman" w:hAnsi="Times New Roman"/>
          <w:sz w:val="20"/>
        </w:rPr>
        <w:t>3</w:t>
      </w:r>
      <w:r w:rsidR="00530FA4">
        <w:rPr>
          <w:rFonts w:ascii="Times New Roman" w:hAnsi="Times New Roman"/>
          <w:sz w:val="20"/>
        </w:rPr>
        <w:t>1</w:t>
      </w:r>
      <w:r w:rsidRPr="00110E8B">
        <w:rPr>
          <w:rFonts w:ascii="Times New Roman" w:hAnsi="Times New Roman"/>
          <w:sz w:val="20"/>
        </w:rPr>
        <w:t xml:space="preserve"> de </w:t>
      </w:r>
      <w:r w:rsidR="00530FA4">
        <w:rPr>
          <w:rFonts w:ascii="Times New Roman" w:hAnsi="Times New Roman"/>
          <w:sz w:val="20"/>
        </w:rPr>
        <w:t>dicie</w:t>
      </w:r>
      <w:r w:rsidR="00C31C34" w:rsidRPr="00110E8B">
        <w:rPr>
          <w:rFonts w:ascii="Times New Roman" w:hAnsi="Times New Roman"/>
          <w:sz w:val="20"/>
        </w:rPr>
        <w:t>mbre</w:t>
      </w:r>
      <w:r w:rsidR="003B299C" w:rsidRPr="00110E8B">
        <w:rPr>
          <w:rFonts w:ascii="Times New Roman" w:hAnsi="Times New Roman"/>
          <w:sz w:val="20"/>
        </w:rPr>
        <w:t xml:space="preserve"> </w:t>
      </w:r>
      <w:r w:rsidRPr="00110E8B">
        <w:rPr>
          <w:rFonts w:ascii="Times New Roman" w:hAnsi="Times New Roman"/>
          <w:sz w:val="20"/>
        </w:rPr>
        <w:t>de 20</w:t>
      </w:r>
      <w:r w:rsidR="003B299C" w:rsidRPr="00110E8B">
        <w:rPr>
          <w:rFonts w:ascii="Times New Roman" w:hAnsi="Times New Roman"/>
          <w:sz w:val="20"/>
        </w:rPr>
        <w:t>20</w:t>
      </w:r>
      <w:r w:rsidR="00903A62">
        <w:rPr>
          <w:rFonts w:ascii="Times New Roman" w:hAnsi="Times New Roman"/>
          <w:sz w:val="20"/>
        </w:rPr>
        <w:t xml:space="preserve"> </w:t>
      </w:r>
      <w:r w:rsidRPr="00110E8B">
        <w:rPr>
          <w:rFonts w:ascii="Times New Roman" w:hAnsi="Times New Roman"/>
          <w:sz w:val="20"/>
        </w:rPr>
        <w:t>se incluye a continuación</w:t>
      </w:r>
      <w:r w:rsidR="0089402B">
        <w:rPr>
          <w:rFonts w:ascii="Times New Roman" w:hAnsi="Times New Roman"/>
          <w:sz w:val="20"/>
        </w:rPr>
        <w:t>:</w:t>
      </w:r>
    </w:p>
    <w:p w14:paraId="308718F1" w14:textId="77777777" w:rsidR="00AD6D91" w:rsidRDefault="00AD6D91" w:rsidP="00172D91">
      <w:pPr>
        <w:ind w:left="607"/>
        <w:jc w:val="both"/>
        <w:rPr>
          <w:rFonts w:ascii="Times New Roman" w:hAnsi="Times New Roman"/>
          <w:sz w:val="20"/>
        </w:rPr>
      </w:pPr>
    </w:p>
    <w:p w14:paraId="67D520B4" w14:textId="4A97BD6F" w:rsidR="00B735B8" w:rsidRPr="001F4522" w:rsidRDefault="00182E07" w:rsidP="00172D91">
      <w:pPr>
        <w:ind w:left="607"/>
        <w:jc w:val="both"/>
        <w:rPr>
          <w:rFonts w:ascii="Times New Roman" w:hAnsi="Times New Roman"/>
          <w:sz w:val="20"/>
        </w:rPr>
      </w:pPr>
      <w:r w:rsidRPr="001F4522">
        <w:rPr>
          <w:noProof/>
          <w:lang w:eastAsia="es-AR"/>
        </w:rPr>
        <w:drawing>
          <wp:inline distT="0" distB="0" distL="0" distR="0" wp14:anchorId="533B1808" wp14:editId="00902662">
            <wp:extent cx="6031230" cy="104344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1230" cy="1043446"/>
                    </a:xfrm>
                    <a:prstGeom prst="rect">
                      <a:avLst/>
                    </a:prstGeom>
                    <a:noFill/>
                    <a:ln>
                      <a:noFill/>
                    </a:ln>
                  </pic:spPr>
                </pic:pic>
              </a:graphicData>
            </a:graphic>
          </wp:inline>
        </w:drawing>
      </w:r>
    </w:p>
    <w:p w14:paraId="3EA11C2A" w14:textId="7B61C073" w:rsidR="00B37611" w:rsidRPr="001F4522" w:rsidRDefault="00B37611" w:rsidP="00172D91">
      <w:pPr>
        <w:ind w:left="607"/>
        <w:jc w:val="both"/>
        <w:rPr>
          <w:rFonts w:ascii="Times New Roman" w:hAnsi="Times New Roman"/>
          <w:sz w:val="20"/>
        </w:rPr>
      </w:pPr>
    </w:p>
    <w:p w14:paraId="1C213A20" w14:textId="77777777" w:rsidR="00F067CA" w:rsidRPr="001F4522" w:rsidRDefault="00F067CA" w:rsidP="00D0542C">
      <w:pPr>
        <w:pStyle w:val="Prrafodelista"/>
        <w:numPr>
          <w:ilvl w:val="0"/>
          <w:numId w:val="5"/>
        </w:numPr>
        <w:ind w:left="993" w:right="-567" w:hanging="284"/>
        <w:jc w:val="both"/>
        <w:rPr>
          <w:sz w:val="16"/>
          <w:szCs w:val="20"/>
          <w:lang w:val="es-AR" w:eastAsia="es-ES"/>
        </w:rPr>
      </w:pPr>
      <w:r w:rsidRPr="001F4522">
        <w:rPr>
          <w:sz w:val="16"/>
          <w:szCs w:val="20"/>
          <w:lang w:val="es-AR" w:eastAsia="es-ES"/>
        </w:rPr>
        <w:t>Cuentas corrientes especiales de garantía abiertas en el B.C.R.A. por las operaciones vinculadas con las cámaras electrónicas de compensación y otras asimilables.</w:t>
      </w:r>
    </w:p>
    <w:p w14:paraId="6CF206D5" w14:textId="71CF06BE" w:rsidR="00F067CA" w:rsidRPr="001F4522" w:rsidRDefault="00F067CA" w:rsidP="00D0542C">
      <w:pPr>
        <w:pStyle w:val="Prrafodelista"/>
        <w:numPr>
          <w:ilvl w:val="0"/>
          <w:numId w:val="5"/>
        </w:numPr>
        <w:ind w:left="993" w:right="-567" w:hanging="284"/>
        <w:jc w:val="both"/>
        <w:rPr>
          <w:sz w:val="16"/>
          <w:szCs w:val="20"/>
          <w:lang w:val="es-AR" w:eastAsia="es-ES"/>
        </w:rPr>
      </w:pPr>
      <w:r w:rsidRPr="001F4522">
        <w:rPr>
          <w:sz w:val="16"/>
          <w:szCs w:val="20"/>
          <w:lang w:val="es-AR" w:eastAsia="es-ES"/>
        </w:rPr>
        <w:t xml:space="preserve">Constituidas como garantía para operar con </w:t>
      </w:r>
      <w:r w:rsidR="00987190" w:rsidRPr="001F4522">
        <w:rPr>
          <w:sz w:val="16"/>
          <w:szCs w:val="20"/>
          <w:lang w:val="es-AR" w:eastAsia="es-ES"/>
        </w:rPr>
        <w:t>Rosario Futures Exchange (</w:t>
      </w:r>
      <w:r w:rsidRPr="001F4522">
        <w:rPr>
          <w:sz w:val="16"/>
          <w:szCs w:val="20"/>
          <w:lang w:val="es-AR" w:eastAsia="es-ES"/>
        </w:rPr>
        <w:t>ROFEX</w:t>
      </w:r>
      <w:r w:rsidR="00987190" w:rsidRPr="001F4522">
        <w:rPr>
          <w:sz w:val="16"/>
          <w:szCs w:val="20"/>
          <w:lang w:val="es-AR" w:eastAsia="es-ES"/>
        </w:rPr>
        <w:t>)</w:t>
      </w:r>
      <w:r w:rsidR="005D048E" w:rsidRPr="001F4522">
        <w:rPr>
          <w:sz w:val="16"/>
          <w:szCs w:val="20"/>
          <w:lang w:val="es-AR" w:eastAsia="es-ES"/>
        </w:rPr>
        <w:t xml:space="preserve">, </w:t>
      </w:r>
      <w:r w:rsidR="00987190" w:rsidRPr="001F4522">
        <w:rPr>
          <w:sz w:val="16"/>
          <w:szCs w:val="20"/>
          <w:lang w:val="es-AR" w:eastAsia="es-ES"/>
        </w:rPr>
        <w:t>Bolsas y Mercados Argentinos SA (</w:t>
      </w:r>
      <w:r w:rsidR="005D048E" w:rsidRPr="001F4522">
        <w:rPr>
          <w:sz w:val="16"/>
          <w:szCs w:val="20"/>
          <w:lang w:val="es-AR" w:eastAsia="es-ES"/>
        </w:rPr>
        <w:t>BYMA</w:t>
      </w:r>
      <w:r w:rsidR="00987190" w:rsidRPr="001F4522">
        <w:rPr>
          <w:sz w:val="16"/>
          <w:szCs w:val="20"/>
          <w:lang w:val="es-AR" w:eastAsia="es-ES"/>
        </w:rPr>
        <w:t>)</w:t>
      </w:r>
      <w:r w:rsidRPr="001F4522">
        <w:rPr>
          <w:sz w:val="16"/>
          <w:szCs w:val="20"/>
          <w:lang w:val="es-AR" w:eastAsia="es-ES"/>
        </w:rPr>
        <w:t xml:space="preserve"> y</w:t>
      </w:r>
      <w:r w:rsidR="00987190" w:rsidRPr="001F4522">
        <w:rPr>
          <w:sz w:val="16"/>
          <w:szCs w:val="20"/>
          <w:lang w:val="es-AR" w:eastAsia="es-ES"/>
        </w:rPr>
        <w:t xml:space="preserve"> Mercado Abierto Electrónico S.A</w:t>
      </w:r>
      <w:r w:rsidRPr="001F4522">
        <w:rPr>
          <w:sz w:val="16"/>
          <w:szCs w:val="20"/>
          <w:lang w:val="es-AR" w:eastAsia="es-ES"/>
        </w:rPr>
        <w:t xml:space="preserve"> </w:t>
      </w:r>
      <w:r w:rsidR="00987190" w:rsidRPr="001F4522">
        <w:rPr>
          <w:sz w:val="16"/>
          <w:szCs w:val="20"/>
          <w:lang w:val="es-AR" w:eastAsia="es-ES"/>
        </w:rPr>
        <w:t>(</w:t>
      </w:r>
      <w:r w:rsidRPr="001F4522">
        <w:rPr>
          <w:sz w:val="16"/>
          <w:szCs w:val="20"/>
          <w:lang w:val="es-AR" w:eastAsia="es-ES"/>
        </w:rPr>
        <w:t>MAE</w:t>
      </w:r>
      <w:r w:rsidR="00987190" w:rsidRPr="001F4522">
        <w:rPr>
          <w:sz w:val="16"/>
          <w:szCs w:val="20"/>
          <w:lang w:val="es-AR" w:eastAsia="es-ES"/>
        </w:rPr>
        <w:t>)</w:t>
      </w:r>
      <w:r w:rsidRPr="001F4522">
        <w:rPr>
          <w:sz w:val="16"/>
          <w:szCs w:val="20"/>
          <w:lang w:val="es-AR" w:eastAsia="es-ES"/>
        </w:rPr>
        <w:t xml:space="preserve"> en operaciones compensadas a término y futuros de moneda extranjera. El fideicomiso está compuesto por </w:t>
      </w:r>
      <w:r w:rsidR="007A6657" w:rsidRPr="001F4522">
        <w:rPr>
          <w:sz w:val="16"/>
          <w:szCs w:val="20"/>
          <w:lang w:val="es-AR" w:eastAsia="es-ES"/>
        </w:rPr>
        <w:t>títulos públicos</w:t>
      </w:r>
      <w:r w:rsidRPr="001F4522">
        <w:rPr>
          <w:sz w:val="16"/>
          <w:szCs w:val="20"/>
          <w:lang w:val="es-AR" w:eastAsia="es-ES"/>
        </w:rPr>
        <w:t>.</w:t>
      </w:r>
    </w:p>
    <w:p w14:paraId="5372CCD9" w14:textId="77777777" w:rsidR="00F067CA" w:rsidRPr="001F4522" w:rsidRDefault="00F067CA" w:rsidP="00D0542C">
      <w:pPr>
        <w:pStyle w:val="Prrafodelista"/>
        <w:numPr>
          <w:ilvl w:val="0"/>
          <w:numId w:val="5"/>
        </w:numPr>
        <w:ind w:left="993" w:right="-567" w:hanging="284"/>
        <w:jc w:val="both"/>
        <w:rPr>
          <w:sz w:val="16"/>
          <w:szCs w:val="20"/>
          <w:lang w:val="es-AR" w:eastAsia="es-ES"/>
        </w:rPr>
      </w:pPr>
      <w:r w:rsidRPr="001F4522">
        <w:rPr>
          <w:sz w:val="16"/>
          <w:szCs w:val="20"/>
          <w:lang w:val="es-AR" w:eastAsia="es-ES"/>
        </w:rPr>
        <w:t>Depósitos afectados en garantía por actividades vinculadas con la operatoria de tarjetas de crédito en el país y en el exterior, con alquileres y con operaciones de futuros.</w:t>
      </w:r>
    </w:p>
    <w:p w14:paraId="7593EF7F" w14:textId="4CD18251" w:rsidR="006F7F18" w:rsidRPr="001F4522" w:rsidRDefault="006F7F18" w:rsidP="00D0542C">
      <w:pPr>
        <w:pStyle w:val="Prrafodelista"/>
        <w:numPr>
          <w:ilvl w:val="0"/>
          <w:numId w:val="5"/>
        </w:numPr>
        <w:ind w:left="993" w:right="-517" w:hanging="284"/>
        <w:jc w:val="both"/>
        <w:rPr>
          <w:sz w:val="16"/>
          <w:szCs w:val="20"/>
          <w:lang w:val="es-AR" w:eastAsia="es-ES"/>
        </w:rPr>
      </w:pPr>
      <w:r w:rsidRPr="001F4522">
        <w:rPr>
          <w:sz w:val="16"/>
          <w:szCs w:val="20"/>
          <w:lang w:val="es-AR" w:eastAsia="es-ES"/>
        </w:rPr>
        <w:t xml:space="preserve">El fideicomiso está conformado por </w:t>
      </w:r>
      <w:r w:rsidR="003D1BCE" w:rsidRPr="001F4522">
        <w:rPr>
          <w:sz w:val="16"/>
          <w:szCs w:val="20"/>
          <w:lang w:val="es-AR" w:eastAsia="es-ES"/>
        </w:rPr>
        <w:t xml:space="preserve">dólares en efectivo </w:t>
      </w:r>
      <w:r w:rsidRPr="001F4522">
        <w:rPr>
          <w:sz w:val="16"/>
          <w:szCs w:val="20"/>
          <w:lang w:val="es-AR" w:eastAsia="es-ES"/>
        </w:rPr>
        <w:t>en garantía por actividades vinculadas con la operatoria en el</w:t>
      </w:r>
      <w:r w:rsidR="00987190" w:rsidRPr="001F4522">
        <w:rPr>
          <w:sz w:val="16"/>
          <w:szCs w:val="20"/>
          <w:lang w:val="es-AR" w:eastAsia="es-ES"/>
        </w:rPr>
        <w:t xml:space="preserve"> </w:t>
      </w:r>
      <w:r w:rsidR="003D1BCE" w:rsidRPr="001F4522">
        <w:rPr>
          <w:sz w:val="16"/>
          <w:szCs w:val="20"/>
          <w:lang w:val="es-AR" w:eastAsia="es-ES"/>
        </w:rPr>
        <w:t>MAE y</w:t>
      </w:r>
      <w:r w:rsidR="00987190" w:rsidRPr="001F4522">
        <w:rPr>
          <w:sz w:val="16"/>
          <w:szCs w:val="20"/>
          <w:lang w:val="es-AR" w:eastAsia="es-ES"/>
        </w:rPr>
        <w:t xml:space="preserve"> </w:t>
      </w:r>
      <w:r w:rsidR="003D1BCE" w:rsidRPr="001F4522">
        <w:rPr>
          <w:sz w:val="16"/>
          <w:szCs w:val="20"/>
          <w:lang w:val="es-AR" w:eastAsia="es-ES"/>
        </w:rPr>
        <w:t>BYMA</w:t>
      </w:r>
      <w:r w:rsidRPr="001F4522">
        <w:rPr>
          <w:sz w:val="16"/>
          <w:szCs w:val="20"/>
          <w:lang w:val="es-AR" w:eastAsia="es-ES"/>
        </w:rPr>
        <w:t>.</w:t>
      </w:r>
    </w:p>
    <w:p w14:paraId="2FA9351F" w14:textId="77777777" w:rsidR="00AE4C22" w:rsidRDefault="00AE4C22" w:rsidP="00352AC6">
      <w:pPr>
        <w:pStyle w:val="Prrafodelista"/>
        <w:ind w:left="927" w:right="-1"/>
        <w:jc w:val="both"/>
        <w:rPr>
          <w:sz w:val="20"/>
          <w:szCs w:val="20"/>
          <w:lang w:val="es-AR" w:eastAsia="es-ES"/>
        </w:rPr>
      </w:pPr>
    </w:p>
    <w:p w14:paraId="61429EA3" w14:textId="77777777" w:rsidR="00182E07" w:rsidRPr="00110E8B" w:rsidRDefault="00182E07" w:rsidP="00352AC6">
      <w:pPr>
        <w:pStyle w:val="Prrafodelista"/>
        <w:ind w:left="927" w:right="-1"/>
        <w:jc w:val="both"/>
        <w:rPr>
          <w:sz w:val="20"/>
          <w:szCs w:val="20"/>
          <w:lang w:val="es-AR" w:eastAsia="es-ES"/>
        </w:rPr>
      </w:pPr>
    </w:p>
    <w:p w14:paraId="48475871" w14:textId="395EA1D7" w:rsidR="00A93279" w:rsidRPr="00810A2A" w:rsidRDefault="009C1F2A" w:rsidP="00C60CC8">
      <w:pPr>
        <w:pStyle w:val="Prrafodelista"/>
        <w:numPr>
          <w:ilvl w:val="0"/>
          <w:numId w:val="11"/>
        </w:numPr>
        <w:tabs>
          <w:tab w:val="num" w:pos="567"/>
        </w:tabs>
        <w:ind w:right="-427"/>
        <w:jc w:val="both"/>
        <w:rPr>
          <w:b/>
          <w:sz w:val="20"/>
          <w:szCs w:val="20"/>
        </w:rPr>
      </w:pPr>
      <w:r w:rsidRPr="00810A2A">
        <w:rPr>
          <w:b/>
          <w:sz w:val="20"/>
          <w:szCs w:val="20"/>
        </w:rPr>
        <w:t>Impuesto a las g</w:t>
      </w:r>
      <w:r w:rsidR="00A93279" w:rsidRPr="00810A2A">
        <w:rPr>
          <w:b/>
          <w:sz w:val="20"/>
          <w:szCs w:val="20"/>
        </w:rPr>
        <w:t>anancias:</w:t>
      </w:r>
    </w:p>
    <w:p w14:paraId="7418CD53" w14:textId="77777777" w:rsidR="00A93279" w:rsidRPr="00B65573" w:rsidRDefault="00A93279" w:rsidP="00A93279">
      <w:pPr>
        <w:pStyle w:val="Prrafodelista"/>
        <w:ind w:left="785" w:right="-427"/>
        <w:jc w:val="both"/>
        <w:rPr>
          <w:b/>
          <w:sz w:val="20"/>
          <w:szCs w:val="20"/>
        </w:rPr>
      </w:pPr>
    </w:p>
    <w:p w14:paraId="7689E707" w14:textId="77777777" w:rsidR="00A93279" w:rsidRPr="00B65573" w:rsidRDefault="00A93279" w:rsidP="009F1A99">
      <w:pPr>
        <w:pStyle w:val="Prrafodelista"/>
        <w:numPr>
          <w:ilvl w:val="0"/>
          <w:numId w:val="31"/>
        </w:numPr>
        <w:spacing w:before="120" w:after="120" w:line="240" w:lineRule="exact"/>
        <w:contextualSpacing/>
        <w:jc w:val="both"/>
        <w:rPr>
          <w:b/>
          <w:sz w:val="20"/>
          <w:szCs w:val="20"/>
          <w:lang w:val="es-ES"/>
        </w:rPr>
      </w:pPr>
      <w:r w:rsidRPr="00B65573">
        <w:rPr>
          <w:b/>
          <w:sz w:val="20"/>
          <w:szCs w:val="20"/>
          <w:lang w:val="es-ES"/>
        </w:rPr>
        <w:t>Activo por impuesto a las ganancias corriente</w:t>
      </w:r>
    </w:p>
    <w:p w14:paraId="4B596BC9" w14:textId="3C9B5732" w:rsidR="000E7DE7" w:rsidRDefault="00E00551" w:rsidP="009A35A6">
      <w:pPr>
        <w:ind w:left="851" w:right="-427"/>
        <w:jc w:val="both"/>
        <w:rPr>
          <w:rFonts w:ascii="Times New Roman" w:hAnsi="Times New Roman"/>
          <w:b/>
          <w:sz w:val="20"/>
          <w:lang w:val="es-ES"/>
        </w:rPr>
      </w:pPr>
      <w:r w:rsidRPr="00B65573">
        <w:rPr>
          <w:rFonts w:ascii="Times New Roman" w:hAnsi="Times New Roman"/>
          <w:b/>
          <w:sz w:val="20"/>
          <w:lang w:val="es-ES"/>
        </w:rPr>
        <w:t xml:space="preserve">   </w:t>
      </w:r>
      <w:r w:rsidR="003A5ED6" w:rsidRPr="0021727D">
        <w:rPr>
          <w:noProof/>
          <w:lang w:eastAsia="es-AR"/>
        </w:rPr>
        <w:drawing>
          <wp:inline distT="0" distB="0" distL="0" distR="0" wp14:anchorId="33C40F2A" wp14:editId="351D2983">
            <wp:extent cx="5239910" cy="74775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3263" cy="755366"/>
                    </a:xfrm>
                    <a:prstGeom prst="rect">
                      <a:avLst/>
                    </a:prstGeom>
                    <a:noFill/>
                    <a:ln>
                      <a:noFill/>
                    </a:ln>
                  </pic:spPr>
                </pic:pic>
              </a:graphicData>
            </a:graphic>
          </wp:inline>
        </w:drawing>
      </w:r>
    </w:p>
    <w:p w14:paraId="0967B7CA" w14:textId="77777777" w:rsidR="00AE4C22" w:rsidRPr="00B65573" w:rsidRDefault="00AE4C22" w:rsidP="009A35A6">
      <w:pPr>
        <w:ind w:left="851" w:right="-427"/>
        <w:jc w:val="both"/>
        <w:rPr>
          <w:rFonts w:ascii="Times New Roman" w:hAnsi="Times New Roman"/>
          <w:b/>
          <w:sz w:val="20"/>
          <w:lang w:val="es-ES"/>
        </w:rPr>
      </w:pPr>
    </w:p>
    <w:p w14:paraId="6BD3D172" w14:textId="1B263D47" w:rsidR="00CE653F" w:rsidRPr="00B65573" w:rsidRDefault="00A93279" w:rsidP="009F1A99">
      <w:pPr>
        <w:pStyle w:val="Prrafodelista"/>
        <w:numPr>
          <w:ilvl w:val="0"/>
          <w:numId w:val="31"/>
        </w:numPr>
        <w:spacing w:before="120" w:after="120" w:line="240" w:lineRule="exact"/>
        <w:contextualSpacing/>
        <w:jc w:val="both"/>
        <w:rPr>
          <w:b/>
          <w:color w:val="000000"/>
          <w:sz w:val="20"/>
          <w:szCs w:val="20"/>
          <w:lang w:val="es-AR"/>
        </w:rPr>
      </w:pPr>
      <w:r w:rsidRPr="00B65573">
        <w:rPr>
          <w:b/>
          <w:color w:val="000000"/>
          <w:sz w:val="20"/>
          <w:szCs w:val="20"/>
          <w:lang w:val="es-AR"/>
        </w:rPr>
        <w:t>Pasivo por impuesto a las ganancias corriente</w:t>
      </w:r>
    </w:p>
    <w:p w14:paraId="2722BDA9" w14:textId="77777777" w:rsidR="009A35A6" w:rsidRPr="00B65573" w:rsidRDefault="009A35A6" w:rsidP="009A35A6">
      <w:pPr>
        <w:pStyle w:val="Prrafodelista"/>
        <w:spacing w:before="120" w:after="120" w:line="240" w:lineRule="exact"/>
        <w:ind w:left="967"/>
        <w:contextualSpacing/>
        <w:jc w:val="both"/>
        <w:rPr>
          <w:b/>
          <w:color w:val="000000"/>
          <w:sz w:val="20"/>
          <w:szCs w:val="20"/>
          <w:lang w:val="es-AR"/>
        </w:rPr>
      </w:pPr>
    </w:p>
    <w:p w14:paraId="446D1D90" w14:textId="770A81F0" w:rsidR="00C612BC" w:rsidRPr="00B65573" w:rsidRDefault="003A5ED6" w:rsidP="009A35A6">
      <w:pPr>
        <w:pStyle w:val="Prrafodelista"/>
        <w:tabs>
          <w:tab w:val="left" w:pos="567"/>
        </w:tabs>
        <w:ind w:left="851" w:right="-427"/>
        <w:jc w:val="both"/>
        <w:rPr>
          <w:b/>
          <w:sz w:val="20"/>
          <w:szCs w:val="20"/>
          <w:lang w:val="es-AR"/>
        </w:rPr>
      </w:pPr>
      <w:r w:rsidRPr="0021727D">
        <w:rPr>
          <w:noProof/>
          <w:lang w:val="es-AR" w:eastAsia="es-AR"/>
        </w:rPr>
        <w:drawing>
          <wp:inline distT="0" distB="0" distL="0" distR="0" wp14:anchorId="6F27C756" wp14:editId="3ACE4B00">
            <wp:extent cx="5398936" cy="904184"/>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5904" cy="927123"/>
                    </a:xfrm>
                    <a:prstGeom prst="rect">
                      <a:avLst/>
                    </a:prstGeom>
                    <a:noFill/>
                    <a:ln>
                      <a:noFill/>
                    </a:ln>
                  </pic:spPr>
                </pic:pic>
              </a:graphicData>
            </a:graphic>
          </wp:inline>
        </w:drawing>
      </w:r>
    </w:p>
    <w:p w14:paraId="3DD994D0" w14:textId="77777777" w:rsidR="00587178" w:rsidRDefault="00587178" w:rsidP="00107CE5">
      <w:pPr>
        <w:pStyle w:val="Prrafodelista"/>
        <w:tabs>
          <w:tab w:val="left" w:pos="851"/>
        </w:tabs>
        <w:ind w:left="851" w:right="-427"/>
        <w:jc w:val="both"/>
        <w:rPr>
          <w:b/>
          <w:sz w:val="20"/>
          <w:szCs w:val="20"/>
          <w:lang w:val="es-AR"/>
        </w:rPr>
      </w:pPr>
    </w:p>
    <w:p w14:paraId="5F2ED769" w14:textId="77777777" w:rsidR="00587178" w:rsidRPr="00B65573" w:rsidRDefault="00587178" w:rsidP="00107CE5">
      <w:pPr>
        <w:pStyle w:val="Prrafodelista"/>
        <w:tabs>
          <w:tab w:val="left" w:pos="851"/>
        </w:tabs>
        <w:ind w:left="851" w:right="-427"/>
        <w:jc w:val="both"/>
        <w:rPr>
          <w:b/>
          <w:sz w:val="20"/>
          <w:szCs w:val="20"/>
          <w:lang w:val="es-AR"/>
        </w:rPr>
      </w:pPr>
    </w:p>
    <w:p w14:paraId="3F920752" w14:textId="58B7D7FD" w:rsidR="008F517A" w:rsidRPr="00B65573" w:rsidRDefault="00241FFD" w:rsidP="009F1A99">
      <w:pPr>
        <w:pStyle w:val="Prrafodelista"/>
        <w:numPr>
          <w:ilvl w:val="0"/>
          <w:numId w:val="31"/>
        </w:numPr>
        <w:spacing w:before="120" w:after="120" w:line="240" w:lineRule="exact"/>
        <w:contextualSpacing/>
        <w:jc w:val="both"/>
        <w:rPr>
          <w:b/>
          <w:color w:val="000000"/>
          <w:sz w:val="20"/>
          <w:szCs w:val="20"/>
          <w:lang w:val="es-AR"/>
        </w:rPr>
      </w:pPr>
      <w:r>
        <w:rPr>
          <w:b/>
          <w:color w:val="000000"/>
          <w:sz w:val="20"/>
          <w:szCs w:val="20"/>
          <w:lang w:val="es-AR"/>
        </w:rPr>
        <w:t>I</w:t>
      </w:r>
      <w:r w:rsidR="00334419" w:rsidRPr="00B65573">
        <w:rPr>
          <w:b/>
          <w:color w:val="000000"/>
          <w:sz w:val="20"/>
          <w:szCs w:val="20"/>
          <w:lang w:val="es-AR"/>
        </w:rPr>
        <w:t>mpuesto a las ganancias</w:t>
      </w:r>
    </w:p>
    <w:p w14:paraId="092D8687" w14:textId="77777777" w:rsidR="00107CE5" w:rsidRPr="00B65573" w:rsidRDefault="00107CE5" w:rsidP="00107CE5">
      <w:pPr>
        <w:pStyle w:val="Prrafodelista"/>
        <w:spacing w:before="120" w:after="120" w:line="240" w:lineRule="exact"/>
        <w:ind w:left="967"/>
        <w:contextualSpacing/>
        <w:jc w:val="both"/>
        <w:rPr>
          <w:b/>
          <w:color w:val="000000"/>
          <w:sz w:val="20"/>
          <w:szCs w:val="20"/>
          <w:lang w:val="es-AR"/>
        </w:rPr>
      </w:pPr>
    </w:p>
    <w:p w14:paraId="3ABFBE0C" w14:textId="727A58FB" w:rsidR="00F515DC" w:rsidRPr="00B65573" w:rsidRDefault="00F515DC" w:rsidP="0021727D">
      <w:pPr>
        <w:ind w:left="426" w:firstLine="567"/>
        <w:rPr>
          <w:rFonts w:ascii="Times New Roman" w:hAnsi="Times New Roman"/>
          <w:sz w:val="20"/>
          <w:lang w:val="es-ES"/>
        </w:rPr>
      </w:pPr>
      <w:r w:rsidRPr="00B65573">
        <w:rPr>
          <w:rFonts w:ascii="Times New Roman" w:hAnsi="Times New Roman"/>
          <w:sz w:val="20"/>
          <w:lang w:val="es-ES"/>
        </w:rPr>
        <w:t xml:space="preserve">El </w:t>
      </w:r>
      <w:r w:rsidR="00997003" w:rsidRPr="00B65573">
        <w:rPr>
          <w:rFonts w:ascii="Times New Roman" w:hAnsi="Times New Roman"/>
          <w:sz w:val="20"/>
          <w:lang w:val="es-ES"/>
        </w:rPr>
        <w:t>beneficio / (</w:t>
      </w:r>
      <w:r w:rsidRPr="00B65573">
        <w:rPr>
          <w:rFonts w:ascii="Times New Roman" w:hAnsi="Times New Roman"/>
          <w:sz w:val="20"/>
          <w:lang w:val="es-ES"/>
        </w:rPr>
        <w:t>cargo</w:t>
      </w:r>
      <w:r w:rsidR="00997003" w:rsidRPr="00B65573">
        <w:rPr>
          <w:rFonts w:ascii="Times New Roman" w:hAnsi="Times New Roman"/>
          <w:sz w:val="20"/>
          <w:lang w:val="es-ES"/>
        </w:rPr>
        <w:t>)</w:t>
      </w:r>
      <w:r w:rsidRPr="00B65573">
        <w:rPr>
          <w:rFonts w:ascii="Times New Roman" w:hAnsi="Times New Roman"/>
          <w:sz w:val="20"/>
          <w:lang w:val="es-ES"/>
        </w:rPr>
        <w:t xml:space="preserve"> por impuesto a las ganancias se compone de los siguientes conceptos:</w:t>
      </w:r>
    </w:p>
    <w:p w14:paraId="4270232B" w14:textId="77777777" w:rsidR="009A35A6" w:rsidRPr="00B65573" w:rsidRDefault="009A35A6" w:rsidP="00584905">
      <w:pPr>
        <w:ind w:firstLine="567"/>
        <w:rPr>
          <w:rFonts w:ascii="Times New Roman" w:hAnsi="Times New Roman"/>
          <w:sz w:val="20"/>
          <w:lang w:val="es-ES"/>
        </w:rPr>
      </w:pPr>
    </w:p>
    <w:p w14:paraId="4EE7245C" w14:textId="605E0652" w:rsidR="00C13687" w:rsidRPr="00B65573" w:rsidRDefault="003A5ED6" w:rsidP="0021727D">
      <w:pPr>
        <w:ind w:left="993"/>
        <w:rPr>
          <w:rFonts w:ascii="Times New Roman" w:hAnsi="Times New Roman"/>
          <w:sz w:val="20"/>
          <w:lang w:val="es-ES"/>
        </w:rPr>
      </w:pPr>
      <w:r w:rsidRPr="0021727D">
        <w:rPr>
          <w:noProof/>
          <w:lang w:eastAsia="es-AR"/>
        </w:rPr>
        <w:drawing>
          <wp:inline distT="0" distB="0" distL="0" distR="0" wp14:anchorId="331BDB75" wp14:editId="17201E20">
            <wp:extent cx="5311305" cy="76644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5018" cy="771310"/>
                    </a:xfrm>
                    <a:prstGeom prst="rect">
                      <a:avLst/>
                    </a:prstGeom>
                    <a:noFill/>
                    <a:ln>
                      <a:noFill/>
                    </a:ln>
                  </pic:spPr>
                </pic:pic>
              </a:graphicData>
            </a:graphic>
          </wp:inline>
        </w:drawing>
      </w:r>
    </w:p>
    <w:p w14:paraId="64850F7D" w14:textId="12D2334B" w:rsidR="00936676" w:rsidRPr="00B65573" w:rsidRDefault="00936676" w:rsidP="00F6315E">
      <w:pPr>
        <w:ind w:left="1214" w:firstLine="567"/>
        <w:rPr>
          <w:rFonts w:ascii="Times New Roman" w:hAnsi="Times New Roman"/>
          <w:sz w:val="20"/>
          <w:lang w:val="es-ES"/>
        </w:rPr>
      </w:pPr>
    </w:p>
    <w:p w14:paraId="4B0C4CA8" w14:textId="61E5D8E9" w:rsidR="001061CD" w:rsidRPr="001061CD" w:rsidRDefault="001061CD" w:rsidP="00B37D0E">
      <w:pPr>
        <w:pStyle w:val="Prrafodelista"/>
        <w:ind w:left="426"/>
        <w:contextualSpacing/>
        <w:jc w:val="both"/>
        <w:rPr>
          <w:sz w:val="20"/>
          <w:szCs w:val="20"/>
          <w:lang w:val="es-AR"/>
        </w:rPr>
      </w:pPr>
      <w:r w:rsidRPr="001061CD">
        <w:rPr>
          <w:sz w:val="20"/>
          <w:szCs w:val="20"/>
          <w:lang w:val="es-AR"/>
        </w:rPr>
        <w:t xml:space="preserve">El beneficio por impuesto a las ganancias por el período finalizado el 30 de </w:t>
      </w:r>
      <w:r w:rsidR="0064516F">
        <w:rPr>
          <w:sz w:val="20"/>
          <w:szCs w:val="20"/>
          <w:lang w:val="es-AR"/>
        </w:rPr>
        <w:t>septiembre</w:t>
      </w:r>
      <w:r w:rsidRPr="001061CD">
        <w:rPr>
          <w:sz w:val="20"/>
          <w:szCs w:val="20"/>
          <w:lang w:val="es-AR"/>
        </w:rPr>
        <w:t xml:space="preserve"> de 2021 incluye el efecto del cómputo del ajuste por inflación impositivo, así como la desafectación de la provisión requerida por el B.C.R.A. según lo comentado en el apartado </w:t>
      </w:r>
      <w:r w:rsidR="00FE260A">
        <w:rPr>
          <w:sz w:val="20"/>
          <w:szCs w:val="20"/>
          <w:lang w:val="es-AR"/>
        </w:rPr>
        <w:t>“</w:t>
      </w:r>
      <w:r w:rsidRPr="001061CD">
        <w:rPr>
          <w:sz w:val="20"/>
          <w:szCs w:val="20"/>
          <w:lang w:val="es-AR"/>
        </w:rPr>
        <w:t>Impuesto a las ganancias - Ajuste por inflación impositivo. Ejercicios Fiscales 2016, 2017 y 2018</w:t>
      </w:r>
      <w:r w:rsidR="00FE260A">
        <w:rPr>
          <w:sz w:val="20"/>
          <w:szCs w:val="20"/>
          <w:lang w:val="es-AR"/>
        </w:rPr>
        <w:t>”</w:t>
      </w:r>
      <w:r w:rsidRPr="001061CD">
        <w:rPr>
          <w:sz w:val="20"/>
          <w:szCs w:val="20"/>
          <w:lang w:val="es-AR"/>
        </w:rPr>
        <w:t xml:space="preserve"> de esta nota.</w:t>
      </w:r>
    </w:p>
    <w:p w14:paraId="5F917ADE" w14:textId="77777777" w:rsidR="001061CD" w:rsidRPr="001061CD" w:rsidRDefault="001061CD" w:rsidP="00997003">
      <w:pPr>
        <w:pStyle w:val="Prrafodelista"/>
        <w:ind w:left="426" w:right="50"/>
        <w:contextualSpacing/>
        <w:jc w:val="both"/>
        <w:rPr>
          <w:sz w:val="20"/>
          <w:szCs w:val="20"/>
          <w:lang w:val="es-AR"/>
        </w:rPr>
      </w:pPr>
    </w:p>
    <w:p w14:paraId="37AC9007" w14:textId="357A1BC8" w:rsidR="00DE694F" w:rsidRPr="001061CD" w:rsidRDefault="00DE694F" w:rsidP="00DE694F">
      <w:pPr>
        <w:pStyle w:val="Prrafodelista"/>
        <w:ind w:left="426" w:right="50"/>
        <w:contextualSpacing/>
        <w:jc w:val="both"/>
        <w:rPr>
          <w:sz w:val="20"/>
          <w:szCs w:val="20"/>
          <w:lang w:val="es-AR"/>
        </w:rPr>
      </w:pPr>
      <w:r w:rsidRPr="001061CD">
        <w:rPr>
          <w:sz w:val="20"/>
          <w:szCs w:val="20"/>
          <w:lang w:val="es-AR"/>
        </w:rPr>
        <w:t>La tas</w:t>
      </w:r>
      <w:r w:rsidR="00FE260A">
        <w:rPr>
          <w:sz w:val="20"/>
          <w:szCs w:val="20"/>
          <w:lang w:val="es-AR"/>
        </w:rPr>
        <w:t>a efectiva del Banco por el perí</w:t>
      </w:r>
      <w:r w:rsidRPr="001061CD">
        <w:rPr>
          <w:sz w:val="20"/>
          <w:szCs w:val="20"/>
          <w:lang w:val="es-AR"/>
        </w:rPr>
        <w:t>odo finaliz</w:t>
      </w:r>
      <w:r w:rsidR="009A35A6" w:rsidRPr="001061CD">
        <w:rPr>
          <w:sz w:val="20"/>
          <w:szCs w:val="20"/>
          <w:lang w:val="es-AR"/>
        </w:rPr>
        <w:t xml:space="preserve">ado el 30 de </w:t>
      </w:r>
      <w:r w:rsidR="0064516F">
        <w:rPr>
          <w:sz w:val="20"/>
          <w:szCs w:val="20"/>
          <w:lang w:val="es-AR"/>
        </w:rPr>
        <w:t>septiembre</w:t>
      </w:r>
      <w:r w:rsidR="009A35A6" w:rsidRPr="001061CD">
        <w:rPr>
          <w:sz w:val="20"/>
          <w:szCs w:val="20"/>
          <w:lang w:val="es-AR"/>
        </w:rPr>
        <w:t xml:space="preserve"> de 2020 </w:t>
      </w:r>
      <w:r w:rsidR="009A35A6" w:rsidRPr="0021727D">
        <w:rPr>
          <w:sz w:val="20"/>
          <w:szCs w:val="20"/>
          <w:lang w:val="es-AR"/>
        </w:rPr>
        <w:t xml:space="preserve">fue </w:t>
      </w:r>
      <w:r w:rsidR="003A5ED6" w:rsidRPr="0021727D">
        <w:rPr>
          <w:sz w:val="20"/>
          <w:szCs w:val="20"/>
          <w:lang w:val="es-AR"/>
        </w:rPr>
        <w:t>38</w:t>
      </w:r>
      <w:r w:rsidRPr="0021727D">
        <w:rPr>
          <w:sz w:val="20"/>
          <w:szCs w:val="20"/>
          <w:lang w:val="es-AR"/>
        </w:rPr>
        <w:t>%.</w:t>
      </w:r>
    </w:p>
    <w:p w14:paraId="3EA17614" w14:textId="77777777" w:rsidR="00145CC4" w:rsidRPr="001061CD" w:rsidRDefault="00145CC4" w:rsidP="00C13687">
      <w:pPr>
        <w:tabs>
          <w:tab w:val="left" w:pos="8789"/>
        </w:tabs>
        <w:autoSpaceDE w:val="0"/>
        <w:autoSpaceDN w:val="0"/>
        <w:adjustRightInd w:val="0"/>
        <w:ind w:left="426"/>
        <w:jc w:val="both"/>
        <w:rPr>
          <w:rFonts w:ascii="Times New Roman" w:hAnsi="Times New Roman"/>
          <w:sz w:val="20"/>
        </w:rPr>
      </w:pPr>
    </w:p>
    <w:p w14:paraId="6FC62096" w14:textId="77777777" w:rsidR="00B65573" w:rsidRPr="001061CD" w:rsidRDefault="00B65573" w:rsidP="00B65573">
      <w:pPr>
        <w:ind w:left="426" w:right="-18"/>
        <w:jc w:val="both"/>
        <w:rPr>
          <w:rFonts w:ascii="Times New Roman" w:hAnsi="Times New Roman"/>
          <w:sz w:val="20"/>
        </w:rPr>
      </w:pPr>
      <w:r w:rsidRPr="001061CD">
        <w:rPr>
          <w:rFonts w:ascii="Times New Roman" w:hAnsi="Times New Roman"/>
          <w:sz w:val="20"/>
        </w:rPr>
        <w:t>El impuesto a las ganancias, de acuerdo con NIC N° 34, se reconoce en períodos intermedios sobre la mejor estimación de la tasa impositiva media ponderada que la Entidad espera para el ejercicio.</w:t>
      </w:r>
    </w:p>
    <w:p w14:paraId="1EDD0844" w14:textId="77777777" w:rsidR="00B65573" w:rsidRDefault="00B65573" w:rsidP="00B65573">
      <w:pPr>
        <w:tabs>
          <w:tab w:val="left" w:pos="8789"/>
        </w:tabs>
        <w:autoSpaceDE w:val="0"/>
        <w:autoSpaceDN w:val="0"/>
        <w:adjustRightInd w:val="0"/>
        <w:ind w:left="426"/>
        <w:jc w:val="both"/>
        <w:rPr>
          <w:rFonts w:ascii="Times New Roman" w:hAnsi="Times New Roman"/>
          <w:sz w:val="20"/>
        </w:rPr>
      </w:pPr>
    </w:p>
    <w:p w14:paraId="6B026578" w14:textId="77777777" w:rsidR="00AE4C22" w:rsidRDefault="00AE4C22" w:rsidP="001061CD">
      <w:pPr>
        <w:pStyle w:val="Prrafodelista"/>
        <w:ind w:left="786" w:right="50" w:hanging="360"/>
        <w:contextualSpacing/>
        <w:jc w:val="both"/>
        <w:rPr>
          <w:b/>
          <w:bCs/>
          <w:sz w:val="20"/>
          <w:szCs w:val="20"/>
          <w:lang w:val="es-AR"/>
        </w:rPr>
      </w:pPr>
    </w:p>
    <w:p w14:paraId="55FBA96C" w14:textId="77777777" w:rsidR="00AE4C22" w:rsidRDefault="00AE4C22" w:rsidP="001061CD">
      <w:pPr>
        <w:pStyle w:val="Prrafodelista"/>
        <w:ind w:left="786" w:right="50" w:hanging="360"/>
        <w:contextualSpacing/>
        <w:jc w:val="both"/>
        <w:rPr>
          <w:b/>
          <w:bCs/>
          <w:sz w:val="20"/>
          <w:szCs w:val="20"/>
          <w:lang w:val="es-AR"/>
        </w:rPr>
      </w:pPr>
    </w:p>
    <w:p w14:paraId="329F85C0" w14:textId="77777777" w:rsidR="00AE4C22" w:rsidRDefault="00AE4C22" w:rsidP="001061CD">
      <w:pPr>
        <w:pStyle w:val="Prrafodelista"/>
        <w:ind w:left="786" w:right="50" w:hanging="360"/>
        <w:contextualSpacing/>
        <w:jc w:val="both"/>
        <w:rPr>
          <w:b/>
          <w:bCs/>
          <w:sz w:val="20"/>
          <w:szCs w:val="20"/>
          <w:lang w:val="es-AR"/>
        </w:rPr>
      </w:pPr>
    </w:p>
    <w:p w14:paraId="2CDAF7B5" w14:textId="77777777" w:rsidR="00AE4C22" w:rsidRDefault="00AE4C22" w:rsidP="001061CD">
      <w:pPr>
        <w:pStyle w:val="Prrafodelista"/>
        <w:ind w:left="786" w:right="50" w:hanging="360"/>
        <w:contextualSpacing/>
        <w:jc w:val="both"/>
        <w:rPr>
          <w:b/>
          <w:bCs/>
          <w:sz w:val="20"/>
          <w:szCs w:val="20"/>
          <w:lang w:val="es-AR"/>
        </w:rPr>
      </w:pPr>
    </w:p>
    <w:p w14:paraId="5C763087" w14:textId="77777777" w:rsidR="009A51A4" w:rsidRDefault="009A51A4" w:rsidP="001061CD">
      <w:pPr>
        <w:pStyle w:val="Prrafodelista"/>
        <w:ind w:left="786" w:right="50" w:hanging="360"/>
        <w:contextualSpacing/>
        <w:jc w:val="both"/>
        <w:rPr>
          <w:b/>
          <w:bCs/>
          <w:sz w:val="20"/>
          <w:szCs w:val="20"/>
          <w:lang w:val="es-AR"/>
        </w:rPr>
      </w:pPr>
    </w:p>
    <w:p w14:paraId="1B1ABE00" w14:textId="77777777" w:rsidR="009A51A4" w:rsidRPr="00B37D0E" w:rsidRDefault="009A51A4" w:rsidP="009A51A4">
      <w:pPr>
        <w:pStyle w:val="Prrafodelista"/>
        <w:ind w:left="786" w:right="50" w:hanging="360"/>
        <w:contextualSpacing/>
        <w:jc w:val="both"/>
        <w:rPr>
          <w:b/>
          <w:bCs/>
          <w:sz w:val="20"/>
          <w:szCs w:val="20"/>
          <w:lang w:val="es-AR"/>
        </w:rPr>
      </w:pPr>
      <w:r w:rsidRPr="00B37D0E">
        <w:rPr>
          <w:b/>
          <w:bCs/>
          <w:sz w:val="20"/>
          <w:szCs w:val="20"/>
          <w:lang w:val="es-AR"/>
        </w:rPr>
        <w:t>Tasa del impuesto a las ganancias</w:t>
      </w:r>
    </w:p>
    <w:p w14:paraId="6BF7D220" w14:textId="77777777" w:rsidR="009A51A4" w:rsidRPr="00B37D0E" w:rsidRDefault="009A51A4" w:rsidP="009A51A4">
      <w:pPr>
        <w:pStyle w:val="Prrafodelista"/>
        <w:ind w:left="786" w:right="50" w:hanging="360"/>
        <w:contextualSpacing/>
        <w:jc w:val="both"/>
        <w:rPr>
          <w:b/>
          <w:bCs/>
          <w:sz w:val="20"/>
          <w:szCs w:val="20"/>
          <w:lang w:val="es-AR"/>
        </w:rPr>
      </w:pPr>
    </w:p>
    <w:p w14:paraId="1D450472" w14:textId="77777777" w:rsidR="009A51A4" w:rsidRPr="00B37D0E" w:rsidRDefault="009A51A4" w:rsidP="009A51A4">
      <w:pPr>
        <w:ind w:left="426" w:right="-18"/>
        <w:jc w:val="both"/>
        <w:rPr>
          <w:rFonts w:ascii="Times New Roman" w:hAnsi="Times New Roman"/>
          <w:sz w:val="20"/>
        </w:rPr>
      </w:pPr>
      <w:r w:rsidRPr="00B37D0E">
        <w:rPr>
          <w:rFonts w:ascii="Times New Roman" w:hAnsi="Times New Roman"/>
          <w:sz w:val="20"/>
        </w:rPr>
        <w:t>La Ley N° 27.430, modificada con posterioridad por la Ley de Solidaridad Social y Reactivación Productiva en el marco de la Emergencia Pública (la “Ley de Emergencia Pública”), estableció las siguientes tasas del impuesto a las ganancias:</w:t>
      </w:r>
    </w:p>
    <w:p w14:paraId="7BC855C3" w14:textId="77777777" w:rsidR="009A51A4" w:rsidRPr="00B37D0E" w:rsidRDefault="009A51A4" w:rsidP="009A51A4">
      <w:pPr>
        <w:ind w:left="426" w:right="-18"/>
        <w:jc w:val="both"/>
        <w:rPr>
          <w:rFonts w:ascii="Times New Roman" w:hAnsi="Times New Roman"/>
          <w:sz w:val="20"/>
        </w:rPr>
      </w:pPr>
    </w:p>
    <w:p w14:paraId="4F8F1D90" w14:textId="77777777" w:rsidR="009A51A4" w:rsidRPr="00B37D0E" w:rsidRDefault="009A51A4" w:rsidP="009A51A4">
      <w:pPr>
        <w:numPr>
          <w:ilvl w:val="0"/>
          <w:numId w:val="62"/>
        </w:numPr>
        <w:autoSpaceDE w:val="0"/>
        <w:autoSpaceDN w:val="0"/>
        <w:adjustRightInd w:val="0"/>
        <w:spacing w:after="120" w:line="240" w:lineRule="exact"/>
        <w:jc w:val="both"/>
        <w:rPr>
          <w:rFonts w:ascii="Times New Roman" w:hAnsi="Times New Roman"/>
          <w:sz w:val="20"/>
        </w:rPr>
      </w:pPr>
      <w:r w:rsidRPr="00B37D0E">
        <w:rPr>
          <w:rFonts w:ascii="Times New Roman" w:hAnsi="Times New Roman"/>
          <w:sz w:val="20"/>
        </w:rPr>
        <w:t>30% para los ejercicios fiscales que se inicien a partir del 1° de enero de 2018 y el 25% para los ejercicios fiscales que se inicien a partir del 2022; y</w:t>
      </w:r>
    </w:p>
    <w:p w14:paraId="406E03BD" w14:textId="77777777" w:rsidR="009A51A4" w:rsidRPr="00B37D0E" w:rsidRDefault="009A51A4" w:rsidP="009A51A4">
      <w:pPr>
        <w:numPr>
          <w:ilvl w:val="0"/>
          <w:numId w:val="62"/>
        </w:numPr>
        <w:autoSpaceDE w:val="0"/>
        <w:autoSpaceDN w:val="0"/>
        <w:adjustRightInd w:val="0"/>
        <w:spacing w:after="120" w:line="240" w:lineRule="exact"/>
        <w:jc w:val="both"/>
        <w:rPr>
          <w:rFonts w:ascii="Times New Roman" w:hAnsi="Times New Roman"/>
          <w:sz w:val="20"/>
        </w:rPr>
      </w:pPr>
      <w:r w:rsidRPr="00B37D0E">
        <w:rPr>
          <w:rFonts w:ascii="Times New Roman" w:hAnsi="Times New Roman"/>
          <w:sz w:val="20"/>
        </w:rPr>
        <w:t xml:space="preserve">los dividendos distribuidos a personas humanas y beneficiarios del exterior a partir de los ejercicios indicados estarán gravados con una tasa del 7% y 13%, respectivamente. </w:t>
      </w:r>
    </w:p>
    <w:p w14:paraId="57924F1D" w14:textId="77777777" w:rsidR="009A51A4" w:rsidRPr="00B37D0E" w:rsidRDefault="009A51A4" w:rsidP="009A51A4">
      <w:pPr>
        <w:autoSpaceDE w:val="0"/>
        <w:autoSpaceDN w:val="0"/>
        <w:adjustRightInd w:val="0"/>
        <w:spacing w:after="120" w:line="240" w:lineRule="exact"/>
        <w:ind w:left="360"/>
        <w:jc w:val="both"/>
        <w:rPr>
          <w:rFonts w:ascii="Times New Roman" w:hAnsi="Times New Roman"/>
          <w:sz w:val="20"/>
        </w:rPr>
      </w:pPr>
      <w:r w:rsidRPr="00B37D0E">
        <w:rPr>
          <w:rFonts w:ascii="Times New Roman" w:hAnsi="Times New Roman"/>
          <w:sz w:val="20"/>
        </w:rPr>
        <w:t>Posteriormente, la Ley N° 27.630 promulgada el 16 de junio de 2021, dejó sin efecto la reducción generalizada de las alícuotas explicadas anteriormente, e introdujo un sistema de alícuotas por escalas que estará vigente para los ejercicios iniciados a partir del 1 de enero de 2021, como sigue:</w:t>
      </w:r>
    </w:p>
    <w:p w14:paraId="22F1E321" w14:textId="77777777" w:rsidR="009A51A4" w:rsidRPr="00B37D0E" w:rsidRDefault="009A51A4" w:rsidP="009A51A4">
      <w:pPr>
        <w:autoSpaceDE w:val="0"/>
        <w:autoSpaceDN w:val="0"/>
        <w:adjustRightInd w:val="0"/>
        <w:spacing w:after="120" w:line="240" w:lineRule="exact"/>
        <w:ind w:left="360"/>
        <w:jc w:val="both"/>
        <w:rPr>
          <w:rFonts w:ascii="Times New Roman" w:hAnsi="Times New Roman"/>
          <w:sz w:val="20"/>
        </w:rPr>
      </w:pPr>
    </w:p>
    <w:tbl>
      <w:tblPr>
        <w:tblW w:w="0" w:type="auto"/>
        <w:tblInd w:w="1214" w:type="dxa"/>
        <w:tblCellMar>
          <w:left w:w="0" w:type="dxa"/>
          <w:right w:w="0" w:type="dxa"/>
        </w:tblCellMar>
        <w:tblLook w:val="04A0" w:firstRow="1" w:lastRow="0" w:firstColumn="1" w:lastColumn="0" w:noHBand="0" w:noVBand="1"/>
      </w:tblPr>
      <w:tblGrid>
        <w:gridCol w:w="1200"/>
        <w:gridCol w:w="1772"/>
        <w:gridCol w:w="1409"/>
        <w:gridCol w:w="1250"/>
        <w:gridCol w:w="2094"/>
      </w:tblGrid>
      <w:tr w:rsidR="009A51A4" w:rsidRPr="00B37D0E" w14:paraId="2709B76E" w14:textId="77777777" w:rsidTr="001124BA">
        <w:tc>
          <w:tcPr>
            <w:tcW w:w="2972" w:type="dxa"/>
            <w:gridSpan w:val="2"/>
            <w:tcBorders>
              <w:top w:val="single" w:sz="4" w:space="0" w:color="auto"/>
              <w:left w:val="single" w:sz="4" w:space="0" w:color="auto"/>
              <w:bottom w:val="single" w:sz="4" w:space="0" w:color="auto"/>
            </w:tcBorders>
            <w:tcMar>
              <w:top w:w="75" w:type="dxa"/>
              <w:left w:w="75" w:type="dxa"/>
              <w:bottom w:w="75" w:type="dxa"/>
              <w:right w:w="75" w:type="dxa"/>
            </w:tcMar>
            <w:vAlign w:val="center"/>
            <w:hideMark/>
          </w:tcPr>
          <w:p w14:paraId="34A3296D"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Ganancia neta imponible acumulada</w:t>
            </w:r>
          </w:p>
        </w:tc>
        <w:tc>
          <w:tcPr>
            <w:tcW w:w="1409" w:type="dxa"/>
            <w:vMerge w:val="restart"/>
            <w:tcBorders>
              <w:top w:val="single" w:sz="4" w:space="0" w:color="auto"/>
            </w:tcBorders>
            <w:tcMar>
              <w:top w:w="75" w:type="dxa"/>
              <w:left w:w="75" w:type="dxa"/>
              <w:bottom w:w="75" w:type="dxa"/>
              <w:right w:w="75" w:type="dxa"/>
            </w:tcMar>
            <w:vAlign w:val="center"/>
            <w:hideMark/>
          </w:tcPr>
          <w:p w14:paraId="72791C87"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Importe a pagar $</w:t>
            </w:r>
          </w:p>
        </w:tc>
        <w:tc>
          <w:tcPr>
            <w:tcW w:w="1250" w:type="dxa"/>
            <w:vMerge w:val="restart"/>
            <w:tcBorders>
              <w:top w:val="single" w:sz="4" w:space="0" w:color="auto"/>
            </w:tcBorders>
            <w:tcMar>
              <w:top w:w="75" w:type="dxa"/>
              <w:left w:w="75" w:type="dxa"/>
              <w:bottom w:w="75" w:type="dxa"/>
              <w:right w:w="75" w:type="dxa"/>
            </w:tcMar>
            <w:vAlign w:val="center"/>
            <w:hideMark/>
          </w:tcPr>
          <w:p w14:paraId="2B485065"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Más el %</w:t>
            </w:r>
          </w:p>
        </w:tc>
        <w:tc>
          <w:tcPr>
            <w:tcW w:w="2094" w:type="dxa"/>
            <w:vMerge w:val="restart"/>
            <w:tcBorders>
              <w:top w:val="single" w:sz="4" w:space="0" w:color="auto"/>
              <w:right w:val="single" w:sz="4" w:space="0" w:color="auto"/>
            </w:tcBorders>
            <w:tcMar>
              <w:top w:w="75" w:type="dxa"/>
              <w:left w:w="75" w:type="dxa"/>
              <w:bottom w:w="75" w:type="dxa"/>
              <w:right w:w="75" w:type="dxa"/>
            </w:tcMar>
            <w:vAlign w:val="center"/>
            <w:hideMark/>
          </w:tcPr>
          <w:p w14:paraId="1040F528"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Sobre el excedente de $</w:t>
            </w:r>
          </w:p>
        </w:tc>
      </w:tr>
      <w:tr w:rsidR="009A51A4" w:rsidRPr="00B37D0E" w14:paraId="53096CA1" w14:textId="77777777" w:rsidTr="001124BA">
        <w:tc>
          <w:tcPr>
            <w:tcW w:w="0" w:type="auto"/>
            <w:tcBorders>
              <w:top w:val="single" w:sz="4" w:space="0" w:color="auto"/>
              <w:left w:val="single" w:sz="4" w:space="0" w:color="auto"/>
              <w:bottom w:val="single" w:sz="4" w:space="0" w:color="auto"/>
            </w:tcBorders>
            <w:tcMar>
              <w:top w:w="75" w:type="dxa"/>
              <w:left w:w="75" w:type="dxa"/>
              <w:bottom w:w="75" w:type="dxa"/>
              <w:right w:w="75" w:type="dxa"/>
            </w:tcMar>
            <w:vAlign w:val="center"/>
            <w:hideMark/>
          </w:tcPr>
          <w:p w14:paraId="3ACEBDC5"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Desde $</w:t>
            </w:r>
          </w:p>
        </w:tc>
        <w:tc>
          <w:tcPr>
            <w:tcW w:w="1772" w:type="dxa"/>
            <w:tcBorders>
              <w:top w:val="single" w:sz="4" w:space="0" w:color="auto"/>
              <w:bottom w:val="single" w:sz="4" w:space="0" w:color="auto"/>
            </w:tcBorders>
            <w:tcMar>
              <w:top w:w="75" w:type="dxa"/>
              <w:left w:w="75" w:type="dxa"/>
              <w:bottom w:w="75" w:type="dxa"/>
              <w:right w:w="75" w:type="dxa"/>
            </w:tcMar>
            <w:vAlign w:val="center"/>
            <w:hideMark/>
          </w:tcPr>
          <w:p w14:paraId="2852FAFF"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Hasta $</w:t>
            </w:r>
          </w:p>
        </w:tc>
        <w:tc>
          <w:tcPr>
            <w:tcW w:w="1409" w:type="dxa"/>
            <w:vMerge/>
            <w:tcBorders>
              <w:bottom w:val="single" w:sz="4" w:space="0" w:color="auto"/>
            </w:tcBorders>
            <w:vAlign w:val="center"/>
            <w:hideMark/>
          </w:tcPr>
          <w:p w14:paraId="1273C69B" w14:textId="77777777" w:rsidR="009A51A4" w:rsidRPr="00B37D0E" w:rsidRDefault="009A51A4" w:rsidP="001124BA">
            <w:pPr>
              <w:rPr>
                <w:rFonts w:ascii="Times New Roman" w:eastAsiaTheme="minorHAnsi" w:hAnsi="Times New Roman"/>
                <w:sz w:val="20"/>
                <w:lang w:eastAsia="es-AR"/>
              </w:rPr>
            </w:pPr>
          </w:p>
        </w:tc>
        <w:tc>
          <w:tcPr>
            <w:tcW w:w="1250" w:type="dxa"/>
            <w:vMerge/>
            <w:tcBorders>
              <w:bottom w:val="single" w:sz="4" w:space="0" w:color="auto"/>
            </w:tcBorders>
            <w:vAlign w:val="center"/>
            <w:hideMark/>
          </w:tcPr>
          <w:p w14:paraId="7E96E419" w14:textId="77777777" w:rsidR="009A51A4" w:rsidRPr="00B37D0E" w:rsidRDefault="009A51A4" w:rsidP="001124BA">
            <w:pPr>
              <w:rPr>
                <w:rFonts w:ascii="Times New Roman" w:eastAsiaTheme="minorHAnsi" w:hAnsi="Times New Roman"/>
                <w:sz w:val="20"/>
                <w:lang w:eastAsia="es-AR"/>
              </w:rPr>
            </w:pPr>
          </w:p>
        </w:tc>
        <w:tc>
          <w:tcPr>
            <w:tcW w:w="2094" w:type="dxa"/>
            <w:vMerge/>
            <w:tcBorders>
              <w:bottom w:val="single" w:sz="4" w:space="0" w:color="auto"/>
              <w:right w:val="single" w:sz="4" w:space="0" w:color="auto"/>
            </w:tcBorders>
            <w:vAlign w:val="center"/>
            <w:hideMark/>
          </w:tcPr>
          <w:p w14:paraId="7DB99155" w14:textId="77777777" w:rsidR="009A51A4" w:rsidRPr="00B37D0E" w:rsidRDefault="009A51A4" w:rsidP="001124BA">
            <w:pPr>
              <w:rPr>
                <w:rFonts w:ascii="Times New Roman" w:eastAsiaTheme="minorHAnsi" w:hAnsi="Times New Roman"/>
                <w:sz w:val="20"/>
                <w:lang w:eastAsia="es-AR"/>
              </w:rPr>
            </w:pPr>
          </w:p>
        </w:tc>
      </w:tr>
      <w:tr w:rsidR="009A51A4" w:rsidRPr="00B37D0E" w14:paraId="68003C74" w14:textId="77777777" w:rsidTr="001124BA">
        <w:tc>
          <w:tcPr>
            <w:tcW w:w="0" w:type="auto"/>
            <w:tcBorders>
              <w:top w:val="single" w:sz="4" w:space="0" w:color="auto"/>
              <w:left w:val="single" w:sz="4" w:space="0" w:color="auto"/>
            </w:tcBorders>
            <w:tcMar>
              <w:top w:w="75" w:type="dxa"/>
              <w:left w:w="75" w:type="dxa"/>
              <w:bottom w:w="75" w:type="dxa"/>
              <w:right w:w="75" w:type="dxa"/>
            </w:tcMar>
            <w:vAlign w:val="center"/>
            <w:hideMark/>
          </w:tcPr>
          <w:p w14:paraId="2B9934FB"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$ 0</w:t>
            </w:r>
          </w:p>
        </w:tc>
        <w:tc>
          <w:tcPr>
            <w:tcW w:w="1772" w:type="dxa"/>
            <w:tcBorders>
              <w:top w:val="single" w:sz="4" w:space="0" w:color="auto"/>
            </w:tcBorders>
            <w:tcMar>
              <w:top w:w="75" w:type="dxa"/>
              <w:left w:w="75" w:type="dxa"/>
              <w:bottom w:w="75" w:type="dxa"/>
              <w:right w:w="75" w:type="dxa"/>
            </w:tcMar>
            <w:vAlign w:val="center"/>
            <w:hideMark/>
          </w:tcPr>
          <w:p w14:paraId="2F924884"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$ 5.000.000</w:t>
            </w:r>
          </w:p>
        </w:tc>
        <w:tc>
          <w:tcPr>
            <w:tcW w:w="1409" w:type="dxa"/>
            <w:tcBorders>
              <w:top w:val="single" w:sz="4" w:space="0" w:color="auto"/>
            </w:tcBorders>
            <w:tcMar>
              <w:top w:w="75" w:type="dxa"/>
              <w:left w:w="75" w:type="dxa"/>
              <w:bottom w:w="75" w:type="dxa"/>
              <w:right w:w="75" w:type="dxa"/>
            </w:tcMar>
            <w:vAlign w:val="center"/>
            <w:hideMark/>
          </w:tcPr>
          <w:p w14:paraId="19F4C6CC"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$ 0</w:t>
            </w:r>
          </w:p>
        </w:tc>
        <w:tc>
          <w:tcPr>
            <w:tcW w:w="1250" w:type="dxa"/>
            <w:tcBorders>
              <w:top w:val="single" w:sz="4" w:space="0" w:color="auto"/>
            </w:tcBorders>
            <w:tcMar>
              <w:top w:w="75" w:type="dxa"/>
              <w:left w:w="75" w:type="dxa"/>
              <w:bottom w:w="75" w:type="dxa"/>
              <w:right w:w="75" w:type="dxa"/>
            </w:tcMar>
            <w:vAlign w:val="center"/>
            <w:hideMark/>
          </w:tcPr>
          <w:p w14:paraId="5E7B4797"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25%</w:t>
            </w:r>
          </w:p>
        </w:tc>
        <w:tc>
          <w:tcPr>
            <w:tcW w:w="2094" w:type="dxa"/>
            <w:tcBorders>
              <w:top w:val="single" w:sz="4" w:space="0" w:color="auto"/>
              <w:right w:val="single" w:sz="4" w:space="0" w:color="auto"/>
            </w:tcBorders>
            <w:tcMar>
              <w:top w:w="75" w:type="dxa"/>
              <w:left w:w="75" w:type="dxa"/>
              <w:bottom w:w="75" w:type="dxa"/>
              <w:right w:w="75" w:type="dxa"/>
            </w:tcMar>
            <w:vAlign w:val="center"/>
            <w:hideMark/>
          </w:tcPr>
          <w:p w14:paraId="3A7650A2"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$ 0</w:t>
            </w:r>
          </w:p>
        </w:tc>
      </w:tr>
      <w:tr w:rsidR="009A51A4" w:rsidRPr="00B37D0E" w14:paraId="55B4D1ED" w14:textId="77777777" w:rsidTr="001124BA">
        <w:tc>
          <w:tcPr>
            <w:tcW w:w="0" w:type="auto"/>
            <w:tcBorders>
              <w:left w:val="single" w:sz="4" w:space="0" w:color="auto"/>
            </w:tcBorders>
            <w:tcMar>
              <w:top w:w="75" w:type="dxa"/>
              <w:left w:w="75" w:type="dxa"/>
              <w:bottom w:w="75" w:type="dxa"/>
              <w:right w:w="75" w:type="dxa"/>
            </w:tcMar>
            <w:vAlign w:val="center"/>
            <w:hideMark/>
          </w:tcPr>
          <w:p w14:paraId="6C1C13AB"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$ 5.000.001</w:t>
            </w:r>
          </w:p>
        </w:tc>
        <w:tc>
          <w:tcPr>
            <w:tcW w:w="1772" w:type="dxa"/>
            <w:tcMar>
              <w:top w:w="75" w:type="dxa"/>
              <w:left w:w="75" w:type="dxa"/>
              <w:bottom w:w="75" w:type="dxa"/>
              <w:right w:w="75" w:type="dxa"/>
            </w:tcMar>
            <w:vAlign w:val="center"/>
            <w:hideMark/>
          </w:tcPr>
          <w:p w14:paraId="0C2B65AF"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$ 50.000.000</w:t>
            </w:r>
          </w:p>
        </w:tc>
        <w:tc>
          <w:tcPr>
            <w:tcW w:w="1409" w:type="dxa"/>
            <w:tcMar>
              <w:top w:w="75" w:type="dxa"/>
              <w:left w:w="75" w:type="dxa"/>
              <w:bottom w:w="75" w:type="dxa"/>
              <w:right w:w="75" w:type="dxa"/>
            </w:tcMar>
            <w:vAlign w:val="center"/>
            <w:hideMark/>
          </w:tcPr>
          <w:p w14:paraId="77E8A70A"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$ 1.250.000</w:t>
            </w:r>
          </w:p>
        </w:tc>
        <w:tc>
          <w:tcPr>
            <w:tcW w:w="1250" w:type="dxa"/>
            <w:tcMar>
              <w:top w:w="75" w:type="dxa"/>
              <w:left w:w="75" w:type="dxa"/>
              <w:bottom w:w="75" w:type="dxa"/>
              <w:right w:w="75" w:type="dxa"/>
            </w:tcMar>
            <w:vAlign w:val="center"/>
            <w:hideMark/>
          </w:tcPr>
          <w:p w14:paraId="335D1AE0"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30%</w:t>
            </w:r>
          </w:p>
        </w:tc>
        <w:tc>
          <w:tcPr>
            <w:tcW w:w="2094" w:type="dxa"/>
            <w:tcBorders>
              <w:right w:val="single" w:sz="4" w:space="0" w:color="auto"/>
            </w:tcBorders>
            <w:tcMar>
              <w:top w:w="75" w:type="dxa"/>
              <w:left w:w="75" w:type="dxa"/>
              <w:bottom w:w="75" w:type="dxa"/>
              <w:right w:w="75" w:type="dxa"/>
            </w:tcMar>
            <w:vAlign w:val="center"/>
            <w:hideMark/>
          </w:tcPr>
          <w:p w14:paraId="15DCE11D"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$ 5.000.000</w:t>
            </w:r>
          </w:p>
        </w:tc>
      </w:tr>
      <w:tr w:rsidR="009A51A4" w:rsidRPr="00B37D0E" w14:paraId="77016BEA" w14:textId="77777777" w:rsidTr="001124BA">
        <w:tc>
          <w:tcPr>
            <w:tcW w:w="0" w:type="auto"/>
            <w:tcBorders>
              <w:left w:val="single" w:sz="4" w:space="0" w:color="auto"/>
              <w:bottom w:val="single" w:sz="4" w:space="0" w:color="auto"/>
            </w:tcBorders>
            <w:tcMar>
              <w:top w:w="75" w:type="dxa"/>
              <w:left w:w="75" w:type="dxa"/>
              <w:bottom w:w="75" w:type="dxa"/>
              <w:right w:w="75" w:type="dxa"/>
            </w:tcMar>
            <w:vAlign w:val="center"/>
            <w:hideMark/>
          </w:tcPr>
          <w:p w14:paraId="14E65A60"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$ 50.000.001</w:t>
            </w:r>
          </w:p>
        </w:tc>
        <w:tc>
          <w:tcPr>
            <w:tcW w:w="1772" w:type="dxa"/>
            <w:tcBorders>
              <w:bottom w:val="single" w:sz="4" w:space="0" w:color="auto"/>
            </w:tcBorders>
            <w:tcMar>
              <w:top w:w="75" w:type="dxa"/>
              <w:left w:w="75" w:type="dxa"/>
              <w:bottom w:w="75" w:type="dxa"/>
              <w:right w:w="75" w:type="dxa"/>
            </w:tcMar>
            <w:vAlign w:val="center"/>
            <w:hideMark/>
          </w:tcPr>
          <w:p w14:paraId="6425D037"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Sin tope</w:t>
            </w:r>
          </w:p>
        </w:tc>
        <w:tc>
          <w:tcPr>
            <w:tcW w:w="1409" w:type="dxa"/>
            <w:tcBorders>
              <w:bottom w:val="single" w:sz="4" w:space="0" w:color="auto"/>
            </w:tcBorders>
            <w:tcMar>
              <w:top w:w="75" w:type="dxa"/>
              <w:left w:w="75" w:type="dxa"/>
              <w:bottom w:w="75" w:type="dxa"/>
              <w:right w:w="75" w:type="dxa"/>
            </w:tcMar>
            <w:vAlign w:val="center"/>
            <w:hideMark/>
          </w:tcPr>
          <w:p w14:paraId="19B1C8CA"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$ 14.750.000</w:t>
            </w:r>
          </w:p>
        </w:tc>
        <w:tc>
          <w:tcPr>
            <w:tcW w:w="1250" w:type="dxa"/>
            <w:tcBorders>
              <w:bottom w:val="single" w:sz="4" w:space="0" w:color="auto"/>
            </w:tcBorders>
            <w:tcMar>
              <w:top w:w="75" w:type="dxa"/>
              <w:left w:w="75" w:type="dxa"/>
              <w:bottom w:w="75" w:type="dxa"/>
              <w:right w:w="75" w:type="dxa"/>
            </w:tcMar>
            <w:vAlign w:val="center"/>
            <w:hideMark/>
          </w:tcPr>
          <w:p w14:paraId="5470BC0E"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35%</w:t>
            </w:r>
          </w:p>
        </w:tc>
        <w:tc>
          <w:tcPr>
            <w:tcW w:w="2094" w:type="dxa"/>
            <w:tcBorders>
              <w:bottom w:val="single" w:sz="4" w:space="0" w:color="auto"/>
              <w:right w:val="single" w:sz="4" w:space="0" w:color="auto"/>
            </w:tcBorders>
            <w:tcMar>
              <w:top w:w="75" w:type="dxa"/>
              <w:left w:w="75" w:type="dxa"/>
              <w:bottom w:w="75" w:type="dxa"/>
              <w:right w:w="75" w:type="dxa"/>
            </w:tcMar>
            <w:vAlign w:val="center"/>
            <w:hideMark/>
          </w:tcPr>
          <w:p w14:paraId="03EB5AA7" w14:textId="77777777" w:rsidR="009A51A4" w:rsidRPr="00B37D0E" w:rsidRDefault="009A51A4" w:rsidP="001124BA">
            <w:pPr>
              <w:jc w:val="center"/>
              <w:rPr>
                <w:rFonts w:ascii="Times New Roman" w:hAnsi="Times New Roman"/>
                <w:sz w:val="20"/>
                <w:lang w:eastAsia="es-AR"/>
              </w:rPr>
            </w:pPr>
            <w:r w:rsidRPr="00B37D0E">
              <w:rPr>
                <w:rFonts w:ascii="Times New Roman" w:hAnsi="Times New Roman"/>
                <w:sz w:val="20"/>
                <w:lang w:eastAsia="es-AR"/>
              </w:rPr>
              <w:t>$ 50.000.000</w:t>
            </w:r>
          </w:p>
        </w:tc>
      </w:tr>
    </w:tbl>
    <w:p w14:paraId="0C95F981" w14:textId="77777777" w:rsidR="009A51A4" w:rsidRPr="00B37D0E" w:rsidRDefault="009A51A4" w:rsidP="009A51A4">
      <w:pPr>
        <w:autoSpaceDE w:val="0"/>
        <w:autoSpaceDN w:val="0"/>
        <w:adjustRightInd w:val="0"/>
        <w:spacing w:after="120" w:line="240" w:lineRule="exact"/>
        <w:rPr>
          <w:rFonts w:ascii="Times New Roman" w:hAnsi="Times New Roman"/>
          <w:sz w:val="20"/>
        </w:rPr>
      </w:pPr>
    </w:p>
    <w:p w14:paraId="70918953"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r w:rsidRPr="00B37D0E">
        <w:rPr>
          <w:rFonts w:ascii="Times New Roman" w:hAnsi="Times New Roman"/>
          <w:sz w:val="20"/>
        </w:rPr>
        <w:t>Los montos previstos en esta escala se ajustarán anualmente a partir del 1° de enero de 2022, en función de la variación del índice de precios al consumidor nivel general (IPC) medidas a octubre de cada año.</w:t>
      </w:r>
    </w:p>
    <w:p w14:paraId="1A4E2F96"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p>
    <w:p w14:paraId="44845FD7"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r w:rsidRPr="00B37D0E">
        <w:rPr>
          <w:rFonts w:ascii="Times New Roman" w:hAnsi="Times New Roman"/>
          <w:sz w:val="20"/>
        </w:rPr>
        <w:t>Asimismo, quedó unificada en el 7% la tasa aplicable a los dividendos sobre utilidades generadas en ejercicios iniciados a partir del 1° de enero de 2018.</w:t>
      </w:r>
    </w:p>
    <w:p w14:paraId="255D867C"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p>
    <w:p w14:paraId="0FFD128D" w14:textId="0106D8CD" w:rsidR="009A51A4" w:rsidRPr="00B37D0E" w:rsidRDefault="009A51A4" w:rsidP="009A51A4">
      <w:pPr>
        <w:tabs>
          <w:tab w:val="left" w:pos="8789"/>
        </w:tabs>
        <w:autoSpaceDE w:val="0"/>
        <w:autoSpaceDN w:val="0"/>
        <w:adjustRightInd w:val="0"/>
        <w:ind w:left="426"/>
        <w:jc w:val="both"/>
        <w:rPr>
          <w:rFonts w:ascii="Times New Roman" w:hAnsi="Times New Roman"/>
          <w:sz w:val="20"/>
        </w:rPr>
      </w:pPr>
      <w:r w:rsidRPr="00B37D0E">
        <w:rPr>
          <w:rFonts w:ascii="Times New Roman" w:hAnsi="Times New Roman"/>
          <w:sz w:val="20"/>
        </w:rPr>
        <w:t xml:space="preserve">Como consecuencia de la modificación mencionada, al 30 de </w:t>
      </w:r>
      <w:r w:rsidR="00E91DB5">
        <w:rPr>
          <w:rFonts w:ascii="Times New Roman" w:hAnsi="Times New Roman"/>
          <w:sz w:val="20"/>
        </w:rPr>
        <w:t>septiembre</w:t>
      </w:r>
      <w:r w:rsidRPr="00B37D0E">
        <w:rPr>
          <w:rFonts w:ascii="Times New Roman" w:hAnsi="Times New Roman"/>
          <w:sz w:val="20"/>
        </w:rPr>
        <w:t xml:space="preserve"> de 2021 el impuesto corriente fue medido aplicando las tasas progresivas sobre el resultado gravado determinado a dicha fecha, mientras que los saldos por impuesto diferido fueron medidos aplicando la tasa progresiva que se espera esté en vigencia cuando las diferencias temporarias vayan a revertirse.  </w:t>
      </w:r>
    </w:p>
    <w:p w14:paraId="7ABD53FB"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p>
    <w:p w14:paraId="4C4BBD31" w14:textId="77777777" w:rsidR="009A51A4" w:rsidRPr="00B37D0E" w:rsidRDefault="009A51A4" w:rsidP="009A51A4">
      <w:pPr>
        <w:pStyle w:val="Prrafodelista"/>
        <w:ind w:left="786" w:right="50" w:hanging="360"/>
        <w:contextualSpacing/>
        <w:jc w:val="both"/>
        <w:rPr>
          <w:b/>
          <w:bCs/>
          <w:sz w:val="20"/>
          <w:szCs w:val="20"/>
          <w:lang w:val="es-AR"/>
        </w:rPr>
      </w:pPr>
      <w:r w:rsidRPr="00B37D0E">
        <w:rPr>
          <w:b/>
          <w:bCs/>
          <w:sz w:val="20"/>
          <w:szCs w:val="20"/>
          <w:lang w:val="es-AR"/>
        </w:rPr>
        <w:t>Ajuste por inflación impositivo</w:t>
      </w:r>
    </w:p>
    <w:p w14:paraId="10A5E821"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p>
    <w:p w14:paraId="47C6FFF9"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r w:rsidRPr="00B37D0E">
        <w:rPr>
          <w:rFonts w:ascii="Times New Roman" w:hAnsi="Times New Roman"/>
          <w:sz w:val="20"/>
        </w:rPr>
        <w:t>La mencionada Ley N° 27.430, con las modificaciones de la Ley de Emergencia Pública, estableció la obligatoriedad de la aplicación del ajuste por inflación siguiendo el procedimiento de la Ley del Impuesto a las ganancias, a partir del ejercicio en el cual se cumplieran las condiciones de la ley, lo que se verificó en el ejercicio cerrado el 31 de diciembre de 2019.</w:t>
      </w:r>
    </w:p>
    <w:p w14:paraId="3856BFF6"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p>
    <w:p w14:paraId="730F054C"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r w:rsidRPr="00B37D0E">
        <w:rPr>
          <w:rFonts w:ascii="Times New Roman" w:hAnsi="Times New Roman"/>
          <w:sz w:val="20"/>
        </w:rPr>
        <w:lastRenderedPageBreak/>
        <w:t>En función de la metodología de transición prevista en la norma impositiva, el efecto del ajuste por inflación impositivo (positivo o negativo), se imputa al resultado gravado en seis cuotas anuales a partir del año al cual corresponde el cálculo. A partir del ejercicio iniciado el 1 de enero de 2021, el efecto del ajuste por inflación impositivo se imputa al resultado gravado del mismo ejercicio.</w:t>
      </w:r>
    </w:p>
    <w:p w14:paraId="224B3903"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p>
    <w:p w14:paraId="3AD6DA11" w14:textId="77777777" w:rsidR="009A51A4" w:rsidRPr="00B37D0E" w:rsidRDefault="009A51A4" w:rsidP="009A51A4">
      <w:pPr>
        <w:numPr>
          <w:ilvl w:val="0"/>
          <w:numId w:val="39"/>
        </w:numPr>
        <w:tabs>
          <w:tab w:val="left" w:pos="9211"/>
        </w:tabs>
        <w:ind w:left="851" w:right="-18" w:hanging="425"/>
        <w:jc w:val="both"/>
        <w:rPr>
          <w:rFonts w:ascii="Times New Roman" w:hAnsi="Times New Roman"/>
          <w:b/>
          <w:sz w:val="20"/>
          <w:lang w:eastAsia="en-US"/>
        </w:rPr>
      </w:pPr>
      <w:r w:rsidRPr="00B37D0E">
        <w:rPr>
          <w:rFonts w:ascii="Times New Roman" w:hAnsi="Times New Roman"/>
          <w:b/>
          <w:sz w:val="20"/>
          <w:lang w:eastAsia="en-US"/>
        </w:rPr>
        <w:t>Ajuste por inflación impositivo. Ejercicios Fiscales 2016, 2017 y 2018.</w:t>
      </w:r>
    </w:p>
    <w:p w14:paraId="5F789DEF" w14:textId="77777777" w:rsidR="009A51A4" w:rsidRPr="00B37D0E" w:rsidRDefault="009A51A4" w:rsidP="009A51A4">
      <w:pPr>
        <w:tabs>
          <w:tab w:val="left" w:pos="9211"/>
        </w:tabs>
        <w:ind w:left="426" w:right="-18"/>
        <w:jc w:val="both"/>
        <w:rPr>
          <w:rFonts w:ascii="Times New Roman" w:hAnsi="Times New Roman"/>
          <w:sz w:val="20"/>
          <w:lang w:eastAsia="en-US"/>
        </w:rPr>
      </w:pPr>
    </w:p>
    <w:p w14:paraId="314FB8E9" w14:textId="77777777" w:rsidR="009A51A4" w:rsidRPr="00B37D0E"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Con fecha 10 de mayo de 2017, 10 de mayo de 2018, y 13 de mayo de 2019, y sobre la base de los antecedentes resultantes de la jurisprudencia relacionada, el Directorio de la Entidad aprobó la presentación de acciones declarativas solicitando la inconstitucionalidad del Artículo 39 de la Ley 24.073, Artículo 4 de la Ley 25.561, Artículo 5 del Decreto del Poder Ejecutivo Nacional N° 214/02, Ley 27.468 y de toda otra norma que establezca la inaplicabilidad del mecanismo de ajuste por inflación previsto en la Ley 20.628 y modificatorias en atención al efecto confiscatorio que conlleva en el caso concreto, en relación con los períodos fiscales 2016, 2017 y 2018. De esta manera, la Entidad presentó sus Declaraciones Juradas del Impuesto a las Ganancias para dichos períodos fiscales contemplando el efecto de tales mecanismos de reexpresión.</w:t>
      </w:r>
    </w:p>
    <w:p w14:paraId="5A758960" w14:textId="77777777" w:rsidR="009A51A4" w:rsidRPr="00B37D0E"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 xml:space="preserve"> </w:t>
      </w:r>
    </w:p>
    <w:p w14:paraId="6A2413B2" w14:textId="368443A7" w:rsidR="009A51A4" w:rsidRPr="00B37D0E"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 xml:space="preserve">El impacto neto de esta medida </w:t>
      </w:r>
      <w:r w:rsidR="00E91DB5">
        <w:rPr>
          <w:rFonts w:ascii="Times New Roman" w:hAnsi="Times New Roman"/>
          <w:sz w:val="20"/>
          <w:lang w:eastAsia="en-US"/>
        </w:rPr>
        <w:t xml:space="preserve">en valores nominales </w:t>
      </w:r>
      <w:r w:rsidRPr="00B37D0E">
        <w:rPr>
          <w:rFonts w:ascii="Times New Roman" w:hAnsi="Times New Roman"/>
          <w:sz w:val="20"/>
          <w:lang w:eastAsia="en-US"/>
        </w:rPr>
        <w:t>es un ajuste en el Impuesto a las Ganancias determinado en relación con el ejercicio finalizado el 31 de diciembre de 2016 de 1.185.800, con el ejercicio finalizado el 31 de diciembre de 2017 de</w:t>
      </w:r>
      <w:r>
        <w:rPr>
          <w:rFonts w:ascii="Times New Roman" w:hAnsi="Times New Roman"/>
          <w:sz w:val="20"/>
          <w:lang w:eastAsia="en-US"/>
        </w:rPr>
        <w:t xml:space="preserve"> </w:t>
      </w:r>
      <w:r w:rsidRPr="00B37D0E">
        <w:rPr>
          <w:rFonts w:ascii="Times New Roman" w:hAnsi="Times New Roman"/>
          <w:sz w:val="20"/>
          <w:lang w:eastAsia="en-US"/>
        </w:rPr>
        <w:t>1.021.519, y con el ejercicio finalizado el 31 de diciembre de 2018 de 3.239.760.</w:t>
      </w:r>
    </w:p>
    <w:p w14:paraId="05147C1E" w14:textId="77777777" w:rsidR="009A51A4" w:rsidRPr="00B37D0E" w:rsidRDefault="009A51A4" w:rsidP="009A51A4">
      <w:pPr>
        <w:tabs>
          <w:tab w:val="left" w:pos="9211"/>
        </w:tabs>
        <w:ind w:left="426" w:right="-18"/>
        <w:jc w:val="both"/>
        <w:rPr>
          <w:rFonts w:ascii="Times New Roman" w:hAnsi="Times New Roman"/>
          <w:sz w:val="20"/>
          <w:lang w:eastAsia="en-US"/>
        </w:rPr>
      </w:pPr>
    </w:p>
    <w:p w14:paraId="7DEA4650" w14:textId="77777777" w:rsidR="009A51A4" w:rsidRPr="00B37D0E"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A través del Memorando N° 6/2017 del 29 de mayo de 2017, el B.C.R.A., sin emitir juicio de valor sobre las decisiones adoptadas por los órganos societarios ni sobre el derecho que asiste a la Entidad en la acción iniciada, en su carácter de emisor de normas contables, requirió a la Entidad la registración de una provisión por contingencias en el rubro correspondiente del “Pasivo” equivalente a la utilidad registrada, al considerar que la “reliquidación del impuesto a las ganancias aplicando el ajuste por inflación no está contemplada en la norma del B.C.R.A.”.</w:t>
      </w:r>
    </w:p>
    <w:p w14:paraId="1F986CD7" w14:textId="77777777" w:rsidR="009A51A4" w:rsidRPr="00B37D0E" w:rsidRDefault="009A51A4" w:rsidP="009A51A4">
      <w:pPr>
        <w:tabs>
          <w:tab w:val="left" w:pos="9211"/>
        </w:tabs>
        <w:ind w:left="426" w:right="-18"/>
        <w:jc w:val="both"/>
        <w:rPr>
          <w:rFonts w:ascii="Times New Roman" w:hAnsi="Times New Roman"/>
          <w:sz w:val="20"/>
          <w:lang w:eastAsia="en-US"/>
        </w:rPr>
      </w:pPr>
    </w:p>
    <w:p w14:paraId="35943EA9" w14:textId="77777777" w:rsidR="009A51A4" w:rsidRPr="00B37D0E"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En respuesta a este Memorando, la Entidad presentó el respectivo descargo ratificando su posición y proveyendo los antecedentes de la registración contable realizada. Sin perjuicio de ello, procedió a registrar la provisión solicitada atendiendo específicamente a la norma contable prescripta por el regulador para este caso.</w:t>
      </w:r>
    </w:p>
    <w:p w14:paraId="1334A8F9" w14:textId="77777777" w:rsidR="009A51A4" w:rsidRPr="00B37D0E" w:rsidRDefault="009A51A4" w:rsidP="009A51A4">
      <w:pPr>
        <w:tabs>
          <w:tab w:val="left" w:pos="9211"/>
        </w:tabs>
        <w:ind w:left="426" w:right="-18"/>
        <w:jc w:val="both"/>
        <w:rPr>
          <w:rFonts w:ascii="Times New Roman" w:hAnsi="Times New Roman"/>
          <w:sz w:val="20"/>
          <w:lang w:eastAsia="en-US"/>
        </w:rPr>
      </w:pPr>
    </w:p>
    <w:p w14:paraId="6643082F" w14:textId="77777777" w:rsidR="009A51A4" w:rsidRPr="00B37D0E"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Con fecha 8 de junio 2020, el Juzgado Contencioso Administrativo Federal – JCAF 12-23 - dictó sentencia sobre la acción declarativa presentada el 12 de mayo de 2017, haciendo lugar a la demanda interpuesta y, en consecuencia, declarando que la prohibición de utilizar el mecanismo de ajuste por inflación para la declaración jurada presentada por el Banco por el Impuesto a las ganancias del período fiscal 2016 resulta inaplicable al caso.</w:t>
      </w:r>
    </w:p>
    <w:p w14:paraId="349DE7F7" w14:textId="77777777" w:rsidR="009A51A4" w:rsidRPr="00B37D0E" w:rsidRDefault="009A51A4" w:rsidP="009A51A4">
      <w:pPr>
        <w:tabs>
          <w:tab w:val="left" w:pos="9211"/>
        </w:tabs>
        <w:ind w:left="426" w:right="-18"/>
        <w:jc w:val="both"/>
        <w:rPr>
          <w:rFonts w:ascii="Times New Roman" w:hAnsi="Times New Roman"/>
          <w:sz w:val="20"/>
          <w:lang w:eastAsia="en-US"/>
        </w:rPr>
      </w:pPr>
    </w:p>
    <w:p w14:paraId="28D8AFFF" w14:textId="77777777" w:rsidR="009A51A4" w:rsidRPr="00B37D0E" w:rsidRDefault="009A51A4" w:rsidP="009A51A4">
      <w:pPr>
        <w:spacing w:after="240"/>
        <w:ind w:left="426"/>
        <w:jc w:val="both"/>
        <w:rPr>
          <w:rFonts w:ascii="Times New Roman" w:hAnsi="Times New Roman"/>
          <w:sz w:val="20"/>
          <w:lang w:eastAsia="en-US"/>
        </w:rPr>
      </w:pPr>
      <w:r w:rsidRPr="00B37D0E">
        <w:rPr>
          <w:rFonts w:ascii="Times New Roman" w:hAnsi="Times New Roman"/>
          <w:sz w:val="20"/>
          <w:lang w:eastAsia="en-US"/>
        </w:rPr>
        <w:t>Las apelaciones interpuestas contra la sentencia fueron concedidas el 6 de agosto de 2020, elevándose los autos a Cámara. El 9 de diciembre de 2020 la Sala II de la Cámara Nacional de Apelaciones en lo Contencioso Administrativo Federal dictó sentencia resolviendo desestimar las apelaciones confirmando así el pronunciamiento de primera instancia. AFIP interpuso recurso extraordinario pero el 1 de febrero 2021 presentó un escrito desistiendo del mismo, con lo cual quedó firme la sentencia de Cámara favorable a los intereses del Banco.</w:t>
      </w:r>
    </w:p>
    <w:p w14:paraId="1BE48522" w14:textId="5FFEAE52" w:rsidR="009A51A4" w:rsidRPr="00B37D0E" w:rsidRDefault="009A51A4" w:rsidP="009A51A4">
      <w:pPr>
        <w:spacing w:after="240"/>
        <w:ind w:left="426"/>
        <w:jc w:val="both"/>
        <w:rPr>
          <w:rFonts w:ascii="Times New Roman" w:hAnsi="Times New Roman"/>
          <w:sz w:val="20"/>
          <w:lang w:eastAsia="en-US"/>
        </w:rPr>
      </w:pPr>
      <w:r w:rsidRPr="00B37D0E">
        <w:rPr>
          <w:rFonts w:ascii="Times New Roman" w:hAnsi="Times New Roman"/>
          <w:sz w:val="20"/>
          <w:lang w:eastAsia="en-US"/>
        </w:rPr>
        <w:t>En este sentido, la provisión constituida por instrucción del B.C.R.A. para el año 2016 fue liberada, registrándose un resultado positivo en el primer trimestre de 2021 que asciende a 1.185.800</w:t>
      </w:r>
      <w:r w:rsidR="00E91DB5">
        <w:rPr>
          <w:rFonts w:ascii="Times New Roman" w:hAnsi="Times New Roman"/>
          <w:sz w:val="20"/>
          <w:lang w:eastAsia="en-US"/>
        </w:rPr>
        <w:t xml:space="preserve"> en valores nominales (1.437.806 en valores reexpresados al 30 de septiembre de 2021)</w:t>
      </w:r>
      <w:r w:rsidRPr="00B37D0E">
        <w:rPr>
          <w:rFonts w:ascii="Times New Roman" w:hAnsi="Times New Roman"/>
          <w:sz w:val="20"/>
          <w:lang w:eastAsia="en-US"/>
        </w:rPr>
        <w:t xml:space="preserve">, por lo tanto al 31 de marzo de 2021 la </w:t>
      </w:r>
      <w:r w:rsidRPr="00B37D0E">
        <w:rPr>
          <w:rFonts w:ascii="Times New Roman" w:hAnsi="Times New Roman"/>
          <w:sz w:val="20"/>
          <w:lang w:eastAsia="en-US"/>
        </w:rPr>
        <w:lastRenderedPageBreak/>
        <w:t>provisión contabilizada ascendía a</w:t>
      </w:r>
      <w:r>
        <w:rPr>
          <w:rFonts w:ascii="Times New Roman" w:hAnsi="Times New Roman"/>
          <w:sz w:val="20"/>
          <w:lang w:eastAsia="en-US"/>
        </w:rPr>
        <w:t xml:space="preserve"> </w:t>
      </w:r>
      <w:r w:rsidRPr="00B37D0E">
        <w:rPr>
          <w:rFonts w:ascii="Times New Roman" w:hAnsi="Times New Roman"/>
          <w:sz w:val="20"/>
          <w:lang w:eastAsia="en-US"/>
        </w:rPr>
        <w:t>4.261.279</w:t>
      </w:r>
      <w:r w:rsidR="00E91DB5">
        <w:rPr>
          <w:rFonts w:ascii="Times New Roman" w:hAnsi="Times New Roman"/>
          <w:sz w:val="20"/>
          <w:lang w:eastAsia="en-US"/>
        </w:rPr>
        <w:t xml:space="preserve"> en valores nominales (4.656.853 en valores reexpresados al 30 de septiembre de 2021)</w:t>
      </w:r>
      <w:r w:rsidRPr="00B37D0E">
        <w:rPr>
          <w:rFonts w:ascii="Times New Roman" w:hAnsi="Times New Roman"/>
          <w:sz w:val="20"/>
          <w:lang w:eastAsia="en-US"/>
        </w:rPr>
        <w:t>.</w:t>
      </w:r>
    </w:p>
    <w:p w14:paraId="28D4255F" w14:textId="7C0548B2" w:rsidR="009A51A4" w:rsidRPr="00B37D0E" w:rsidRDefault="009A51A4" w:rsidP="009A51A4">
      <w:pPr>
        <w:spacing w:after="240"/>
        <w:ind w:left="426"/>
        <w:jc w:val="both"/>
        <w:rPr>
          <w:rFonts w:ascii="Times New Roman" w:hAnsi="Times New Roman"/>
          <w:sz w:val="20"/>
          <w:lang w:eastAsia="en-US"/>
        </w:rPr>
      </w:pPr>
      <w:r w:rsidRPr="00B37D0E">
        <w:rPr>
          <w:rFonts w:ascii="Times New Roman" w:hAnsi="Times New Roman"/>
          <w:sz w:val="20"/>
          <w:lang w:eastAsia="en-US"/>
        </w:rPr>
        <w:t>Asimismo, con fecha 14 de junio de 2021 la Entidad ha obtenido una sentencia favorable de primera instancia por la acción declarativa del ejercicio 2017.</w:t>
      </w:r>
      <w:r>
        <w:rPr>
          <w:rFonts w:ascii="Times New Roman" w:hAnsi="Times New Roman"/>
          <w:sz w:val="20"/>
          <w:lang w:eastAsia="en-US"/>
        </w:rPr>
        <w:t xml:space="preserve"> Luego de apelar la sentencia a la Cámara, AFIP expresó agravios y el 3 de septiembre de 2021 presentó escrito desistiendo de la apelación interpuesta. Si bien la Cámara no aceptó el desistimiento porque la documentación presentada no acredita las facultades necesarias, al no presentar agravios entendemos que se declarará desierto el recurso.</w:t>
      </w:r>
    </w:p>
    <w:p w14:paraId="22BDB621" w14:textId="7B2A2BDD" w:rsidR="00E91DB5" w:rsidRPr="00B37D0E" w:rsidRDefault="009A51A4" w:rsidP="00E91DB5">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 xml:space="preserve">Con fecha 25 de junio de 2021 la Entidad ha notificado al B.C.R.A. </w:t>
      </w:r>
      <w:r w:rsidR="00E91DB5">
        <w:rPr>
          <w:rFonts w:ascii="Times New Roman" w:hAnsi="Times New Roman"/>
          <w:sz w:val="20"/>
          <w:lang w:eastAsia="en-US"/>
        </w:rPr>
        <w:t>la desafectación de</w:t>
      </w:r>
      <w:r w:rsidRPr="00B37D0E">
        <w:rPr>
          <w:rFonts w:ascii="Times New Roman" w:hAnsi="Times New Roman"/>
          <w:sz w:val="20"/>
          <w:lang w:eastAsia="en-US"/>
        </w:rPr>
        <w:t xml:space="preserve"> la provisión constituida de acuerdo al Memorando N° 6/2017 emitido por el B</w:t>
      </w:r>
      <w:r>
        <w:rPr>
          <w:rFonts w:ascii="Times New Roman" w:hAnsi="Times New Roman"/>
          <w:sz w:val="20"/>
          <w:lang w:eastAsia="en-US"/>
        </w:rPr>
        <w:t>.</w:t>
      </w:r>
      <w:r w:rsidRPr="00B37D0E">
        <w:rPr>
          <w:rFonts w:ascii="Times New Roman" w:hAnsi="Times New Roman"/>
          <w:sz w:val="20"/>
          <w:lang w:eastAsia="en-US"/>
        </w:rPr>
        <w:t>C</w:t>
      </w:r>
      <w:r>
        <w:rPr>
          <w:rFonts w:ascii="Times New Roman" w:hAnsi="Times New Roman"/>
          <w:sz w:val="20"/>
          <w:lang w:eastAsia="en-US"/>
        </w:rPr>
        <w:t>.</w:t>
      </w:r>
      <w:r w:rsidRPr="00B37D0E">
        <w:rPr>
          <w:rFonts w:ascii="Times New Roman" w:hAnsi="Times New Roman"/>
          <w:sz w:val="20"/>
          <w:lang w:eastAsia="en-US"/>
        </w:rPr>
        <w:t>R</w:t>
      </w:r>
      <w:r>
        <w:rPr>
          <w:rFonts w:ascii="Times New Roman" w:hAnsi="Times New Roman"/>
          <w:sz w:val="20"/>
          <w:lang w:eastAsia="en-US"/>
        </w:rPr>
        <w:t>.</w:t>
      </w:r>
      <w:r w:rsidRPr="00B37D0E">
        <w:rPr>
          <w:rFonts w:ascii="Times New Roman" w:hAnsi="Times New Roman"/>
          <w:sz w:val="20"/>
          <w:lang w:eastAsia="en-US"/>
        </w:rPr>
        <w:t>A</w:t>
      </w:r>
      <w:r>
        <w:rPr>
          <w:rFonts w:ascii="Times New Roman" w:hAnsi="Times New Roman"/>
          <w:sz w:val="20"/>
          <w:lang w:eastAsia="en-US"/>
        </w:rPr>
        <w:t>.</w:t>
      </w:r>
      <w:r w:rsidRPr="00B37D0E">
        <w:rPr>
          <w:rFonts w:ascii="Times New Roman" w:hAnsi="Times New Roman"/>
          <w:sz w:val="20"/>
          <w:lang w:eastAsia="en-US"/>
        </w:rPr>
        <w:t xml:space="preserve"> en relación a la reliquidación del impuesto a las ganancias por el ajuste por inflación impositivo por los ejercicios 2017 y 2018 por un total de</w:t>
      </w:r>
      <w:r>
        <w:rPr>
          <w:rFonts w:ascii="Times New Roman" w:hAnsi="Times New Roman"/>
          <w:sz w:val="20"/>
          <w:lang w:eastAsia="en-US"/>
        </w:rPr>
        <w:t xml:space="preserve"> </w:t>
      </w:r>
      <w:r w:rsidRPr="00B37D0E">
        <w:rPr>
          <w:rFonts w:ascii="Times New Roman" w:hAnsi="Times New Roman"/>
          <w:sz w:val="20"/>
          <w:lang w:eastAsia="en-US"/>
        </w:rPr>
        <w:t>4.261.279</w:t>
      </w:r>
      <w:r w:rsidR="00E91DB5">
        <w:rPr>
          <w:rFonts w:ascii="Times New Roman" w:hAnsi="Times New Roman"/>
          <w:sz w:val="20"/>
          <w:lang w:eastAsia="en-US"/>
        </w:rPr>
        <w:t xml:space="preserve"> en valores nominales (4.656.853 en valores reexpresados al 30 de septiembre de 2021)</w:t>
      </w:r>
      <w:r w:rsidRPr="00B37D0E">
        <w:rPr>
          <w:rFonts w:ascii="Times New Roman" w:hAnsi="Times New Roman"/>
          <w:sz w:val="20"/>
          <w:lang w:eastAsia="en-US"/>
        </w:rPr>
        <w:t>, debido a que como resultado de la evaluación realizada y sobre la base de la opinión obtenida de sus asesores legales e impositivos, la Entidad considera que son más altas las posibilidades de obtener una sentencia judicial de última instancia favorable respecto de esos períodos fiscales.</w:t>
      </w:r>
      <w:r w:rsidR="00E91DB5" w:rsidRPr="00B37D0E">
        <w:rPr>
          <w:rFonts w:ascii="Times New Roman" w:hAnsi="Times New Roman"/>
          <w:sz w:val="20"/>
          <w:lang w:eastAsia="en-US"/>
        </w:rPr>
        <w:t xml:space="preserve"> La Entidad ha notificado al B.C.R.A. sobre el criterio adoptado recibiendo su conformidad al respecto.  </w:t>
      </w:r>
    </w:p>
    <w:p w14:paraId="6DAA73F1" w14:textId="4B03719E" w:rsidR="009A51A4" w:rsidRPr="00B37D0E" w:rsidRDefault="009A51A4" w:rsidP="009A51A4">
      <w:pPr>
        <w:tabs>
          <w:tab w:val="left" w:pos="9211"/>
        </w:tabs>
        <w:ind w:left="426" w:right="-18"/>
        <w:jc w:val="both"/>
        <w:rPr>
          <w:rFonts w:ascii="Times New Roman" w:hAnsi="Times New Roman"/>
          <w:sz w:val="20"/>
          <w:lang w:eastAsia="en-US"/>
        </w:rPr>
      </w:pPr>
    </w:p>
    <w:p w14:paraId="038F22EF" w14:textId="3758A96A" w:rsidR="009A51A4" w:rsidRPr="00B37D0E"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 xml:space="preserve">Al 30 de </w:t>
      </w:r>
      <w:r w:rsidR="00E91DB5">
        <w:rPr>
          <w:rFonts w:ascii="Times New Roman" w:hAnsi="Times New Roman"/>
          <w:sz w:val="20"/>
          <w:lang w:eastAsia="en-US"/>
        </w:rPr>
        <w:t>septiembre</w:t>
      </w:r>
      <w:r w:rsidRPr="00B37D0E">
        <w:rPr>
          <w:rFonts w:ascii="Times New Roman" w:hAnsi="Times New Roman"/>
          <w:sz w:val="20"/>
          <w:lang w:eastAsia="en-US"/>
        </w:rPr>
        <w:t xml:space="preserve"> de 2021 la Entidad ha desafectado la “Provisión por otras contingencias - por reliquidación del impuesto a las ganancias por ajuste por inflación” por</w:t>
      </w:r>
      <w:r>
        <w:rPr>
          <w:rFonts w:ascii="Times New Roman" w:hAnsi="Times New Roman"/>
          <w:sz w:val="20"/>
          <w:lang w:eastAsia="en-US"/>
        </w:rPr>
        <w:t xml:space="preserve"> </w:t>
      </w:r>
      <w:r w:rsidR="00E91DB5" w:rsidRPr="00B37D0E">
        <w:rPr>
          <w:rFonts w:ascii="Times New Roman" w:hAnsi="Times New Roman"/>
          <w:sz w:val="20"/>
          <w:lang w:eastAsia="en-US"/>
        </w:rPr>
        <w:t>4.261.279</w:t>
      </w:r>
      <w:r w:rsidR="00E91DB5">
        <w:rPr>
          <w:rFonts w:ascii="Times New Roman" w:hAnsi="Times New Roman"/>
          <w:sz w:val="20"/>
          <w:lang w:eastAsia="en-US"/>
        </w:rPr>
        <w:t xml:space="preserve"> en valores nominales (4.656.853 en valores reexpresados al 30 de septiembre de 2021).</w:t>
      </w:r>
    </w:p>
    <w:p w14:paraId="253BEBB7" w14:textId="77777777" w:rsidR="009A51A4" w:rsidRPr="00B37D0E" w:rsidRDefault="009A51A4" w:rsidP="009A51A4">
      <w:pPr>
        <w:tabs>
          <w:tab w:val="left" w:pos="9211"/>
        </w:tabs>
        <w:ind w:left="426" w:right="-18"/>
        <w:jc w:val="both"/>
        <w:rPr>
          <w:rFonts w:ascii="Times New Roman" w:hAnsi="Times New Roman"/>
          <w:sz w:val="20"/>
          <w:lang w:eastAsia="en-US"/>
        </w:rPr>
      </w:pPr>
    </w:p>
    <w:p w14:paraId="06CE8A80" w14:textId="77777777" w:rsidR="009A51A4" w:rsidRPr="00B37D0E" w:rsidRDefault="009A51A4" w:rsidP="009A51A4">
      <w:pPr>
        <w:pStyle w:val="Prrafodelista"/>
        <w:numPr>
          <w:ilvl w:val="0"/>
          <w:numId w:val="39"/>
        </w:numPr>
        <w:ind w:left="709" w:hanging="283"/>
        <w:contextualSpacing/>
        <w:rPr>
          <w:b/>
          <w:sz w:val="20"/>
          <w:lang w:val="es-AR"/>
        </w:rPr>
      </w:pPr>
      <w:r w:rsidRPr="00B37D0E">
        <w:rPr>
          <w:b/>
          <w:sz w:val="20"/>
          <w:lang w:val="es-AR"/>
        </w:rPr>
        <w:t>Ajuste por inflación impositivo. Ejercicio Fiscal 2019</w:t>
      </w:r>
    </w:p>
    <w:p w14:paraId="3CA3FAC3"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lang w:eastAsia="en-US"/>
        </w:rPr>
      </w:pPr>
      <w:r w:rsidRPr="00B37D0E">
        <w:rPr>
          <w:rFonts w:ascii="Times New Roman" w:hAnsi="Times New Roman"/>
          <w:sz w:val="20"/>
          <w:lang w:eastAsia="en-US"/>
        </w:rPr>
        <w:tab/>
      </w:r>
    </w:p>
    <w:p w14:paraId="79D7CF65"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r w:rsidRPr="00B37D0E">
        <w:rPr>
          <w:rFonts w:ascii="Times New Roman" w:hAnsi="Times New Roman"/>
          <w:sz w:val="20"/>
          <w:lang w:eastAsia="en-US"/>
        </w:rPr>
        <w:t>En relación con el ejercicio fiscal 2019, la Entidad determinó el impuesto a las ganancias aplicando el ajuste por inflación impositivo de acuerdo a lo previsto en l</w:t>
      </w:r>
      <w:r w:rsidRPr="00B37D0E">
        <w:rPr>
          <w:rFonts w:ascii="Times New Roman" w:hAnsi="Times New Roman"/>
          <w:sz w:val="20"/>
        </w:rPr>
        <w:t>a Ley de Solidaridad Social y Reactivación Productiva (LSSRP) – B.O. 23 de diciembre de 2019 – que mantuvo la aplicación del mecanismo de ajuste por inflación establecido en el título VI de la Ley de Impuesto a las Ganancias (LIG), pero considerado un sexto en ese período fiscal y los cinco sextos restantes en partes iguales en los 5 períodos fiscales inmediatos siguientes. Dicho diferimiento ha sido reconocido como activo por impuesto diferido.</w:t>
      </w:r>
    </w:p>
    <w:p w14:paraId="673C5D9C"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p>
    <w:p w14:paraId="11E016B2" w14:textId="77777777" w:rsidR="009A51A4" w:rsidRPr="00B37D0E" w:rsidRDefault="009A51A4" w:rsidP="009A51A4">
      <w:pPr>
        <w:autoSpaceDE w:val="0"/>
        <w:autoSpaceDN w:val="0"/>
        <w:adjustRightInd w:val="0"/>
        <w:ind w:left="426"/>
        <w:jc w:val="both"/>
        <w:rPr>
          <w:rFonts w:ascii="Times New Roman" w:hAnsi="Times New Roman"/>
          <w:sz w:val="20"/>
          <w:lang w:eastAsia="en-US"/>
        </w:rPr>
      </w:pPr>
      <w:r w:rsidRPr="00B37D0E">
        <w:rPr>
          <w:rFonts w:ascii="Times New Roman" w:hAnsi="Times New Roman"/>
          <w:sz w:val="20"/>
          <w:lang w:eastAsia="en-US"/>
        </w:rPr>
        <w:t xml:space="preserve">El 21 de agosto de 2020 se interpuso reclamo administrativo previo de repetición, de acuerdo a las disposiciones del primer párrafo del art. 81 de la ley 11.683 (T.O. 1998 y modif.) a fin de obtener la devolución de la suma de </w:t>
      </w:r>
      <w:r>
        <w:rPr>
          <w:rFonts w:ascii="Times New Roman" w:hAnsi="Times New Roman"/>
          <w:sz w:val="20"/>
          <w:lang w:eastAsia="en-US"/>
        </w:rPr>
        <w:t xml:space="preserve">VN </w:t>
      </w:r>
      <w:r w:rsidRPr="00B37D0E">
        <w:rPr>
          <w:rFonts w:ascii="Times New Roman" w:hAnsi="Times New Roman"/>
          <w:sz w:val="20"/>
          <w:lang w:eastAsia="en-US"/>
        </w:rPr>
        <w:t>4.528.453 (en valores nominales).</w:t>
      </w:r>
    </w:p>
    <w:p w14:paraId="5CD36927" w14:textId="77777777" w:rsidR="009A51A4" w:rsidRPr="00B37D0E" w:rsidRDefault="009A51A4" w:rsidP="009A51A4">
      <w:pPr>
        <w:ind w:left="426"/>
        <w:jc w:val="both"/>
        <w:rPr>
          <w:rFonts w:ascii="Times New Roman" w:hAnsi="Times New Roman"/>
          <w:sz w:val="20"/>
          <w:lang w:eastAsia="en-US"/>
        </w:rPr>
      </w:pPr>
    </w:p>
    <w:p w14:paraId="3575E9BD" w14:textId="77777777" w:rsidR="009A51A4" w:rsidRPr="00B37D0E"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En aplicación del marco contable establecido por el B.C.R.A., la Entidad no registra activos en relación con los activos contingentes derivados del recurso presentado.</w:t>
      </w:r>
    </w:p>
    <w:p w14:paraId="0794D912" w14:textId="77777777" w:rsidR="009A51A4" w:rsidRPr="00B37D0E" w:rsidRDefault="009A51A4" w:rsidP="009A51A4">
      <w:pPr>
        <w:tabs>
          <w:tab w:val="left" w:pos="8789"/>
        </w:tabs>
        <w:autoSpaceDE w:val="0"/>
        <w:autoSpaceDN w:val="0"/>
        <w:adjustRightInd w:val="0"/>
        <w:ind w:left="426"/>
        <w:jc w:val="both"/>
        <w:rPr>
          <w:rFonts w:ascii="Times New Roman" w:hAnsi="Times New Roman"/>
          <w:sz w:val="20"/>
        </w:rPr>
      </w:pPr>
    </w:p>
    <w:p w14:paraId="7458401B" w14:textId="77777777" w:rsidR="009A51A4" w:rsidRPr="00B37D0E" w:rsidRDefault="009A51A4" w:rsidP="009A51A4">
      <w:pPr>
        <w:pStyle w:val="Prrafodelista"/>
        <w:numPr>
          <w:ilvl w:val="0"/>
          <w:numId w:val="39"/>
        </w:numPr>
        <w:tabs>
          <w:tab w:val="left" w:pos="8789"/>
        </w:tabs>
        <w:autoSpaceDE w:val="0"/>
        <w:autoSpaceDN w:val="0"/>
        <w:adjustRightInd w:val="0"/>
        <w:ind w:left="709" w:hanging="283"/>
        <w:contextualSpacing/>
        <w:jc w:val="both"/>
        <w:rPr>
          <w:b/>
          <w:sz w:val="20"/>
          <w:lang w:val="es-AR"/>
        </w:rPr>
      </w:pPr>
      <w:r w:rsidRPr="00B37D0E">
        <w:rPr>
          <w:b/>
          <w:sz w:val="20"/>
          <w:lang w:val="es-AR"/>
        </w:rPr>
        <w:t>Ajuste por inflación impositivo. Ejercicio Fiscal 2020</w:t>
      </w:r>
    </w:p>
    <w:p w14:paraId="78A05154" w14:textId="77777777" w:rsidR="009A51A4" w:rsidRPr="00B37D0E" w:rsidRDefault="009A51A4" w:rsidP="009A51A4">
      <w:pPr>
        <w:pStyle w:val="Prrafodelista"/>
        <w:tabs>
          <w:tab w:val="left" w:pos="8789"/>
        </w:tabs>
        <w:autoSpaceDE w:val="0"/>
        <w:autoSpaceDN w:val="0"/>
        <w:adjustRightInd w:val="0"/>
        <w:ind w:left="426"/>
        <w:contextualSpacing/>
        <w:jc w:val="both"/>
        <w:rPr>
          <w:sz w:val="20"/>
          <w:lang w:val="es-AR"/>
        </w:rPr>
      </w:pPr>
    </w:p>
    <w:p w14:paraId="395CF7BB" w14:textId="77777777" w:rsidR="009A51A4" w:rsidRPr="00B37D0E" w:rsidRDefault="009A51A4" w:rsidP="009A51A4">
      <w:pPr>
        <w:autoSpaceDE w:val="0"/>
        <w:autoSpaceDN w:val="0"/>
        <w:adjustRightInd w:val="0"/>
        <w:ind w:left="426"/>
        <w:jc w:val="both"/>
        <w:rPr>
          <w:rFonts w:ascii="Times New Roman" w:eastAsiaTheme="minorHAnsi" w:hAnsi="Times New Roman"/>
          <w:sz w:val="20"/>
          <w:lang w:eastAsia="en-US"/>
        </w:rPr>
      </w:pPr>
      <w:r w:rsidRPr="00B37D0E">
        <w:rPr>
          <w:rFonts w:ascii="Times New Roman" w:hAnsi="Times New Roman"/>
          <w:color w:val="000000"/>
          <w:sz w:val="20"/>
        </w:rPr>
        <w:t xml:space="preserve">Con fecha 26 de mayo de 2021, y sobre la base de los antecedentes resultantes de jurisprudencia relacionada, el Directorio de la Entidad aprobó la presentación de una </w:t>
      </w:r>
      <w:r w:rsidRPr="00B37D0E">
        <w:rPr>
          <w:rFonts w:ascii="Times New Roman" w:eastAsiaTheme="minorHAnsi" w:hAnsi="Times New Roman"/>
          <w:sz w:val="20"/>
          <w:lang w:eastAsia="en-US"/>
        </w:rPr>
        <w:t xml:space="preserve">acción declarativa de inconstitucionalidad contra la Administración Federal de Ingresos Públicos –Dirección General Impositiva (AFIP-DGI), a fin de obtener un pronunciamiento que declare la inconstitucionalidad del art. 194 de la Ley de Impuesto a las Ganancias (T.O. 2019) y/o de las normas que impiden la aplicación integral del mecanismo de ajuste por inflación impositivo por conllevar la determinación de un Impuesto a las Ganancias confiscatorio en el período fiscal 2020 y, en </w:t>
      </w:r>
      <w:r w:rsidRPr="00B37D0E">
        <w:rPr>
          <w:rFonts w:ascii="Times New Roman" w:eastAsiaTheme="minorHAnsi" w:hAnsi="Times New Roman"/>
          <w:sz w:val="20"/>
          <w:lang w:eastAsia="en-US"/>
        </w:rPr>
        <w:lastRenderedPageBreak/>
        <w:t>consecuencia, permita la aplicación integral del mecanismo previsto en el art. 106 –incisos a) a e) -que integra el Título VI de la Ley del Impuesto a las Ganancias en el propio ejercicio fiscal.</w:t>
      </w:r>
    </w:p>
    <w:p w14:paraId="3E989048" w14:textId="77777777" w:rsidR="009A51A4" w:rsidRPr="00B37D0E" w:rsidRDefault="009A51A4" w:rsidP="009A51A4">
      <w:pPr>
        <w:autoSpaceDE w:val="0"/>
        <w:autoSpaceDN w:val="0"/>
        <w:adjustRightInd w:val="0"/>
        <w:ind w:left="426"/>
        <w:jc w:val="both"/>
        <w:rPr>
          <w:rFonts w:ascii="Times New Roman" w:eastAsiaTheme="minorHAnsi" w:hAnsi="Times New Roman"/>
          <w:sz w:val="20"/>
          <w:lang w:eastAsia="en-US"/>
        </w:rPr>
      </w:pPr>
    </w:p>
    <w:p w14:paraId="7DE401B4" w14:textId="61C8B465" w:rsidR="009A51A4" w:rsidRPr="00B37D0E" w:rsidRDefault="009A51A4" w:rsidP="009A51A4">
      <w:pPr>
        <w:autoSpaceDE w:val="0"/>
        <w:autoSpaceDN w:val="0"/>
        <w:adjustRightInd w:val="0"/>
        <w:ind w:left="426"/>
        <w:jc w:val="both"/>
        <w:rPr>
          <w:rFonts w:ascii="Times New Roman" w:eastAsiaTheme="minorHAnsi" w:hAnsi="Times New Roman"/>
          <w:sz w:val="20"/>
        </w:rPr>
      </w:pPr>
      <w:r w:rsidRPr="00B37D0E">
        <w:rPr>
          <w:rFonts w:ascii="Times New Roman" w:eastAsiaTheme="minorHAnsi" w:hAnsi="Times New Roman"/>
          <w:sz w:val="20"/>
        </w:rPr>
        <w:t xml:space="preserve">Por lo tanto, al 30 de </w:t>
      </w:r>
      <w:r w:rsidR="00E91DB5">
        <w:rPr>
          <w:rFonts w:ascii="Times New Roman" w:eastAsiaTheme="minorHAnsi" w:hAnsi="Times New Roman"/>
          <w:sz w:val="20"/>
        </w:rPr>
        <w:t>septiembre</w:t>
      </w:r>
      <w:r w:rsidRPr="00B37D0E">
        <w:rPr>
          <w:rFonts w:ascii="Times New Roman" w:eastAsiaTheme="minorHAnsi" w:hAnsi="Times New Roman"/>
          <w:sz w:val="20"/>
        </w:rPr>
        <w:t xml:space="preserve"> de 2021 la Entidad ha registrado un ajuste</w:t>
      </w:r>
      <w:r w:rsidR="00241FFD">
        <w:rPr>
          <w:rFonts w:ascii="Times New Roman" w:eastAsiaTheme="minorHAnsi" w:hAnsi="Times New Roman"/>
          <w:sz w:val="20"/>
        </w:rPr>
        <w:t xml:space="preserve"> en valores nominales</w:t>
      </w:r>
      <w:r w:rsidRPr="00B37D0E">
        <w:rPr>
          <w:rFonts w:ascii="Times New Roman" w:eastAsiaTheme="minorHAnsi" w:hAnsi="Times New Roman"/>
          <w:sz w:val="20"/>
        </w:rPr>
        <w:t xml:space="preserve"> en el impuesto a las ganancias determinado en relación con el ejercicio finalizado el 31 de diciembre de 2020 de 5.817.000 con efecto en el activo por impuesto diferido </w:t>
      </w:r>
      <w:r w:rsidR="00241FFD">
        <w:rPr>
          <w:rFonts w:ascii="Times New Roman" w:eastAsiaTheme="minorHAnsi" w:hAnsi="Times New Roman"/>
          <w:sz w:val="20"/>
        </w:rPr>
        <w:t>de</w:t>
      </w:r>
      <w:r>
        <w:rPr>
          <w:rFonts w:ascii="Times New Roman" w:eastAsiaTheme="minorHAnsi" w:hAnsi="Times New Roman"/>
          <w:sz w:val="20"/>
        </w:rPr>
        <w:t xml:space="preserve"> </w:t>
      </w:r>
      <w:r w:rsidRPr="00B37D0E">
        <w:rPr>
          <w:rFonts w:ascii="Times New Roman" w:eastAsiaTheme="minorHAnsi" w:hAnsi="Times New Roman"/>
          <w:sz w:val="20"/>
        </w:rPr>
        <w:t xml:space="preserve">5.033.000 (disminución) y en el cargo </w:t>
      </w:r>
      <w:r w:rsidR="00241FFD">
        <w:rPr>
          <w:rFonts w:ascii="Times New Roman" w:eastAsiaTheme="minorHAnsi" w:hAnsi="Times New Roman"/>
          <w:sz w:val="20"/>
        </w:rPr>
        <w:t>por impuesto a las ganancias de</w:t>
      </w:r>
      <w:r>
        <w:rPr>
          <w:rFonts w:ascii="Times New Roman" w:eastAsiaTheme="minorHAnsi" w:hAnsi="Times New Roman"/>
          <w:sz w:val="20"/>
        </w:rPr>
        <w:t xml:space="preserve"> </w:t>
      </w:r>
      <w:r w:rsidRPr="00B37D0E">
        <w:rPr>
          <w:rFonts w:ascii="Times New Roman" w:eastAsiaTheme="minorHAnsi" w:hAnsi="Times New Roman"/>
          <w:sz w:val="20"/>
        </w:rPr>
        <w:t>784.000.</w:t>
      </w:r>
    </w:p>
    <w:p w14:paraId="2F2257A5" w14:textId="77777777" w:rsidR="009A51A4" w:rsidRPr="00B37D0E" w:rsidRDefault="009A51A4" w:rsidP="009A51A4">
      <w:pPr>
        <w:tabs>
          <w:tab w:val="left" w:pos="9211"/>
        </w:tabs>
        <w:ind w:left="426" w:right="-18"/>
        <w:jc w:val="both"/>
        <w:rPr>
          <w:rFonts w:ascii="Times New Roman" w:hAnsi="Times New Roman"/>
          <w:sz w:val="20"/>
          <w:lang w:eastAsia="en-US"/>
        </w:rPr>
      </w:pPr>
    </w:p>
    <w:p w14:paraId="53891527" w14:textId="77777777" w:rsidR="009A51A4" w:rsidRPr="00B37D0E" w:rsidRDefault="009A51A4" w:rsidP="009A51A4">
      <w:pPr>
        <w:pStyle w:val="Prrafodelista"/>
        <w:numPr>
          <w:ilvl w:val="0"/>
          <w:numId w:val="39"/>
        </w:numPr>
        <w:ind w:left="709" w:hanging="283"/>
        <w:contextualSpacing/>
        <w:rPr>
          <w:b/>
          <w:sz w:val="20"/>
          <w:lang w:val="es-AR"/>
        </w:rPr>
      </w:pPr>
      <w:r w:rsidRPr="00B37D0E">
        <w:rPr>
          <w:b/>
          <w:sz w:val="20"/>
          <w:lang w:val="es-AR"/>
        </w:rPr>
        <w:t>Recursos de repetición. Ejercicios fiscales 2013, 2014 y 2015</w:t>
      </w:r>
    </w:p>
    <w:p w14:paraId="4CFD6C8F" w14:textId="77777777" w:rsidR="009A51A4" w:rsidRPr="00B37D0E" w:rsidRDefault="009A51A4" w:rsidP="009A51A4">
      <w:pPr>
        <w:tabs>
          <w:tab w:val="left" w:pos="9211"/>
        </w:tabs>
        <w:ind w:left="426" w:right="-18"/>
        <w:jc w:val="both"/>
        <w:rPr>
          <w:rFonts w:ascii="Times New Roman" w:hAnsi="Times New Roman"/>
          <w:sz w:val="20"/>
          <w:lang w:eastAsia="en-US"/>
        </w:rPr>
      </w:pPr>
    </w:p>
    <w:p w14:paraId="313A794D" w14:textId="2C093E1D" w:rsidR="009A51A4"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 xml:space="preserve">En relación con los ejercicios fiscales 2013, 2014 y 2015, la Entidad determinó el impuesto a las ganancias sin aplicar el ajuste por inflación impositivo, resultando en un mayor impuesto ingresado por 264.257, 647.945 y 555.002 en esos períodos </w:t>
      </w:r>
      <w:r w:rsidR="00E91DB5">
        <w:rPr>
          <w:rFonts w:ascii="Times New Roman" w:hAnsi="Times New Roman"/>
          <w:sz w:val="20"/>
          <w:lang w:eastAsia="en-US"/>
        </w:rPr>
        <w:t>en valores nominales</w:t>
      </w:r>
      <w:r w:rsidRPr="00B37D0E">
        <w:rPr>
          <w:rFonts w:ascii="Times New Roman" w:hAnsi="Times New Roman"/>
          <w:sz w:val="20"/>
          <w:lang w:eastAsia="en-US"/>
        </w:rPr>
        <w:t>.</w:t>
      </w:r>
    </w:p>
    <w:p w14:paraId="6BBD828C" w14:textId="77777777" w:rsidR="00241FFD" w:rsidRPr="00B37D0E" w:rsidRDefault="00241FFD" w:rsidP="009A51A4">
      <w:pPr>
        <w:tabs>
          <w:tab w:val="left" w:pos="9211"/>
        </w:tabs>
        <w:ind w:left="426" w:right="-18"/>
        <w:jc w:val="both"/>
        <w:rPr>
          <w:rFonts w:ascii="Times New Roman" w:hAnsi="Times New Roman"/>
          <w:sz w:val="20"/>
          <w:lang w:eastAsia="en-US"/>
        </w:rPr>
      </w:pPr>
    </w:p>
    <w:p w14:paraId="2B4C4029" w14:textId="77777777" w:rsidR="009A51A4" w:rsidRPr="00B37D0E"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Sobre la base de los argumentos indicados en el apartado anterior, con fecha 19 de noviembre de 2015 se interpuso reclamo administrativo previo de repetición en relación con los períodos 2013 y 2014, iniciándose el 23 de septiembre de 2016 la respectiva demanda judicial para ambos períodos ante el silencio de la administración.</w:t>
      </w:r>
    </w:p>
    <w:p w14:paraId="27463FC9" w14:textId="77777777" w:rsidR="009A51A4" w:rsidRPr="00B37D0E" w:rsidRDefault="009A51A4" w:rsidP="009A51A4">
      <w:pPr>
        <w:tabs>
          <w:tab w:val="left" w:pos="9211"/>
        </w:tabs>
        <w:ind w:left="426" w:right="-18"/>
        <w:jc w:val="both"/>
        <w:rPr>
          <w:rFonts w:ascii="Times New Roman" w:hAnsi="Times New Roman"/>
          <w:sz w:val="20"/>
          <w:lang w:eastAsia="en-US"/>
        </w:rPr>
      </w:pPr>
    </w:p>
    <w:p w14:paraId="4D09C228" w14:textId="77777777" w:rsidR="009A51A4" w:rsidRPr="00B37D0E"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Por otra parte, con fecha 4 de abril de 2017 se solicitó la repetición del mayor impuesto ingresado para el ejercicio fiscal 2015. Asimismo, con fecha 29 de diciembre de 2017 se inició la respectiva demanda judicial correspondiente a este ejercicio.</w:t>
      </w:r>
    </w:p>
    <w:p w14:paraId="0A6A64F5" w14:textId="77777777" w:rsidR="009A51A4" w:rsidRPr="00B37D0E" w:rsidRDefault="009A51A4" w:rsidP="009A51A4">
      <w:pPr>
        <w:tabs>
          <w:tab w:val="left" w:pos="9211"/>
        </w:tabs>
        <w:ind w:left="426" w:right="-18"/>
        <w:jc w:val="both"/>
        <w:rPr>
          <w:rFonts w:ascii="Times New Roman" w:hAnsi="Times New Roman"/>
          <w:sz w:val="20"/>
          <w:lang w:eastAsia="en-US"/>
        </w:rPr>
      </w:pPr>
    </w:p>
    <w:p w14:paraId="2EAFB81D" w14:textId="77777777" w:rsidR="009A51A4" w:rsidRPr="00B37D0E"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Con fecha 21 de octubre de 2020 la Entidad ha tomado conocimiento que el Juzgado de Primera Instancia en lo Contencioso Administrativo Federal Nª 1, dictó sentencia haciendo lugar a la repetición solicitada por el Banco por el período fiscal 2014. La Administración Federal de Ingresos Públicos (AFIP) apeló dicha sentencia ante la Cámara.</w:t>
      </w:r>
    </w:p>
    <w:p w14:paraId="2636F15A" w14:textId="77777777" w:rsidR="009A51A4" w:rsidRPr="00B37D0E" w:rsidRDefault="009A51A4" w:rsidP="009A51A4">
      <w:pPr>
        <w:tabs>
          <w:tab w:val="left" w:pos="9211"/>
        </w:tabs>
        <w:ind w:left="426" w:right="-18"/>
        <w:jc w:val="both"/>
        <w:rPr>
          <w:rFonts w:ascii="Times New Roman" w:hAnsi="Times New Roman"/>
          <w:sz w:val="20"/>
          <w:lang w:eastAsia="en-US"/>
        </w:rPr>
      </w:pPr>
    </w:p>
    <w:p w14:paraId="24D5C1BE" w14:textId="77777777" w:rsidR="009A51A4" w:rsidRPr="00B37D0E" w:rsidRDefault="009A51A4" w:rsidP="009A51A4">
      <w:pPr>
        <w:autoSpaceDE w:val="0"/>
        <w:autoSpaceDN w:val="0"/>
        <w:adjustRightInd w:val="0"/>
        <w:ind w:left="426"/>
        <w:jc w:val="both"/>
        <w:rPr>
          <w:rFonts w:ascii="Times New Roman" w:hAnsi="Times New Roman"/>
          <w:sz w:val="20"/>
          <w:lang w:eastAsia="en-US"/>
        </w:rPr>
      </w:pPr>
      <w:r w:rsidRPr="00B37D0E">
        <w:rPr>
          <w:rFonts w:ascii="Times New Roman" w:hAnsi="Times New Roman"/>
          <w:sz w:val="20"/>
          <w:lang w:eastAsia="en-US"/>
        </w:rPr>
        <w:t>El 10 de noviembre de 2020 se dictó sentencia de primera instancia haciendo lugar a la demanda entablada por BBVA Argentina ordenando en consecuencia que el Fisco Nacional proceda al reintegro de la suma de 264.257 abonada en exceso en concepto de Impuesto a las Ganancias por el ejercicio fiscal 2013, con más sus intereses. El fisco Nacional apeló la sentencia a la Cámara, y f</w:t>
      </w:r>
      <w:r w:rsidRPr="00B37D0E">
        <w:rPr>
          <w:rFonts w:ascii="Times New Roman" w:eastAsiaTheme="minorHAnsi" w:hAnsi="Times New Roman"/>
          <w:sz w:val="20"/>
          <w:lang w:eastAsia="en-US"/>
        </w:rPr>
        <w:t xml:space="preserve">inalmente, con fecha 6 de mayo de 2021 la Sala I de la Cámara Nacional de Apelaciones en lo Contencioso Administrativo Federal resolvió confirmar la sentencia </w:t>
      </w:r>
      <w:r w:rsidRPr="003F251A">
        <w:rPr>
          <w:rFonts w:ascii="Times New Roman" w:hAnsi="Times New Roman"/>
          <w:sz w:val="20"/>
          <w:lang w:eastAsia="en-US"/>
        </w:rPr>
        <w:t xml:space="preserve">apelada en cuanto al fondo -desestimando así el recurso interpuesto por el Fisco Nacional. </w:t>
      </w:r>
    </w:p>
    <w:p w14:paraId="37766AC5" w14:textId="77777777" w:rsidR="009A51A4" w:rsidRPr="00B37D0E" w:rsidRDefault="009A51A4" w:rsidP="009A51A4">
      <w:pPr>
        <w:autoSpaceDE w:val="0"/>
        <w:autoSpaceDN w:val="0"/>
        <w:adjustRightInd w:val="0"/>
        <w:ind w:left="426"/>
        <w:jc w:val="both"/>
        <w:rPr>
          <w:rFonts w:ascii="Times New Roman" w:hAnsi="Times New Roman"/>
          <w:sz w:val="20"/>
          <w:lang w:eastAsia="en-US"/>
        </w:rPr>
      </w:pPr>
    </w:p>
    <w:p w14:paraId="54EACBC0" w14:textId="77777777" w:rsidR="009A51A4" w:rsidRPr="00B37D0E" w:rsidRDefault="009A51A4" w:rsidP="009A51A4">
      <w:pPr>
        <w:ind w:left="426"/>
        <w:jc w:val="both"/>
        <w:rPr>
          <w:rFonts w:ascii="Times New Roman" w:hAnsi="Times New Roman"/>
          <w:sz w:val="20"/>
          <w:lang w:eastAsia="en-US"/>
        </w:rPr>
      </w:pPr>
      <w:r w:rsidRPr="00B37D0E">
        <w:rPr>
          <w:rFonts w:ascii="Times New Roman" w:hAnsi="Times New Roman"/>
          <w:sz w:val="20"/>
          <w:lang w:eastAsia="en-US"/>
        </w:rPr>
        <w:t>Con fecha 27 de abril de 2021, la Cámara ha dictado sentencia a favor del Banco en la repetición del impuesto a las ganancias del periodo fiscal 2014, confirmando en lo sustancial la sentencia dictada por la primera instancia respecto de la cuestión de fondo, considerando configurada la confiscatoriedad.</w:t>
      </w:r>
    </w:p>
    <w:p w14:paraId="4E9769D4" w14:textId="77777777" w:rsidR="009A51A4" w:rsidRPr="00B37D0E" w:rsidRDefault="009A51A4" w:rsidP="009A51A4">
      <w:pPr>
        <w:ind w:left="426"/>
        <w:jc w:val="both"/>
        <w:rPr>
          <w:rFonts w:ascii="Times New Roman" w:hAnsi="Times New Roman"/>
          <w:sz w:val="20"/>
          <w:lang w:eastAsia="en-US"/>
        </w:rPr>
      </w:pPr>
    </w:p>
    <w:p w14:paraId="21C3C521" w14:textId="045DA449" w:rsidR="009A51A4" w:rsidRPr="00B37D0E" w:rsidRDefault="009A51A4" w:rsidP="009A51A4">
      <w:pPr>
        <w:ind w:left="426"/>
        <w:jc w:val="both"/>
        <w:rPr>
          <w:rFonts w:ascii="Times New Roman" w:hAnsi="Times New Roman"/>
          <w:sz w:val="20"/>
          <w:lang w:eastAsia="en-US"/>
        </w:rPr>
      </w:pPr>
      <w:r w:rsidRPr="00B37D0E">
        <w:rPr>
          <w:rFonts w:ascii="Times New Roman" w:hAnsi="Times New Roman"/>
          <w:sz w:val="20"/>
          <w:lang w:eastAsia="en-US"/>
        </w:rPr>
        <w:t xml:space="preserve">En </w:t>
      </w:r>
      <w:r w:rsidRPr="00303474">
        <w:rPr>
          <w:rFonts w:ascii="Times New Roman" w:hAnsi="Times New Roman"/>
          <w:sz w:val="20"/>
          <w:lang w:eastAsia="en-US"/>
        </w:rPr>
        <w:t>ambos casos, el Fisco Nacional ha presentado recurso extraordinario federal</w:t>
      </w:r>
      <w:r w:rsidR="003F251A" w:rsidRPr="00303474">
        <w:rPr>
          <w:rFonts w:ascii="Times New Roman" w:hAnsi="Times New Roman"/>
          <w:sz w:val="20"/>
          <w:lang w:eastAsia="en-US"/>
        </w:rPr>
        <w:t xml:space="preserve"> y la Cámara ha rechazado dicho recurso respecto de los planteos de arbitrariedad y gravedad institucional.  Los expedientes se encuentran en la Corte Suprema</w:t>
      </w:r>
      <w:r w:rsidRPr="00303474">
        <w:rPr>
          <w:rFonts w:ascii="Times New Roman" w:hAnsi="Times New Roman"/>
          <w:sz w:val="20"/>
          <w:lang w:eastAsia="en-US"/>
        </w:rPr>
        <w:t>.</w:t>
      </w:r>
    </w:p>
    <w:p w14:paraId="6E6E5808" w14:textId="77777777" w:rsidR="009A51A4" w:rsidRPr="00B37D0E" w:rsidRDefault="009A51A4" w:rsidP="009A51A4">
      <w:pPr>
        <w:autoSpaceDE w:val="0"/>
        <w:autoSpaceDN w:val="0"/>
        <w:adjustRightInd w:val="0"/>
        <w:ind w:left="426"/>
        <w:jc w:val="both"/>
        <w:rPr>
          <w:rFonts w:ascii="Times New Roman" w:hAnsi="Times New Roman"/>
          <w:sz w:val="20"/>
          <w:lang w:eastAsia="en-US"/>
        </w:rPr>
      </w:pPr>
    </w:p>
    <w:p w14:paraId="1A340AF8" w14:textId="77777777" w:rsidR="009A51A4" w:rsidRPr="001061CD" w:rsidRDefault="009A51A4" w:rsidP="009A51A4">
      <w:pPr>
        <w:tabs>
          <w:tab w:val="left" w:pos="9211"/>
        </w:tabs>
        <w:ind w:left="426" w:right="-18"/>
        <w:jc w:val="both"/>
        <w:rPr>
          <w:rFonts w:ascii="Times New Roman" w:hAnsi="Times New Roman"/>
          <w:sz w:val="20"/>
          <w:lang w:eastAsia="en-US"/>
        </w:rPr>
      </w:pPr>
      <w:r w:rsidRPr="00B37D0E">
        <w:rPr>
          <w:rFonts w:ascii="Times New Roman" w:hAnsi="Times New Roman"/>
          <w:sz w:val="20"/>
          <w:lang w:eastAsia="en-US"/>
        </w:rPr>
        <w:t>En aplicación del marco contable establecido por el B.C.R.A., la Entidad no registra activos en relación con los activos contingentes derivados del recurso presentado.</w:t>
      </w:r>
    </w:p>
    <w:p w14:paraId="59957A79" w14:textId="77777777" w:rsidR="009A51A4" w:rsidRPr="00D0197B" w:rsidRDefault="009A51A4" w:rsidP="009A51A4">
      <w:pPr>
        <w:pStyle w:val="Prrafodelista"/>
        <w:ind w:left="785" w:right="-427"/>
        <w:jc w:val="both"/>
        <w:rPr>
          <w:b/>
          <w:sz w:val="20"/>
          <w:szCs w:val="20"/>
          <w:lang w:val="es-AR"/>
        </w:rPr>
      </w:pPr>
    </w:p>
    <w:p w14:paraId="547EECCC" w14:textId="77777777" w:rsidR="003B4F16" w:rsidRDefault="003B4F16" w:rsidP="00B65573">
      <w:pPr>
        <w:ind w:left="426"/>
      </w:pPr>
    </w:p>
    <w:p w14:paraId="5E22834E" w14:textId="77777777" w:rsidR="00477B94" w:rsidRPr="008161FA" w:rsidRDefault="00F94233" w:rsidP="00C60CC8">
      <w:pPr>
        <w:pStyle w:val="Prrafodelista"/>
        <w:numPr>
          <w:ilvl w:val="0"/>
          <w:numId w:val="11"/>
        </w:numPr>
        <w:ind w:right="-427"/>
        <w:jc w:val="both"/>
        <w:rPr>
          <w:b/>
          <w:sz w:val="20"/>
          <w:szCs w:val="20"/>
          <w:lang w:val="es-AR"/>
        </w:rPr>
      </w:pPr>
      <w:r w:rsidRPr="008161FA">
        <w:rPr>
          <w:b/>
          <w:sz w:val="20"/>
          <w:szCs w:val="20"/>
          <w:lang w:val="es-AR"/>
        </w:rPr>
        <w:lastRenderedPageBreak/>
        <w:t>Inversiones en instrumentos de patrimonio</w:t>
      </w:r>
    </w:p>
    <w:p w14:paraId="08BDA225" w14:textId="14F36BFB" w:rsidR="002D68F8" w:rsidRPr="00110E8B" w:rsidRDefault="002D68F8" w:rsidP="002D68F8">
      <w:pPr>
        <w:ind w:left="785" w:right="-427"/>
        <w:jc w:val="both"/>
        <w:rPr>
          <w:rFonts w:ascii="Times New Roman" w:hAnsi="Times New Roman"/>
          <w:b/>
          <w:sz w:val="20"/>
        </w:rPr>
      </w:pPr>
    </w:p>
    <w:p w14:paraId="59823308" w14:textId="6D676DAC" w:rsidR="00C47F79" w:rsidRDefault="00C47F79" w:rsidP="002D68F8">
      <w:pPr>
        <w:ind w:left="785" w:right="-427"/>
        <w:jc w:val="both"/>
        <w:rPr>
          <w:rFonts w:ascii="Times New Roman" w:hAnsi="Times New Roman"/>
          <w:color w:val="000000"/>
          <w:sz w:val="20"/>
        </w:rPr>
      </w:pPr>
      <w:r w:rsidRPr="00110E8B">
        <w:rPr>
          <w:rFonts w:ascii="Times New Roman" w:hAnsi="Times New Roman"/>
          <w:color w:val="000000"/>
          <w:sz w:val="20"/>
        </w:rPr>
        <w:t>Las inversiones en instrumentos de patrimonio, en las cuales el Grupo no ejerce control, control conjunto ni influencia significativa se miden a su valor razonable con cambios en resultados y a valor razonable con cambios en otros resultados integrales</w:t>
      </w:r>
      <w:r w:rsidR="00614F79" w:rsidRPr="00110E8B">
        <w:rPr>
          <w:rFonts w:ascii="Times New Roman" w:hAnsi="Times New Roman"/>
          <w:color w:val="000000"/>
          <w:sz w:val="20"/>
        </w:rPr>
        <w:t>. La composición del rubro es la siguiente:</w:t>
      </w:r>
    </w:p>
    <w:p w14:paraId="31A8CC2E" w14:textId="77777777" w:rsidR="001C5700" w:rsidRDefault="001C5700" w:rsidP="002D68F8">
      <w:pPr>
        <w:ind w:left="785" w:right="-427"/>
        <w:jc w:val="both"/>
        <w:rPr>
          <w:rFonts w:ascii="Times New Roman" w:hAnsi="Times New Roman"/>
          <w:b/>
          <w:sz w:val="20"/>
        </w:rPr>
      </w:pPr>
    </w:p>
    <w:p w14:paraId="5F5BC5B8" w14:textId="77777777" w:rsidR="00810A2A" w:rsidRDefault="00810A2A" w:rsidP="002D68F8">
      <w:pPr>
        <w:ind w:left="785" w:right="-427"/>
        <w:jc w:val="both"/>
        <w:rPr>
          <w:rFonts w:ascii="Times New Roman" w:hAnsi="Times New Roman"/>
          <w:b/>
          <w:sz w:val="20"/>
          <w:lang w:eastAsia="en-US"/>
        </w:rPr>
      </w:pPr>
    </w:p>
    <w:p w14:paraId="39237AC2" w14:textId="6A7609F4" w:rsidR="002D68F8" w:rsidRDefault="002D68F8" w:rsidP="002D68F8">
      <w:pPr>
        <w:ind w:left="785" w:right="-427"/>
        <w:jc w:val="both"/>
        <w:rPr>
          <w:rFonts w:ascii="Times New Roman" w:hAnsi="Times New Roman"/>
          <w:b/>
          <w:sz w:val="20"/>
          <w:lang w:eastAsia="en-US"/>
        </w:rPr>
      </w:pPr>
      <w:r w:rsidRPr="00110E8B">
        <w:rPr>
          <w:rFonts w:ascii="Times New Roman" w:hAnsi="Times New Roman"/>
          <w:b/>
          <w:sz w:val="20"/>
          <w:lang w:eastAsia="en-US"/>
        </w:rPr>
        <w:t>16.1</w:t>
      </w:r>
      <w:r w:rsidR="000A24F7" w:rsidRPr="00110E8B">
        <w:rPr>
          <w:rFonts w:ascii="Times New Roman" w:hAnsi="Times New Roman"/>
          <w:b/>
          <w:sz w:val="20"/>
          <w:lang w:eastAsia="en-US"/>
        </w:rPr>
        <w:t xml:space="preserve">  </w:t>
      </w:r>
      <w:r w:rsidRPr="00110E8B">
        <w:rPr>
          <w:rFonts w:ascii="Times New Roman" w:hAnsi="Times New Roman"/>
          <w:b/>
          <w:sz w:val="20"/>
          <w:lang w:eastAsia="en-US"/>
        </w:rPr>
        <w:t xml:space="preserve"> Inversiones en instrumentos de patrimonio con cambios en resultados</w:t>
      </w:r>
    </w:p>
    <w:p w14:paraId="64F79B22" w14:textId="77777777" w:rsidR="00810A2A" w:rsidRDefault="00810A2A" w:rsidP="002D68F8">
      <w:pPr>
        <w:ind w:left="785" w:right="-427"/>
        <w:jc w:val="both"/>
        <w:rPr>
          <w:rFonts w:ascii="Times New Roman" w:hAnsi="Times New Roman"/>
          <w:b/>
          <w:sz w:val="20"/>
          <w:lang w:eastAsia="en-US"/>
        </w:rPr>
      </w:pPr>
    </w:p>
    <w:p w14:paraId="0E29FE4A" w14:textId="61C6ACD0" w:rsidR="00934E74" w:rsidRPr="00462FA1" w:rsidRDefault="00182E07" w:rsidP="00A0168F">
      <w:pPr>
        <w:ind w:left="709" w:right="-427"/>
        <w:jc w:val="both"/>
        <w:rPr>
          <w:rFonts w:ascii="Times New Roman" w:hAnsi="Times New Roman"/>
          <w:b/>
          <w:sz w:val="20"/>
          <w:lang w:eastAsia="en-US"/>
        </w:rPr>
      </w:pPr>
      <w:r w:rsidRPr="00462FA1">
        <w:rPr>
          <w:noProof/>
          <w:lang w:eastAsia="es-AR"/>
        </w:rPr>
        <w:drawing>
          <wp:inline distT="0" distB="0" distL="0" distR="0" wp14:anchorId="62D509C2" wp14:editId="4630689F">
            <wp:extent cx="6031230" cy="77074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1230" cy="770748"/>
                    </a:xfrm>
                    <a:prstGeom prst="rect">
                      <a:avLst/>
                    </a:prstGeom>
                    <a:noFill/>
                    <a:ln>
                      <a:noFill/>
                    </a:ln>
                  </pic:spPr>
                </pic:pic>
              </a:graphicData>
            </a:graphic>
          </wp:inline>
        </w:drawing>
      </w:r>
    </w:p>
    <w:p w14:paraId="239A69D5" w14:textId="56387109" w:rsidR="0002540C" w:rsidRPr="00462FA1" w:rsidRDefault="0038726E" w:rsidP="00040616">
      <w:pPr>
        <w:pStyle w:val="Prrafodelista"/>
        <w:numPr>
          <w:ilvl w:val="0"/>
          <w:numId w:val="34"/>
        </w:numPr>
        <w:autoSpaceDE w:val="0"/>
        <w:autoSpaceDN w:val="0"/>
        <w:adjustRightInd w:val="0"/>
        <w:spacing w:before="120"/>
        <w:ind w:left="1055" w:hanging="357"/>
        <w:jc w:val="both"/>
        <w:rPr>
          <w:sz w:val="18"/>
          <w:szCs w:val="18"/>
          <w:lang w:val="es-AR" w:eastAsia="es-ES"/>
        </w:rPr>
      </w:pPr>
      <w:r w:rsidRPr="00462FA1">
        <w:rPr>
          <w:sz w:val="18"/>
          <w:szCs w:val="18"/>
          <w:lang w:val="es-AR" w:eastAsia="es-ES"/>
        </w:rPr>
        <w:t>Este saldo corresponde a la tenencia de</w:t>
      </w:r>
      <w:r w:rsidR="0002540C" w:rsidRPr="00462FA1">
        <w:rPr>
          <w:sz w:val="18"/>
          <w:szCs w:val="18"/>
          <w:lang w:val="es-AR" w:eastAsia="es-ES"/>
        </w:rPr>
        <w:t xml:space="preserve"> </w:t>
      </w:r>
      <w:r w:rsidR="00890D40" w:rsidRPr="00462FA1">
        <w:rPr>
          <w:sz w:val="18"/>
          <w:szCs w:val="18"/>
          <w:lang w:val="es-AR" w:eastAsia="es-ES"/>
        </w:rPr>
        <w:t>10.805.542</w:t>
      </w:r>
      <w:r w:rsidRPr="00462FA1">
        <w:rPr>
          <w:sz w:val="18"/>
          <w:szCs w:val="18"/>
          <w:lang w:val="es-AR" w:eastAsia="es-ES"/>
        </w:rPr>
        <w:t xml:space="preserve"> acciones de la sociedad Prisma Medios de Pago S.A</w:t>
      </w:r>
      <w:r w:rsidR="0002540C" w:rsidRPr="00462FA1">
        <w:rPr>
          <w:sz w:val="18"/>
          <w:szCs w:val="18"/>
          <w:lang w:val="es-AR" w:eastAsia="es-ES"/>
        </w:rPr>
        <w:t xml:space="preserve">., que </w:t>
      </w:r>
      <w:r w:rsidR="004D535E" w:rsidRPr="00462FA1">
        <w:rPr>
          <w:sz w:val="18"/>
          <w:szCs w:val="18"/>
          <w:lang w:val="es-AR" w:eastAsia="es-ES"/>
        </w:rPr>
        <w:t>equivale</w:t>
      </w:r>
      <w:r w:rsidR="0002540C" w:rsidRPr="00462FA1">
        <w:rPr>
          <w:sz w:val="18"/>
          <w:szCs w:val="18"/>
          <w:lang w:val="es-AR" w:eastAsia="es-ES"/>
        </w:rPr>
        <w:t xml:space="preserve"> al 5,44% del capital social de esa compañía. </w:t>
      </w:r>
      <w:r w:rsidR="00AA291E" w:rsidRPr="00462FA1">
        <w:rPr>
          <w:sz w:val="18"/>
          <w:szCs w:val="18"/>
          <w:lang w:val="es-AR" w:eastAsia="es-ES"/>
        </w:rPr>
        <w:t>Dicha inversión fue me</w:t>
      </w:r>
      <w:r w:rsidR="00B42F9A" w:rsidRPr="00462FA1">
        <w:rPr>
          <w:sz w:val="18"/>
          <w:szCs w:val="18"/>
          <w:lang w:val="es-AR" w:eastAsia="es-ES"/>
        </w:rPr>
        <w:t xml:space="preserve">dida a valor razonable estimado </w:t>
      </w:r>
      <w:r w:rsidR="00AA291E" w:rsidRPr="00462FA1">
        <w:rPr>
          <w:sz w:val="18"/>
          <w:szCs w:val="18"/>
          <w:lang w:val="es-AR" w:eastAsia="es-ES"/>
        </w:rPr>
        <w:t>por la Gerencia sobre la base de un informe elaborado por profesionales independientes</w:t>
      </w:r>
      <w:r w:rsidR="00B42F9A" w:rsidRPr="00462FA1">
        <w:rPr>
          <w:sz w:val="18"/>
          <w:szCs w:val="18"/>
          <w:lang w:val="es-AR" w:eastAsia="es-ES"/>
        </w:rPr>
        <w:t xml:space="preserve"> al 31 de diciembre 2020</w:t>
      </w:r>
      <w:r w:rsidR="00AA291E" w:rsidRPr="00462FA1">
        <w:rPr>
          <w:sz w:val="18"/>
          <w:szCs w:val="18"/>
          <w:lang w:val="es-AR" w:eastAsia="es-ES"/>
        </w:rPr>
        <w:t>, neto del ajuste de valuación requerido por el B.C.R.A. en su</w:t>
      </w:r>
      <w:r w:rsidR="00B42F9A" w:rsidRPr="00462FA1">
        <w:rPr>
          <w:sz w:val="18"/>
          <w:szCs w:val="18"/>
          <w:lang w:val="es-AR" w:eastAsia="es-ES"/>
        </w:rPr>
        <w:t>s</w:t>
      </w:r>
      <w:r w:rsidR="00AA291E" w:rsidRPr="00462FA1">
        <w:rPr>
          <w:sz w:val="18"/>
          <w:szCs w:val="18"/>
          <w:lang w:val="es-AR" w:eastAsia="es-ES"/>
        </w:rPr>
        <w:t xml:space="preserve"> Memorando</w:t>
      </w:r>
      <w:r w:rsidR="00B42F9A" w:rsidRPr="00462FA1">
        <w:rPr>
          <w:sz w:val="18"/>
          <w:szCs w:val="18"/>
          <w:lang w:val="es-AR" w:eastAsia="es-ES"/>
        </w:rPr>
        <w:t>s</w:t>
      </w:r>
      <w:r w:rsidR="00AA291E" w:rsidRPr="00462FA1">
        <w:rPr>
          <w:sz w:val="18"/>
          <w:szCs w:val="18"/>
          <w:lang w:val="es-AR" w:eastAsia="es-ES"/>
        </w:rPr>
        <w:t xml:space="preserve"> N° 7/2019</w:t>
      </w:r>
      <w:r w:rsidR="00764F69" w:rsidRPr="00462FA1">
        <w:rPr>
          <w:sz w:val="18"/>
          <w:szCs w:val="18"/>
          <w:lang w:val="es-AR" w:eastAsia="es-ES"/>
        </w:rPr>
        <w:t xml:space="preserve"> y</w:t>
      </w:r>
      <w:r w:rsidR="00B42F9A" w:rsidRPr="00462FA1">
        <w:rPr>
          <w:sz w:val="18"/>
          <w:szCs w:val="18"/>
          <w:lang w:val="es-AR" w:eastAsia="es-ES"/>
        </w:rPr>
        <w:t xml:space="preserve"> N° 8/2021 y</w:t>
      </w:r>
      <w:r w:rsidR="00764F69" w:rsidRPr="00462FA1">
        <w:rPr>
          <w:sz w:val="18"/>
          <w:szCs w:val="18"/>
          <w:lang w:val="es-AR" w:eastAsia="es-ES"/>
        </w:rPr>
        <w:t xml:space="preserve"> del cobro de dividendos</w:t>
      </w:r>
      <w:r w:rsidR="00AA291E" w:rsidRPr="00462FA1">
        <w:rPr>
          <w:sz w:val="18"/>
          <w:szCs w:val="18"/>
          <w:lang w:val="es-AR" w:eastAsia="es-ES"/>
        </w:rPr>
        <w:t>. El criterio contable aplicado según lo indicado precedentemente constituye un apartamiento de las NIIF</w:t>
      </w:r>
      <w:r w:rsidR="00207592" w:rsidRPr="00462FA1">
        <w:rPr>
          <w:sz w:val="18"/>
          <w:szCs w:val="18"/>
          <w:lang w:val="es-AR" w:eastAsia="es-ES"/>
        </w:rPr>
        <w:t>.</w:t>
      </w:r>
    </w:p>
    <w:p w14:paraId="01E33F15" w14:textId="77777777" w:rsidR="00207592" w:rsidRPr="00462FA1" w:rsidRDefault="00207592" w:rsidP="00040616">
      <w:pPr>
        <w:pStyle w:val="Prrafodelista"/>
        <w:autoSpaceDE w:val="0"/>
        <w:autoSpaceDN w:val="0"/>
        <w:adjustRightInd w:val="0"/>
        <w:ind w:left="1056"/>
        <w:jc w:val="both"/>
        <w:rPr>
          <w:sz w:val="18"/>
          <w:szCs w:val="18"/>
          <w:lang w:val="es-AR" w:eastAsia="es-ES"/>
        </w:rPr>
      </w:pPr>
    </w:p>
    <w:p w14:paraId="15FBC0A1" w14:textId="5F5C5C43" w:rsidR="00322337" w:rsidRPr="00462FA1" w:rsidRDefault="00322337" w:rsidP="00040616">
      <w:pPr>
        <w:pStyle w:val="Prrafodelista"/>
        <w:autoSpaceDE w:val="0"/>
        <w:autoSpaceDN w:val="0"/>
        <w:adjustRightInd w:val="0"/>
        <w:ind w:left="1056"/>
        <w:jc w:val="both"/>
        <w:rPr>
          <w:sz w:val="18"/>
          <w:szCs w:val="18"/>
          <w:lang w:val="es-AR" w:eastAsia="es-ES"/>
        </w:rPr>
      </w:pPr>
      <w:r w:rsidRPr="00462FA1">
        <w:rPr>
          <w:sz w:val="18"/>
          <w:szCs w:val="18"/>
          <w:lang w:val="es-AR" w:eastAsia="es-ES"/>
        </w:rPr>
        <w:t>Con fecha 1 de febrero de 2019 se perfeccionó la transferencia de 2.344.064 acciones ordinarias escriturales de valor nominal $ 1 cada una y un voto por acción, propiedad del Banco en Prisma Medios de Pago S.A. a favor de AI Zenith (Netherlands) B.V. (sociedad vinculada a Advent International Global Private Equity</w:t>
      </w:r>
      <w:r w:rsidR="00EA2A42" w:rsidRPr="00462FA1">
        <w:rPr>
          <w:sz w:val="18"/>
          <w:szCs w:val="18"/>
          <w:lang w:val="es-AR" w:eastAsia="es-ES"/>
        </w:rPr>
        <w:t>).</w:t>
      </w:r>
    </w:p>
    <w:p w14:paraId="7619A665" w14:textId="77777777" w:rsidR="00322337" w:rsidRPr="00462FA1" w:rsidRDefault="00322337" w:rsidP="00040616">
      <w:pPr>
        <w:pStyle w:val="Prrafodelista"/>
        <w:autoSpaceDE w:val="0"/>
        <w:autoSpaceDN w:val="0"/>
        <w:adjustRightInd w:val="0"/>
        <w:ind w:left="1056"/>
        <w:jc w:val="both"/>
        <w:rPr>
          <w:sz w:val="18"/>
          <w:szCs w:val="18"/>
          <w:lang w:val="es-AR" w:eastAsia="es-ES"/>
        </w:rPr>
      </w:pPr>
      <w:r w:rsidRPr="00462FA1">
        <w:rPr>
          <w:sz w:val="18"/>
          <w:szCs w:val="18"/>
          <w:lang w:val="es-AR" w:eastAsia="es-ES"/>
        </w:rPr>
        <w:t> </w:t>
      </w:r>
    </w:p>
    <w:p w14:paraId="51115C96" w14:textId="10E0688F" w:rsidR="00322337" w:rsidRPr="00462FA1" w:rsidRDefault="00322337" w:rsidP="00040616">
      <w:pPr>
        <w:pStyle w:val="Prrafodelista"/>
        <w:autoSpaceDE w:val="0"/>
        <w:autoSpaceDN w:val="0"/>
        <w:adjustRightInd w:val="0"/>
        <w:ind w:left="1056"/>
        <w:jc w:val="both"/>
        <w:rPr>
          <w:sz w:val="18"/>
          <w:szCs w:val="18"/>
          <w:lang w:val="es-AR" w:eastAsia="es-ES"/>
        </w:rPr>
      </w:pPr>
      <w:r w:rsidRPr="00462FA1">
        <w:rPr>
          <w:sz w:val="18"/>
          <w:szCs w:val="18"/>
          <w:lang w:val="es-AR" w:eastAsia="es-ES"/>
        </w:rPr>
        <w:t xml:space="preserve">De acuerdo a lo previsto en la Oferta para la compraventa de las acciones referidas efectuada por AI Zenith (Netherlands) B.V., y aceptada por el Banco, el precio total estimado ajustado </w:t>
      </w:r>
      <w:r w:rsidR="0002540C" w:rsidRPr="00462FA1">
        <w:rPr>
          <w:sz w:val="18"/>
          <w:szCs w:val="18"/>
          <w:lang w:val="es-AR" w:eastAsia="es-ES"/>
        </w:rPr>
        <w:t>fue</w:t>
      </w:r>
      <w:r w:rsidRPr="00462FA1">
        <w:rPr>
          <w:sz w:val="18"/>
          <w:szCs w:val="18"/>
          <w:lang w:val="es-AR" w:eastAsia="es-ES"/>
        </w:rPr>
        <w:t xml:space="preserve"> de USD 78.265.273, de los cuales el Banco recibió el 1 de febrero de 2019 USD 46.457.210, en tanto qu</w:t>
      </w:r>
      <w:r w:rsidR="00207592" w:rsidRPr="00462FA1">
        <w:rPr>
          <w:sz w:val="18"/>
          <w:szCs w:val="18"/>
          <w:lang w:val="es-AR" w:eastAsia="es-ES"/>
        </w:rPr>
        <w:t>e el pago de la diferencia, es</w:t>
      </w:r>
      <w:r w:rsidRPr="00462FA1">
        <w:rPr>
          <w:sz w:val="18"/>
          <w:szCs w:val="18"/>
          <w:lang w:val="es-AR" w:eastAsia="es-ES"/>
        </w:rPr>
        <w:t xml:space="preserve"> diferido durante los próximos 5 (cinco) años en concepto de saldo de precio; el cual se abonará (i) 30% de dicha suma en pesos ajustables por CER (UVA) a una tasa del 15% nominal anual y (ii) 70% en dólares estadounidenses a una tasa del 10 % nominal anual.</w:t>
      </w:r>
      <w:r w:rsidR="004D535E" w:rsidRPr="00462FA1">
        <w:rPr>
          <w:sz w:val="18"/>
          <w:szCs w:val="18"/>
          <w:lang w:val="es-AR" w:eastAsia="es-ES"/>
        </w:rPr>
        <w:t xml:space="preserve"> </w:t>
      </w:r>
    </w:p>
    <w:p w14:paraId="7E3FA1AB" w14:textId="77777777" w:rsidR="0014607D" w:rsidRPr="00462FA1" w:rsidRDefault="0014607D" w:rsidP="00040616">
      <w:pPr>
        <w:pStyle w:val="Prrafodelista"/>
        <w:autoSpaceDE w:val="0"/>
        <w:autoSpaceDN w:val="0"/>
        <w:adjustRightInd w:val="0"/>
        <w:ind w:left="1056"/>
        <w:jc w:val="both"/>
        <w:rPr>
          <w:sz w:val="18"/>
          <w:szCs w:val="18"/>
          <w:lang w:val="es-AR" w:eastAsia="es-ES"/>
        </w:rPr>
      </w:pPr>
    </w:p>
    <w:p w14:paraId="1CAC809D" w14:textId="56D0A3FA" w:rsidR="0014607D" w:rsidRPr="00462FA1" w:rsidRDefault="0014607D" w:rsidP="00040616">
      <w:pPr>
        <w:pStyle w:val="Prrafodelista"/>
        <w:autoSpaceDE w:val="0"/>
        <w:autoSpaceDN w:val="0"/>
        <w:adjustRightInd w:val="0"/>
        <w:ind w:left="1056"/>
        <w:jc w:val="both"/>
        <w:rPr>
          <w:sz w:val="18"/>
          <w:szCs w:val="18"/>
          <w:lang w:val="es-AR" w:eastAsia="es-ES"/>
        </w:rPr>
      </w:pPr>
      <w:r w:rsidRPr="00462FA1">
        <w:rPr>
          <w:sz w:val="18"/>
          <w:szCs w:val="18"/>
          <w:lang w:val="es-AR" w:eastAsia="es-ES"/>
        </w:rPr>
        <w:t>Con fecha 22 de julio de 2019 ha concluido el proceso de determinación del precio de venta de las acciones, dicho precio es de USD 76.947.895,33. La diferencia en menos entre el precio definitivo y el precio estimado se ha descontado del saldo del precio, por lo que el Banco no hizo ninguna restitución de fondos recibidos.</w:t>
      </w:r>
      <w:r w:rsidR="00583A52" w:rsidRPr="00462FA1">
        <w:rPr>
          <w:sz w:val="18"/>
          <w:szCs w:val="18"/>
          <w:lang w:val="es-AR" w:eastAsia="es-ES"/>
        </w:rPr>
        <w:t xml:space="preserve"> Las condiciones de venta incluyeron una opción de venta, por el cual el Banco tiene el derecho a vender las acciones remanentes en Prisma Medios de Pago S.A. al comprador </w:t>
      </w:r>
      <w:r w:rsidR="00657701" w:rsidRPr="00462FA1">
        <w:rPr>
          <w:sz w:val="18"/>
          <w:szCs w:val="18"/>
          <w:lang w:val="es-AR" w:eastAsia="es-ES"/>
        </w:rPr>
        <w:t>e</w:t>
      </w:r>
      <w:r w:rsidR="00583A52" w:rsidRPr="00462FA1">
        <w:rPr>
          <w:sz w:val="18"/>
          <w:szCs w:val="18"/>
          <w:lang w:val="es-AR" w:eastAsia="es-ES"/>
        </w:rPr>
        <w:t>l 3</w:t>
      </w:r>
      <w:r w:rsidR="00321AA5" w:rsidRPr="00462FA1">
        <w:rPr>
          <w:sz w:val="18"/>
          <w:szCs w:val="18"/>
          <w:lang w:val="es-AR" w:eastAsia="es-ES"/>
        </w:rPr>
        <w:t>0</w:t>
      </w:r>
      <w:r w:rsidR="00583A52" w:rsidRPr="00462FA1">
        <w:rPr>
          <w:sz w:val="18"/>
          <w:szCs w:val="18"/>
          <w:lang w:val="es-AR" w:eastAsia="es-ES"/>
        </w:rPr>
        <w:t xml:space="preserve"> de diciembre de 2021 (ver Nota 9).</w:t>
      </w:r>
    </w:p>
    <w:p w14:paraId="65681C53" w14:textId="77777777" w:rsidR="00915939" w:rsidRPr="00462FA1" w:rsidRDefault="00915939" w:rsidP="00040616">
      <w:pPr>
        <w:pStyle w:val="Prrafodelista"/>
        <w:autoSpaceDE w:val="0"/>
        <w:autoSpaceDN w:val="0"/>
        <w:adjustRightInd w:val="0"/>
        <w:ind w:left="1056"/>
        <w:jc w:val="both"/>
        <w:rPr>
          <w:sz w:val="18"/>
          <w:szCs w:val="18"/>
          <w:lang w:val="es-AR" w:eastAsia="es-ES"/>
        </w:rPr>
      </w:pPr>
    </w:p>
    <w:p w14:paraId="6A2A1CF2" w14:textId="29BFD800" w:rsidR="0014607D" w:rsidRPr="008161FA" w:rsidRDefault="00BF1DFF" w:rsidP="00040616">
      <w:pPr>
        <w:pStyle w:val="Prrafodelista"/>
        <w:autoSpaceDE w:val="0"/>
        <w:autoSpaceDN w:val="0"/>
        <w:adjustRightInd w:val="0"/>
        <w:ind w:left="1056"/>
        <w:jc w:val="both"/>
        <w:rPr>
          <w:sz w:val="18"/>
          <w:szCs w:val="18"/>
          <w:lang w:val="es-AR" w:eastAsia="es-ES"/>
        </w:rPr>
      </w:pPr>
      <w:r w:rsidRPr="00462FA1">
        <w:rPr>
          <w:sz w:val="18"/>
          <w:szCs w:val="18"/>
          <w:lang w:val="es-AR" w:eastAsia="es-ES"/>
        </w:rPr>
        <w:t>El 1° de octubre de 2021, se inició el proceso para completar el proceso de transferencia de acciones, de acuerdo a lo comentado en la Nota 58 – Hechos posteriores al cierre del período</w:t>
      </w:r>
      <w:r w:rsidR="009C42AA" w:rsidRPr="00462FA1">
        <w:rPr>
          <w:sz w:val="18"/>
          <w:szCs w:val="18"/>
          <w:lang w:val="es-AR" w:eastAsia="es-ES"/>
        </w:rPr>
        <w:t>.</w:t>
      </w:r>
    </w:p>
    <w:p w14:paraId="2F97D1FA" w14:textId="77777777" w:rsidR="00707969" w:rsidRDefault="00707969" w:rsidP="00322337">
      <w:pPr>
        <w:pStyle w:val="Prrafodelista"/>
        <w:autoSpaceDE w:val="0"/>
        <w:autoSpaceDN w:val="0"/>
        <w:adjustRightInd w:val="0"/>
        <w:ind w:left="851"/>
        <w:jc w:val="both"/>
        <w:rPr>
          <w:sz w:val="20"/>
          <w:szCs w:val="20"/>
          <w:lang w:val="es-AR" w:eastAsia="es-ES"/>
        </w:rPr>
      </w:pPr>
    </w:p>
    <w:p w14:paraId="7C133887" w14:textId="77777777" w:rsidR="00587178" w:rsidRDefault="00587178" w:rsidP="00322337">
      <w:pPr>
        <w:pStyle w:val="Prrafodelista"/>
        <w:autoSpaceDE w:val="0"/>
        <w:autoSpaceDN w:val="0"/>
        <w:adjustRightInd w:val="0"/>
        <w:ind w:left="851"/>
        <w:jc w:val="both"/>
        <w:rPr>
          <w:sz w:val="20"/>
          <w:szCs w:val="20"/>
          <w:lang w:val="es-AR" w:eastAsia="es-ES"/>
        </w:rPr>
      </w:pPr>
    </w:p>
    <w:p w14:paraId="124293E0" w14:textId="15FF047B" w:rsidR="00193D0A" w:rsidRDefault="00193D0A" w:rsidP="002B176D">
      <w:pPr>
        <w:ind w:left="851" w:right="-427"/>
        <w:jc w:val="both"/>
        <w:rPr>
          <w:rFonts w:ascii="Times New Roman" w:hAnsi="Times New Roman"/>
          <w:b/>
          <w:sz w:val="20"/>
          <w:lang w:eastAsia="en-US"/>
        </w:rPr>
      </w:pPr>
      <w:r w:rsidRPr="005E3FD9">
        <w:rPr>
          <w:rFonts w:ascii="Times New Roman" w:hAnsi="Times New Roman"/>
          <w:b/>
          <w:sz w:val="20"/>
          <w:lang w:eastAsia="en-US"/>
        </w:rPr>
        <w:t xml:space="preserve">16.2 Inversiones en instrumentos de patrimonio con cambios </w:t>
      </w:r>
      <w:r w:rsidR="00700EA2" w:rsidRPr="005E3FD9">
        <w:rPr>
          <w:rFonts w:ascii="Times New Roman" w:hAnsi="Times New Roman"/>
          <w:b/>
          <w:sz w:val="20"/>
          <w:lang w:eastAsia="en-US"/>
        </w:rPr>
        <w:t>en otros resultados integrales</w:t>
      </w:r>
    </w:p>
    <w:p w14:paraId="725AC17B" w14:textId="77777777" w:rsidR="00182E07" w:rsidRDefault="00182E07" w:rsidP="002B176D">
      <w:pPr>
        <w:ind w:left="851" w:right="-427"/>
        <w:jc w:val="both"/>
        <w:rPr>
          <w:rFonts w:ascii="Times New Roman" w:hAnsi="Times New Roman"/>
          <w:b/>
          <w:sz w:val="20"/>
          <w:lang w:eastAsia="en-US"/>
        </w:rPr>
      </w:pPr>
    </w:p>
    <w:p w14:paraId="5065B692" w14:textId="10B7128E" w:rsidR="001C5700" w:rsidRDefault="00182E07" w:rsidP="002B176D">
      <w:pPr>
        <w:ind w:left="851" w:right="-427"/>
        <w:jc w:val="both"/>
        <w:rPr>
          <w:rFonts w:ascii="Times New Roman" w:hAnsi="Times New Roman"/>
          <w:b/>
          <w:sz w:val="20"/>
          <w:lang w:eastAsia="en-US"/>
        </w:rPr>
      </w:pPr>
      <w:r w:rsidRPr="00462FA1">
        <w:rPr>
          <w:noProof/>
          <w:lang w:eastAsia="es-AR"/>
        </w:rPr>
        <w:drawing>
          <wp:inline distT="0" distB="0" distL="0" distR="0" wp14:anchorId="6C9A6E81" wp14:editId="4A2A820A">
            <wp:extent cx="6031230" cy="776211"/>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1230" cy="776211"/>
                    </a:xfrm>
                    <a:prstGeom prst="rect">
                      <a:avLst/>
                    </a:prstGeom>
                    <a:noFill/>
                    <a:ln>
                      <a:noFill/>
                    </a:ln>
                  </pic:spPr>
                </pic:pic>
              </a:graphicData>
            </a:graphic>
          </wp:inline>
        </w:drawing>
      </w:r>
    </w:p>
    <w:p w14:paraId="7D84654D" w14:textId="77777777" w:rsidR="008D4855" w:rsidRDefault="008D4855" w:rsidP="008D4DB6">
      <w:pPr>
        <w:pStyle w:val="Prrafodelista"/>
        <w:autoSpaceDE w:val="0"/>
        <w:autoSpaceDN w:val="0"/>
        <w:adjustRightInd w:val="0"/>
        <w:ind w:left="851"/>
        <w:jc w:val="both"/>
        <w:rPr>
          <w:sz w:val="20"/>
          <w:szCs w:val="20"/>
          <w:lang w:val="es-AR" w:eastAsia="es-ES"/>
        </w:rPr>
      </w:pPr>
    </w:p>
    <w:p w14:paraId="24FC7C7D" w14:textId="77777777" w:rsidR="00810A2A" w:rsidRDefault="00810A2A" w:rsidP="008D4DB6">
      <w:pPr>
        <w:pStyle w:val="Prrafodelista"/>
        <w:autoSpaceDE w:val="0"/>
        <w:autoSpaceDN w:val="0"/>
        <w:adjustRightInd w:val="0"/>
        <w:ind w:left="851"/>
        <w:jc w:val="both"/>
        <w:rPr>
          <w:sz w:val="20"/>
          <w:szCs w:val="20"/>
          <w:lang w:val="es-AR" w:eastAsia="es-ES"/>
        </w:rPr>
      </w:pPr>
    </w:p>
    <w:p w14:paraId="5D9D7AED" w14:textId="37132CAF" w:rsidR="00F94233" w:rsidRPr="008D4855" w:rsidRDefault="00061F3A" w:rsidP="00C60CC8">
      <w:pPr>
        <w:pStyle w:val="Prrafodelista"/>
        <w:numPr>
          <w:ilvl w:val="0"/>
          <w:numId w:val="11"/>
        </w:numPr>
        <w:ind w:right="-427"/>
        <w:jc w:val="both"/>
        <w:rPr>
          <w:b/>
          <w:sz w:val="20"/>
          <w:szCs w:val="20"/>
          <w:lang w:val="es-AR"/>
        </w:rPr>
      </w:pPr>
      <w:r w:rsidRPr="008D4855">
        <w:rPr>
          <w:b/>
          <w:sz w:val="20"/>
          <w:szCs w:val="20"/>
          <w:lang w:val="es-AR"/>
        </w:rPr>
        <w:t>Inversi</w:t>
      </w:r>
      <w:r w:rsidR="00553812">
        <w:rPr>
          <w:b/>
          <w:sz w:val="20"/>
          <w:szCs w:val="20"/>
          <w:lang w:val="es-AR"/>
        </w:rPr>
        <w:t>ón</w:t>
      </w:r>
      <w:r w:rsidRPr="008D4855">
        <w:rPr>
          <w:b/>
          <w:sz w:val="20"/>
          <w:szCs w:val="20"/>
          <w:lang w:val="es-AR"/>
        </w:rPr>
        <w:t xml:space="preserve"> e</w:t>
      </w:r>
      <w:r w:rsidR="009C1F2A" w:rsidRPr="008D4855">
        <w:rPr>
          <w:b/>
          <w:sz w:val="20"/>
          <w:szCs w:val="20"/>
          <w:lang w:val="es-AR"/>
        </w:rPr>
        <w:t>n a</w:t>
      </w:r>
      <w:r w:rsidR="00365D8F" w:rsidRPr="008D4855">
        <w:rPr>
          <w:b/>
          <w:sz w:val="20"/>
          <w:szCs w:val="20"/>
          <w:lang w:val="es-AR"/>
        </w:rPr>
        <w:t>sociadas</w:t>
      </w:r>
    </w:p>
    <w:p w14:paraId="74D2C23D" w14:textId="77777777" w:rsidR="002D2ECD" w:rsidRPr="008D4855" w:rsidRDefault="002D2ECD" w:rsidP="002D2ECD">
      <w:pPr>
        <w:pStyle w:val="Prrafodelista"/>
        <w:ind w:left="786" w:right="-427"/>
        <w:jc w:val="both"/>
        <w:rPr>
          <w:b/>
          <w:sz w:val="20"/>
          <w:szCs w:val="20"/>
          <w:lang w:val="es-AR"/>
        </w:rPr>
      </w:pPr>
    </w:p>
    <w:p w14:paraId="24D3BC19" w14:textId="0E4DEC00" w:rsidR="006B073D" w:rsidRPr="008D4855" w:rsidRDefault="00182E07" w:rsidP="00182E07">
      <w:pPr>
        <w:ind w:left="567" w:right="-427" w:firstLine="1"/>
        <w:jc w:val="both"/>
        <w:rPr>
          <w:rFonts w:ascii="Times New Roman" w:hAnsi="Times New Roman"/>
          <w:b/>
          <w:sz w:val="20"/>
        </w:rPr>
      </w:pPr>
      <w:r w:rsidRPr="00462FA1">
        <w:rPr>
          <w:noProof/>
          <w:lang w:eastAsia="es-AR"/>
        </w:rPr>
        <w:drawing>
          <wp:inline distT="0" distB="0" distL="0" distR="0" wp14:anchorId="7A808824" wp14:editId="5BCB9126">
            <wp:extent cx="6206794" cy="1214372"/>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7724" cy="1216510"/>
                    </a:xfrm>
                    <a:prstGeom prst="rect">
                      <a:avLst/>
                    </a:prstGeom>
                    <a:noFill/>
                    <a:ln>
                      <a:noFill/>
                    </a:ln>
                  </pic:spPr>
                </pic:pic>
              </a:graphicData>
            </a:graphic>
          </wp:inline>
        </w:drawing>
      </w:r>
    </w:p>
    <w:p w14:paraId="31B00C24" w14:textId="77777777" w:rsidR="00553812" w:rsidRDefault="00553812" w:rsidP="008C716B">
      <w:pPr>
        <w:ind w:left="425" w:right="-427" w:firstLine="284"/>
        <w:jc w:val="both"/>
        <w:rPr>
          <w:rFonts w:ascii="Times New Roman" w:hAnsi="Times New Roman"/>
          <w:b/>
          <w:sz w:val="20"/>
        </w:rPr>
      </w:pPr>
    </w:p>
    <w:p w14:paraId="4E05D0E0" w14:textId="77777777" w:rsidR="0021727D" w:rsidRDefault="0021727D" w:rsidP="008C716B">
      <w:pPr>
        <w:ind w:left="425" w:right="-427" w:firstLine="284"/>
        <w:jc w:val="both"/>
        <w:rPr>
          <w:rFonts w:ascii="Times New Roman" w:hAnsi="Times New Roman"/>
          <w:b/>
          <w:sz w:val="20"/>
        </w:rPr>
      </w:pPr>
    </w:p>
    <w:p w14:paraId="7FFE6E95" w14:textId="66EC09FB" w:rsidR="002106D0" w:rsidRPr="008D4855" w:rsidRDefault="006C2955" w:rsidP="00C60CC8">
      <w:pPr>
        <w:pStyle w:val="Prrafodelista"/>
        <w:numPr>
          <w:ilvl w:val="0"/>
          <w:numId w:val="11"/>
        </w:numPr>
        <w:ind w:right="-427"/>
        <w:jc w:val="both"/>
        <w:rPr>
          <w:b/>
          <w:sz w:val="20"/>
          <w:szCs w:val="20"/>
        </w:rPr>
      </w:pPr>
      <w:r w:rsidRPr="008D4855">
        <w:rPr>
          <w:b/>
          <w:sz w:val="20"/>
          <w:szCs w:val="20"/>
        </w:rPr>
        <w:t>Propiedad</w:t>
      </w:r>
      <w:r w:rsidR="009F6168" w:rsidRPr="008D4855">
        <w:rPr>
          <w:b/>
          <w:sz w:val="20"/>
          <w:szCs w:val="20"/>
        </w:rPr>
        <w:t xml:space="preserve"> y equipo</w:t>
      </w:r>
    </w:p>
    <w:p w14:paraId="56E6CF24" w14:textId="77777777" w:rsidR="00EA3F2C" w:rsidRPr="008D4855" w:rsidRDefault="00EA3F2C" w:rsidP="00583A52">
      <w:pPr>
        <w:ind w:left="851" w:right="-427"/>
        <w:jc w:val="both"/>
        <w:rPr>
          <w:rFonts w:ascii="Times New Roman" w:hAnsi="Times New Roman"/>
          <w:b/>
          <w:sz w:val="20"/>
        </w:rPr>
      </w:pPr>
    </w:p>
    <w:p w14:paraId="202F0104" w14:textId="58377DC0" w:rsidR="006823FE" w:rsidRPr="008D4855" w:rsidRDefault="00785D4A" w:rsidP="00785D4A">
      <w:pPr>
        <w:ind w:left="709" w:right="-427"/>
        <w:jc w:val="both"/>
        <w:rPr>
          <w:rFonts w:ascii="Times New Roman" w:hAnsi="Times New Roman"/>
          <w:b/>
          <w:sz w:val="20"/>
        </w:rPr>
      </w:pPr>
      <w:r w:rsidRPr="00462FA1">
        <w:rPr>
          <w:noProof/>
          <w:lang w:eastAsia="es-AR"/>
        </w:rPr>
        <w:drawing>
          <wp:inline distT="0" distB="0" distL="0" distR="0" wp14:anchorId="50ED35EE" wp14:editId="2B8C3EA4">
            <wp:extent cx="6031230" cy="13166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1230" cy="1316600"/>
                    </a:xfrm>
                    <a:prstGeom prst="rect">
                      <a:avLst/>
                    </a:prstGeom>
                    <a:noFill/>
                    <a:ln>
                      <a:noFill/>
                    </a:ln>
                  </pic:spPr>
                </pic:pic>
              </a:graphicData>
            </a:graphic>
          </wp:inline>
        </w:drawing>
      </w:r>
    </w:p>
    <w:p w14:paraId="04610860" w14:textId="77777777" w:rsidR="00785D4A" w:rsidRDefault="00785D4A" w:rsidP="00583A52">
      <w:pPr>
        <w:ind w:left="851" w:right="-427"/>
        <w:jc w:val="both"/>
        <w:rPr>
          <w:rFonts w:ascii="Times New Roman" w:hAnsi="Times New Roman"/>
          <w:color w:val="000000"/>
          <w:sz w:val="20"/>
        </w:rPr>
      </w:pPr>
    </w:p>
    <w:p w14:paraId="697D89A9" w14:textId="77777777" w:rsidR="00785D4A" w:rsidRPr="008D4855" w:rsidRDefault="00785D4A" w:rsidP="00583A52">
      <w:pPr>
        <w:ind w:left="851" w:right="-427"/>
        <w:jc w:val="both"/>
        <w:rPr>
          <w:rFonts w:ascii="Times New Roman" w:hAnsi="Times New Roman"/>
          <w:color w:val="000000"/>
          <w:sz w:val="20"/>
        </w:rPr>
      </w:pPr>
    </w:p>
    <w:p w14:paraId="706BE22C" w14:textId="77777777" w:rsidR="00A24F52" w:rsidRPr="008D4855" w:rsidRDefault="009C1F2A" w:rsidP="00FB61D1">
      <w:pPr>
        <w:pStyle w:val="Prrafodelista"/>
        <w:numPr>
          <w:ilvl w:val="0"/>
          <w:numId w:val="11"/>
        </w:numPr>
        <w:ind w:left="785" w:right="-427"/>
        <w:jc w:val="both"/>
        <w:rPr>
          <w:b/>
          <w:sz w:val="20"/>
          <w:szCs w:val="20"/>
        </w:rPr>
      </w:pPr>
      <w:r w:rsidRPr="008D4855">
        <w:rPr>
          <w:b/>
          <w:sz w:val="20"/>
          <w:szCs w:val="20"/>
          <w:lang w:val="es-AR"/>
        </w:rPr>
        <w:t>Activos</w:t>
      </w:r>
      <w:r w:rsidRPr="008D4855">
        <w:rPr>
          <w:b/>
          <w:sz w:val="20"/>
          <w:szCs w:val="20"/>
        </w:rPr>
        <w:t xml:space="preserve"> i</w:t>
      </w:r>
      <w:r w:rsidR="009F6168" w:rsidRPr="008D4855">
        <w:rPr>
          <w:b/>
          <w:sz w:val="20"/>
          <w:szCs w:val="20"/>
        </w:rPr>
        <w:t>ntangibles</w:t>
      </w:r>
    </w:p>
    <w:p w14:paraId="5EA4CE7A" w14:textId="77777777" w:rsidR="00A24F52" w:rsidRPr="008D4855" w:rsidRDefault="00A24F52" w:rsidP="00A24F52">
      <w:pPr>
        <w:pStyle w:val="Prrafodelista"/>
        <w:ind w:left="785" w:right="-427"/>
        <w:jc w:val="both"/>
        <w:rPr>
          <w:noProof/>
          <w:sz w:val="20"/>
          <w:szCs w:val="20"/>
          <w:lang w:val="es-AR" w:eastAsia="es-AR"/>
        </w:rPr>
      </w:pPr>
    </w:p>
    <w:p w14:paraId="41D79213" w14:textId="3518788C" w:rsidR="00217039" w:rsidRPr="008D4855" w:rsidRDefault="00785D4A" w:rsidP="00785D4A">
      <w:pPr>
        <w:pStyle w:val="Prrafodelista"/>
        <w:ind w:left="709" w:right="-427"/>
        <w:jc w:val="both"/>
        <w:rPr>
          <w:b/>
          <w:sz w:val="20"/>
          <w:szCs w:val="20"/>
        </w:rPr>
      </w:pPr>
      <w:r w:rsidRPr="00462FA1">
        <w:rPr>
          <w:noProof/>
          <w:lang w:val="es-AR" w:eastAsia="es-AR"/>
        </w:rPr>
        <w:drawing>
          <wp:inline distT="0" distB="0" distL="0" distR="0" wp14:anchorId="6AB0DBCA" wp14:editId="3E4BD945">
            <wp:extent cx="6031230" cy="634627"/>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1230" cy="634627"/>
                    </a:xfrm>
                    <a:prstGeom prst="rect">
                      <a:avLst/>
                    </a:prstGeom>
                    <a:noFill/>
                    <a:ln>
                      <a:noFill/>
                    </a:ln>
                  </pic:spPr>
                </pic:pic>
              </a:graphicData>
            </a:graphic>
          </wp:inline>
        </w:drawing>
      </w:r>
    </w:p>
    <w:p w14:paraId="17FE59F8" w14:textId="77777777" w:rsidR="00587178" w:rsidRDefault="00587178" w:rsidP="002A4D17">
      <w:pPr>
        <w:pStyle w:val="Prrafodelista"/>
        <w:ind w:left="851" w:right="-427"/>
        <w:jc w:val="both"/>
        <w:rPr>
          <w:b/>
          <w:sz w:val="20"/>
          <w:szCs w:val="20"/>
        </w:rPr>
      </w:pPr>
    </w:p>
    <w:p w14:paraId="13CE4B26" w14:textId="77777777" w:rsidR="00587178" w:rsidRPr="008D4855" w:rsidRDefault="00587178" w:rsidP="002A4D17">
      <w:pPr>
        <w:pStyle w:val="Prrafodelista"/>
        <w:ind w:left="851" w:right="-427"/>
        <w:jc w:val="both"/>
        <w:rPr>
          <w:b/>
          <w:sz w:val="20"/>
          <w:szCs w:val="20"/>
        </w:rPr>
      </w:pPr>
    </w:p>
    <w:p w14:paraId="50999C45" w14:textId="64475905" w:rsidR="0074314C" w:rsidRPr="008D4855" w:rsidRDefault="009F6168" w:rsidP="00C60CC8">
      <w:pPr>
        <w:pStyle w:val="Prrafodelista"/>
        <w:numPr>
          <w:ilvl w:val="0"/>
          <w:numId w:val="11"/>
        </w:numPr>
        <w:ind w:right="-427"/>
        <w:jc w:val="both"/>
        <w:rPr>
          <w:b/>
          <w:sz w:val="20"/>
          <w:szCs w:val="20"/>
        </w:rPr>
      </w:pPr>
      <w:r w:rsidRPr="008D4855">
        <w:rPr>
          <w:b/>
          <w:sz w:val="20"/>
          <w:szCs w:val="20"/>
          <w:lang w:val="es-AR"/>
        </w:rPr>
        <w:t xml:space="preserve">Otros activos no </w:t>
      </w:r>
      <w:r w:rsidRPr="008D4855">
        <w:rPr>
          <w:b/>
          <w:sz w:val="20"/>
          <w:szCs w:val="20"/>
        </w:rPr>
        <w:t>financieros</w:t>
      </w:r>
    </w:p>
    <w:p w14:paraId="0F5D93C8" w14:textId="2EB018AA" w:rsidR="00DC003B" w:rsidRPr="008D4855" w:rsidRDefault="00785D4A" w:rsidP="00DC003B">
      <w:pPr>
        <w:pStyle w:val="Prrafodelista"/>
        <w:ind w:left="786" w:right="-427"/>
        <w:jc w:val="both"/>
        <w:rPr>
          <w:b/>
          <w:sz w:val="20"/>
          <w:szCs w:val="20"/>
        </w:rPr>
      </w:pPr>
      <w:r w:rsidRPr="00462FA1">
        <w:rPr>
          <w:noProof/>
          <w:lang w:val="es-AR" w:eastAsia="es-AR"/>
        </w:rPr>
        <w:drawing>
          <wp:inline distT="0" distB="0" distL="0" distR="0" wp14:anchorId="520B79D6" wp14:editId="7EDAEEAD">
            <wp:extent cx="6031230" cy="1599769"/>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1230" cy="1599769"/>
                    </a:xfrm>
                    <a:prstGeom prst="rect">
                      <a:avLst/>
                    </a:prstGeom>
                    <a:noFill/>
                    <a:ln>
                      <a:noFill/>
                    </a:ln>
                  </pic:spPr>
                </pic:pic>
              </a:graphicData>
            </a:graphic>
          </wp:inline>
        </w:drawing>
      </w:r>
    </w:p>
    <w:p w14:paraId="3A69BC5E" w14:textId="77777777" w:rsidR="00CC5A59" w:rsidRPr="008D4855" w:rsidRDefault="00CC5A59" w:rsidP="00184FF2">
      <w:pPr>
        <w:tabs>
          <w:tab w:val="num" w:pos="567"/>
        </w:tabs>
        <w:ind w:left="607" w:right="-427"/>
        <w:rPr>
          <w:rFonts w:ascii="Times New Roman" w:hAnsi="Times New Roman"/>
          <w:b/>
          <w:sz w:val="20"/>
        </w:rPr>
      </w:pPr>
    </w:p>
    <w:p w14:paraId="3C0FF14C" w14:textId="77777777" w:rsidR="004D7EB4" w:rsidRPr="008D4855" w:rsidRDefault="004D7EB4" w:rsidP="00A0168F">
      <w:pPr>
        <w:ind w:left="851"/>
        <w:jc w:val="both"/>
        <w:rPr>
          <w:rFonts w:ascii="Times New Roman" w:hAnsi="Times New Roman"/>
          <w:color w:val="000000"/>
          <w:sz w:val="20"/>
        </w:rPr>
      </w:pPr>
      <w:r w:rsidRPr="008D4855">
        <w:rPr>
          <w:rFonts w:ascii="Times New Roman" w:hAnsi="Times New Roman"/>
          <w:color w:val="000000"/>
          <w:sz w:val="20"/>
        </w:rPr>
        <w:lastRenderedPageBreak/>
        <w:t>Las propiedades de inversión incluyen una serie de inmuebles que son arrendados a terceros. El plazo promedio de los arrendamientos es 6 años. Las renovaciones posteriores son negociadas con el arrendatario.  El Grupo ha clasificado estos arrendamientos como arrendamientos operativos ya que no transfieren sustancialmente todos los riesgos y ventajas inherentes a la propiedad de los activos. Los ingresos procedentes del arrendamiento se reconocen en el rubro “Otros ingresos operativos” de forma lineal a lo largo del plazo del arrendamiento.</w:t>
      </w:r>
    </w:p>
    <w:p w14:paraId="3E157805" w14:textId="77777777" w:rsidR="00337921" w:rsidRDefault="00337921" w:rsidP="00EC4286">
      <w:pPr>
        <w:ind w:left="567"/>
        <w:jc w:val="both"/>
        <w:rPr>
          <w:rFonts w:ascii="Times New Roman" w:hAnsi="Times New Roman"/>
          <w:sz w:val="20"/>
        </w:rPr>
      </w:pPr>
    </w:p>
    <w:p w14:paraId="41592D12" w14:textId="77777777" w:rsidR="0021727D" w:rsidRDefault="0021727D" w:rsidP="00EC4286">
      <w:pPr>
        <w:ind w:left="567"/>
        <w:jc w:val="both"/>
        <w:rPr>
          <w:rFonts w:ascii="Times New Roman" w:hAnsi="Times New Roman"/>
          <w:sz w:val="20"/>
        </w:rPr>
      </w:pPr>
    </w:p>
    <w:p w14:paraId="45371220" w14:textId="77777777" w:rsidR="009F6168" w:rsidRPr="008D4855" w:rsidRDefault="009F6168" w:rsidP="00DC003B">
      <w:pPr>
        <w:pStyle w:val="Prrafodelista"/>
        <w:numPr>
          <w:ilvl w:val="0"/>
          <w:numId w:val="11"/>
        </w:numPr>
        <w:spacing w:before="240" w:after="120"/>
        <w:ind w:left="782" w:right="-425" w:hanging="357"/>
        <w:jc w:val="both"/>
        <w:rPr>
          <w:b/>
          <w:sz w:val="20"/>
          <w:szCs w:val="20"/>
          <w:lang w:val="es-AR"/>
        </w:rPr>
      </w:pPr>
      <w:r w:rsidRPr="008D4855">
        <w:rPr>
          <w:b/>
          <w:sz w:val="20"/>
          <w:szCs w:val="20"/>
          <w:lang w:val="es-AR"/>
        </w:rPr>
        <w:t>Activos no corrientes mantenidos para la venta</w:t>
      </w:r>
    </w:p>
    <w:p w14:paraId="7BF49538" w14:textId="6BFC2AEC" w:rsidR="002C4A6E" w:rsidRPr="008D4855" w:rsidRDefault="00781BAE" w:rsidP="00B83CA3">
      <w:pPr>
        <w:pStyle w:val="Prrafodelista"/>
        <w:ind w:left="709" w:right="141"/>
        <w:jc w:val="both"/>
        <w:rPr>
          <w:sz w:val="20"/>
          <w:szCs w:val="20"/>
          <w:lang w:val="es-AR" w:eastAsia="es-ES"/>
        </w:rPr>
      </w:pPr>
      <w:r w:rsidRPr="008D4855">
        <w:rPr>
          <w:sz w:val="20"/>
          <w:szCs w:val="20"/>
          <w:lang w:val="es-AR" w:eastAsia="es-ES"/>
        </w:rPr>
        <w:t xml:space="preserve">Incluye cierto grupo de inmuebles ubicados en la República Argentina, </w:t>
      </w:r>
      <w:r w:rsidR="00107CE5" w:rsidRPr="008D4855">
        <w:rPr>
          <w:sz w:val="20"/>
          <w:szCs w:val="20"/>
          <w:lang w:val="es-AR" w:eastAsia="es-ES"/>
        </w:rPr>
        <w:t xml:space="preserve">los cuales </w:t>
      </w:r>
      <w:r w:rsidRPr="008D4855">
        <w:rPr>
          <w:sz w:val="20"/>
          <w:szCs w:val="20"/>
          <w:lang w:val="es-AR" w:eastAsia="es-ES"/>
        </w:rPr>
        <w:t>el Directorio de la Entidad se comprometió a vender en el corto plazo.</w:t>
      </w:r>
    </w:p>
    <w:p w14:paraId="103DC46B" w14:textId="77777777" w:rsidR="00781BAE" w:rsidRPr="008D4855" w:rsidRDefault="00781BAE" w:rsidP="00B83CA3">
      <w:pPr>
        <w:pStyle w:val="Prrafodelista"/>
        <w:ind w:left="709" w:right="141"/>
        <w:jc w:val="both"/>
        <w:rPr>
          <w:sz w:val="20"/>
          <w:szCs w:val="20"/>
          <w:lang w:val="es-AR" w:eastAsia="es-ES"/>
        </w:rPr>
      </w:pPr>
    </w:p>
    <w:p w14:paraId="514CB1BC" w14:textId="3F524822" w:rsidR="002C4A6E" w:rsidRPr="008D4855" w:rsidRDefault="00785D4A" w:rsidP="00CD4D82">
      <w:pPr>
        <w:ind w:left="709" w:right="-4"/>
        <w:jc w:val="both"/>
        <w:rPr>
          <w:rFonts w:ascii="Times New Roman" w:hAnsi="Times New Roman"/>
          <w:color w:val="000000"/>
          <w:sz w:val="20"/>
        </w:rPr>
      </w:pPr>
      <w:r w:rsidRPr="00462FA1">
        <w:rPr>
          <w:noProof/>
          <w:lang w:eastAsia="es-AR"/>
        </w:rPr>
        <w:drawing>
          <wp:inline distT="0" distB="0" distL="0" distR="0" wp14:anchorId="64BACFAD" wp14:editId="30034F0C">
            <wp:extent cx="6031230" cy="692444"/>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1230" cy="692444"/>
                    </a:xfrm>
                    <a:prstGeom prst="rect">
                      <a:avLst/>
                    </a:prstGeom>
                    <a:noFill/>
                    <a:ln>
                      <a:noFill/>
                    </a:ln>
                  </pic:spPr>
                </pic:pic>
              </a:graphicData>
            </a:graphic>
          </wp:inline>
        </w:drawing>
      </w:r>
    </w:p>
    <w:p w14:paraId="1E244B0A" w14:textId="77777777" w:rsidR="00CD66BA" w:rsidRDefault="00CD66BA" w:rsidP="00CD4D82">
      <w:pPr>
        <w:ind w:left="709" w:right="-4"/>
        <w:jc w:val="both"/>
        <w:rPr>
          <w:rFonts w:ascii="Times New Roman" w:hAnsi="Times New Roman"/>
          <w:color w:val="000000"/>
          <w:sz w:val="20"/>
        </w:rPr>
      </w:pPr>
    </w:p>
    <w:p w14:paraId="041A935C" w14:textId="77777777" w:rsidR="00462FA1" w:rsidRPr="008D4855" w:rsidRDefault="00462FA1" w:rsidP="00CD4D82">
      <w:pPr>
        <w:ind w:left="709" w:right="-4"/>
        <w:jc w:val="both"/>
        <w:rPr>
          <w:rFonts w:ascii="Times New Roman" w:hAnsi="Times New Roman"/>
          <w:color w:val="000000"/>
          <w:sz w:val="20"/>
        </w:rPr>
      </w:pPr>
    </w:p>
    <w:p w14:paraId="6D765FF7" w14:textId="36D5B7AE" w:rsidR="00F94233" w:rsidRPr="008D4855" w:rsidRDefault="00F94233" w:rsidP="00337921">
      <w:pPr>
        <w:pStyle w:val="Prrafodelista"/>
        <w:numPr>
          <w:ilvl w:val="0"/>
          <w:numId w:val="11"/>
        </w:numPr>
        <w:rPr>
          <w:b/>
          <w:sz w:val="20"/>
        </w:rPr>
      </w:pPr>
      <w:r w:rsidRPr="008D4855">
        <w:rPr>
          <w:b/>
          <w:sz w:val="20"/>
        </w:rPr>
        <w:t>Depósitos</w:t>
      </w:r>
    </w:p>
    <w:p w14:paraId="2E539491" w14:textId="274399DA" w:rsidR="002A7999" w:rsidRDefault="009F6168" w:rsidP="001C7D31">
      <w:pPr>
        <w:pStyle w:val="Prrafodelista"/>
        <w:spacing w:before="120"/>
        <w:ind w:left="709" w:right="142"/>
        <w:jc w:val="both"/>
        <w:rPr>
          <w:sz w:val="20"/>
          <w:szCs w:val="20"/>
          <w:lang w:val="es-AR" w:eastAsia="es-ES"/>
        </w:rPr>
      </w:pPr>
      <w:r w:rsidRPr="00110E8B">
        <w:rPr>
          <w:sz w:val="20"/>
          <w:szCs w:val="20"/>
          <w:lang w:val="es-AR" w:eastAsia="es-ES"/>
        </w:rPr>
        <w:t xml:space="preserve">La información sobre concentración de depósitos se presenta en el Anexo H. </w:t>
      </w:r>
      <w:r w:rsidR="00A310C5" w:rsidRPr="00110E8B">
        <w:rPr>
          <w:sz w:val="20"/>
          <w:szCs w:val="20"/>
          <w:lang w:val="es-AR" w:eastAsia="es-ES"/>
        </w:rPr>
        <w:t>La composición del rubro es la siguiente</w:t>
      </w:r>
      <w:r w:rsidRPr="00110E8B">
        <w:rPr>
          <w:sz w:val="20"/>
          <w:szCs w:val="20"/>
          <w:lang w:val="es-AR" w:eastAsia="es-ES"/>
        </w:rPr>
        <w:t>:</w:t>
      </w:r>
    </w:p>
    <w:p w14:paraId="7056470B" w14:textId="37E1F14E" w:rsidR="00DC003B" w:rsidRDefault="00DC003B" w:rsidP="00F94233">
      <w:pPr>
        <w:pStyle w:val="Prrafodelista"/>
        <w:ind w:left="709" w:right="141"/>
        <w:jc w:val="both"/>
        <w:rPr>
          <w:sz w:val="20"/>
          <w:szCs w:val="20"/>
          <w:lang w:val="es-AR" w:eastAsia="es-ES"/>
        </w:rPr>
      </w:pPr>
    </w:p>
    <w:p w14:paraId="2D05442F" w14:textId="273FA227" w:rsidR="00337921" w:rsidRDefault="00785D4A" w:rsidP="00F94233">
      <w:pPr>
        <w:pStyle w:val="Prrafodelista"/>
        <w:ind w:left="709" w:right="141"/>
        <w:jc w:val="both"/>
        <w:rPr>
          <w:sz w:val="20"/>
          <w:szCs w:val="20"/>
          <w:lang w:val="es-AR" w:eastAsia="es-ES"/>
        </w:rPr>
      </w:pPr>
      <w:r w:rsidRPr="00462FA1">
        <w:rPr>
          <w:noProof/>
          <w:lang w:val="es-AR" w:eastAsia="es-AR"/>
        </w:rPr>
        <w:drawing>
          <wp:inline distT="0" distB="0" distL="0" distR="0" wp14:anchorId="3725DF62" wp14:editId="09FC3DEE">
            <wp:extent cx="6031230" cy="1589298"/>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1230" cy="1589298"/>
                    </a:xfrm>
                    <a:prstGeom prst="rect">
                      <a:avLst/>
                    </a:prstGeom>
                    <a:noFill/>
                    <a:ln>
                      <a:noFill/>
                    </a:ln>
                  </pic:spPr>
                </pic:pic>
              </a:graphicData>
            </a:graphic>
          </wp:inline>
        </w:drawing>
      </w:r>
    </w:p>
    <w:p w14:paraId="5C783555" w14:textId="77777777" w:rsidR="00074F2E" w:rsidRDefault="00074F2E" w:rsidP="00F94233">
      <w:pPr>
        <w:pStyle w:val="Prrafodelista"/>
        <w:ind w:left="709" w:right="141"/>
        <w:jc w:val="both"/>
        <w:rPr>
          <w:sz w:val="20"/>
          <w:szCs w:val="20"/>
          <w:lang w:val="es-AR" w:eastAsia="es-ES"/>
        </w:rPr>
      </w:pPr>
    </w:p>
    <w:p w14:paraId="5FCCCC2F" w14:textId="77777777" w:rsidR="00074F2E" w:rsidRPr="00110E8B" w:rsidRDefault="00074F2E" w:rsidP="00F94233">
      <w:pPr>
        <w:pStyle w:val="Prrafodelista"/>
        <w:ind w:left="709" w:right="141"/>
        <w:jc w:val="both"/>
        <w:rPr>
          <w:sz w:val="20"/>
          <w:szCs w:val="20"/>
          <w:lang w:val="es-AR" w:eastAsia="es-ES"/>
        </w:rPr>
      </w:pPr>
    </w:p>
    <w:p w14:paraId="2B4BA149" w14:textId="6D69AC8F" w:rsidR="003476F3" w:rsidRPr="00417324" w:rsidRDefault="003476F3" w:rsidP="00C60CC8">
      <w:pPr>
        <w:pStyle w:val="Prrafodelista"/>
        <w:numPr>
          <w:ilvl w:val="0"/>
          <w:numId w:val="11"/>
        </w:numPr>
        <w:tabs>
          <w:tab w:val="left" w:pos="993"/>
        </w:tabs>
        <w:ind w:right="-427"/>
        <w:jc w:val="both"/>
        <w:rPr>
          <w:b/>
          <w:sz w:val="20"/>
          <w:szCs w:val="20"/>
          <w:lang w:val="es-AR"/>
        </w:rPr>
      </w:pPr>
      <w:r w:rsidRPr="00417324">
        <w:rPr>
          <w:b/>
          <w:sz w:val="20"/>
          <w:szCs w:val="20"/>
          <w:lang w:val="es-AR"/>
        </w:rPr>
        <w:t>Pasivos a valor razonable con cambios en resultados</w:t>
      </w:r>
    </w:p>
    <w:p w14:paraId="064997E9" w14:textId="77777777" w:rsidR="00046DEB" w:rsidRDefault="00046DEB" w:rsidP="00046DEB">
      <w:pPr>
        <w:pStyle w:val="Prrafodelista"/>
        <w:tabs>
          <w:tab w:val="left" w:pos="993"/>
        </w:tabs>
        <w:ind w:left="786" w:right="-427"/>
        <w:jc w:val="both"/>
        <w:rPr>
          <w:b/>
          <w:sz w:val="20"/>
          <w:szCs w:val="20"/>
          <w:lang w:val="es-AR"/>
        </w:rPr>
      </w:pPr>
    </w:p>
    <w:p w14:paraId="4EC20F73" w14:textId="77777777" w:rsidR="00074F2E" w:rsidRPr="00417324" w:rsidRDefault="00074F2E" w:rsidP="00046DEB">
      <w:pPr>
        <w:pStyle w:val="Prrafodelista"/>
        <w:tabs>
          <w:tab w:val="left" w:pos="993"/>
        </w:tabs>
        <w:ind w:left="786" w:right="-427"/>
        <w:jc w:val="both"/>
        <w:rPr>
          <w:b/>
          <w:sz w:val="20"/>
          <w:szCs w:val="20"/>
          <w:lang w:val="es-AR"/>
        </w:rPr>
      </w:pPr>
    </w:p>
    <w:p w14:paraId="55EC0707" w14:textId="15F115BE" w:rsidR="00D936F3" w:rsidRPr="00110E8B" w:rsidRDefault="00785D4A" w:rsidP="00785D4A">
      <w:pPr>
        <w:pStyle w:val="Prrafodelista"/>
        <w:tabs>
          <w:tab w:val="left" w:pos="851"/>
          <w:tab w:val="left" w:pos="993"/>
          <w:tab w:val="left" w:pos="4395"/>
        </w:tabs>
        <w:ind w:left="709" w:right="-427"/>
        <w:jc w:val="both"/>
        <w:rPr>
          <w:b/>
          <w:sz w:val="20"/>
          <w:szCs w:val="20"/>
          <w:lang w:val="es-AR"/>
        </w:rPr>
      </w:pPr>
      <w:r w:rsidRPr="00074F2E">
        <w:rPr>
          <w:noProof/>
          <w:lang w:val="es-AR" w:eastAsia="es-AR"/>
        </w:rPr>
        <w:drawing>
          <wp:inline distT="0" distB="0" distL="0" distR="0" wp14:anchorId="28199BEB" wp14:editId="2CE07A46">
            <wp:extent cx="6031230" cy="571801"/>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1230" cy="571801"/>
                    </a:xfrm>
                    <a:prstGeom prst="rect">
                      <a:avLst/>
                    </a:prstGeom>
                    <a:noFill/>
                    <a:ln>
                      <a:noFill/>
                    </a:ln>
                  </pic:spPr>
                </pic:pic>
              </a:graphicData>
            </a:graphic>
          </wp:inline>
        </w:drawing>
      </w:r>
    </w:p>
    <w:p w14:paraId="2A0B1E02" w14:textId="77777777" w:rsidR="00794732" w:rsidRDefault="00794732" w:rsidP="00F645E0">
      <w:pPr>
        <w:tabs>
          <w:tab w:val="left" w:pos="851"/>
          <w:tab w:val="left" w:pos="993"/>
        </w:tabs>
        <w:ind w:right="-427" w:firstLine="709"/>
        <w:jc w:val="both"/>
        <w:rPr>
          <w:rFonts w:ascii="Times New Roman" w:hAnsi="Times New Roman"/>
          <w:b/>
          <w:sz w:val="20"/>
        </w:rPr>
      </w:pPr>
    </w:p>
    <w:p w14:paraId="25E51113" w14:textId="77777777" w:rsidR="00074F2E" w:rsidRDefault="00074F2E" w:rsidP="00F645E0">
      <w:pPr>
        <w:tabs>
          <w:tab w:val="left" w:pos="851"/>
          <w:tab w:val="left" w:pos="993"/>
        </w:tabs>
        <w:ind w:right="-427" w:firstLine="709"/>
        <w:jc w:val="both"/>
        <w:rPr>
          <w:rFonts w:ascii="Times New Roman" w:hAnsi="Times New Roman"/>
          <w:b/>
          <w:sz w:val="20"/>
        </w:rPr>
      </w:pPr>
    </w:p>
    <w:p w14:paraId="05D78998" w14:textId="77777777" w:rsidR="00074F2E" w:rsidRDefault="00074F2E" w:rsidP="00F645E0">
      <w:pPr>
        <w:tabs>
          <w:tab w:val="left" w:pos="851"/>
          <w:tab w:val="left" w:pos="993"/>
        </w:tabs>
        <w:ind w:right="-427" w:firstLine="709"/>
        <w:jc w:val="both"/>
        <w:rPr>
          <w:rFonts w:ascii="Times New Roman" w:hAnsi="Times New Roman"/>
          <w:b/>
          <w:sz w:val="20"/>
        </w:rPr>
      </w:pPr>
    </w:p>
    <w:p w14:paraId="1522D38C" w14:textId="77777777" w:rsidR="0021727D" w:rsidRDefault="0021727D" w:rsidP="00F645E0">
      <w:pPr>
        <w:tabs>
          <w:tab w:val="left" w:pos="851"/>
          <w:tab w:val="left" w:pos="993"/>
        </w:tabs>
        <w:ind w:right="-427" w:firstLine="709"/>
        <w:jc w:val="both"/>
        <w:rPr>
          <w:rFonts w:ascii="Times New Roman" w:hAnsi="Times New Roman"/>
          <w:b/>
          <w:sz w:val="20"/>
        </w:rPr>
      </w:pPr>
    </w:p>
    <w:p w14:paraId="0B085600" w14:textId="252B5CDB" w:rsidR="00033210" w:rsidRDefault="00033210" w:rsidP="004E24FD">
      <w:pPr>
        <w:pStyle w:val="Prrafodelista"/>
        <w:numPr>
          <w:ilvl w:val="0"/>
          <w:numId w:val="11"/>
        </w:numPr>
        <w:tabs>
          <w:tab w:val="left" w:pos="993"/>
        </w:tabs>
        <w:ind w:right="-427"/>
        <w:jc w:val="both"/>
        <w:rPr>
          <w:b/>
          <w:sz w:val="20"/>
          <w:szCs w:val="20"/>
          <w:lang w:val="es-AR"/>
        </w:rPr>
      </w:pPr>
      <w:r w:rsidRPr="008D4855">
        <w:rPr>
          <w:b/>
          <w:sz w:val="20"/>
          <w:szCs w:val="20"/>
          <w:lang w:val="es-AR"/>
        </w:rPr>
        <w:t>Otros pasivos financieros</w:t>
      </w:r>
    </w:p>
    <w:p w14:paraId="06874661" w14:textId="77777777" w:rsidR="00785D4A" w:rsidRPr="008D4855" w:rsidRDefault="00785D4A" w:rsidP="00785D4A">
      <w:pPr>
        <w:pStyle w:val="Prrafodelista"/>
        <w:tabs>
          <w:tab w:val="left" w:pos="993"/>
        </w:tabs>
        <w:ind w:left="786" w:right="-427"/>
        <w:jc w:val="both"/>
        <w:rPr>
          <w:b/>
          <w:sz w:val="20"/>
          <w:szCs w:val="20"/>
          <w:lang w:val="es-AR"/>
        </w:rPr>
      </w:pPr>
    </w:p>
    <w:p w14:paraId="03F068D5" w14:textId="138E7AC8" w:rsidR="00DC003B" w:rsidRDefault="00785D4A" w:rsidP="00785D4A">
      <w:pPr>
        <w:ind w:left="782"/>
        <w:rPr>
          <w:rFonts w:ascii="Times New Roman" w:hAnsi="Times New Roman"/>
          <w:noProof/>
          <w:sz w:val="20"/>
          <w:lang w:eastAsia="es-AR"/>
        </w:rPr>
      </w:pPr>
      <w:r w:rsidRPr="00074F2E">
        <w:rPr>
          <w:noProof/>
          <w:lang w:eastAsia="es-AR"/>
        </w:rPr>
        <w:drawing>
          <wp:inline distT="0" distB="0" distL="0" distR="0" wp14:anchorId="1EF6699C" wp14:editId="3ABFACB7">
            <wp:extent cx="6031230" cy="1599769"/>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1230" cy="1599769"/>
                    </a:xfrm>
                    <a:prstGeom prst="rect">
                      <a:avLst/>
                    </a:prstGeom>
                    <a:noFill/>
                    <a:ln>
                      <a:noFill/>
                    </a:ln>
                  </pic:spPr>
                </pic:pic>
              </a:graphicData>
            </a:graphic>
          </wp:inline>
        </w:drawing>
      </w:r>
    </w:p>
    <w:p w14:paraId="34CEDD11" w14:textId="77777777" w:rsidR="00074F2E" w:rsidRDefault="00074F2E" w:rsidP="00785D4A">
      <w:pPr>
        <w:ind w:left="782"/>
        <w:rPr>
          <w:rFonts w:ascii="Times New Roman" w:hAnsi="Times New Roman"/>
          <w:noProof/>
          <w:sz w:val="20"/>
          <w:lang w:eastAsia="es-AR"/>
        </w:rPr>
      </w:pPr>
    </w:p>
    <w:p w14:paraId="773DE6A7" w14:textId="76651B58" w:rsidR="00352AC6" w:rsidRPr="00810A2A" w:rsidRDefault="002215C9" w:rsidP="001124BA">
      <w:pPr>
        <w:pStyle w:val="Prrafodelista"/>
        <w:numPr>
          <w:ilvl w:val="0"/>
          <w:numId w:val="11"/>
        </w:numPr>
        <w:tabs>
          <w:tab w:val="left" w:pos="851"/>
          <w:tab w:val="left" w:pos="993"/>
        </w:tabs>
        <w:ind w:left="785" w:right="-427"/>
        <w:jc w:val="both"/>
        <w:rPr>
          <w:b/>
          <w:sz w:val="20"/>
          <w:szCs w:val="20"/>
          <w:lang w:val="es-AR"/>
        </w:rPr>
      </w:pPr>
      <w:r w:rsidRPr="00810A2A">
        <w:rPr>
          <w:b/>
          <w:sz w:val="20"/>
          <w:szCs w:val="20"/>
          <w:lang w:val="es-AR"/>
        </w:rPr>
        <w:t xml:space="preserve">Financiaciones recibidas del </w:t>
      </w:r>
      <w:r w:rsidR="0013679F" w:rsidRPr="00810A2A">
        <w:rPr>
          <w:b/>
          <w:sz w:val="20"/>
          <w:szCs w:val="20"/>
          <w:lang w:val="es-AR"/>
        </w:rPr>
        <w:t>B.C.R.A.</w:t>
      </w:r>
      <w:r w:rsidRPr="00810A2A">
        <w:rPr>
          <w:b/>
          <w:sz w:val="20"/>
          <w:szCs w:val="20"/>
          <w:lang w:val="es-AR"/>
        </w:rPr>
        <w:t xml:space="preserve"> y otras instituciones financieras</w:t>
      </w:r>
      <w:r w:rsidR="00B22F06" w:rsidRPr="00810A2A">
        <w:rPr>
          <w:b/>
          <w:sz w:val="20"/>
          <w:szCs w:val="20"/>
          <w:lang w:val="es-AR"/>
        </w:rPr>
        <w:tab/>
      </w:r>
      <w:r w:rsidR="00B22F06" w:rsidRPr="00810A2A">
        <w:rPr>
          <w:b/>
          <w:sz w:val="20"/>
          <w:szCs w:val="20"/>
          <w:lang w:val="es-AR"/>
        </w:rPr>
        <w:tab/>
      </w:r>
    </w:p>
    <w:p w14:paraId="59FA0996" w14:textId="77777777" w:rsidR="00F34B70" w:rsidRPr="008D4855" w:rsidRDefault="00F34B70" w:rsidP="00B22F06">
      <w:pPr>
        <w:pStyle w:val="Prrafodelista"/>
        <w:tabs>
          <w:tab w:val="left" w:pos="851"/>
          <w:tab w:val="left" w:pos="3585"/>
        </w:tabs>
        <w:ind w:left="785" w:right="-427"/>
        <w:jc w:val="both"/>
        <w:rPr>
          <w:b/>
          <w:sz w:val="20"/>
          <w:szCs w:val="20"/>
          <w:lang w:val="es-AR"/>
        </w:rPr>
      </w:pPr>
    </w:p>
    <w:p w14:paraId="562C6E45" w14:textId="1F80C29C" w:rsidR="005414E9" w:rsidRPr="008D4855" w:rsidRDefault="00785D4A" w:rsidP="00B22F06">
      <w:pPr>
        <w:pStyle w:val="Prrafodelista"/>
        <w:tabs>
          <w:tab w:val="left" w:pos="851"/>
          <w:tab w:val="left" w:pos="3585"/>
        </w:tabs>
        <w:ind w:left="785" w:right="-427"/>
        <w:jc w:val="both"/>
        <w:rPr>
          <w:b/>
          <w:sz w:val="20"/>
          <w:szCs w:val="20"/>
          <w:lang w:val="es-AR"/>
        </w:rPr>
      </w:pPr>
      <w:r w:rsidRPr="00F34B70">
        <w:rPr>
          <w:noProof/>
          <w:lang w:val="es-AR" w:eastAsia="es-AR"/>
        </w:rPr>
        <w:drawing>
          <wp:inline distT="0" distB="0" distL="0" distR="0" wp14:anchorId="28EBE85E" wp14:editId="6651C7CA">
            <wp:extent cx="6031230" cy="907325"/>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1230" cy="907325"/>
                    </a:xfrm>
                    <a:prstGeom prst="rect">
                      <a:avLst/>
                    </a:prstGeom>
                    <a:noFill/>
                    <a:ln>
                      <a:noFill/>
                    </a:ln>
                  </pic:spPr>
                </pic:pic>
              </a:graphicData>
            </a:graphic>
          </wp:inline>
        </w:drawing>
      </w:r>
    </w:p>
    <w:p w14:paraId="2D1F754A" w14:textId="77777777" w:rsidR="00F34B70" w:rsidRDefault="00F34B70" w:rsidP="00FE3547">
      <w:pPr>
        <w:pStyle w:val="Prrafodelista"/>
        <w:ind w:left="785" w:right="141"/>
        <w:jc w:val="both"/>
        <w:rPr>
          <w:sz w:val="20"/>
          <w:szCs w:val="20"/>
          <w:lang w:val="es-AR" w:eastAsia="es-ES"/>
        </w:rPr>
      </w:pPr>
    </w:p>
    <w:p w14:paraId="40968866" w14:textId="77777777" w:rsidR="00033210" w:rsidRPr="009236EA" w:rsidRDefault="002215C9" w:rsidP="008D4DB6">
      <w:pPr>
        <w:pStyle w:val="Prrafodelista"/>
        <w:numPr>
          <w:ilvl w:val="0"/>
          <w:numId w:val="11"/>
        </w:numPr>
        <w:tabs>
          <w:tab w:val="left" w:pos="851"/>
          <w:tab w:val="left" w:pos="993"/>
        </w:tabs>
        <w:spacing w:after="120"/>
        <w:ind w:left="782" w:right="-425" w:hanging="357"/>
        <w:jc w:val="both"/>
        <w:rPr>
          <w:b/>
          <w:sz w:val="20"/>
          <w:szCs w:val="20"/>
        </w:rPr>
      </w:pPr>
      <w:r w:rsidRPr="009236EA">
        <w:rPr>
          <w:b/>
          <w:sz w:val="20"/>
          <w:szCs w:val="20"/>
        </w:rPr>
        <w:t>Obligaciones negociables emitidas</w:t>
      </w:r>
    </w:p>
    <w:p w14:paraId="7B77D67A" w14:textId="77777777" w:rsidR="00E92B14" w:rsidRPr="008D4855" w:rsidRDefault="00E92B14" w:rsidP="00482B43">
      <w:pPr>
        <w:tabs>
          <w:tab w:val="left" w:pos="2260"/>
        </w:tabs>
        <w:ind w:left="567" w:right="49"/>
        <w:jc w:val="both"/>
        <w:rPr>
          <w:rFonts w:ascii="Times New Roman" w:hAnsi="Times New Roman"/>
          <w:sz w:val="20"/>
        </w:rPr>
      </w:pPr>
    </w:p>
    <w:p w14:paraId="4E303EC5" w14:textId="3B4AEB43" w:rsidR="009E6321" w:rsidRPr="008D4855" w:rsidRDefault="009E6321" w:rsidP="00482B43">
      <w:pPr>
        <w:tabs>
          <w:tab w:val="left" w:pos="2260"/>
        </w:tabs>
        <w:ind w:left="567" w:right="49"/>
        <w:jc w:val="both"/>
        <w:rPr>
          <w:rFonts w:ascii="Times New Roman" w:hAnsi="Times New Roman"/>
          <w:sz w:val="20"/>
        </w:rPr>
      </w:pPr>
      <w:r w:rsidRPr="008D4855">
        <w:rPr>
          <w:rFonts w:ascii="Times New Roman" w:hAnsi="Times New Roman"/>
          <w:sz w:val="20"/>
        </w:rPr>
        <w:t>A continuación se detallan las obligaciones negociables vigentes al</w:t>
      </w:r>
      <w:r w:rsidRPr="008D4855">
        <w:rPr>
          <w:rFonts w:ascii="Times New Roman" w:hAnsi="Times New Roman"/>
          <w:sz w:val="20"/>
          <w:lang w:val="es-ES_tradnl"/>
        </w:rPr>
        <w:t xml:space="preserve"> </w:t>
      </w:r>
      <w:r w:rsidR="00217844" w:rsidRPr="008D4855">
        <w:rPr>
          <w:rFonts w:ascii="Times New Roman" w:hAnsi="Times New Roman"/>
          <w:sz w:val="20"/>
        </w:rPr>
        <w:t>3</w:t>
      </w:r>
      <w:r w:rsidR="00F850BC" w:rsidRPr="008D4855">
        <w:rPr>
          <w:rFonts w:ascii="Times New Roman" w:hAnsi="Times New Roman"/>
          <w:sz w:val="20"/>
        </w:rPr>
        <w:t>0</w:t>
      </w:r>
      <w:r w:rsidR="00217844" w:rsidRPr="008D4855">
        <w:rPr>
          <w:rFonts w:ascii="Times New Roman" w:hAnsi="Times New Roman"/>
          <w:sz w:val="20"/>
        </w:rPr>
        <w:t xml:space="preserve"> de </w:t>
      </w:r>
      <w:r w:rsidR="0064516F">
        <w:rPr>
          <w:rFonts w:ascii="Times New Roman" w:hAnsi="Times New Roman"/>
          <w:sz w:val="20"/>
        </w:rPr>
        <w:t>septiembre</w:t>
      </w:r>
      <w:r w:rsidR="001421FC" w:rsidRPr="008D4855">
        <w:rPr>
          <w:rFonts w:ascii="Times New Roman" w:hAnsi="Times New Roman"/>
          <w:sz w:val="20"/>
        </w:rPr>
        <w:t xml:space="preserve"> </w:t>
      </w:r>
      <w:r w:rsidR="00956D04" w:rsidRPr="008D4855">
        <w:rPr>
          <w:rFonts w:ascii="Times New Roman" w:hAnsi="Times New Roman"/>
          <w:sz w:val="20"/>
        </w:rPr>
        <w:t xml:space="preserve">de </w:t>
      </w:r>
      <w:r w:rsidR="00920083" w:rsidRPr="008D4855">
        <w:rPr>
          <w:rFonts w:ascii="Times New Roman" w:hAnsi="Times New Roman"/>
          <w:sz w:val="20"/>
        </w:rPr>
        <w:t>202</w:t>
      </w:r>
      <w:r w:rsidR="001421FC" w:rsidRPr="008D4855">
        <w:rPr>
          <w:rFonts w:ascii="Times New Roman" w:hAnsi="Times New Roman"/>
          <w:sz w:val="20"/>
        </w:rPr>
        <w:t>1 y 31 de diciembre 2020</w:t>
      </w:r>
      <w:r w:rsidR="001333EC" w:rsidRPr="008D4855">
        <w:rPr>
          <w:rFonts w:ascii="Times New Roman" w:hAnsi="Times New Roman"/>
          <w:sz w:val="20"/>
        </w:rPr>
        <w:t xml:space="preserve"> </w:t>
      </w:r>
      <w:r w:rsidR="0077110A" w:rsidRPr="008D4855">
        <w:rPr>
          <w:rFonts w:ascii="Times New Roman" w:hAnsi="Times New Roman"/>
          <w:sz w:val="20"/>
        </w:rPr>
        <w:t>del Banco y sus subsidiarias</w:t>
      </w:r>
      <w:r w:rsidR="00956D04" w:rsidRPr="008D4855">
        <w:rPr>
          <w:rFonts w:ascii="Times New Roman" w:hAnsi="Times New Roman"/>
          <w:sz w:val="20"/>
        </w:rPr>
        <w:t>:</w:t>
      </w:r>
    </w:p>
    <w:p w14:paraId="35D3540E" w14:textId="77777777" w:rsidR="00366A9A" w:rsidRDefault="00366A9A" w:rsidP="00482B43">
      <w:pPr>
        <w:tabs>
          <w:tab w:val="left" w:pos="2260"/>
        </w:tabs>
        <w:ind w:left="567" w:right="49"/>
        <w:jc w:val="both"/>
        <w:rPr>
          <w:rFonts w:ascii="Times New Roman" w:hAnsi="Times New Roman"/>
          <w:sz w:val="20"/>
        </w:rPr>
      </w:pPr>
    </w:p>
    <w:p w14:paraId="1FD6F834" w14:textId="77777777" w:rsidR="00810A2A" w:rsidRDefault="00810A2A" w:rsidP="00482B43">
      <w:pPr>
        <w:tabs>
          <w:tab w:val="left" w:pos="2260"/>
        </w:tabs>
        <w:ind w:left="567" w:right="49"/>
        <w:jc w:val="both"/>
        <w:rPr>
          <w:rFonts w:ascii="Times New Roman" w:hAnsi="Times New Roman"/>
          <w:sz w:val="20"/>
        </w:rPr>
      </w:pPr>
    </w:p>
    <w:p w14:paraId="675E2D1C" w14:textId="3A5DDC61" w:rsidR="000F5659" w:rsidRPr="00110E8B" w:rsidRDefault="00BC7DF0" w:rsidP="00482B43">
      <w:pPr>
        <w:tabs>
          <w:tab w:val="left" w:pos="2260"/>
        </w:tabs>
        <w:ind w:left="567" w:right="49"/>
        <w:jc w:val="both"/>
        <w:rPr>
          <w:rFonts w:ascii="Times New Roman" w:hAnsi="Times New Roman"/>
          <w:sz w:val="20"/>
        </w:rPr>
      </w:pPr>
      <w:r w:rsidRPr="009236EA">
        <w:rPr>
          <w:noProof/>
          <w:lang w:eastAsia="es-AR"/>
        </w:rPr>
        <w:drawing>
          <wp:inline distT="0" distB="0" distL="0" distR="0" wp14:anchorId="2311509C" wp14:editId="6AD5C166">
            <wp:extent cx="6029834" cy="18447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5406" cy="1846408"/>
                    </a:xfrm>
                    <a:prstGeom prst="rect">
                      <a:avLst/>
                    </a:prstGeom>
                    <a:noFill/>
                    <a:ln>
                      <a:noFill/>
                    </a:ln>
                  </pic:spPr>
                </pic:pic>
              </a:graphicData>
            </a:graphic>
          </wp:inline>
        </w:drawing>
      </w:r>
    </w:p>
    <w:p w14:paraId="3347B59D" w14:textId="1D93348A" w:rsidR="00D44CCA" w:rsidRPr="00417324" w:rsidRDefault="00D44CCA" w:rsidP="00046DEB">
      <w:pPr>
        <w:tabs>
          <w:tab w:val="left" w:pos="8931"/>
        </w:tabs>
        <w:ind w:left="567" w:right="141"/>
        <w:jc w:val="both"/>
        <w:rPr>
          <w:rFonts w:ascii="Times New Roman" w:hAnsi="Times New Roman"/>
          <w:sz w:val="18"/>
          <w:szCs w:val="18"/>
          <w:u w:val="single"/>
        </w:rPr>
      </w:pPr>
      <w:r w:rsidRPr="00417324">
        <w:rPr>
          <w:rFonts w:ascii="Times New Roman" w:hAnsi="Times New Roman"/>
          <w:sz w:val="18"/>
          <w:szCs w:val="18"/>
          <w:u w:val="single"/>
        </w:rPr>
        <w:t>Definiciones:</w:t>
      </w:r>
    </w:p>
    <w:p w14:paraId="348B230B" w14:textId="77777777" w:rsidR="009A645B" w:rsidRPr="00417324" w:rsidRDefault="009A645B" w:rsidP="00046DEB">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ind w:left="567" w:right="140"/>
        <w:jc w:val="both"/>
        <w:rPr>
          <w:rFonts w:ascii="Times New Roman" w:hAnsi="Times New Roman" w:cs="Times New Roman"/>
          <w:sz w:val="18"/>
          <w:szCs w:val="18"/>
          <w:lang w:eastAsia="es-ES"/>
        </w:rPr>
      </w:pPr>
    </w:p>
    <w:p w14:paraId="1B9DB06E" w14:textId="7C488C26" w:rsidR="00E80CE9" w:rsidRPr="00B25174" w:rsidRDefault="00B25174" w:rsidP="0041732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ind w:left="567" w:right="140"/>
        <w:jc w:val="both"/>
        <w:rPr>
          <w:rFonts w:ascii="Times New Roman" w:hAnsi="Times New Roman" w:cs="Times New Roman"/>
          <w:sz w:val="16"/>
          <w:lang w:eastAsia="es-ES"/>
        </w:rPr>
      </w:pPr>
      <w:r w:rsidRPr="00B25174">
        <w:rPr>
          <w:rFonts w:ascii="Times New Roman" w:hAnsi="Times New Roman" w:cs="Times New Roman"/>
          <w:sz w:val="16"/>
          <w:lang w:eastAsia="es-ES"/>
        </w:rPr>
        <w:t>TASA UVA: tasa de interés con componente variable (UVA) la cual representa una unidad de medida con actualización diaria según el índice CER, reflejando este la evolución de la inflación medida a través del IPC (Índice de Precios al Consumidor).</w:t>
      </w:r>
    </w:p>
    <w:p w14:paraId="51876D5D" w14:textId="77777777" w:rsidR="007B0AAA" w:rsidRDefault="007B0AAA" w:rsidP="00366A9A">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ind w:right="140"/>
        <w:jc w:val="both"/>
        <w:rPr>
          <w:rFonts w:ascii="Times New Roman" w:hAnsi="Times New Roman" w:cs="Times New Roman"/>
          <w:sz w:val="18"/>
          <w:szCs w:val="18"/>
          <w:lang w:eastAsia="es-ES"/>
        </w:rPr>
      </w:pPr>
    </w:p>
    <w:p w14:paraId="47F8C161" w14:textId="77777777" w:rsidR="00F34B70" w:rsidRDefault="00F34B70" w:rsidP="00366A9A">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ind w:right="140"/>
        <w:jc w:val="both"/>
        <w:rPr>
          <w:rFonts w:ascii="Times New Roman" w:hAnsi="Times New Roman" w:cs="Times New Roman"/>
          <w:sz w:val="18"/>
          <w:szCs w:val="18"/>
          <w:lang w:eastAsia="es-ES"/>
        </w:rPr>
      </w:pPr>
    </w:p>
    <w:p w14:paraId="3D48FDF0" w14:textId="77777777" w:rsidR="00CD66BA" w:rsidRDefault="00CD66BA" w:rsidP="00366A9A">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ind w:right="140"/>
        <w:jc w:val="both"/>
        <w:rPr>
          <w:rFonts w:ascii="Times New Roman" w:hAnsi="Times New Roman" w:cs="Times New Roman"/>
          <w:sz w:val="18"/>
          <w:szCs w:val="18"/>
          <w:lang w:eastAsia="es-ES"/>
        </w:rPr>
      </w:pPr>
    </w:p>
    <w:p w14:paraId="2FD45CE4" w14:textId="7D8DFDF7" w:rsidR="00DD5EF1" w:rsidRPr="00CB193F" w:rsidRDefault="00A310C5" w:rsidP="00C60CC8">
      <w:pPr>
        <w:pStyle w:val="Prrafodelista"/>
        <w:numPr>
          <w:ilvl w:val="0"/>
          <w:numId w:val="11"/>
        </w:numPr>
        <w:ind w:right="141"/>
        <w:jc w:val="both"/>
        <w:rPr>
          <w:b/>
          <w:sz w:val="20"/>
          <w:szCs w:val="20"/>
          <w:lang w:val="es-AR" w:eastAsia="es-ES"/>
        </w:rPr>
      </w:pPr>
      <w:r w:rsidRPr="00CB193F">
        <w:rPr>
          <w:b/>
          <w:sz w:val="20"/>
          <w:szCs w:val="20"/>
          <w:lang w:val="es-AR" w:eastAsia="es-ES"/>
        </w:rPr>
        <w:t>Provisiones</w:t>
      </w:r>
    </w:p>
    <w:p w14:paraId="719EF42E" w14:textId="07F84723" w:rsidR="00DD5EF1" w:rsidRPr="00CB193F" w:rsidRDefault="00E13E82" w:rsidP="00CC54A9">
      <w:pPr>
        <w:pStyle w:val="Prrafodelista"/>
        <w:ind w:left="607" w:right="141"/>
        <w:jc w:val="center"/>
        <w:rPr>
          <w:b/>
          <w:sz w:val="20"/>
          <w:szCs w:val="20"/>
          <w:lang w:val="es-AR" w:eastAsia="es-ES"/>
        </w:rPr>
      </w:pPr>
      <w:r w:rsidRPr="00CB193F">
        <w:rPr>
          <w:noProof/>
          <w:lang w:val="es-AR" w:eastAsia="es-AR"/>
        </w:rPr>
        <w:drawing>
          <wp:inline distT="0" distB="0" distL="0" distR="0" wp14:anchorId="27FB6F09" wp14:editId="0FBEDB47">
            <wp:extent cx="6031230" cy="209692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1230" cy="2096928"/>
                    </a:xfrm>
                    <a:prstGeom prst="rect">
                      <a:avLst/>
                    </a:prstGeom>
                    <a:noFill/>
                    <a:ln>
                      <a:noFill/>
                    </a:ln>
                  </pic:spPr>
                </pic:pic>
              </a:graphicData>
            </a:graphic>
          </wp:inline>
        </w:drawing>
      </w:r>
    </w:p>
    <w:p w14:paraId="27232BA5" w14:textId="36FC11D0" w:rsidR="00DD5EF1" w:rsidRPr="00CB193F" w:rsidRDefault="00DD5EF1" w:rsidP="00F9477B">
      <w:pPr>
        <w:pStyle w:val="Prrafodelista"/>
        <w:ind w:left="284" w:right="141"/>
        <w:jc w:val="both"/>
        <w:rPr>
          <w:b/>
          <w:color w:val="FF0000"/>
          <w:sz w:val="20"/>
          <w:szCs w:val="20"/>
          <w:lang w:val="es-AR" w:eastAsia="es-ES"/>
        </w:rPr>
      </w:pPr>
    </w:p>
    <w:p w14:paraId="57D1DEF7" w14:textId="77777777" w:rsidR="0085655D" w:rsidRPr="00CB193F" w:rsidRDefault="0085655D" w:rsidP="0085655D">
      <w:pPr>
        <w:ind w:left="567" w:right="49"/>
        <w:jc w:val="both"/>
        <w:rPr>
          <w:rFonts w:ascii="Times New Roman" w:hAnsi="Times New Roman"/>
          <w:sz w:val="20"/>
        </w:rPr>
      </w:pPr>
      <w:r w:rsidRPr="00CB193F">
        <w:rPr>
          <w:rFonts w:ascii="Times New Roman" w:hAnsi="Times New Roman"/>
          <w:sz w:val="20"/>
          <w:lang w:val="es-ES"/>
        </w:rPr>
        <w:t>Comprende los montos estimados para hacer frente a pasivos de probable concreción, que en caso de producirse, originarían una pérdida para la Entidad.</w:t>
      </w:r>
    </w:p>
    <w:p w14:paraId="29639AE0" w14:textId="77777777" w:rsidR="0085655D" w:rsidRPr="00CB193F" w:rsidRDefault="0085655D" w:rsidP="0085655D">
      <w:pPr>
        <w:ind w:left="567" w:right="49"/>
        <w:jc w:val="both"/>
        <w:rPr>
          <w:rFonts w:ascii="Times New Roman" w:hAnsi="Times New Roman"/>
          <w:sz w:val="20"/>
          <w:lang w:val="es-ES"/>
        </w:rPr>
      </w:pPr>
    </w:p>
    <w:p w14:paraId="6D39417D" w14:textId="7A2C5BD2" w:rsidR="0085655D" w:rsidRPr="00CB193F" w:rsidRDefault="0085655D" w:rsidP="0085655D">
      <w:pPr>
        <w:ind w:left="567" w:right="49"/>
        <w:jc w:val="both"/>
        <w:rPr>
          <w:rFonts w:ascii="Times New Roman" w:hAnsi="Times New Roman"/>
          <w:sz w:val="20"/>
          <w:lang w:val="es-ES"/>
        </w:rPr>
      </w:pPr>
      <w:r w:rsidRPr="00CB193F">
        <w:rPr>
          <w:rFonts w:ascii="Times New Roman" w:hAnsi="Times New Roman"/>
          <w:sz w:val="20"/>
          <w:lang w:val="es-ES"/>
        </w:rPr>
        <w:t xml:space="preserve">La composición y evolución de las provisiones reconocidas contablemente se incluyen en el Anexo J, no obstante </w:t>
      </w:r>
      <w:r w:rsidR="0073000D" w:rsidRPr="00CB193F">
        <w:rPr>
          <w:rFonts w:ascii="Times New Roman" w:hAnsi="Times New Roman"/>
          <w:sz w:val="20"/>
          <w:lang w:val="es-ES"/>
        </w:rPr>
        <w:t xml:space="preserve">a </w:t>
      </w:r>
      <w:r w:rsidRPr="00CB193F">
        <w:rPr>
          <w:rFonts w:ascii="Times New Roman" w:hAnsi="Times New Roman"/>
          <w:sz w:val="20"/>
          <w:lang w:val="es-ES"/>
        </w:rPr>
        <w:t xml:space="preserve">ello a continuación </w:t>
      </w:r>
      <w:r w:rsidR="0073000D" w:rsidRPr="00CB193F">
        <w:rPr>
          <w:rFonts w:ascii="Times New Roman" w:hAnsi="Times New Roman"/>
          <w:sz w:val="20"/>
          <w:lang w:val="es-ES"/>
        </w:rPr>
        <w:t xml:space="preserve">se expone </w:t>
      </w:r>
      <w:r w:rsidRPr="00CB193F">
        <w:rPr>
          <w:rFonts w:ascii="Times New Roman" w:hAnsi="Times New Roman"/>
          <w:sz w:val="20"/>
          <w:lang w:val="es-ES"/>
        </w:rPr>
        <w:t>una breve descripción de las mismas:</w:t>
      </w:r>
    </w:p>
    <w:p w14:paraId="48924881" w14:textId="77777777" w:rsidR="0085655D" w:rsidRPr="00CB193F" w:rsidRDefault="0085655D" w:rsidP="0085655D">
      <w:pPr>
        <w:ind w:left="567" w:right="49"/>
        <w:jc w:val="both"/>
        <w:rPr>
          <w:rFonts w:ascii="Times New Roman" w:hAnsi="Times New Roman"/>
          <w:sz w:val="20"/>
          <w:lang w:val="es-ES"/>
        </w:rPr>
      </w:pPr>
    </w:p>
    <w:p w14:paraId="48DFD57B" w14:textId="24029632" w:rsidR="005214CA" w:rsidRPr="00CB193F" w:rsidRDefault="0085655D" w:rsidP="009F1A99">
      <w:pPr>
        <w:pStyle w:val="Prrafodelista"/>
        <w:numPr>
          <w:ilvl w:val="2"/>
          <w:numId w:val="32"/>
        </w:numPr>
        <w:tabs>
          <w:tab w:val="clear" w:pos="1020"/>
          <w:tab w:val="num" w:pos="426"/>
          <w:tab w:val="left" w:pos="851"/>
        </w:tabs>
        <w:ind w:left="851" w:right="49"/>
        <w:jc w:val="both"/>
        <w:rPr>
          <w:sz w:val="20"/>
          <w:szCs w:val="20"/>
          <w:lang w:val="es-AR"/>
        </w:rPr>
      </w:pPr>
      <w:r w:rsidRPr="00CB193F">
        <w:rPr>
          <w:sz w:val="20"/>
          <w:szCs w:val="20"/>
          <w:lang w:val="es-ES"/>
        </w:rPr>
        <w:t xml:space="preserve">Reliquidación del Impuesto a las Ganancias por la aplicación del ajuste por inflación: </w:t>
      </w:r>
      <w:r w:rsidR="00FE2FC7" w:rsidRPr="00CB193F">
        <w:rPr>
          <w:sz w:val="20"/>
          <w:szCs w:val="20"/>
          <w:lang w:val="es-ES"/>
        </w:rPr>
        <w:t xml:space="preserve">al 31 de diciembre de 2020 </w:t>
      </w:r>
      <w:r w:rsidRPr="00CB193F">
        <w:rPr>
          <w:sz w:val="20"/>
          <w:szCs w:val="20"/>
          <w:lang w:val="es-ES"/>
        </w:rPr>
        <w:t>refleja la provisión requerida por el B.C.R.A. a través de su Memorando N° 6/2017 del 29 de mayo de 2017 por considerar que la reliquidación realizada por tal impuesto por la aplicación del ajuste por inflación no está contemplada por la normativa vigente</w:t>
      </w:r>
      <w:r w:rsidR="00B66B3A">
        <w:rPr>
          <w:sz w:val="20"/>
          <w:szCs w:val="20"/>
          <w:lang w:val="es-ES"/>
        </w:rPr>
        <w:t xml:space="preserve"> a dicha fecha</w:t>
      </w:r>
      <w:r w:rsidRPr="00CB193F">
        <w:rPr>
          <w:sz w:val="20"/>
          <w:szCs w:val="20"/>
          <w:lang w:val="es-ES"/>
        </w:rPr>
        <w:t xml:space="preserve">. </w:t>
      </w:r>
    </w:p>
    <w:p w14:paraId="2868DE93" w14:textId="77777777" w:rsidR="00AE12E1" w:rsidRPr="00CB193F" w:rsidRDefault="00AE12E1" w:rsidP="00AE12E1">
      <w:pPr>
        <w:pStyle w:val="Prrafodelista"/>
        <w:tabs>
          <w:tab w:val="left" w:pos="851"/>
        </w:tabs>
        <w:ind w:left="851" w:right="49"/>
        <w:jc w:val="both"/>
        <w:rPr>
          <w:sz w:val="20"/>
          <w:szCs w:val="20"/>
          <w:lang w:val="es-AR"/>
        </w:rPr>
      </w:pPr>
    </w:p>
    <w:p w14:paraId="6CCDA611" w14:textId="489FA7BD" w:rsidR="00AE12E1" w:rsidRPr="00CB193F" w:rsidRDefault="00AE12E1" w:rsidP="009F1A99">
      <w:pPr>
        <w:pStyle w:val="Prrafodelista"/>
        <w:numPr>
          <w:ilvl w:val="2"/>
          <w:numId w:val="32"/>
        </w:numPr>
        <w:tabs>
          <w:tab w:val="clear" w:pos="1020"/>
          <w:tab w:val="num" w:pos="426"/>
          <w:tab w:val="left" w:pos="851"/>
        </w:tabs>
        <w:ind w:left="851" w:right="49"/>
        <w:jc w:val="both"/>
        <w:rPr>
          <w:sz w:val="20"/>
          <w:szCs w:val="20"/>
          <w:lang w:val="es-ES"/>
        </w:rPr>
      </w:pPr>
      <w:r w:rsidRPr="00CB193F">
        <w:rPr>
          <w:sz w:val="20"/>
          <w:szCs w:val="20"/>
          <w:lang w:val="es-ES"/>
        </w:rPr>
        <w:t xml:space="preserve">Provisiones por reorganización: </w:t>
      </w:r>
      <w:r w:rsidR="00B25174" w:rsidRPr="00CB193F">
        <w:rPr>
          <w:sz w:val="20"/>
          <w:szCs w:val="20"/>
          <w:lang w:val="es-ES"/>
        </w:rPr>
        <w:t>en</w:t>
      </w:r>
      <w:r w:rsidRPr="00CB193F">
        <w:rPr>
          <w:sz w:val="20"/>
          <w:szCs w:val="20"/>
          <w:lang w:val="es-ES"/>
        </w:rPr>
        <w:t xml:space="preserve"> línea con el objetivo de continuar durante el presente ejercicio una alineación de la estructura organizacional a la estrategia corporativa, logrando mayor eficiencia y agilidad en el proceso de toma de decisiones, dentro del marco de todos los equipos de trabajo.</w:t>
      </w:r>
    </w:p>
    <w:p w14:paraId="7D7807FC" w14:textId="77777777" w:rsidR="005214CA" w:rsidRPr="00CB193F" w:rsidRDefault="005214CA" w:rsidP="005214CA">
      <w:pPr>
        <w:pStyle w:val="Prrafodelista"/>
        <w:tabs>
          <w:tab w:val="left" w:pos="851"/>
        </w:tabs>
        <w:ind w:left="851" w:right="49"/>
        <w:jc w:val="both"/>
        <w:rPr>
          <w:sz w:val="20"/>
          <w:szCs w:val="20"/>
          <w:lang w:val="es-AR"/>
        </w:rPr>
      </w:pPr>
    </w:p>
    <w:p w14:paraId="515E5611" w14:textId="7551ADE1" w:rsidR="00AE12E1" w:rsidRPr="00CB193F" w:rsidRDefault="00AE12E1" w:rsidP="009F1A99">
      <w:pPr>
        <w:pStyle w:val="Prrafodelista"/>
        <w:numPr>
          <w:ilvl w:val="2"/>
          <w:numId w:val="32"/>
        </w:numPr>
        <w:tabs>
          <w:tab w:val="clear" w:pos="1020"/>
          <w:tab w:val="left" w:pos="851"/>
          <w:tab w:val="left" w:pos="1276"/>
        </w:tabs>
        <w:ind w:left="851" w:right="49"/>
        <w:jc w:val="both"/>
        <w:rPr>
          <w:sz w:val="20"/>
          <w:szCs w:val="20"/>
          <w:lang w:val="es-ES"/>
        </w:rPr>
      </w:pPr>
      <w:r w:rsidRPr="00CB193F">
        <w:rPr>
          <w:sz w:val="20"/>
          <w:szCs w:val="20"/>
          <w:lang w:val="es-ES"/>
        </w:rPr>
        <w:t xml:space="preserve">Compromisos eventuales: refleja el riesgo crediticio que surge de la evaluación del grado de cumplimiento de los beneficiarios de saldos no utilizados de adelantos en cuenta corriente otorgados, </w:t>
      </w:r>
      <w:r w:rsidR="006F7938" w:rsidRPr="00CB193F">
        <w:rPr>
          <w:sz w:val="20"/>
          <w:szCs w:val="20"/>
          <w:lang w:val="es-ES"/>
        </w:rPr>
        <w:t xml:space="preserve">de saldos no utilizados de tarjetas de crédito, </w:t>
      </w:r>
      <w:r w:rsidRPr="00CB193F">
        <w:rPr>
          <w:sz w:val="20"/>
          <w:szCs w:val="20"/>
          <w:lang w:val="es-ES"/>
        </w:rPr>
        <w:t>garantías, avales y otros compromisos eventuales a favor de terceros por cuenta de clientes, su situación económica y financiera y las contragarantías que respaldan las respectivas operaciones.</w:t>
      </w:r>
    </w:p>
    <w:p w14:paraId="4F4A375C" w14:textId="77777777" w:rsidR="00413445" w:rsidRPr="00CB193F" w:rsidRDefault="00413445" w:rsidP="00413445">
      <w:pPr>
        <w:pStyle w:val="Prrafodelista"/>
        <w:rPr>
          <w:sz w:val="20"/>
          <w:szCs w:val="20"/>
          <w:lang w:val="es-ES"/>
        </w:rPr>
      </w:pPr>
    </w:p>
    <w:p w14:paraId="6A63C0A6" w14:textId="4E0DAB78" w:rsidR="005214CA" w:rsidRPr="00CB193F" w:rsidRDefault="00ED56FF" w:rsidP="009F1A99">
      <w:pPr>
        <w:pStyle w:val="Prrafodelista"/>
        <w:numPr>
          <w:ilvl w:val="2"/>
          <w:numId w:val="32"/>
        </w:numPr>
        <w:tabs>
          <w:tab w:val="clear" w:pos="1020"/>
          <w:tab w:val="num" w:pos="426"/>
          <w:tab w:val="left" w:pos="851"/>
        </w:tabs>
        <w:ind w:left="851" w:right="49"/>
        <w:jc w:val="both"/>
        <w:rPr>
          <w:sz w:val="20"/>
          <w:szCs w:val="20"/>
          <w:lang w:val="es-AR"/>
        </w:rPr>
      </w:pPr>
      <w:r w:rsidRPr="00CB193F">
        <w:rPr>
          <w:sz w:val="20"/>
          <w:szCs w:val="20"/>
          <w:lang w:val="es-ES"/>
        </w:rPr>
        <w:t>Planes de beneficios por terminación: existen grupos de empleados desvinculados para los</w:t>
      </w:r>
      <w:r w:rsidRPr="00CB193F">
        <w:rPr>
          <w:sz w:val="20"/>
          <w:szCs w:val="20"/>
          <w:lang w:val="es-AR"/>
        </w:rPr>
        <w:t xml:space="preserve"> cuales el Banco asume la cobertura del costo de las cuotas del servicio de medicina prepaga (total o parcialmente) por determinado plazo a partir de la desvinculación. El Banco no cubre los eventos que requieran atención médica, sino que se limita a pagar las cuotas del plan de medicina prepaga.</w:t>
      </w:r>
    </w:p>
    <w:p w14:paraId="00D7563F" w14:textId="77777777" w:rsidR="005214CA" w:rsidRPr="00CB193F" w:rsidRDefault="005214CA" w:rsidP="005214CA">
      <w:pPr>
        <w:pStyle w:val="Prrafodelista"/>
        <w:tabs>
          <w:tab w:val="left" w:pos="851"/>
        </w:tabs>
        <w:ind w:left="851" w:right="49"/>
        <w:jc w:val="both"/>
        <w:rPr>
          <w:sz w:val="20"/>
          <w:szCs w:val="20"/>
          <w:lang w:val="es-AR"/>
        </w:rPr>
      </w:pPr>
    </w:p>
    <w:p w14:paraId="312E3891" w14:textId="77777777" w:rsidR="005214CA" w:rsidRPr="00CB193F" w:rsidRDefault="00ED56FF" w:rsidP="009F1A99">
      <w:pPr>
        <w:pStyle w:val="Prrafodelista"/>
        <w:numPr>
          <w:ilvl w:val="2"/>
          <w:numId w:val="32"/>
        </w:numPr>
        <w:tabs>
          <w:tab w:val="clear" w:pos="1020"/>
          <w:tab w:val="left" w:pos="851"/>
          <w:tab w:val="left" w:pos="1276"/>
        </w:tabs>
        <w:ind w:left="851" w:right="49"/>
        <w:jc w:val="both"/>
        <w:rPr>
          <w:sz w:val="20"/>
          <w:szCs w:val="20"/>
          <w:lang w:val="es-ES"/>
        </w:rPr>
      </w:pPr>
      <w:r w:rsidRPr="00CB193F">
        <w:rPr>
          <w:sz w:val="20"/>
          <w:szCs w:val="20"/>
          <w:lang w:val="es-ES"/>
        </w:rPr>
        <w:t>Sanciones administrativas, disciplinarias y penales: corresponde a sanciones administrativas que fueron iniciadas por la Unidad de Información Financiera, aun cuando mediaren medidas judiciales o administrativas que suspendan el pago y cualquiera sea el estado de la causa de las sanciones.</w:t>
      </w:r>
    </w:p>
    <w:p w14:paraId="6A5AE106" w14:textId="77777777" w:rsidR="005214CA" w:rsidRPr="00CB193F" w:rsidRDefault="005214CA" w:rsidP="005214CA">
      <w:pPr>
        <w:pStyle w:val="Prrafodelista"/>
        <w:tabs>
          <w:tab w:val="left" w:pos="851"/>
          <w:tab w:val="left" w:pos="1276"/>
        </w:tabs>
        <w:ind w:left="567" w:right="49"/>
        <w:jc w:val="both"/>
        <w:rPr>
          <w:sz w:val="20"/>
          <w:szCs w:val="20"/>
          <w:lang w:val="es-ES"/>
        </w:rPr>
      </w:pPr>
    </w:p>
    <w:p w14:paraId="667D5A07" w14:textId="592C25CA" w:rsidR="0085655D" w:rsidRPr="00CB193F" w:rsidRDefault="0085655D" w:rsidP="009F1A99">
      <w:pPr>
        <w:pStyle w:val="Prrafodelista"/>
        <w:numPr>
          <w:ilvl w:val="2"/>
          <w:numId w:val="32"/>
        </w:numPr>
        <w:tabs>
          <w:tab w:val="clear" w:pos="1020"/>
          <w:tab w:val="left" w:pos="851"/>
        </w:tabs>
        <w:ind w:left="851" w:right="49" w:hanging="284"/>
        <w:jc w:val="both"/>
        <w:rPr>
          <w:sz w:val="20"/>
          <w:szCs w:val="20"/>
          <w:lang w:val="es-ES"/>
        </w:rPr>
      </w:pPr>
      <w:r w:rsidRPr="00CB193F">
        <w:rPr>
          <w:sz w:val="20"/>
          <w:szCs w:val="20"/>
          <w:lang w:val="es-ES"/>
        </w:rPr>
        <w:t>Otras: refleja los montos estimados para hacer frente a demandas fiscales</w:t>
      </w:r>
      <w:r w:rsidR="003F7C04" w:rsidRPr="00CB193F">
        <w:rPr>
          <w:sz w:val="20"/>
          <w:szCs w:val="20"/>
          <w:lang w:val="es-ES"/>
        </w:rPr>
        <w:t>,</w:t>
      </w:r>
      <w:r w:rsidRPr="00CB193F">
        <w:rPr>
          <w:sz w:val="20"/>
          <w:szCs w:val="20"/>
          <w:lang w:val="es-ES"/>
        </w:rPr>
        <w:t xml:space="preserve"> laborales, </w:t>
      </w:r>
      <w:r w:rsidR="003F7C04" w:rsidRPr="00CB193F">
        <w:rPr>
          <w:sz w:val="20"/>
          <w:szCs w:val="20"/>
          <w:lang w:val="es-ES"/>
        </w:rPr>
        <w:t>c</w:t>
      </w:r>
      <w:r w:rsidRPr="00CB193F">
        <w:rPr>
          <w:sz w:val="20"/>
          <w:szCs w:val="20"/>
          <w:lang w:val="es-ES"/>
        </w:rPr>
        <w:t>omerciales y a demandas diversas.</w:t>
      </w:r>
    </w:p>
    <w:p w14:paraId="6E3FCC7A" w14:textId="77777777" w:rsidR="003A53B2" w:rsidRPr="00CB193F" w:rsidRDefault="003A53B2" w:rsidP="00482B43">
      <w:pPr>
        <w:ind w:left="567" w:right="49"/>
        <w:jc w:val="both"/>
        <w:rPr>
          <w:rFonts w:ascii="Times New Roman" w:hAnsi="Times New Roman"/>
          <w:sz w:val="20"/>
          <w:lang w:val="es-ES"/>
        </w:rPr>
      </w:pPr>
    </w:p>
    <w:p w14:paraId="12670603" w14:textId="68570C2B" w:rsidR="00413445" w:rsidRPr="00CB193F" w:rsidRDefault="00413445" w:rsidP="00413445">
      <w:pPr>
        <w:ind w:left="567" w:right="49"/>
        <w:jc w:val="both"/>
        <w:rPr>
          <w:rFonts w:ascii="Times New Roman" w:hAnsi="Times New Roman"/>
          <w:sz w:val="20"/>
          <w:lang w:val="es-ES"/>
        </w:rPr>
      </w:pPr>
      <w:r w:rsidRPr="00CB193F">
        <w:rPr>
          <w:rFonts w:ascii="Times New Roman" w:hAnsi="Times New Roman"/>
          <w:sz w:val="20"/>
          <w:lang w:val="es-ES"/>
        </w:rPr>
        <w:t>En opinión de la Dirección del Grupo y de sus asesores legales, no existen otros efectos significativos que los expuestos en los presentes estados financieros</w:t>
      </w:r>
      <w:r w:rsidR="00FE2FC7" w:rsidRPr="00CB193F">
        <w:rPr>
          <w:rFonts w:ascii="Times New Roman" w:hAnsi="Times New Roman"/>
          <w:sz w:val="20"/>
          <w:lang w:val="es-ES"/>
        </w:rPr>
        <w:t xml:space="preserve"> intermedios consolidados condensados</w:t>
      </w:r>
      <w:r w:rsidRPr="00CB193F">
        <w:rPr>
          <w:rFonts w:ascii="Times New Roman" w:hAnsi="Times New Roman"/>
          <w:sz w:val="20"/>
          <w:lang w:val="es-ES"/>
        </w:rPr>
        <w:t>, cuyos montos y plazos de cancelación han sido registrados en base al valor actual de dichas estimaciones, considerando la fecha probable de su resolución final.</w:t>
      </w:r>
    </w:p>
    <w:p w14:paraId="155E6C2C" w14:textId="77777777" w:rsidR="00413445" w:rsidRPr="00CB193F" w:rsidRDefault="00413445" w:rsidP="00413445">
      <w:pPr>
        <w:ind w:left="567" w:right="49"/>
        <w:jc w:val="both"/>
        <w:rPr>
          <w:rFonts w:ascii="Times New Roman" w:hAnsi="Times New Roman"/>
          <w:sz w:val="20"/>
          <w:lang w:val="es-ES"/>
        </w:rPr>
      </w:pPr>
    </w:p>
    <w:p w14:paraId="7F2B1522" w14:textId="55A95062" w:rsidR="007B6F42" w:rsidRDefault="007B6F42" w:rsidP="00482B43">
      <w:pPr>
        <w:ind w:left="567" w:right="49"/>
        <w:jc w:val="both"/>
        <w:rPr>
          <w:rFonts w:ascii="Times New Roman" w:hAnsi="Times New Roman"/>
          <w:sz w:val="20"/>
          <w:lang w:val="es-ES"/>
        </w:rPr>
      </w:pPr>
      <w:r w:rsidRPr="00CB193F">
        <w:rPr>
          <w:rFonts w:ascii="Times New Roman" w:hAnsi="Times New Roman"/>
          <w:sz w:val="20"/>
          <w:lang w:val="es-ES"/>
        </w:rPr>
        <w:t xml:space="preserve">Los pasivos contingentes no han sido reconocidos en estos estados financieros </w:t>
      </w:r>
      <w:r w:rsidR="00FE2FC7" w:rsidRPr="00CB193F">
        <w:rPr>
          <w:rFonts w:ascii="Times New Roman" w:hAnsi="Times New Roman"/>
          <w:sz w:val="20"/>
          <w:lang w:val="es-ES"/>
        </w:rPr>
        <w:t xml:space="preserve">intermedios consolidados condensados </w:t>
      </w:r>
      <w:r w:rsidRPr="00CB193F">
        <w:rPr>
          <w:rFonts w:ascii="Times New Roman" w:hAnsi="Times New Roman"/>
          <w:sz w:val="20"/>
          <w:lang w:val="es-ES"/>
        </w:rPr>
        <w:t xml:space="preserve">y corresponden a </w:t>
      </w:r>
      <w:r w:rsidR="00030DBB" w:rsidRPr="00CB193F">
        <w:rPr>
          <w:rFonts w:ascii="Times New Roman" w:hAnsi="Times New Roman"/>
          <w:sz w:val="20"/>
          <w:lang w:val="es-ES"/>
        </w:rPr>
        <w:t>14</w:t>
      </w:r>
      <w:r w:rsidR="00CB193F" w:rsidRPr="00CB193F">
        <w:rPr>
          <w:rFonts w:ascii="Times New Roman" w:hAnsi="Times New Roman"/>
          <w:sz w:val="20"/>
          <w:lang w:val="es-ES"/>
        </w:rPr>
        <w:t>9</w:t>
      </w:r>
      <w:r w:rsidRPr="00CB193F">
        <w:rPr>
          <w:rFonts w:ascii="Times New Roman" w:hAnsi="Times New Roman"/>
          <w:sz w:val="20"/>
          <w:lang w:val="es-ES"/>
        </w:rPr>
        <w:t xml:space="preserve"> reclamos recibidos contra el Banco entre civiles y comerciales, todos las cuales se originan en el curso ordinario de sus negocios. El monto estimado de dichos reclamos asciende a </w:t>
      </w:r>
      <w:r w:rsidR="000E5147" w:rsidRPr="00CB193F">
        <w:rPr>
          <w:rFonts w:ascii="Times New Roman" w:hAnsi="Times New Roman"/>
          <w:sz w:val="20"/>
          <w:lang w:val="es-ES"/>
        </w:rPr>
        <w:t>3</w:t>
      </w:r>
      <w:r w:rsidR="00942076" w:rsidRPr="00CB193F">
        <w:rPr>
          <w:rFonts w:ascii="Times New Roman" w:hAnsi="Times New Roman"/>
          <w:sz w:val="20"/>
          <w:lang w:val="es-ES"/>
        </w:rPr>
        <w:t>1</w:t>
      </w:r>
      <w:r w:rsidR="000E5147" w:rsidRPr="00CB193F">
        <w:rPr>
          <w:rFonts w:ascii="Times New Roman" w:hAnsi="Times New Roman"/>
          <w:sz w:val="20"/>
          <w:lang w:val="es-ES"/>
        </w:rPr>
        <w:t>.</w:t>
      </w:r>
      <w:r w:rsidR="00CB193F" w:rsidRPr="00CB193F">
        <w:rPr>
          <w:rFonts w:ascii="Times New Roman" w:hAnsi="Times New Roman"/>
          <w:sz w:val="20"/>
          <w:lang w:val="es-ES"/>
        </w:rPr>
        <w:t>723</w:t>
      </w:r>
      <w:r w:rsidRPr="00CB193F">
        <w:rPr>
          <w:rFonts w:ascii="Times New Roman" w:hAnsi="Times New Roman"/>
          <w:sz w:val="20"/>
          <w:lang w:val="es-ES"/>
        </w:rPr>
        <w:t xml:space="preserve"> de los cuales se estima una salida de fondos de aproximadamente </w:t>
      </w:r>
      <w:r w:rsidR="00F863C3" w:rsidRPr="00CB193F">
        <w:rPr>
          <w:rFonts w:ascii="Times New Roman" w:hAnsi="Times New Roman"/>
          <w:sz w:val="20"/>
          <w:lang w:val="es-ES"/>
        </w:rPr>
        <w:t>2.</w:t>
      </w:r>
      <w:r w:rsidR="00942076" w:rsidRPr="00CB193F">
        <w:rPr>
          <w:rFonts w:ascii="Times New Roman" w:hAnsi="Times New Roman"/>
          <w:sz w:val="20"/>
          <w:lang w:val="es-ES"/>
        </w:rPr>
        <w:t>802</w:t>
      </w:r>
      <w:r w:rsidRPr="00CB193F">
        <w:rPr>
          <w:rFonts w:ascii="Times New Roman" w:hAnsi="Times New Roman"/>
          <w:sz w:val="20"/>
          <w:lang w:val="es-ES"/>
        </w:rPr>
        <w:t xml:space="preserve"> en los próximos </w:t>
      </w:r>
      <w:r w:rsidR="00A24BE1">
        <w:rPr>
          <w:rFonts w:ascii="Times New Roman" w:hAnsi="Times New Roman"/>
          <w:sz w:val="20"/>
          <w:lang w:val="es-ES"/>
        </w:rPr>
        <w:t>3</w:t>
      </w:r>
      <w:r w:rsidRPr="00CB193F">
        <w:rPr>
          <w:rFonts w:ascii="Times New Roman" w:hAnsi="Times New Roman"/>
          <w:sz w:val="20"/>
          <w:lang w:val="es-ES"/>
        </w:rPr>
        <w:t xml:space="preserve"> meses. Estos reclamos están relacionados principalmente con reclamos por leasing y aseguramiento de prueba. La Gerencia del Grupo y sus asesores legales consideran que la probabilidad que estos casos deriven en una salida de recursos es posible pero no probable, y que los posibles desembolsos de efectivo no son materiales.</w:t>
      </w:r>
    </w:p>
    <w:p w14:paraId="1EE5C079" w14:textId="77777777" w:rsidR="00785D4A" w:rsidRDefault="00785D4A" w:rsidP="00482B43">
      <w:pPr>
        <w:ind w:left="567" w:right="49"/>
        <w:jc w:val="both"/>
        <w:rPr>
          <w:rFonts w:ascii="Times New Roman" w:hAnsi="Times New Roman"/>
          <w:sz w:val="20"/>
          <w:lang w:val="es-ES"/>
        </w:rPr>
      </w:pPr>
    </w:p>
    <w:p w14:paraId="2A876FF9" w14:textId="77777777" w:rsidR="0021727D" w:rsidRPr="00110E8B" w:rsidRDefault="0021727D" w:rsidP="00482B43">
      <w:pPr>
        <w:ind w:left="567" w:right="49"/>
        <w:jc w:val="both"/>
        <w:rPr>
          <w:rFonts w:ascii="Times New Roman" w:hAnsi="Times New Roman"/>
          <w:sz w:val="20"/>
          <w:lang w:val="es-ES"/>
        </w:rPr>
      </w:pPr>
    </w:p>
    <w:p w14:paraId="2D1E5311" w14:textId="77777777" w:rsidR="00A310C5" w:rsidRPr="00417324" w:rsidRDefault="00A310C5" w:rsidP="00C60CC8">
      <w:pPr>
        <w:pStyle w:val="Prrafodelista"/>
        <w:numPr>
          <w:ilvl w:val="0"/>
          <w:numId w:val="11"/>
        </w:numPr>
        <w:ind w:right="141"/>
        <w:jc w:val="both"/>
        <w:rPr>
          <w:b/>
          <w:sz w:val="20"/>
          <w:szCs w:val="20"/>
          <w:lang w:val="es-AR"/>
        </w:rPr>
      </w:pPr>
      <w:r w:rsidRPr="00417324">
        <w:rPr>
          <w:b/>
          <w:sz w:val="20"/>
          <w:szCs w:val="20"/>
          <w:lang w:val="es-AR"/>
        </w:rPr>
        <w:t>Otros pasivos no financieros</w:t>
      </w:r>
    </w:p>
    <w:p w14:paraId="7F658153" w14:textId="77777777" w:rsidR="00A310C5" w:rsidRPr="00110E8B" w:rsidRDefault="00A310C5" w:rsidP="00D54601">
      <w:pPr>
        <w:pStyle w:val="Prrafodelista"/>
        <w:ind w:left="709" w:right="141"/>
        <w:jc w:val="both"/>
        <w:rPr>
          <w:sz w:val="20"/>
          <w:szCs w:val="20"/>
          <w:lang w:val="es-AR"/>
        </w:rPr>
      </w:pPr>
    </w:p>
    <w:p w14:paraId="741F384C" w14:textId="05D9BD84" w:rsidR="00A310C5" w:rsidRPr="00110E8B" w:rsidRDefault="00A310C5" w:rsidP="00D54601">
      <w:pPr>
        <w:pStyle w:val="Prrafodelista"/>
        <w:ind w:left="709" w:right="141"/>
        <w:jc w:val="both"/>
        <w:rPr>
          <w:sz w:val="20"/>
          <w:szCs w:val="20"/>
          <w:lang w:val="es-AR"/>
        </w:rPr>
      </w:pPr>
      <w:r w:rsidRPr="00110E8B">
        <w:rPr>
          <w:sz w:val="20"/>
          <w:szCs w:val="20"/>
          <w:lang w:val="es-AR"/>
        </w:rPr>
        <w:t>La composición del rubro es la siguiente:</w:t>
      </w:r>
    </w:p>
    <w:p w14:paraId="1844D793" w14:textId="77777777" w:rsidR="002C4A6E" w:rsidRDefault="002C4A6E" w:rsidP="00D54601">
      <w:pPr>
        <w:pStyle w:val="Prrafodelista"/>
        <w:ind w:left="709" w:right="141"/>
        <w:jc w:val="both"/>
        <w:rPr>
          <w:sz w:val="20"/>
          <w:szCs w:val="20"/>
          <w:lang w:val="es-AR"/>
        </w:rPr>
      </w:pPr>
    </w:p>
    <w:p w14:paraId="6CBFB238" w14:textId="335AAB33" w:rsidR="00A310C5" w:rsidRDefault="00785D4A" w:rsidP="00D54601">
      <w:pPr>
        <w:pStyle w:val="Prrafodelista"/>
        <w:ind w:left="709" w:right="141"/>
        <w:jc w:val="both"/>
        <w:rPr>
          <w:sz w:val="20"/>
          <w:szCs w:val="20"/>
          <w:lang w:val="es-AR"/>
        </w:rPr>
      </w:pPr>
      <w:r w:rsidRPr="00F34B70">
        <w:rPr>
          <w:noProof/>
          <w:lang w:val="es-AR" w:eastAsia="es-AR"/>
        </w:rPr>
        <w:drawing>
          <wp:inline distT="0" distB="0" distL="0" distR="0" wp14:anchorId="11C092A7" wp14:editId="27EEF601">
            <wp:extent cx="6031230" cy="1872467"/>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1230" cy="1872467"/>
                    </a:xfrm>
                    <a:prstGeom prst="rect">
                      <a:avLst/>
                    </a:prstGeom>
                    <a:noFill/>
                    <a:ln>
                      <a:noFill/>
                    </a:ln>
                  </pic:spPr>
                </pic:pic>
              </a:graphicData>
            </a:graphic>
          </wp:inline>
        </w:drawing>
      </w:r>
    </w:p>
    <w:p w14:paraId="14FCB8D6" w14:textId="77777777" w:rsidR="00810A2A" w:rsidRDefault="00810A2A" w:rsidP="00D54601">
      <w:pPr>
        <w:pStyle w:val="Prrafodelista"/>
        <w:ind w:left="709" w:right="141"/>
        <w:jc w:val="both"/>
        <w:rPr>
          <w:sz w:val="20"/>
          <w:szCs w:val="20"/>
          <w:lang w:val="es-AR"/>
        </w:rPr>
      </w:pPr>
    </w:p>
    <w:p w14:paraId="2AE36390" w14:textId="77777777" w:rsidR="00F34B70" w:rsidRPr="00110E8B" w:rsidRDefault="00F34B70" w:rsidP="00D54601">
      <w:pPr>
        <w:pStyle w:val="Prrafodelista"/>
        <w:ind w:left="709" w:right="141"/>
        <w:jc w:val="both"/>
        <w:rPr>
          <w:sz w:val="20"/>
          <w:szCs w:val="20"/>
          <w:lang w:val="es-AR"/>
        </w:rPr>
      </w:pPr>
    </w:p>
    <w:p w14:paraId="58629FAB" w14:textId="0AA4A5D6" w:rsidR="00CA0190" w:rsidRPr="000F060F" w:rsidRDefault="00CA0190" w:rsidP="00C60CC8">
      <w:pPr>
        <w:pStyle w:val="Prrafodelista"/>
        <w:numPr>
          <w:ilvl w:val="0"/>
          <w:numId w:val="11"/>
        </w:numPr>
        <w:ind w:right="141"/>
        <w:jc w:val="both"/>
        <w:rPr>
          <w:b/>
          <w:sz w:val="20"/>
          <w:szCs w:val="20"/>
          <w:lang w:val="es-AR"/>
        </w:rPr>
      </w:pPr>
      <w:r w:rsidRPr="000F060F">
        <w:rPr>
          <w:b/>
          <w:sz w:val="20"/>
          <w:szCs w:val="20"/>
          <w:lang w:val="es-AR"/>
        </w:rPr>
        <w:t>Arrendamientos</w:t>
      </w:r>
    </w:p>
    <w:p w14:paraId="649E4183" w14:textId="3F6E44E5" w:rsidR="00047A7D" w:rsidRPr="00110E8B" w:rsidRDefault="00047A7D" w:rsidP="00047A7D">
      <w:pPr>
        <w:ind w:right="141"/>
        <w:jc w:val="both"/>
        <w:rPr>
          <w:rFonts w:ascii="Times New Roman" w:hAnsi="Times New Roman"/>
          <w:b/>
          <w:sz w:val="20"/>
        </w:rPr>
      </w:pPr>
      <w:r w:rsidRPr="00110E8B">
        <w:rPr>
          <w:rFonts w:ascii="Times New Roman" w:hAnsi="Times New Roman"/>
          <w:b/>
          <w:sz w:val="20"/>
        </w:rPr>
        <w:t xml:space="preserve">         </w:t>
      </w:r>
    </w:p>
    <w:p w14:paraId="6A0E3E05" w14:textId="2B4F1155" w:rsidR="00047A7D" w:rsidRPr="00110E8B" w:rsidRDefault="00047A7D" w:rsidP="00047A7D">
      <w:pPr>
        <w:ind w:right="141"/>
        <w:jc w:val="both"/>
        <w:rPr>
          <w:rFonts w:ascii="Times New Roman" w:hAnsi="Times New Roman"/>
          <w:sz w:val="20"/>
          <w:u w:val="single"/>
        </w:rPr>
      </w:pPr>
      <w:r w:rsidRPr="00110E8B">
        <w:rPr>
          <w:rFonts w:ascii="Times New Roman" w:hAnsi="Times New Roman"/>
          <w:sz w:val="20"/>
        </w:rPr>
        <w:t xml:space="preserve">               </w:t>
      </w:r>
      <w:r w:rsidR="00FD2323" w:rsidRPr="00110E8B">
        <w:rPr>
          <w:rFonts w:ascii="Times New Roman" w:hAnsi="Times New Roman"/>
          <w:sz w:val="20"/>
          <w:u w:val="single"/>
        </w:rPr>
        <w:t>El Grupo como</w:t>
      </w:r>
      <w:r w:rsidRPr="00110E8B">
        <w:rPr>
          <w:rFonts w:ascii="Times New Roman" w:hAnsi="Times New Roman"/>
          <w:sz w:val="20"/>
          <w:u w:val="single"/>
        </w:rPr>
        <w:t xml:space="preserve"> arrendatario</w:t>
      </w:r>
    </w:p>
    <w:p w14:paraId="5A9452EA" w14:textId="77777777" w:rsidR="00CA0190" w:rsidRPr="00110E8B" w:rsidRDefault="00CA0190" w:rsidP="00CA0190">
      <w:pPr>
        <w:pStyle w:val="Prrafodelista"/>
        <w:ind w:left="709" w:right="141"/>
        <w:jc w:val="both"/>
        <w:rPr>
          <w:sz w:val="20"/>
          <w:szCs w:val="20"/>
          <w:lang w:val="es-AR"/>
        </w:rPr>
      </w:pPr>
    </w:p>
    <w:p w14:paraId="4F1B2340" w14:textId="45BC2F84" w:rsidR="00DF14A6" w:rsidRDefault="00CA0190" w:rsidP="0074314C">
      <w:pPr>
        <w:tabs>
          <w:tab w:val="left" w:pos="2260"/>
        </w:tabs>
        <w:ind w:left="709" w:right="49"/>
        <w:jc w:val="both"/>
        <w:rPr>
          <w:rFonts w:ascii="Times New Roman" w:hAnsi="Times New Roman"/>
          <w:sz w:val="20"/>
        </w:rPr>
      </w:pPr>
      <w:r w:rsidRPr="00110E8B">
        <w:rPr>
          <w:rFonts w:ascii="Times New Roman" w:hAnsi="Times New Roman"/>
          <w:sz w:val="20"/>
        </w:rPr>
        <w:t xml:space="preserve">A continuación se detallan los importes correspondientes a los </w:t>
      </w:r>
      <w:r w:rsidR="008F46AE" w:rsidRPr="00110E8B">
        <w:rPr>
          <w:rFonts w:ascii="Times New Roman" w:hAnsi="Times New Roman"/>
          <w:sz w:val="20"/>
        </w:rPr>
        <w:t xml:space="preserve">derechos de uso </w:t>
      </w:r>
      <w:r w:rsidR="00724545" w:rsidRPr="00110E8B">
        <w:rPr>
          <w:rFonts w:ascii="Times New Roman" w:hAnsi="Times New Roman"/>
          <w:color w:val="000000"/>
          <w:sz w:val="20"/>
        </w:rPr>
        <w:t>por arrendamientos</w:t>
      </w:r>
      <w:r w:rsidRPr="00110E8B">
        <w:rPr>
          <w:rFonts w:ascii="Times New Roman" w:hAnsi="Times New Roman"/>
          <w:color w:val="000000"/>
          <w:sz w:val="20"/>
        </w:rPr>
        <w:t xml:space="preserve"> y pasivos por arrendamiento</w:t>
      </w:r>
      <w:r w:rsidR="00DD4273" w:rsidRPr="00110E8B">
        <w:rPr>
          <w:rFonts w:ascii="Times New Roman" w:hAnsi="Times New Roman"/>
          <w:color w:val="000000"/>
          <w:sz w:val="20"/>
        </w:rPr>
        <w:t>s</w:t>
      </w:r>
      <w:r w:rsidRPr="00110E8B">
        <w:rPr>
          <w:rFonts w:ascii="Times New Roman" w:hAnsi="Times New Roman"/>
          <w:sz w:val="20"/>
        </w:rPr>
        <w:t xml:space="preserve"> vigentes al</w:t>
      </w:r>
      <w:r w:rsidRPr="00110E8B">
        <w:rPr>
          <w:rFonts w:ascii="Times New Roman" w:hAnsi="Times New Roman"/>
          <w:sz w:val="20"/>
          <w:lang w:val="es-ES_tradnl"/>
        </w:rPr>
        <w:t xml:space="preserve"> </w:t>
      </w:r>
      <w:r w:rsidR="009318DC" w:rsidRPr="00110E8B">
        <w:rPr>
          <w:rFonts w:ascii="Times New Roman" w:hAnsi="Times New Roman"/>
          <w:sz w:val="20"/>
        </w:rPr>
        <w:t>3</w:t>
      </w:r>
      <w:r w:rsidR="00F850BC">
        <w:rPr>
          <w:rFonts w:ascii="Times New Roman" w:hAnsi="Times New Roman"/>
          <w:sz w:val="20"/>
        </w:rPr>
        <w:t>0</w:t>
      </w:r>
      <w:r w:rsidRPr="00110E8B">
        <w:rPr>
          <w:rFonts w:ascii="Times New Roman" w:hAnsi="Times New Roman"/>
          <w:sz w:val="20"/>
        </w:rPr>
        <w:t xml:space="preserve"> de</w:t>
      </w:r>
      <w:r w:rsidR="002C4A6E">
        <w:rPr>
          <w:rFonts w:ascii="Times New Roman" w:hAnsi="Times New Roman"/>
          <w:sz w:val="20"/>
        </w:rPr>
        <w:t xml:space="preserve"> </w:t>
      </w:r>
      <w:r w:rsidR="00D04238">
        <w:rPr>
          <w:rFonts w:ascii="Times New Roman" w:hAnsi="Times New Roman"/>
          <w:sz w:val="20"/>
        </w:rPr>
        <w:t>septiembre</w:t>
      </w:r>
      <w:r w:rsidR="002F506F" w:rsidRPr="00110E8B">
        <w:rPr>
          <w:rFonts w:ascii="Times New Roman" w:hAnsi="Times New Roman"/>
          <w:sz w:val="20"/>
        </w:rPr>
        <w:t xml:space="preserve"> </w:t>
      </w:r>
      <w:r w:rsidRPr="00110E8B">
        <w:rPr>
          <w:rFonts w:ascii="Times New Roman" w:hAnsi="Times New Roman"/>
          <w:sz w:val="20"/>
        </w:rPr>
        <w:t>de 20</w:t>
      </w:r>
      <w:r w:rsidR="002F506F" w:rsidRPr="00110E8B">
        <w:rPr>
          <w:rFonts w:ascii="Times New Roman" w:hAnsi="Times New Roman"/>
          <w:sz w:val="20"/>
        </w:rPr>
        <w:t>2</w:t>
      </w:r>
      <w:r w:rsidR="002C4A6E">
        <w:rPr>
          <w:rFonts w:ascii="Times New Roman" w:hAnsi="Times New Roman"/>
          <w:sz w:val="20"/>
        </w:rPr>
        <w:t>1</w:t>
      </w:r>
      <w:r w:rsidRPr="00110E8B">
        <w:rPr>
          <w:rFonts w:ascii="Times New Roman" w:hAnsi="Times New Roman"/>
          <w:sz w:val="20"/>
        </w:rPr>
        <w:t>:</w:t>
      </w:r>
    </w:p>
    <w:p w14:paraId="6C77F051" w14:textId="77777777" w:rsidR="003B4F16" w:rsidRPr="00110E8B" w:rsidRDefault="003B4F16" w:rsidP="0074314C">
      <w:pPr>
        <w:tabs>
          <w:tab w:val="left" w:pos="2260"/>
        </w:tabs>
        <w:ind w:left="709" w:right="49"/>
        <w:jc w:val="both"/>
        <w:rPr>
          <w:rFonts w:ascii="Times New Roman" w:hAnsi="Times New Roman"/>
          <w:sz w:val="20"/>
        </w:rPr>
      </w:pPr>
    </w:p>
    <w:p w14:paraId="71D32862" w14:textId="77777777" w:rsidR="006305F0" w:rsidRDefault="006305F0" w:rsidP="00CA0190">
      <w:pPr>
        <w:tabs>
          <w:tab w:val="left" w:pos="2260"/>
        </w:tabs>
        <w:ind w:left="709" w:right="49"/>
        <w:jc w:val="both"/>
        <w:rPr>
          <w:rFonts w:ascii="Times New Roman" w:hAnsi="Times New Roman"/>
          <w:b/>
          <w:sz w:val="20"/>
        </w:rPr>
      </w:pPr>
    </w:p>
    <w:p w14:paraId="13964E2D" w14:textId="77777777" w:rsidR="00303474" w:rsidRDefault="00303474" w:rsidP="00CA0190">
      <w:pPr>
        <w:tabs>
          <w:tab w:val="left" w:pos="2260"/>
        </w:tabs>
        <w:ind w:left="709" w:right="49"/>
        <w:jc w:val="both"/>
        <w:rPr>
          <w:rFonts w:ascii="Times New Roman" w:hAnsi="Times New Roman"/>
          <w:b/>
          <w:sz w:val="20"/>
        </w:rPr>
      </w:pPr>
    </w:p>
    <w:p w14:paraId="0841E101" w14:textId="77777777" w:rsidR="00303474" w:rsidRDefault="00303474" w:rsidP="00CA0190">
      <w:pPr>
        <w:tabs>
          <w:tab w:val="left" w:pos="2260"/>
        </w:tabs>
        <w:ind w:left="709" w:right="49"/>
        <w:jc w:val="both"/>
        <w:rPr>
          <w:rFonts w:ascii="Times New Roman" w:hAnsi="Times New Roman"/>
          <w:b/>
          <w:sz w:val="20"/>
        </w:rPr>
      </w:pPr>
    </w:p>
    <w:p w14:paraId="52B05A66" w14:textId="6D918E7A" w:rsidR="00583A52" w:rsidRDefault="008F46AE" w:rsidP="00CA0190">
      <w:pPr>
        <w:tabs>
          <w:tab w:val="left" w:pos="2260"/>
        </w:tabs>
        <w:ind w:left="709" w:right="49"/>
        <w:jc w:val="both"/>
        <w:rPr>
          <w:rFonts w:ascii="Times New Roman" w:hAnsi="Times New Roman"/>
          <w:b/>
          <w:sz w:val="20"/>
        </w:rPr>
      </w:pPr>
      <w:r w:rsidRPr="00110E8B">
        <w:rPr>
          <w:rFonts w:ascii="Times New Roman" w:hAnsi="Times New Roman"/>
          <w:b/>
          <w:sz w:val="20"/>
        </w:rPr>
        <w:lastRenderedPageBreak/>
        <w:t xml:space="preserve">Derechos de uso </w:t>
      </w:r>
      <w:r w:rsidR="00724545" w:rsidRPr="00110E8B">
        <w:rPr>
          <w:rFonts w:ascii="Times New Roman" w:hAnsi="Times New Roman"/>
          <w:b/>
          <w:sz w:val="20"/>
        </w:rPr>
        <w:t>por arrendamientos</w:t>
      </w:r>
    </w:p>
    <w:p w14:paraId="1262E5ED" w14:textId="77777777" w:rsidR="005E5372" w:rsidRDefault="005E5372" w:rsidP="00CA0190">
      <w:pPr>
        <w:tabs>
          <w:tab w:val="left" w:pos="2260"/>
        </w:tabs>
        <w:ind w:left="709" w:right="49"/>
        <w:jc w:val="both"/>
        <w:rPr>
          <w:rFonts w:ascii="Times New Roman" w:hAnsi="Times New Roman"/>
          <w:b/>
          <w:sz w:val="20"/>
        </w:rPr>
      </w:pPr>
    </w:p>
    <w:p w14:paraId="6D5B7236" w14:textId="741D809E" w:rsidR="00EC4286" w:rsidRDefault="008300A0" w:rsidP="00EC4286">
      <w:pPr>
        <w:tabs>
          <w:tab w:val="left" w:pos="2260"/>
        </w:tabs>
        <w:ind w:left="709" w:right="49"/>
        <w:jc w:val="both"/>
        <w:rPr>
          <w:rFonts w:ascii="Times New Roman" w:hAnsi="Times New Roman"/>
          <w:sz w:val="20"/>
        </w:rPr>
      </w:pPr>
      <w:r w:rsidRPr="008300A0">
        <w:rPr>
          <w:noProof/>
          <w:lang w:eastAsia="es-AR"/>
        </w:rPr>
        <w:drawing>
          <wp:inline distT="0" distB="0" distL="0" distR="0" wp14:anchorId="2C16A0C6" wp14:editId="61A0C13A">
            <wp:extent cx="6031230" cy="106288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1230" cy="1062881"/>
                    </a:xfrm>
                    <a:prstGeom prst="rect">
                      <a:avLst/>
                    </a:prstGeom>
                    <a:noFill/>
                    <a:ln>
                      <a:noFill/>
                    </a:ln>
                  </pic:spPr>
                </pic:pic>
              </a:graphicData>
            </a:graphic>
          </wp:inline>
        </w:drawing>
      </w:r>
    </w:p>
    <w:p w14:paraId="12E0262A" w14:textId="77777777" w:rsidR="000C3C10" w:rsidRDefault="000C3C10" w:rsidP="002C0151">
      <w:pPr>
        <w:tabs>
          <w:tab w:val="left" w:pos="2260"/>
        </w:tabs>
        <w:ind w:left="709" w:right="49"/>
        <w:jc w:val="both"/>
        <w:rPr>
          <w:rFonts w:ascii="Times New Roman" w:hAnsi="Times New Roman"/>
          <w:b/>
          <w:sz w:val="20"/>
        </w:rPr>
      </w:pPr>
    </w:p>
    <w:p w14:paraId="6356857A" w14:textId="36B91E74" w:rsidR="002C0151" w:rsidRPr="00110E8B" w:rsidRDefault="002C0151" w:rsidP="002C0151">
      <w:pPr>
        <w:tabs>
          <w:tab w:val="left" w:pos="2260"/>
        </w:tabs>
        <w:ind w:left="709" w:right="49"/>
        <w:jc w:val="both"/>
        <w:rPr>
          <w:rFonts w:ascii="Times New Roman" w:hAnsi="Times New Roman"/>
          <w:b/>
          <w:sz w:val="20"/>
        </w:rPr>
      </w:pPr>
      <w:r w:rsidRPr="00110E8B">
        <w:rPr>
          <w:rFonts w:ascii="Times New Roman" w:hAnsi="Times New Roman"/>
          <w:b/>
          <w:sz w:val="20"/>
        </w:rPr>
        <w:t>Pasivos por arrendamientos</w:t>
      </w:r>
    </w:p>
    <w:p w14:paraId="2D02E6A1" w14:textId="77777777" w:rsidR="002C0151" w:rsidRPr="00110E8B" w:rsidRDefault="002C0151" w:rsidP="00CA0190">
      <w:pPr>
        <w:tabs>
          <w:tab w:val="left" w:pos="2260"/>
        </w:tabs>
        <w:ind w:left="709" w:right="49"/>
        <w:jc w:val="both"/>
        <w:rPr>
          <w:rFonts w:ascii="Times New Roman" w:hAnsi="Times New Roman"/>
          <w:sz w:val="20"/>
        </w:rPr>
      </w:pPr>
    </w:p>
    <w:p w14:paraId="6A7B80BB" w14:textId="77777777" w:rsidR="00A74668" w:rsidRDefault="00A74668" w:rsidP="00CA0190">
      <w:pPr>
        <w:tabs>
          <w:tab w:val="left" w:pos="2260"/>
        </w:tabs>
        <w:ind w:left="709" w:right="49"/>
        <w:jc w:val="both"/>
        <w:rPr>
          <w:rFonts w:ascii="Times New Roman" w:hAnsi="Times New Roman"/>
          <w:color w:val="000000"/>
          <w:sz w:val="20"/>
        </w:rPr>
      </w:pPr>
      <w:r w:rsidRPr="00110E8B">
        <w:rPr>
          <w:rFonts w:ascii="Times New Roman" w:hAnsi="Times New Roman"/>
          <w:color w:val="000000"/>
          <w:sz w:val="20"/>
        </w:rPr>
        <w:t>Los pagos mínimos futuros por contratos de arrendamientos, son los siguientes:</w:t>
      </w:r>
    </w:p>
    <w:p w14:paraId="69FA03F1" w14:textId="77777777" w:rsidR="0069350C" w:rsidRDefault="0069350C" w:rsidP="00CA0190">
      <w:pPr>
        <w:tabs>
          <w:tab w:val="left" w:pos="2260"/>
        </w:tabs>
        <w:ind w:left="709" w:right="49"/>
        <w:jc w:val="both"/>
        <w:rPr>
          <w:rFonts w:ascii="Times New Roman" w:hAnsi="Times New Roman"/>
          <w:color w:val="000000"/>
          <w:sz w:val="20"/>
        </w:rPr>
      </w:pPr>
    </w:p>
    <w:p w14:paraId="7B22CC71" w14:textId="77777777" w:rsidR="00253607" w:rsidRDefault="00253607" w:rsidP="00983FE9">
      <w:pPr>
        <w:tabs>
          <w:tab w:val="left" w:pos="2260"/>
        </w:tabs>
        <w:ind w:left="709" w:right="49"/>
        <w:jc w:val="center"/>
        <w:rPr>
          <w:noProof/>
          <w:lang w:eastAsia="es-AR"/>
        </w:rPr>
      </w:pPr>
    </w:p>
    <w:p w14:paraId="6B5A6EC9" w14:textId="35C16505" w:rsidR="00C659D6" w:rsidRPr="00110E8B" w:rsidRDefault="009B7578" w:rsidP="00983FE9">
      <w:pPr>
        <w:tabs>
          <w:tab w:val="left" w:pos="2260"/>
        </w:tabs>
        <w:ind w:left="709" w:right="49"/>
        <w:jc w:val="center"/>
        <w:rPr>
          <w:rFonts w:ascii="Times New Roman" w:hAnsi="Times New Roman"/>
          <w:color w:val="000000"/>
          <w:sz w:val="20"/>
        </w:rPr>
      </w:pPr>
      <w:r w:rsidRPr="000F060F">
        <w:rPr>
          <w:noProof/>
          <w:lang w:eastAsia="es-AR"/>
        </w:rPr>
        <w:drawing>
          <wp:inline distT="0" distB="0" distL="0" distR="0" wp14:anchorId="5FE06242" wp14:editId="2CA62717">
            <wp:extent cx="4055165" cy="1486222"/>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2681" cy="1488977"/>
                    </a:xfrm>
                    <a:prstGeom prst="rect">
                      <a:avLst/>
                    </a:prstGeom>
                    <a:noFill/>
                    <a:ln>
                      <a:noFill/>
                    </a:ln>
                  </pic:spPr>
                </pic:pic>
              </a:graphicData>
            </a:graphic>
          </wp:inline>
        </w:drawing>
      </w:r>
    </w:p>
    <w:p w14:paraId="33C0D6E1" w14:textId="77777777" w:rsidR="00C85DBC" w:rsidRDefault="00C85DBC" w:rsidP="002C0151">
      <w:pPr>
        <w:tabs>
          <w:tab w:val="left" w:pos="2260"/>
        </w:tabs>
        <w:ind w:left="709" w:right="49"/>
        <w:jc w:val="both"/>
        <w:rPr>
          <w:rFonts w:ascii="Times New Roman" w:hAnsi="Times New Roman"/>
          <w:b/>
          <w:sz w:val="20"/>
        </w:rPr>
      </w:pPr>
    </w:p>
    <w:p w14:paraId="752B6107" w14:textId="38660853" w:rsidR="002C0151" w:rsidRPr="00110E8B" w:rsidRDefault="0052389E" w:rsidP="002C0151">
      <w:pPr>
        <w:tabs>
          <w:tab w:val="left" w:pos="2260"/>
        </w:tabs>
        <w:ind w:left="709" w:right="49"/>
        <w:jc w:val="both"/>
        <w:rPr>
          <w:rFonts w:ascii="Times New Roman" w:hAnsi="Times New Roman"/>
          <w:b/>
          <w:sz w:val="20"/>
        </w:rPr>
      </w:pPr>
      <w:r w:rsidRPr="00110E8B">
        <w:rPr>
          <w:rFonts w:ascii="Times New Roman" w:hAnsi="Times New Roman"/>
          <w:b/>
          <w:sz w:val="20"/>
        </w:rPr>
        <w:t>Intereses y diferencia de cotización reconocidos en resultados</w:t>
      </w:r>
    </w:p>
    <w:p w14:paraId="1E97748B" w14:textId="77777777" w:rsidR="002045AC" w:rsidRPr="00110E8B" w:rsidRDefault="002045AC" w:rsidP="002C0151">
      <w:pPr>
        <w:tabs>
          <w:tab w:val="left" w:pos="2260"/>
        </w:tabs>
        <w:ind w:left="709" w:right="49"/>
        <w:jc w:val="both"/>
        <w:rPr>
          <w:rFonts w:ascii="Times New Roman" w:hAnsi="Times New Roman"/>
          <w:b/>
          <w:sz w:val="20"/>
        </w:rPr>
      </w:pPr>
    </w:p>
    <w:p w14:paraId="756514A2" w14:textId="2C625C80" w:rsidR="00CA0190" w:rsidRDefault="009B7578" w:rsidP="00512CDE">
      <w:pPr>
        <w:pStyle w:val="Prrafodelista"/>
        <w:ind w:left="709" w:right="141"/>
        <w:jc w:val="center"/>
        <w:rPr>
          <w:sz w:val="20"/>
          <w:szCs w:val="20"/>
          <w:lang w:val="es-AR"/>
        </w:rPr>
      </w:pPr>
      <w:r w:rsidRPr="000F060F">
        <w:rPr>
          <w:noProof/>
          <w:lang w:val="es-AR" w:eastAsia="es-AR"/>
        </w:rPr>
        <w:drawing>
          <wp:inline distT="0" distB="0" distL="0" distR="0" wp14:anchorId="6895A0FE" wp14:editId="7D366D86">
            <wp:extent cx="4150581" cy="1287162"/>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75965" cy="1295034"/>
                    </a:xfrm>
                    <a:prstGeom prst="rect">
                      <a:avLst/>
                    </a:prstGeom>
                    <a:noFill/>
                    <a:ln>
                      <a:noFill/>
                    </a:ln>
                  </pic:spPr>
                </pic:pic>
              </a:graphicData>
            </a:graphic>
          </wp:inline>
        </w:drawing>
      </w:r>
    </w:p>
    <w:p w14:paraId="4B296AD1" w14:textId="77777777" w:rsidR="00D12A00" w:rsidRDefault="00D12A00" w:rsidP="00512CDE">
      <w:pPr>
        <w:pStyle w:val="Prrafodelista"/>
        <w:ind w:left="709" w:right="141"/>
        <w:jc w:val="center"/>
        <w:rPr>
          <w:sz w:val="20"/>
          <w:szCs w:val="20"/>
          <w:lang w:val="es-AR"/>
        </w:rPr>
      </w:pPr>
    </w:p>
    <w:p w14:paraId="73446AFD" w14:textId="77777777" w:rsidR="00810A2A" w:rsidRDefault="00810A2A" w:rsidP="00512CDE">
      <w:pPr>
        <w:pStyle w:val="Prrafodelista"/>
        <w:ind w:left="709" w:right="141"/>
        <w:jc w:val="center"/>
        <w:rPr>
          <w:sz w:val="20"/>
          <w:szCs w:val="20"/>
          <w:lang w:val="es-AR"/>
        </w:rPr>
      </w:pPr>
    </w:p>
    <w:p w14:paraId="0933A499" w14:textId="40D490B5" w:rsidR="00F3271B" w:rsidRPr="000C3C10" w:rsidRDefault="006124F4" w:rsidP="00F3271B">
      <w:pPr>
        <w:tabs>
          <w:tab w:val="left" w:pos="2260"/>
        </w:tabs>
        <w:ind w:left="709" w:right="49"/>
        <w:jc w:val="both"/>
        <w:rPr>
          <w:rFonts w:ascii="Times New Roman" w:hAnsi="Times New Roman"/>
          <w:b/>
          <w:sz w:val="20"/>
        </w:rPr>
      </w:pPr>
      <w:r w:rsidRPr="000C3C10">
        <w:rPr>
          <w:rFonts w:ascii="Times New Roman" w:hAnsi="Times New Roman"/>
          <w:b/>
          <w:sz w:val="20"/>
        </w:rPr>
        <w:t>Otros g</w:t>
      </w:r>
      <w:r w:rsidR="00F3271B" w:rsidRPr="000C3C10">
        <w:rPr>
          <w:rFonts w:ascii="Times New Roman" w:hAnsi="Times New Roman"/>
          <w:b/>
          <w:sz w:val="20"/>
        </w:rPr>
        <w:t>astos</w:t>
      </w:r>
    </w:p>
    <w:p w14:paraId="76D215D7" w14:textId="443A2501" w:rsidR="007969F4" w:rsidRPr="000C3C10" w:rsidRDefault="007969F4" w:rsidP="00512CDE">
      <w:pPr>
        <w:pStyle w:val="Prrafodelista"/>
        <w:ind w:left="709" w:right="141"/>
        <w:jc w:val="center"/>
        <w:rPr>
          <w:sz w:val="20"/>
          <w:szCs w:val="20"/>
          <w:lang w:val="es-AR"/>
        </w:rPr>
      </w:pPr>
    </w:p>
    <w:p w14:paraId="6E941C64" w14:textId="264F4214" w:rsidR="00344EA8" w:rsidRPr="00110E8B" w:rsidRDefault="009B7578" w:rsidP="00512CDE">
      <w:pPr>
        <w:pStyle w:val="Prrafodelista"/>
        <w:ind w:left="709" w:right="141"/>
        <w:jc w:val="center"/>
        <w:rPr>
          <w:sz w:val="20"/>
          <w:szCs w:val="20"/>
          <w:lang w:val="es-AR"/>
        </w:rPr>
      </w:pPr>
      <w:r w:rsidRPr="000F060F">
        <w:rPr>
          <w:noProof/>
          <w:lang w:val="es-AR" w:eastAsia="es-AR"/>
        </w:rPr>
        <w:drawing>
          <wp:inline distT="0" distB="0" distL="0" distR="0" wp14:anchorId="1B2E196E" wp14:editId="2C14BB85">
            <wp:extent cx="4158532" cy="14482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4928" cy="152709"/>
                    </a:xfrm>
                    <a:prstGeom prst="rect">
                      <a:avLst/>
                    </a:prstGeom>
                    <a:noFill/>
                    <a:ln>
                      <a:noFill/>
                    </a:ln>
                  </pic:spPr>
                </pic:pic>
              </a:graphicData>
            </a:graphic>
          </wp:inline>
        </w:drawing>
      </w:r>
    </w:p>
    <w:p w14:paraId="0C674666" w14:textId="77777777" w:rsidR="00DF14A6" w:rsidRDefault="00DF14A6" w:rsidP="00D54601">
      <w:pPr>
        <w:pStyle w:val="Prrafodelista"/>
        <w:ind w:left="709" w:right="141"/>
        <w:jc w:val="both"/>
        <w:rPr>
          <w:sz w:val="20"/>
          <w:szCs w:val="20"/>
          <w:lang w:val="es-AR"/>
        </w:rPr>
      </w:pPr>
    </w:p>
    <w:p w14:paraId="379F3AE9" w14:textId="77777777" w:rsidR="00CD66BA" w:rsidRDefault="00CD66BA" w:rsidP="00D54601">
      <w:pPr>
        <w:pStyle w:val="Prrafodelista"/>
        <w:ind w:left="709" w:right="141"/>
        <w:jc w:val="both"/>
        <w:rPr>
          <w:sz w:val="20"/>
          <w:szCs w:val="20"/>
          <w:lang w:val="es-AR"/>
        </w:rPr>
      </w:pPr>
    </w:p>
    <w:p w14:paraId="62618FDE" w14:textId="77777777" w:rsidR="00303474" w:rsidRDefault="00303474" w:rsidP="00D54601">
      <w:pPr>
        <w:pStyle w:val="Prrafodelista"/>
        <w:ind w:left="709" w:right="141"/>
        <w:jc w:val="both"/>
        <w:rPr>
          <w:sz w:val="20"/>
          <w:szCs w:val="20"/>
          <w:lang w:val="es-AR"/>
        </w:rPr>
      </w:pPr>
    </w:p>
    <w:p w14:paraId="53D933CE" w14:textId="77777777" w:rsidR="00303474" w:rsidRDefault="00303474" w:rsidP="00D54601">
      <w:pPr>
        <w:pStyle w:val="Prrafodelista"/>
        <w:ind w:left="709" w:right="141"/>
        <w:jc w:val="both"/>
        <w:rPr>
          <w:sz w:val="20"/>
          <w:szCs w:val="20"/>
          <w:lang w:val="es-AR"/>
        </w:rPr>
      </w:pPr>
    </w:p>
    <w:p w14:paraId="73D22B03" w14:textId="77777777" w:rsidR="00F72679" w:rsidRDefault="00F72679" w:rsidP="00D54601">
      <w:pPr>
        <w:pStyle w:val="Prrafodelista"/>
        <w:ind w:left="709" w:right="141"/>
        <w:jc w:val="both"/>
        <w:rPr>
          <w:sz w:val="20"/>
          <w:szCs w:val="20"/>
          <w:lang w:val="es-AR"/>
        </w:rPr>
      </w:pPr>
    </w:p>
    <w:p w14:paraId="10945E60" w14:textId="77777777" w:rsidR="00A310C5" w:rsidRPr="00F72679" w:rsidRDefault="00A310C5" w:rsidP="00C60CC8">
      <w:pPr>
        <w:pStyle w:val="Prrafodelista"/>
        <w:numPr>
          <w:ilvl w:val="0"/>
          <w:numId w:val="11"/>
        </w:numPr>
        <w:ind w:right="141"/>
        <w:jc w:val="both"/>
        <w:rPr>
          <w:b/>
          <w:sz w:val="20"/>
          <w:szCs w:val="20"/>
          <w:lang w:val="es-AR"/>
        </w:rPr>
      </w:pPr>
      <w:r w:rsidRPr="00F72679">
        <w:rPr>
          <w:b/>
          <w:sz w:val="20"/>
          <w:szCs w:val="20"/>
          <w:lang w:val="es-AR"/>
        </w:rPr>
        <w:lastRenderedPageBreak/>
        <w:t>Capital Social</w:t>
      </w:r>
    </w:p>
    <w:p w14:paraId="26F5481E" w14:textId="77777777" w:rsidR="00A310C5" w:rsidRPr="00110E8B" w:rsidRDefault="00A310C5" w:rsidP="00D54601">
      <w:pPr>
        <w:pStyle w:val="Prrafodelista"/>
        <w:ind w:left="709" w:right="141"/>
        <w:jc w:val="both"/>
        <w:rPr>
          <w:sz w:val="20"/>
          <w:szCs w:val="20"/>
          <w:lang w:val="es-AR"/>
        </w:rPr>
      </w:pPr>
    </w:p>
    <w:p w14:paraId="1CB4611C" w14:textId="3ACD50FF" w:rsidR="00A310C5" w:rsidRDefault="00A310C5" w:rsidP="00F6315E">
      <w:pPr>
        <w:spacing w:after="120" w:line="240" w:lineRule="exact"/>
        <w:ind w:left="851"/>
        <w:rPr>
          <w:rFonts w:ascii="Times New Roman" w:hAnsi="Times New Roman"/>
          <w:color w:val="000000"/>
          <w:sz w:val="20"/>
        </w:rPr>
      </w:pPr>
      <w:r w:rsidRPr="00110E8B">
        <w:rPr>
          <w:rFonts w:ascii="Times New Roman" w:hAnsi="Times New Roman"/>
          <w:color w:val="000000"/>
          <w:sz w:val="20"/>
        </w:rPr>
        <w:t>La composición del rubro es la siguiente:</w:t>
      </w:r>
    </w:p>
    <w:tbl>
      <w:tblPr>
        <w:tblW w:w="0" w:type="auto"/>
        <w:tblInd w:w="1821" w:type="dxa"/>
        <w:tblLook w:val="04A0" w:firstRow="1" w:lastRow="0" w:firstColumn="1" w:lastColumn="0" w:noHBand="0" w:noVBand="1"/>
      </w:tblPr>
      <w:tblGrid>
        <w:gridCol w:w="1062"/>
        <w:gridCol w:w="1216"/>
        <w:gridCol w:w="933"/>
        <w:gridCol w:w="846"/>
        <w:gridCol w:w="229"/>
        <w:gridCol w:w="1105"/>
        <w:gridCol w:w="352"/>
        <w:gridCol w:w="993"/>
      </w:tblGrid>
      <w:tr w:rsidR="00C93305" w:rsidRPr="00110E8B" w14:paraId="594AF3B7" w14:textId="77777777" w:rsidTr="00D55277">
        <w:tc>
          <w:tcPr>
            <w:tcW w:w="4057" w:type="dxa"/>
            <w:gridSpan w:val="4"/>
            <w:tcBorders>
              <w:bottom w:val="single" w:sz="4" w:space="0" w:color="auto"/>
            </w:tcBorders>
            <w:shd w:val="clear" w:color="auto" w:fill="auto"/>
          </w:tcPr>
          <w:p w14:paraId="52B6DF1B" w14:textId="77777777" w:rsidR="00C93305" w:rsidRPr="00110E8B" w:rsidRDefault="00C93305" w:rsidP="006C6231">
            <w:pPr>
              <w:jc w:val="center"/>
              <w:rPr>
                <w:rFonts w:ascii="Times New Roman" w:hAnsi="Times New Roman"/>
                <w:sz w:val="20"/>
              </w:rPr>
            </w:pPr>
            <w:r w:rsidRPr="00110E8B">
              <w:rPr>
                <w:rFonts w:ascii="Times New Roman" w:hAnsi="Times New Roman"/>
                <w:sz w:val="20"/>
              </w:rPr>
              <w:t>Acciones</w:t>
            </w:r>
          </w:p>
        </w:tc>
        <w:tc>
          <w:tcPr>
            <w:tcW w:w="229" w:type="dxa"/>
            <w:shd w:val="clear" w:color="auto" w:fill="auto"/>
          </w:tcPr>
          <w:p w14:paraId="4C99F4A3" w14:textId="77777777" w:rsidR="00C93305" w:rsidRPr="00110E8B" w:rsidRDefault="00C93305" w:rsidP="006C6231">
            <w:pPr>
              <w:jc w:val="center"/>
              <w:rPr>
                <w:rFonts w:ascii="Times New Roman" w:hAnsi="Times New Roman"/>
                <w:sz w:val="20"/>
              </w:rPr>
            </w:pPr>
          </w:p>
        </w:tc>
        <w:tc>
          <w:tcPr>
            <w:tcW w:w="2450" w:type="dxa"/>
            <w:gridSpan w:val="3"/>
            <w:tcBorders>
              <w:bottom w:val="single" w:sz="4" w:space="0" w:color="auto"/>
            </w:tcBorders>
            <w:shd w:val="clear" w:color="auto" w:fill="auto"/>
          </w:tcPr>
          <w:p w14:paraId="7C61634E" w14:textId="656DAA45" w:rsidR="00C93305" w:rsidRPr="00110E8B" w:rsidRDefault="00C93305" w:rsidP="006C6231">
            <w:pPr>
              <w:jc w:val="center"/>
              <w:rPr>
                <w:rFonts w:ascii="Times New Roman" w:hAnsi="Times New Roman"/>
                <w:sz w:val="20"/>
              </w:rPr>
            </w:pPr>
            <w:r w:rsidRPr="00110E8B">
              <w:rPr>
                <w:rFonts w:ascii="Times New Roman" w:hAnsi="Times New Roman"/>
                <w:sz w:val="20"/>
              </w:rPr>
              <w:t>Capital social</w:t>
            </w:r>
          </w:p>
        </w:tc>
      </w:tr>
      <w:tr w:rsidR="00C93305" w:rsidRPr="00110E8B" w14:paraId="3C942CA8" w14:textId="77777777" w:rsidTr="00D55277">
        <w:tc>
          <w:tcPr>
            <w:tcW w:w="1062" w:type="dxa"/>
            <w:tcBorders>
              <w:top w:val="single" w:sz="4" w:space="0" w:color="auto"/>
              <w:bottom w:val="single" w:sz="4" w:space="0" w:color="auto"/>
            </w:tcBorders>
            <w:shd w:val="clear" w:color="auto" w:fill="auto"/>
            <w:vAlign w:val="bottom"/>
          </w:tcPr>
          <w:p w14:paraId="2B749749" w14:textId="77777777" w:rsidR="00C93305" w:rsidRPr="00110E8B" w:rsidRDefault="00C93305" w:rsidP="006C6231">
            <w:pPr>
              <w:jc w:val="center"/>
              <w:rPr>
                <w:rFonts w:ascii="Times New Roman" w:hAnsi="Times New Roman"/>
                <w:sz w:val="20"/>
                <w:u w:val="single"/>
              </w:rPr>
            </w:pPr>
            <w:r w:rsidRPr="00110E8B">
              <w:rPr>
                <w:rFonts w:ascii="Times New Roman" w:hAnsi="Times New Roman"/>
                <w:sz w:val="20"/>
              </w:rPr>
              <w:t>Clase</w:t>
            </w:r>
          </w:p>
        </w:tc>
        <w:tc>
          <w:tcPr>
            <w:tcW w:w="1216" w:type="dxa"/>
            <w:tcBorders>
              <w:top w:val="single" w:sz="4" w:space="0" w:color="auto"/>
              <w:bottom w:val="single" w:sz="4" w:space="0" w:color="auto"/>
            </w:tcBorders>
            <w:shd w:val="clear" w:color="auto" w:fill="auto"/>
            <w:vAlign w:val="bottom"/>
          </w:tcPr>
          <w:p w14:paraId="32DCA343" w14:textId="77777777" w:rsidR="00C93305" w:rsidRPr="00110E8B" w:rsidRDefault="00C93305" w:rsidP="006C6231">
            <w:pPr>
              <w:jc w:val="center"/>
              <w:rPr>
                <w:rFonts w:ascii="Times New Roman" w:hAnsi="Times New Roman"/>
                <w:sz w:val="20"/>
                <w:u w:val="single"/>
              </w:rPr>
            </w:pPr>
            <w:r w:rsidRPr="00110E8B">
              <w:rPr>
                <w:rFonts w:ascii="Times New Roman" w:hAnsi="Times New Roman"/>
                <w:sz w:val="20"/>
              </w:rPr>
              <w:t>Cantidad</w:t>
            </w:r>
          </w:p>
        </w:tc>
        <w:tc>
          <w:tcPr>
            <w:tcW w:w="933" w:type="dxa"/>
            <w:tcBorders>
              <w:top w:val="single" w:sz="4" w:space="0" w:color="auto"/>
              <w:bottom w:val="single" w:sz="4" w:space="0" w:color="auto"/>
            </w:tcBorders>
            <w:shd w:val="clear" w:color="auto" w:fill="auto"/>
            <w:vAlign w:val="bottom"/>
          </w:tcPr>
          <w:p w14:paraId="55700FB7" w14:textId="77777777" w:rsidR="00C93305" w:rsidRPr="00110E8B" w:rsidRDefault="00C93305" w:rsidP="006C6231">
            <w:pPr>
              <w:jc w:val="center"/>
              <w:rPr>
                <w:rFonts w:ascii="Times New Roman" w:hAnsi="Times New Roman"/>
                <w:sz w:val="20"/>
                <w:u w:val="single"/>
              </w:rPr>
            </w:pPr>
            <w:r w:rsidRPr="00110E8B">
              <w:rPr>
                <w:rFonts w:ascii="Times New Roman" w:hAnsi="Times New Roman"/>
                <w:sz w:val="20"/>
              </w:rPr>
              <w:t>Valor nominal</w:t>
            </w:r>
            <w:r w:rsidRPr="00110E8B">
              <w:rPr>
                <w:rFonts w:ascii="Times New Roman" w:hAnsi="Times New Roman"/>
                <w:sz w:val="20"/>
                <w:u w:val="single"/>
              </w:rPr>
              <w:t xml:space="preserve"> </w:t>
            </w:r>
            <w:r w:rsidRPr="00110E8B">
              <w:rPr>
                <w:rFonts w:ascii="Times New Roman" w:hAnsi="Times New Roman"/>
                <w:sz w:val="20"/>
              </w:rPr>
              <w:t>por</w:t>
            </w:r>
            <w:r w:rsidRPr="00110E8B">
              <w:rPr>
                <w:rFonts w:ascii="Times New Roman" w:hAnsi="Times New Roman"/>
                <w:sz w:val="20"/>
                <w:u w:val="single"/>
              </w:rPr>
              <w:t xml:space="preserve"> </w:t>
            </w:r>
            <w:r w:rsidRPr="00110E8B">
              <w:rPr>
                <w:rFonts w:ascii="Times New Roman" w:hAnsi="Times New Roman"/>
                <w:sz w:val="20"/>
              </w:rPr>
              <w:t>acción</w:t>
            </w:r>
          </w:p>
        </w:tc>
        <w:tc>
          <w:tcPr>
            <w:tcW w:w="846" w:type="dxa"/>
            <w:tcBorders>
              <w:top w:val="single" w:sz="4" w:space="0" w:color="auto"/>
              <w:bottom w:val="single" w:sz="4" w:space="0" w:color="auto"/>
            </w:tcBorders>
            <w:shd w:val="clear" w:color="auto" w:fill="auto"/>
            <w:vAlign w:val="bottom"/>
          </w:tcPr>
          <w:p w14:paraId="4717B92B" w14:textId="77777777" w:rsidR="00C93305" w:rsidRPr="00110E8B" w:rsidRDefault="00C93305" w:rsidP="006C6231">
            <w:pPr>
              <w:jc w:val="center"/>
              <w:rPr>
                <w:rFonts w:ascii="Times New Roman" w:hAnsi="Times New Roman"/>
                <w:sz w:val="20"/>
                <w:u w:val="single"/>
              </w:rPr>
            </w:pPr>
            <w:r w:rsidRPr="00110E8B">
              <w:rPr>
                <w:rFonts w:ascii="Times New Roman" w:hAnsi="Times New Roman"/>
                <w:sz w:val="20"/>
              </w:rPr>
              <w:t>Votos por</w:t>
            </w:r>
            <w:r w:rsidRPr="00110E8B">
              <w:rPr>
                <w:rFonts w:ascii="Times New Roman" w:hAnsi="Times New Roman"/>
                <w:sz w:val="20"/>
                <w:u w:val="single"/>
              </w:rPr>
              <w:t xml:space="preserve"> </w:t>
            </w:r>
            <w:r w:rsidRPr="00110E8B">
              <w:rPr>
                <w:rFonts w:ascii="Times New Roman" w:hAnsi="Times New Roman"/>
                <w:sz w:val="20"/>
              </w:rPr>
              <w:t>acción</w:t>
            </w:r>
          </w:p>
        </w:tc>
        <w:tc>
          <w:tcPr>
            <w:tcW w:w="229" w:type="dxa"/>
            <w:shd w:val="clear" w:color="auto" w:fill="auto"/>
            <w:vAlign w:val="bottom"/>
          </w:tcPr>
          <w:p w14:paraId="742790B7" w14:textId="77777777" w:rsidR="00C93305" w:rsidRPr="00110E8B" w:rsidRDefault="00C93305" w:rsidP="006C6231">
            <w:pPr>
              <w:jc w:val="center"/>
              <w:rPr>
                <w:rFonts w:ascii="Times New Roman" w:hAnsi="Times New Roman"/>
                <w:sz w:val="20"/>
                <w:u w:val="single"/>
              </w:rPr>
            </w:pPr>
          </w:p>
        </w:tc>
        <w:tc>
          <w:tcPr>
            <w:tcW w:w="1105" w:type="dxa"/>
            <w:tcBorders>
              <w:top w:val="single" w:sz="4" w:space="0" w:color="auto"/>
              <w:bottom w:val="single" w:sz="4" w:space="0" w:color="auto"/>
            </w:tcBorders>
            <w:shd w:val="clear" w:color="auto" w:fill="auto"/>
            <w:vAlign w:val="bottom"/>
          </w:tcPr>
          <w:p w14:paraId="2CE7C47A" w14:textId="77777777" w:rsidR="00C93305" w:rsidRPr="00110E8B" w:rsidRDefault="00C93305" w:rsidP="006C6231">
            <w:pPr>
              <w:jc w:val="center"/>
              <w:rPr>
                <w:rFonts w:ascii="Times New Roman" w:hAnsi="Times New Roman"/>
                <w:sz w:val="20"/>
                <w:u w:val="single"/>
              </w:rPr>
            </w:pPr>
            <w:r w:rsidRPr="00110E8B">
              <w:rPr>
                <w:rFonts w:ascii="Times New Roman" w:hAnsi="Times New Roman"/>
                <w:sz w:val="20"/>
              </w:rPr>
              <w:t>Acciones en</w:t>
            </w:r>
            <w:r w:rsidRPr="00110E8B">
              <w:rPr>
                <w:rFonts w:ascii="Times New Roman" w:hAnsi="Times New Roman"/>
                <w:sz w:val="20"/>
                <w:u w:val="single"/>
              </w:rPr>
              <w:t xml:space="preserve"> </w:t>
            </w:r>
            <w:r w:rsidRPr="00110E8B">
              <w:rPr>
                <w:rFonts w:ascii="Times New Roman" w:hAnsi="Times New Roman"/>
                <w:sz w:val="20"/>
              </w:rPr>
              <w:t>circulación</w:t>
            </w:r>
          </w:p>
        </w:tc>
        <w:tc>
          <w:tcPr>
            <w:tcW w:w="352" w:type="dxa"/>
            <w:tcBorders>
              <w:top w:val="single" w:sz="4" w:space="0" w:color="auto"/>
              <w:bottom w:val="single" w:sz="4" w:space="0" w:color="auto"/>
            </w:tcBorders>
            <w:shd w:val="clear" w:color="auto" w:fill="auto"/>
            <w:vAlign w:val="bottom"/>
          </w:tcPr>
          <w:p w14:paraId="526949DF" w14:textId="6AF983A0" w:rsidR="00C93305" w:rsidRPr="00CB76A6" w:rsidRDefault="00C93305" w:rsidP="006C6231">
            <w:pPr>
              <w:jc w:val="center"/>
              <w:rPr>
                <w:rFonts w:ascii="Times New Roman" w:hAnsi="Times New Roman"/>
                <w:sz w:val="20"/>
                <w:u w:val="single"/>
              </w:rPr>
            </w:pPr>
          </w:p>
        </w:tc>
        <w:tc>
          <w:tcPr>
            <w:tcW w:w="993" w:type="dxa"/>
            <w:tcBorders>
              <w:top w:val="single" w:sz="4" w:space="0" w:color="auto"/>
              <w:bottom w:val="single" w:sz="4" w:space="0" w:color="auto"/>
            </w:tcBorders>
            <w:shd w:val="clear" w:color="auto" w:fill="auto"/>
            <w:vAlign w:val="bottom"/>
          </w:tcPr>
          <w:p w14:paraId="3FA0A1FF" w14:textId="0AE6393A" w:rsidR="00C93305" w:rsidRPr="00110E8B" w:rsidRDefault="00C93305" w:rsidP="006C6231">
            <w:pPr>
              <w:jc w:val="center"/>
              <w:rPr>
                <w:rFonts w:ascii="Times New Roman" w:hAnsi="Times New Roman"/>
                <w:sz w:val="20"/>
              </w:rPr>
            </w:pPr>
            <w:r w:rsidRPr="00110E8B">
              <w:rPr>
                <w:rFonts w:ascii="Times New Roman" w:hAnsi="Times New Roman"/>
                <w:sz w:val="20"/>
              </w:rPr>
              <w:t>Integrado (1)</w:t>
            </w:r>
          </w:p>
        </w:tc>
      </w:tr>
      <w:tr w:rsidR="00C93305" w:rsidRPr="00110E8B" w14:paraId="6045F8A7" w14:textId="77777777" w:rsidTr="00D55277">
        <w:tc>
          <w:tcPr>
            <w:tcW w:w="1062" w:type="dxa"/>
            <w:tcBorders>
              <w:top w:val="single" w:sz="4" w:space="0" w:color="auto"/>
            </w:tcBorders>
            <w:shd w:val="clear" w:color="auto" w:fill="auto"/>
            <w:vAlign w:val="bottom"/>
          </w:tcPr>
          <w:p w14:paraId="72CEDA4F" w14:textId="77610158" w:rsidR="00C93305" w:rsidRPr="00110E8B" w:rsidRDefault="00C93305" w:rsidP="006C6231">
            <w:pPr>
              <w:jc w:val="center"/>
              <w:rPr>
                <w:rFonts w:ascii="Times New Roman" w:hAnsi="Times New Roman"/>
                <w:sz w:val="20"/>
              </w:rPr>
            </w:pPr>
            <w:r w:rsidRPr="00110E8B">
              <w:rPr>
                <w:rFonts w:ascii="Times New Roman" w:hAnsi="Times New Roman"/>
                <w:sz w:val="20"/>
              </w:rPr>
              <w:t>Ordinarias</w:t>
            </w:r>
          </w:p>
        </w:tc>
        <w:tc>
          <w:tcPr>
            <w:tcW w:w="1216" w:type="dxa"/>
            <w:tcBorders>
              <w:top w:val="single" w:sz="4" w:space="0" w:color="auto"/>
            </w:tcBorders>
            <w:shd w:val="clear" w:color="auto" w:fill="auto"/>
            <w:vAlign w:val="bottom"/>
          </w:tcPr>
          <w:p w14:paraId="0499FE6A" w14:textId="40F9DFF4" w:rsidR="00C93305" w:rsidRPr="00110E8B" w:rsidRDefault="00C93305" w:rsidP="006412FC">
            <w:pPr>
              <w:jc w:val="center"/>
              <w:rPr>
                <w:rFonts w:ascii="Times New Roman" w:hAnsi="Times New Roman"/>
                <w:sz w:val="20"/>
              </w:rPr>
            </w:pPr>
            <w:r w:rsidRPr="00110E8B">
              <w:rPr>
                <w:rFonts w:ascii="Times New Roman" w:hAnsi="Times New Roman"/>
                <w:sz w:val="20"/>
              </w:rPr>
              <w:t>612.</w:t>
            </w:r>
            <w:r w:rsidR="006412FC" w:rsidRPr="00110E8B">
              <w:rPr>
                <w:rFonts w:ascii="Times New Roman" w:hAnsi="Times New Roman"/>
                <w:sz w:val="20"/>
              </w:rPr>
              <w:t>710</w:t>
            </w:r>
            <w:r w:rsidRPr="00110E8B">
              <w:rPr>
                <w:rFonts w:ascii="Times New Roman" w:hAnsi="Times New Roman"/>
                <w:sz w:val="20"/>
              </w:rPr>
              <w:t>.</w:t>
            </w:r>
            <w:r w:rsidR="006412FC" w:rsidRPr="00110E8B">
              <w:rPr>
                <w:rFonts w:ascii="Times New Roman" w:hAnsi="Times New Roman"/>
                <w:sz w:val="20"/>
              </w:rPr>
              <w:t>079</w:t>
            </w:r>
          </w:p>
        </w:tc>
        <w:tc>
          <w:tcPr>
            <w:tcW w:w="933" w:type="dxa"/>
            <w:tcBorders>
              <w:top w:val="single" w:sz="4" w:space="0" w:color="auto"/>
            </w:tcBorders>
            <w:shd w:val="clear" w:color="auto" w:fill="auto"/>
            <w:vAlign w:val="bottom"/>
          </w:tcPr>
          <w:p w14:paraId="22C1E9C6" w14:textId="6FE2740A" w:rsidR="00C93305" w:rsidRPr="00110E8B" w:rsidRDefault="00C93305" w:rsidP="006C6231">
            <w:pPr>
              <w:jc w:val="center"/>
              <w:rPr>
                <w:rFonts w:ascii="Times New Roman" w:hAnsi="Times New Roman"/>
                <w:sz w:val="20"/>
              </w:rPr>
            </w:pPr>
            <w:r w:rsidRPr="00110E8B">
              <w:rPr>
                <w:rFonts w:ascii="Times New Roman" w:hAnsi="Times New Roman"/>
                <w:sz w:val="20"/>
              </w:rPr>
              <w:t>1</w:t>
            </w:r>
          </w:p>
        </w:tc>
        <w:tc>
          <w:tcPr>
            <w:tcW w:w="846" w:type="dxa"/>
            <w:tcBorders>
              <w:top w:val="single" w:sz="4" w:space="0" w:color="auto"/>
            </w:tcBorders>
            <w:shd w:val="clear" w:color="auto" w:fill="auto"/>
            <w:vAlign w:val="bottom"/>
          </w:tcPr>
          <w:p w14:paraId="04320C6D" w14:textId="5D8A9E10" w:rsidR="00C93305" w:rsidRPr="00110E8B" w:rsidRDefault="00C93305" w:rsidP="006C6231">
            <w:pPr>
              <w:jc w:val="center"/>
              <w:rPr>
                <w:rFonts w:ascii="Times New Roman" w:hAnsi="Times New Roman"/>
                <w:sz w:val="20"/>
              </w:rPr>
            </w:pPr>
            <w:r w:rsidRPr="00110E8B">
              <w:rPr>
                <w:rFonts w:ascii="Times New Roman" w:hAnsi="Times New Roman"/>
                <w:sz w:val="20"/>
              </w:rPr>
              <w:t>1</w:t>
            </w:r>
          </w:p>
        </w:tc>
        <w:tc>
          <w:tcPr>
            <w:tcW w:w="229" w:type="dxa"/>
            <w:shd w:val="clear" w:color="auto" w:fill="auto"/>
            <w:vAlign w:val="bottom"/>
          </w:tcPr>
          <w:p w14:paraId="0F136D9E" w14:textId="77777777" w:rsidR="00C93305" w:rsidRPr="00110E8B" w:rsidRDefault="00C93305" w:rsidP="006C6231">
            <w:pPr>
              <w:jc w:val="center"/>
              <w:rPr>
                <w:rFonts w:ascii="Times New Roman" w:hAnsi="Times New Roman"/>
                <w:sz w:val="20"/>
              </w:rPr>
            </w:pPr>
          </w:p>
        </w:tc>
        <w:tc>
          <w:tcPr>
            <w:tcW w:w="1105" w:type="dxa"/>
            <w:tcBorders>
              <w:top w:val="single" w:sz="4" w:space="0" w:color="auto"/>
            </w:tcBorders>
            <w:shd w:val="clear" w:color="auto" w:fill="auto"/>
            <w:vAlign w:val="bottom"/>
          </w:tcPr>
          <w:p w14:paraId="77610CD4" w14:textId="22CE5B57" w:rsidR="00C93305" w:rsidRPr="00110E8B" w:rsidRDefault="00C93305" w:rsidP="006C6231">
            <w:pPr>
              <w:jc w:val="center"/>
              <w:rPr>
                <w:rFonts w:ascii="Times New Roman" w:hAnsi="Times New Roman"/>
                <w:sz w:val="20"/>
              </w:rPr>
            </w:pPr>
            <w:r w:rsidRPr="00110E8B">
              <w:rPr>
                <w:rFonts w:ascii="Times New Roman" w:hAnsi="Times New Roman"/>
                <w:sz w:val="20"/>
              </w:rPr>
              <w:t>612.</w:t>
            </w:r>
            <w:r w:rsidR="00CB76A6">
              <w:rPr>
                <w:rFonts w:ascii="Times New Roman" w:hAnsi="Times New Roman"/>
                <w:sz w:val="20"/>
              </w:rPr>
              <w:t>710</w:t>
            </w:r>
          </w:p>
        </w:tc>
        <w:tc>
          <w:tcPr>
            <w:tcW w:w="352" w:type="dxa"/>
            <w:tcBorders>
              <w:top w:val="single" w:sz="4" w:space="0" w:color="auto"/>
            </w:tcBorders>
            <w:shd w:val="clear" w:color="auto" w:fill="auto"/>
            <w:vAlign w:val="bottom"/>
          </w:tcPr>
          <w:p w14:paraId="61361753" w14:textId="013B84E5" w:rsidR="00C93305" w:rsidRPr="00CB76A6" w:rsidRDefault="00C93305" w:rsidP="006C6231">
            <w:pPr>
              <w:jc w:val="center"/>
              <w:rPr>
                <w:rFonts w:ascii="Times New Roman" w:hAnsi="Times New Roman"/>
                <w:sz w:val="20"/>
              </w:rPr>
            </w:pPr>
          </w:p>
        </w:tc>
        <w:tc>
          <w:tcPr>
            <w:tcW w:w="993" w:type="dxa"/>
            <w:tcBorders>
              <w:top w:val="single" w:sz="4" w:space="0" w:color="auto"/>
            </w:tcBorders>
            <w:shd w:val="clear" w:color="auto" w:fill="auto"/>
            <w:vAlign w:val="bottom"/>
          </w:tcPr>
          <w:p w14:paraId="24574026" w14:textId="2078C24E" w:rsidR="00C93305" w:rsidRPr="00110E8B" w:rsidRDefault="00C93305" w:rsidP="006412FC">
            <w:pPr>
              <w:jc w:val="center"/>
              <w:rPr>
                <w:rFonts w:ascii="Times New Roman" w:hAnsi="Times New Roman"/>
                <w:sz w:val="20"/>
              </w:rPr>
            </w:pPr>
            <w:r w:rsidRPr="00110E8B">
              <w:rPr>
                <w:rFonts w:ascii="Times New Roman" w:hAnsi="Times New Roman"/>
                <w:sz w:val="20"/>
              </w:rPr>
              <w:t>612.</w:t>
            </w:r>
            <w:r w:rsidR="006412FC" w:rsidRPr="00110E8B">
              <w:rPr>
                <w:rFonts w:ascii="Times New Roman" w:hAnsi="Times New Roman"/>
                <w:sz w:val="20"/>
              </w:rPr>
              <w:t>710</w:t>
            </w:r>
          </w:p>
        </w:tc>
      </w:tr>
    </w:tbl>
    <w:p w14:paraId="1B81F84F" w14:textId="77777777" w:rsidR="00A310C5" w:rsidRPr="00110E8B" w:rsidRDefault="00A310C5" w:rsidP="00A310C5">
      <w:pPr>
        <w:tabs>
          <w:tab w:val="num" w:pos="567"/>
        </w:tabs>
        <w:ind w:right="141"/>
        <w:jc w:val="both"/>
        <w:rPr>
          <w:rFonts w:ascii="Times New Roman" w:hAnsi="Times New Roman"/>
          <w:b/>
          <w:sz w:val="20"/>
        </w:rPr>
      </w:pPr>
    </w:p>
    <w:p w14:paraId="3D2E1008" w14:textId="6AE27D51" w:rsidR="00C93305" w:rsidRPr="00665989" w:rsidRDefault="00D91EA9" w:rsidP="00D55277">
      <w:pPr>
        <w:pStyle w:val="Prrafodelista"/>
        <w:numPr>
          <w:ilvl w:val="0"/>
          <w:numId w:val="78"/>
        </w:numPr>
        <w:ind w:right="141"/>
        <w:jc w:val="both"/>
        <w:rPr>
          <w:sz w:val="16"/>
          <w:szCs w:val="18"/>
          <w:lang w:val="es-AR"/>
        </w:rPr>
      </w:pPr>
      <w:r w:rsidRPr="00665989">
        <w:rPr>
          <w:sz w:val="16"/>
          <w:szCs w:val="18"/>
          <w:lang w:val="es-AR"/>
        </w:rPr>
        <w:t>I</w:t>
      </w:r>
      <w:r w:rsidR="00C93305" w:rsidRPr="00665989">
        <w:rPr>
          <w:sz w:val="16"/>
          <w:szCs w:val="18"/>
          <w:lang w:val="es-AR"/>
        </w:rPr>
        <w:t>nscripto en el Registro Público de Comercio</w:t>
      </w:r>
      <w:r w:rsidRPr="00665989">
        <w:rPr>
          <w:sz w:val="16"/>
          <w:szCs w:val="18"/>
          <w:lang w:val="es-AR"/>
        </w:rPr>
        <w:t>.</w:t>
      </w:r>
    </w:p>
    <w:p w14:paraId="641FA8EB" w14:textId="77777777" w:rsidR="00A310C5" w:rsidRPr="00110E8B" w:rsidRDefault="00A310C5" w:rsidP="00A310C5">
      <w:pPr>
        <w:tabs>
          <w:tab w:val="num" w:pos="567"/>
        </w:tabs>
        <w:ind w:right="141"/>
        <w:jc w:val="both"/>
        <w:rPr>
          <w:rFonts w:ascii="Times New Roman" w:hAnsi="Times New Roman"/>
          <w:b/>
          <w:sz w:val="20"/>
        </w:rPr>
      </w:pPr>
    </w:p>
    <w:p w14:paraId="7169C0BA" w14:textId="6286CA1D" w:rsidR="00A310C5" w:rsidRPr="00F72679" w:rsidRDefault="00697EB0" w:rsidP="00482B43">
      <w:pPr>
        <w:ind w:left="851" w:right="49"/>
        <w:jc w:val="both"/>
        <w:rPr>
          <w:rFonts w:ascii="Times New Roman" w:hAnsi="Times New Roman"/>
          <w:sz w:val="20"/>
        </w:rPr>
      </w:pPr>
      <w:r w:rsidRPr="00110E8B">
        <w:rPr>
          <w:rFonts w:ascii="Times New Roman" w:hAnsi="Times New Roman"/>
          <w:sz w:val="20"/>
        </w:rPr>
        <w:t xml:space="preserve">Banco </w:t>
      </w:r>
      <w:r w:rsidR="00A310C5" w:rsidRPr="00110E8B">
        <w:rPr>
          <w:rFonts w:ascii="Times New Roman" w:hAnsi="Times New Roman"/>
          <w:sz w:val="20"/>
        </w:rPr>
        <w:t xml:space="preserve">BBVA </w:t>
      </w:r>
      <w:r w:rsidRPr="00110E8B">
        <w:rPr>
          <w:rFonts w:ascii="Times New Roman" w:hAnsi="Times New Roman"/>
          <w:sz w:val="20"/>
        </w:rPr>
        <w:t xml:space="preserve">Argentina </w:t>
      </w:r>
      <w:r w:rsidR="00D91EA9" w:rsidRPr="00110E8B">
        <w:rPr>
          <w:rFonts w:ascii="Times New Roman" w:hAnsi="Times New Roman"/>
          <w:sz w:val="20"/>
        </w:rPr>
        <w:t>S.A.</w:t>
      </w:r>
      <w:r w:rsidR="00A310C5" w:rsidRPr="00110E8B">
        <w:rPr>
          <w:rFonts w:ascii="Times New Roman" w:hAnsi="Times New Roman"/>
          <w:sz w:val="20"/>
        </w:rPr>
        <w:t xml:space="preserve"> es una sociedad anónima constituida bajo las leyes de la República Argentina, cuyos accionistas limitan su responsabilidad a la integración de las acciones suscriptas de acuerdo con </w:t>
      </w:r>
      <w:r w:rsidR="00A310C5" w:rsidRPr="00F72679">
        <w:rPr>
          <w:rFonts w:ascii="Times New Roman" w:hAnsi="Times New Roman"/>
          <w:sz w:val="20"/>
        </w:rPr>
        <w:t>la Ley General de Sociedades (Ley N° 19.550). Por consiguiente, y en cumplimiento de la Ley N° 25.738, se informa que ni los accionistas mayoritarios de capital extranjero ni los accionistas locales o extranjeros responden, en exceso de la citada integración accionaria, por las obligaciones emergentes de las operaciones concertadas por la entidad financiera.</w:t>
      </w:r>
    </w:p>
    <w:p w14:paraId="011387CD" w14:textId="77777777" w:rsidR="00A310C5" w:rsidRPr="00F72679" w:rsidRDefault="00A310C5" w:rsidP="00482B43">
      <w:pPr>
        <w:pStyle w:val="Textoindependiente2"/>
        <w:ind w:left="851" w:right="49"/>
        <w:rPr>
          <w:rFonts w:ascii="Times New Roman" w:hAnsi="Times New Roman"/>
        </w:rPr>
      </w:pPr>
    </w:p>
    <w:p w14:paraId="58383557" w14:textId="4622AD6E" w:rsidR="00EF2A20" w:rsidRPr="00F72679" w:rsidRDefault="00EF2A20" w:rsidP="0015710D">
      <w:pPr>
        <w:ind w:left="851"/>
        <w:jc w:val="both"/>
        <w:rPr>
          <w:rFonts w:ascii="Times New Roman" w:hAnsi="Times New Roman"/>
          <w:color w:val="000000"/>
          <w:sz w:val="20"/>
          <w:lang w:eastAsia="es-AR"/>
        </w:rPr>
      </w:pPr>
      <w:r w:rsidRPr="00F72679">
        <w:rPr>
          <w:rFonts w:ascii="Times New Roman" w:hAnsi="Times New Roman"/>
          <w:color w:val="000000"/>
          <w:sz w:val="20"/>
          <w:lang w:eastAsia="es-AR"/>
        </w:rPr>
        <w:t xml:space="preserve">El 24 de abril de 2019 la </w:t>
      </w:r>
      <w:r w:rsidR="00B25174" w:rsidRPr="00F72679">
        <w:rPr>
          <w:rFonts w:ascii="Times New Roman" w:hAnsi="Times New Roman"/>
          <w:color w:val="000000"/>
          <w:sz w:val="20"/>
          <w:lang w:eastAsia="es-AR"/>
        </w:rPr>
        <w:t>A</w:t>
      </w:r>
      <w:r w:rsidR="00362E28" w:rsidRPr="00F72679">
        <w:rPr>
          <w:rFonts w:ascii="Times New Roman" w:hAnsi="Times New Roman"/>
          <w:color w:val="000000"/>
          <w:sz w:val="20"/>
          <w:lang w:eastAsia="es-AR"/>
        </w:rPr>
        <w:t>samblea</w:t>
      </w:r>
      <w:r w:rsidRPr="00F72679">
        <w:rPr>
          <w:rFonts w:ascii="Times New Roman" w:hAnsi="Times New Roman"/>
          <w:color w:val="000000"/>
          <w:sz w:val="20"/>
          <w:lang w:eastAsia="es-AR"/>
        </w:rPr>
        <w:t xml:space="preserve"> de </w:t>
      </w:r>
      <w:r w:rsidR="00B25174" w:rsidRPr="00F72679">
        <w:rPr>
          <w:rFonts w:ascii="Times New Roman" w:hAnsi="Times New Roman"/>
          <w:color w:val="000000"/>
          <w:sz w:val="20"/>
          <w:lang w:eastAsia="es-AR"/>
        </w:rPr>
        <w:t>A</w:t>
      </w:r>
      <w:r w:rsidRPr="00F72679">
        <w:rPr>
          <w:rFonts w:ascii="Times New Roman" w:hAnsi="Times New Roman"/>
          <w:color w:val="000000"/>
          <w:sz w:val="20"/>
          <w:lang w:eastAsia="es-AR"/>
        </w:rPr>
        <w:t xml:space="preserve">ccionistas de BBVA Argentina y la </w:t>
      </w:r>
      <w:r w:rsidR="00B25174" w:rsidRPr="00F72679">
        <w:rPr>
          <w:rFonts w:ascii="Times New Roman" w:hAnsi="Times New Roman"/>
          <w:color w:val="000000"/>
          <w:sz w:val="20"/>
          <w:lang w:eastAsia="es-AR"/>
        </w:rPr>
        <w:t>A</w:t>
      </w:r>
      <w:r w:rsidR="00362E28" w:rsidRPr="00F72679">
        <w:rPr>
          <w:rFonts w:ascii="Times New Roman" w:hAnsi="Times New Roman"/>
          <w:color w:val="000000"/>
          <w:sz w:val="20"/>
          <w:lang w:eastAsia="es-AR"/>
        </w:rPr>
        <w:t>samblea</w:t>
      </w:r>
      <w:r w:rsidRPr="00F72679">
        <w:rPr>
          <w:rFonts w:ascii="Times New Roman" w:hAnsi="Times New Roman"/>
          <w:color w:val="000000"/>
          <w:sz w:val="20"/>
          <w:lang w:eastAsia="es-AR"/>
        </w:rPr>
        <w:t xml:space="preserve"> de </w:t>
      </w:r>
      <w:r w:rsidR="00B25174" w:rsidRPr="00F72679">
        <w:rPr>
          <w:rFonts w:ascii="Times New Roman" w:hAnsi="Times New Roman"/>
          <w:color w:val="000000"/>
          <w:sz w:val="20"/>
          <w:lang w:eastAsia="es-AR"/>
        </w:rPr>
        <w:t>A</w:t>
      </w:r>
      <w:r w:rsidRPr="00F72679">
        <w:rPr>
          <w:rFonts w:ascii="Times New Roman" w:hAnsi="Times New Roman"/>
          <w:color w:val="000000"/>
          <w:sz w:val="20"/>
          <w:lang w:eastAsia="es-AR"/>
        </w:rPr>
        <w:t>ccionistas de su subsidiaria BBVA Francés Valores S</w:t>
      </w:r>
      <w:r w:rsidR="00362E28" w:rsidRPr="00F72679">
        <w:rPr>
          <w:rFonts w:ascii="Times New Roman" w:hAnsi="Times New Roman"/>
          <w:color w:val="000000"/>
          <w:sz w:val="20"/>
          <w:lang w:eastAsia="es-AR"/>
        </w:rPr>
        <w:t>.</w:t>
      </w:r>
      <w:r w:rsidRPr="00F72679">
        <w:rPr>
          <w:rFonts w:ascii="Times New Roman" w:hAnsi="Times New Roman"/>
          <w:color w:val="000000"/>
          <w:sz w:val="20"/>
          <w:lang w:eastAsia="es-AR"/>
        </w:rPr>
        <w:t>A</w:t>
      </w:r>
      <w:r w:rsidR="00362E28" w:rsidRPr="00F72679">
        <w:rPr>
          <w:rFonts w:ascii="Times New Roman" w:hAnsi="Times New Roman"/>
          <w:color w:val="000000"/>
          <w:sz w:val="20"/>
          <w:lang w:eastAsia="es-AR"/>
        </w:rPr>
        <w:t>.</w:t>
      </w:r>
      <w:r w:rsidRPr="00F72679">
        <w:rPr>
          <w:rFonts w:ascii="Times New Roman" w:hAnsi="Times New Roman"/>
          <w:color w:val="000000"/>
          <w:sz w:val="20"/>
          <w:lang w:eastAsia="es-AR"/>
        </w:rPr>
        <w:t xml:space="preserve"> aprobaron la fusión de las dos sociedades, efectiva a partir del 1</w:t>
      </w:r>
      <w:r w:rsidR="00F72679" w:rsidRPr="00F72679">
        <w:rPr>
          <w:rFonts w:ascii="Times New Roman" w:hAnsi="Times New Roman"/>
          <w:color w:val="000000"/>
          <w:sz w:val="20"/>
          <w:lang w:eastAsia="es-AR"/>
        </w:rPr>
        <w:t>°</w:t>
      </w:r>
      <w:r w:rsidRPr="00F72679">
        <w:rPr>
          <w:rFonts w:ascii="Times New Roman" w:hAnsi="Times New Roman"/>
          <w:color w:val="000000"/>
          <w:sz w:val="20"/>
          <w:lang w:eastAsia="es-AR"/>
        </w:rPr>
        <w:t xml:space="preserve"> de octubre de 2019. Previo a la fusión, BBVA Argentina tenía una participación del 95% de acciones y votos de BBVA Francés Valores S.A.</w:t>
      </w:r>
    </w:p>
    <w:p w14:paraId="540564EB" w14:textId="77777777" w:rsidR="00EF2A20" w:rsidRPr="00F72679" w:rsidRDefault="00EF2A20" w:rsidP="0015710D">
      <w:pPr>
        <w:ind w:left="851"/>
        <w:jc w:val="both"/>
        <w:rPr>
          <w:rFonts w:ascii="Times New Roman" w:hAnsi="Times New Roman"/>
          <w:color w:val="000000"/>
          <w:sz w:val="20"/>
          <w:lang w:eastAsia="es-AR"/>
        </w:rPr>
      </w:pPr>
    </w:p>
    <w:p w14:paraId="6D780BC6" w14:textId="2E5299A7" w:rsidR="00554EF6" w:rsidRPr="00F72679" w:rsidRDefault="00554EF6" w:rsidP="00554EF6">
      <w:pPr>
        <w:ind w:left="851"/>
        <w:jc w:val="both"/>
        <w:rPr>
          <w:rFonts w:ascii="Times New Roman" w:hAnsi="Times New Roman"/>
          <w:color w:val="000000"/>
          <w:sz w:val="20"/>
          <w:lang w:eastAsia="es-AR"/>
        </w:rPr>
      </w:pPr>
      <w:r w:rsidRPr="00F72679">
        <w:rPr>
          <w:rFonts w:ascii="Times New Roman" w:hAnsi="Times New Roman"/>
          <w:color w:val="000000"/>
          <w:sz w:val="20"/>
          <w:lang w:eastAsia="es-AR"/>
        </w:rPr>
        <w:t xml:space="preserve">Con fecha 9 de octubre de 2019 la C.N.V. emitió la Resolución N° 20484/2019 en relación a la fusión por absorción del Banco con BBVA Francés Valores S.A., por la cual el Banco fue autorizado a proceder a la emisión de 50.441 acciones ordinarias, escriturales, de valor nominal $1 cada una y con derecho a (1) voto por acción, </w:t>
      </w:r>
      <w:r w:rsidR="007B0F43" w:rsidRPr="00F72679">
        <w:rPr>
          <w:rFonts w:ascii="Times New Roman" w:hAnsi="Times New Roman"/>
          <w:color w:val="000000"/>
          <w:sz w:val="20"/>
          <w:lang w:eastAsia="es-AR"/>
        </w:rPr>
        <w:t>a entregar</w:t>
      </w:r>
      <w:r w:rsidRPr="00F72679">
        <w:rPr>
          <w:rFonts w:ascii="Times New Roman" w:hAnsi="Times New Roman"/>
          <w:color w:val="000000"/>
          <w:sz w:val="20"/>
          <w:lang w:eastAsia="es-AR"/>
        </w:rPr>
        <w:t xml:space="preserve"> a los accionistas minoritarios de BBVA Francés Valores S.A.</w:t>
      </w:r>
    </w:p>
    <w:p w14:paraId="316896FA" w14:textId="77777777" w:rsidR="00554EF6" w:rsidRPr="00F72679" w:rsidRDefault="00554EF6" w:rsidP="00554EF6">
      <w:pPr>
        <w:ind w:left="851"/>
        <w:jc w:val="both"/>
        <w:rPr>
          <w:rFonts w:ascii="Times New Roman" w:hAnsi="Times New Roman"/>
          <w:color w:val="000000"/>
          <w:sz w:val="20"/>
          <w:lang w:eastAsia="es-AR"/>
        </w:rPr>
      </w:pPr>
    </w:p>
    <w:p w14:paraId="1D4DB081" w14:textId="35880ACC" w:rsidR="00554EF6" w:rsidRPr="00F72679" w:rsidRDefault="00554EF6" w:rsidP="00554EF6">
      <w:pPr>
        <w:ind w:left="851"/>
        <w:jc w:val="both"/>
        <w:rPr>
          <w:rFonts w:ascii="Times New Roman" w:hAnsi="Times New Roman"/>
          <w:color w:val="000000"/>
          <w:sz w:val="20"/>
          <w:lang w:eastAsia="es-AR"/>
        </w:rPr>
      </w:pPr>
      <w:r w:rsidRPr="00F72679">
        <w:rPr>
          <w:rFonts w:ascii="Times New Roman" w:hAnsi="Times New Roman"/>
          <w:color w:val="000000"/>
          <w:sz w:val="20"/>
          <w:lang w:eastAsia="es-AR"/>
        </w:rPr>
        <w:t>Con fecha 27 de agosto de 2021, se inscribió en e</w:t>
      </w:r>
      <w:r w:rsidR="00F72679" w:rsidRPr="00F72679">
        <w:rPr>
          <w:rFonts w:ascii="Times New Roman" w:hAnsi="Times New Roman"/>
          <w:color w:val="000000"/>
          <w:sz w:val="20"/>
          <w:lang w:eastAsia="es-AR"/>
        </w:rPr>
        <w:t>l Registro Público bajo los N°</w:t>
      </w:r>
      <w:r w:rsidRPr="00F72679">
        <w:rPr>
          <w:rFonts w:ascii="Times New Roman" w:hAnsi="Times New Roman"/>
          <w:color w:val="000000"/>
          <w:sz w:val="20"/>
          <w:lang w:eastAsia="es-AR"/>
        </w:rPr>
        <w:t xml:space="preserve"> 13.335 y 13.336 del libro 104 de Sociedades por Acciones, el acuerdo definitivo de fusión por absorción, el aumento de capital y la disolución sin liquidación de BBVA Francés Valores S.A. </w:t>
      </w:r>
    </w:p>
    <w:p w14:paraId="4879059A" w14:textId="77777777" w:rsidR="00554EF6" w:rsidRPr="00F72679" w:rsidRDefault="00554EF6" w:rsidP="00554EF6">
      <w:pPr>
        <w:ind w:left="851"/>
        <w:jc w:val="both"/>
        <w:rPr>
          <w:rFonts w:ascii="Times New Roman" w:hAnsi="Times New Roman"/>
          <w:color w:val="000000"/>
          <w:sz w:val="20"/>
          <w:lang w:eastAsia="es-AR"/>
        </w:rPr>
      </w:pPr>
    </w:p>
    <w:p w14:paraId="05DB5B0E" w14:textId="1FAA0C47" w:rsidR="00F31340" w:rsidRPr="00F72679" w:rsidRDefault="00B32CE2" w:rsidP="00554EF6">
      <w:pPr>
        <w:ind w:left="851"/>
        <w:jc w:val="both"/>
        <w:rPr>
          <w:rFonts w:ascii="Times New Roman" w:hAnsi="Times New Roman"/>
          <w:color w:val="000000"/>
          <w:sz w:val="20"/>
          <w:lang w:eastAsia="es-AR"/>
        </w:rPr>
      </w:pPr>
      <w:r w:rsidRPr="00F72679">
        <w:rPr>
          <w:rFonts w:ascii="Times New Roman" w:hAnsi="Times New Roman"/>
          <w:color w:val="000000"/>
          <w:sz w:val="20"/>
          <w:lang w:eastAsia="es-AR"/>
        </w:rPr>
        <w:t xml:space="preserve">El </w:t>
      </w:r>
      <w:r w:rsidR="00F31340" w:rsidRPr="00F72679">
        <w:rPr>
          <w:rFonts w:ascii="Times New Roman" w:hAnsi="Times New Roman"/>
          <w:color w:val="000000"/>
          <w:sz w:val="20"/>
          <w:lang w:eastAsia="es-AR"/>
        </w:rPr>
        <w:t xml:space="preserve">28 de setiembre de 2021, fueron acreditadas en el Registro de Acciones escriturales llevado por la Caja de Valores S.A., en concepto de canje por fusión, 50.441 acciones ordinarias, escriturales </w:t>
      </w:r>
      <w:r w:rsidR="00B66B3A">
        <w:rPr>
          <w:rFonts w:ascii="Times New Roman" w:hAnsi="Times New Roman"/>
          <w:color w:val="000000"/>
          <w:sz w:val="20"/>
          <w:lang w:eastAsia="es-AR"/>
        </w:rPr>
        <w:t xml:space="preserve">de </w:t>
      </w:r>
      <w:r w:rsidR="00F31340" w:rsidRPr="00F72679">
        <w:rPr>
          <w:rFonts w:ascii="Times New Roman" w:hAnsi="Times New Roman"/>
          <w:color w:val="000000"/>
          <w:sz w:val="20"/>
          <w:lang w:eastAsia="es-AR"/>
        </w:rPr>
        <w:t xml:space="preserve">valor nominal un peso ($1) cada una y con derecho a un (1) voto por acción de BBVA Argentina, que serán entregadas al accionista de BBVA </w:t>
      </w:r>
      <w:r w:rsidRPr="00F72679">
        <w:rPr>
          <w:rFonts w:ascii="Times New Roman" w:hAnsi="Times New Roman"/>
          <w:color w:val="000000"/>
          <w:sz w:val="20"/>
          <w:lang w:eastAsia="es-AR"/>
        </w:rPr>
        <w:t xml:space="preserve">Francés </w:t>
      </w:r>
      <w:r w:rsidR="00F31340" w:rsidRPr="00F72679">
        <w:rPr>
          <w:rFonts w:ascii="Times New Roman" w:hAnsi="Times New Roman"/>
          <w:color w:val="000000"/>
          <w:sz w:val="20"/>
          <w:lang w:eastAsia="es-AR"/>
        </w:rPr>
        <w:t>Valores</w:t>
      </w:r>
      <w:r w:rsidRPr="00F72679">
        <w:rPr>
          <w:rFonts w:ascii="Times New Roman" w:hAnsi="Times New Roman"/>
          <w:color w:val="000000"/>
          <w:sz w:val="20"/>
          <w:lang w:eastAsia="es-AR"/>
        </w:rPr>
        <w:t xml:space="preserve"> S.A.</w:t>
      </w:r>
    </w:p>
    <w:p w14:paraId="25DF14FA" w14:textId="77777777" w:rsidR="00554EF6" w:rsidRPr="00F72679" w:rsidRDefault="00554EF6" w:rsidP="0015710D">
      <w:pPr>
        <w:ind w:left="851"/>
        <w:jc w:val="both"/>
        <w:rPr>
          <w:rFonts w:ascii="Times New Roman" w:hAnsi="Times New Roman"/>
          <w:color w:val="000000"/>
          <w:sz w:val="20"/>
          <w:lang w:eastAsia="es-AR"/>
        </w:rPr>
      </w:pPr>
    </w:p>
    <w:p w14:paraId="4558C28B" w14:textId="184D53BB" w:rsidR="00B15410" w:rsidRPr="00F72679" w:rsidRDefault="00B15410" w:rsidP="00B15410">
      <w:pPr>
        <w:autoSpaceDE w:val="0"/>
        <w:autoSpaceDN w:val="0"/>
        <w:adjustRightInd w:val="0"/>
        <w:ind w:left="851"/>
        <w:jc w:val="both"/>
        <w:rPr>
          <w:rFonts w:ascii="Times New Roman" w:hAnsi="Times New Roman"/>
          <w:color w:val="000000"/>
          <w:sz w:val="20"/>
        </w:rPr>
      </w:pPr>
      <w:r w:rsidRPr="00F72679">
        <w:rPr>
          <w:rFonts w:ascii="Times New Roman" w:hAnsi="Times New Roman"/>
          <w:color w:val="000000"/>
          <w:sz w:val="20"/>
        </w:rPr>
        <w:t>Con fecha 15 de mayo de 2020 se realizó la Asamblea Ordinaria y Extraordinaria de Accionistas que aprobó la desafectación parcial de la Reserva Facultativa para futuras distribuciones de resultados, a fin de destinar la suma de 2.500.000 (</w:t>
      </w:r>
      <w:r w:rsidR="00F72679" w:rsidRPr="00F72679">
        <w:rPr>
          <w:rFonts w:ascii="Times New Roman" w:hAnsi="Times New Roman"/>
          <w:color w:val="000000"/>
          <w:sz w:val="20"/>
        </w:rPr>
        <w:t>4.195.635</w:t>
      </w:r>
      <w:r w:rsidRPr="00F72679">
        <w:rPr>
          <w:rFonts w:ascii="Times New Roman" w:hAnsi="Times New Roman"/>
          <w:color w:val="000000"/>
          <w:sz w:val="20"/>
        </w:rPr>
        <w:t xml:space="preserve"> en valores reexpresados) al pago de un dividendo en efectivo sujeto a la previa autorización del B.C.R.A.</w:t>
      </w:r>
    </w:p>
    <w:p w14:paraId="792C1680" w14:textId="77777777" w:rsidR="00B15410" w:rsidRPr="00F72679" w:rsidRDefault="00B15410" w:rsidP="00B15410">
      <w:pPr>
        <w:autoSpaceDE w:val="0"/>
        <w:autoSpaceDN w:val="0"/>
        <w:adjustRightInd w:val="0"/>
        <w:ind w:left="851"/>
        <w:jc w:val="both"/>
        <w:rPr>
          <w:rFonts w:ascii="Times New Roman" w:hAnsi="Times New Roman"/>
          <w:color w:val="000000"/>
          <w:sz w:val="20"/>
        </w:rPr>
      </w:pPr>
    </w:p>
    <w:p w14:paraId="2B681BB2" w14:textId="45A9450D" w:rsidR="00B15410" w:rsidRPr="00F72679" w:rsidRDefault="00B15410" w:rsidP="00B15410">
      <w:pPr>
        <w:autoSpaceDE w:val="0"/>
        <w:autoSpaceDN w:val="0"/>
        <w:adjustRightInd w:val="0"/>
        <w:ind w:left="851"/>
        <w:jc w:val="both"/>
        <w:rPr>
          <w:rFonts w:ascii="Times New Roman" w:hAnsi="Times New Roman"/>
          <w:color w:val="000000"/>
          <w:sz w:val="20"/>
        </w:rPr>
      </w:pPr>
      <w:r w:rsidRPr="00F72679">
        <w:rPr>
          <w:rFonts w:ascii="Times New Roman" w:hAnsi="Times New Roman"/>
          <w:color w:val="000000"/>
          <w:sz w:val="20"/>
        </w:rPr>
        <w:t>El 20 de noviembre de 2020 se celebró una Asamblea General Extraordinaria de accionistas en la que se decidió la desafectación parcial de la reserva facultativa para futuras distribuciones de resultados en la suma de 12.000.000 (</w:t>
      </w:r>
      <w:r w:rsidR="00F72679" w:rsidRPr="00F72679">
        <w:rPr>
          <w:rFonts w:ascii="Times New Roman" w:hAnsi="Times New Roman"/>
          <w:color w:val="000000"/>
          <w:sz w:val="20"/>
        </w:rPr>
        <w:t>17.093.256</w:t>
      </w:r>
      <w:r w:rsidRPr="00F72679">
        <w:rPr>
          <w:rFonts w:ascii="Times New Roman" w:hAnsi="Times New Roman"/>
          <w:color w:val="000000"/>
          <w:sz w:val="20"/>
        </w:rPr>
        <w:t xml:space="preserve"> en valores reexpresados) y consideración de un dividendo complementario por igual importe, a fin de incrementar el monto del dividendo en efectivo aprobado por la Asamblea General </w:t>
      </w:r>
      <w:r w:rsidRPr="00F72679">
        <w:rPr>
          <w:rFonts w:ascii="Times New Roman" w:hAnsi="Times New Roman"/>
          <w:color w:val="000000"/>
          <w:sz w:val="20"/>
        </w:rPr>
        <w:lastRenderedPageBreak/>
        <w:t xml:space="preserve">Ordinaria y Extraordinaria del 15 de mayo de 2020, todo ello sujeto a la previa autorización del Banco Central de la República Argentina </w:t>
      </w:r>
      <w:r w:rsidR="00CD66BA" w:rsidRPr="00F72679">
        <w:rPr>
          <w:rFonts w:ascii="Times New Roman" w:hAnsi="Times New Roman"/>
          <w:color w:val="000000"/>
          <w:sz w:val="20"/>
        </w:rPr>
        <w:t>(ver Nota 48).</w:t>
      </w:r>
    </w:p>
    <w:p w14:paraId="121E98CD" w14:textId="77777777" w:rsidR="00B15410" w:rsidRPr="00F72679" w:rsidRDefault="00B15410" w:rsidP="006412FC">
      <w:pPr>
        <w:pStyle w:val="Prrafodelista"/>
        <w:ind w:left="851"/>
        <w:jc w:val="both"/>
        <w:rPr>
          <w:color w:val="000000"/>
          <w:sz w:val="20"/>
          <w:szCs w:val="20"/>
          <w:lang w:val="es-AR" w:eastAsia="es-AR"/>
        </w:rPr>
      </w:pPr>
    </w:p>
    <w:p w14:paraId="7606F2E5" w14:textId="1F456DDE" w:rsidR="00311890" w:rsidRPr="00F72679" w:rsidRDefault="00311890" w:rsidP="00311890">
      <w:pPr>
        <w:ind w:left="851"/>
        <w:jc w:val="both"/>
        <w:rPr>
          <w:rFonts w:ascii="Times New Roman" w:hAnsi="Times New Roman"/>
          <w:color w:val="000000"/>
          <w:sz w:val="20"/>
          <w:lang w:eastAsia="es-AR"/>
        </w:rPr>
      </w:pPr>
      <w:r w:rsidRPr="00F72679">
        <w:rPr>
          <w:rFonts w:ascii="Times New Roman" w:hAnsi="Times New Roman"/>
          <w:color w:val="000000"/>
          <w:sz w:val="20"/>
          <w:lang w:eastAsia="es-AR"/>
        </w:rPr>
        <w:t xml:space="preserve">Con fecha </w:t>
      </w:r>
      <w:r w:rsidR="008F2859" w:rsidRPr="00F72679">
        <w:rPr>
          <w:rFonts w:ascii="Times New Roman" w:hAnsi="Times New Roman"/>
          <w:color w:val="000000"/>
          <w:sz w:val="20"/>
          <w:lang w:eastAsia="es-AR"/>
        </w:rPr>
        <w:t>20</w:t>
      </w:r>
      <w:r w:rsidRPr="00F72679">
        <w:rPr>
          <w:rFonts w:ascii="Times New Roman" w:hAnsi="Times New Roman"/>
          <w:color w:val="000000"/>
          <w:sz w:val="20"/>
          <w:lang w:eastAsia="es-AR"/>
        </w:rPr>
        <w:t xml:space="preserve"> de </w:t>
      </w:r>
      <w:r w:rsidR="008F2859" w:rsidRPr="00F72679">
        <w:rPr>
          <w:rFonts w:ascii="Times New Roman" w:hAnsi="Times New Roman"/>
          <w:color w:val="000000"/>
          <w:sz w:val="20"/>
          <w:lang w:eastAsia="es-AR"/>
        </w:rPr>
        <w:t xml:space="preserve">abril </w:t>
      </w:r>
      <w:r w:rsidRPr="00F72679">
        <w:rPr>
          <w:rFonts w:ascii="Times New Roman" w:hAnsi="Times New Roman"/>
          <w:color w:val="000000"/>
          <w:sz w:val="20"/>
          <w:lang w:eastAsia="es-AR"/>
        </w:rPr>
        <w:t>de 202</w:t>
      </w:r>
      <w:r w:rsidR="008F2859" w:rsidRPr="00F72679">
        <w:rPr>
          <w:rFonts w:ascii="Times New Roman" w:hAnsi="Times New Roman"/>
          <w:color w:val="000000"/>
          <w:sz w:val="20"/>
          <w:lang w:eastAsia="es-AR"/>
        </w:rPr>
        <w:t>1</w:t>
      </w:r>
      <w:r w:rsidRPr="00F72679">
        <w:rPr>
          <w:rFonts w:ascii="Times New Roman" w:hAnsi="Times New Roman"/>
          <w:color w:val="000000"/>
          <w:sz w:val="20"/>
          <w:lang w:eastAsia="es-AR"/>
        </w:rPr>
        <w:t xml:space="preserve"> se realizó la Asamblea </w:t>
      </w:r>
      <w:r w:rsidR="008F2859" w:rsidRPr="00F72679">
        <w:rPr>
          <w:rFonts w:ascii="Times New Roman" w:hAnsi="Times New Roman"/>
          <w:color w:val="000000"/>
          <w:sz w:val="20"/>
          <w:lang w:eastAsia="es-AR"/>
        </w:rPr>
        <w:t xml:space="preserve">General </w:t>
      </w:r>
      <w:r w:rsidRPr="00F72679">
        <w:rPr>
          <w:rFonts w:ascii="Times New Roman" w:hAnsi="Times New Roman"/>
          <w:color w:val="000000"/>
          <w:sz w:val="20"/>
          <w:lang w:eastAsia="es-AR"/>
        </w:rPr>
        <w:t>Ordinaria y Extraordinaria de Accionistas por la cual se aprobó l</w:t>
      </w:r>
      <w:r w:rsidR="008F2859" w:rsidRPr="00F72679">
        <w:rPr>
          <w:rFonts w:ascii="Times New Roman" w:hAnsi="Times New Roman"/>
          <w:color w:val="000000"/>
          <w:sz w:val="20"/>
          <w:lang w:eastAsia="es-AR"/>
        </w:rPr>
        <w:t xml:space="preserve">o </w:t>
      </w:r>
      <w:r w:rsidRPr="00F72679">
        <w:rPr>
          <w:rFonts w:ascii="Times New Roman" w:hAnsi="Times New Roman"/>
          <w:color w:val="000000"/>
          <w:sz w:val="20"/>
          <w:lang w:eastAsia="es-AR"/>
        </w:rPr>
        <w:t xml:space="preserve">siguiente: </w:t>
      </w:r>
    </w:p>
    <w:p w14:paraId="03A1418B" w14:textId="77777777" w:rsidR="00311890" w:rsidRPr="00F72679" w:rsidRDefault="00311890" w:rsidP="00311890">
      <w:pPr>
        <w:ind w:left="851"/>
        <w:jc w:val="both"/>
        <w:rPr>
          <w:rFonts w:ascii="Times New Roman" w:hAnsi="Times New Roman"/>
          <w:color w:val="000000"/>
          <w:sz w:val="20"/>
          <w:lang w:eastAsia="es-AR"/>
        </w:rPr>
      </w:pPr>
    </w:p>
    <w:p w14:paraId="1C37FDE6" w14:textId="308E85FB" w:rsidR="00EF2A20" w:rsidRPr="00F72679" w:rsidRDefault="00791D90" w:rsidP="00BA7B29">
      <w:pPr>
        <w:pStyle w:val="Prrafodelista"/>
        <w:numPr>
          <w:ilvl w:val="0"/>
          <w:numId w:val="40"/>
        </w:numPr>
        <w:jc w:val="both"/>
        <w:rPr>
          <w:color w:val="000000"/>
          <w:sz w:val="20"/>
          <w:szCs w:val="20"/>
          <w:lang w:val="es-AR" w:eastAsia="es-AR"/>
        </w:rPr>
      </w:pPr>
      <w:r w:rsidRPr="00F72679">
        <w:rPr>
          <w:color w:val="000000"/>
          <w:sz w:val="20"/>
          <w:szCs w:val="20"/>
          <w:lang w:val="es-AR" w:eastAsia="es-AR"/>
        </w:rPr>
        <w:t>Absorber</w:t>
      </w:r>
      <w:r w:rsidR="008F2859" w:rsidRPr="00F72679">
        <w:rPr>
          <w:color w:val="000000"/>
          <w:sz w:val="20"/>
          <w:szCs w:val="20"/>
          <w:lang w:val="es-AR" w:eastAsia="es-AR"/>
        </w:rPr>
        <w:t xml:space="preserve"> </w:t>
      </w:r>
      <w:r w:rsidRPr="00F72679">
        <w:rPr>
          <w:color w:val="000000"/>
          <w:sz w:val="20"/>
          <w:szCs w:val="20"/>
          <w:lang w:val="es-AR" w:eastAsia="es-AR"/>
        </w:rPr>
        <w:t>la sum</w:t>
      </w:r>
      <w:r w:rsidR="00BA7B29" w:rsidRPr="00F72679">
        <w:rPr>
          <w:color w:val="000000"/>
          <w:sz w:val="20"/>
          <w:szCs w:val="20"/>
          <w:lang w:val="es-AR" w:eastAsia="es-AR"/>
        </w:rPr>
        <w:t xml:space="preserve">a de </w:t>
      </w:r>
      <w:r w:rsidR="00F72679" w:rsidRPr="00F72679">
        <w:rPr>
          <w:color w:val="000000"/>
          <w:sz w:val="20"/>
          <w:szCs w:val="20"/>
          <w:lang w:val="es-AR" w:eastAsia="es-AR"/>
        </w:rPr>
        <w:t>40.308.562</w:t>
      </w:r>
      <w:r w:rsidRPr="00F72679">
        <w:rPr>
          <w:color w:val="000000"/>
          <w:sz w:val="20"/>
          <w:szCs w:val="20"/>
          <w:lang w:val="es-AR" w:eastAsia="es-AR"/>
        </w:rPr>
        <w:t xml:space="preserve"> (29.431.352 en valores nominales) de la Reserva Facultativa para futura distribución de resultados para aplicar al </w:t>
      </w:r>
      <w:r w:rsidR="008F2859" w:rsidRPr="00F72679">
        <w:rPr>
          <w:color w:val="000000"/>
          <w:sz w:val="20"/>
          <w:szCs w:val="20"/>
          <w:lang w:val="es-AR" w:eastAsia="es-AR"/>
        </w:rPr>
        <w:t xml:space="preserve">saldo negativo </w:t>
      </w:r>
      <w:r w:rsidRPr="00F72679">
        <w:rPr>
          <w:color w:val="000000"/>
          <w:sz w:val="20"/>
          <w:szCs w:val="20"/>
          <w:lang w:val="es-AR" w:eastAsia="es-AR"/>
        </w:rPr>
        <w:t xml:space="preserve">que exhiben los Resultados No Asignados al 31 de diciembre de 2020. </w:t>
      </w:r>
    </w:p>
    <w:p w14:paraId="226B4205" w14:textId="77777777" w:rsidR="00395E2B" w:rsidRPr="00703583" w:rsidRDefault="00395E2B" w:rsidP="00395E2B">
      <w:pPr>
        <w:pStyle w:val="Prrafodelista"/>
        <w:ind w:left="1276"/>
        <w:jc w:val="both"/>
        <w:rPr>
          <w:color w:val="000000"/>
          <w:sz w:val="20"/>
          <w:szCs w:val="20"/>
          <w:lang w:val="es-AR" w:eastAsia="es-AR"/>
        </w:rPr>
      </w:pPr>
    </w:p>
    <w:p w14:paraId="76E3D5E4" w14:textId="54AFB57C" w:rsidR="00791D90" w:rsidRPr="00703583" w:rsidRDefault="00791D90" w:rsidP="00103E94">
      <w:pPr>
        <w:pStyle w:val="Prrafodelista"/>
        <w:numPr>
          <w:ilvl w:val="0"/>
          <w:numId w:val="40"/>
        </w:numPr>
        <w:jc w:val="both"/>
        <w:rPr>
          <w:color w:val="000000"/>
          <w:sz w:val="20"/>
          <w:lang w:val="es-AR" w:eastAsia="es-AR"/>
        </w:rPr>
      </w:pPr>
      <w:r w:rsidRPr="00703583">
        <w:rPr>
          <w:color w:val="000000"/>
          <w:sz w:val="20"/>
          <w:lang w:val="es-AR" w:eastAsia="es-AR"/>
        </w:rPr>
        <w:t xml:space="preserve">Aprobar la </w:t>
      </w:r>
      <w:r w:rsidRPr="00B15410">
        <w:rPr>
          <w:color w:val="000000"/>
          <w:sz w:val="20"/>
          <w:lang w:val="es-AR" w:eastAsia="es-AR"/>
        </w:rPr>
        <w:t xml:space="preserve">desafectación parcial de la Reserva Facultativa para futuras distribuciones de resultados, a fin de destinar la suma de </w:t>
      </w:r>
      <w:r w:rsidR="00F72679">
        <w:rPr>
          <w:color w:val="000000"/>
          <w:sz w:val="20"/>
          <w:lang w:val="es-AR" w:eastAsia="es-AR"/>
        </w:rPr>
        <w:t>8.154.909</w:t>
      </w:r>
      <w:r w:rsidR="00103E94" w:rsidRPr="00103E94">
        <w:rPr>
          <w:color w:val="000000"/>
          <w:sz w:val="20"/>
          <w:lang w:val="es-AR" w:eastAsia="es-AR"/>
        </w:rPr>
        <w:t xml:space="preserve"> (7.000.000 en valores nominales)</w:t>
      </w:r>
      <w:r w:rsidR="00103E94">
        <w:rPr>
          <w:color w:val="000000"/>
          <w:sz w:val="20"/>
          <w:lang w:val="es-AR" w:eastAsia="es-AR"/>
        </w:rPr>
        <w:t xml:space="preserve"> </w:t>
      </w:r>
      <w:r w:rsidRPr="00B15410">
        <w:rPr>
          <w:color w:val="000000"/>
          <w:sz w:val="20"/>
          <w:lang w:val="es-AR" w:eastAsia="es-AR"/>
        </w:rPr>
        <w:t>al pago de un dividendo en efectivo sujeto a la prev</w:t>
      </w:r>
      <w:r w:rsidRPr="00703583">
        <w:rPr>
          <w:color w:val="000000"/>
          <w:sz w:val="20"/>
          <w:lang w:val="es-AR" w:eastAsia="es-AR"/>
        </w:rPr>
        <w:t>ia autorización del B.C.R.A.</w:t>
      </w:r>
    </w:p>
    <w:p w14:paraId="0BB16718" w14:textId="77777777" w:rsidR="00311890" w:rsidRDefault="00311890" w:rsidP="00311890">
      <w:pPr>
        <w:ind w:left="851"/>
        <w:jc w:val="both"/>
        <w:rPr>
          <w:rFonts w:ascii="Times New Roman" w:hAnsi="Times New Roman"/>
          <w:color w:val="000000"/>
          <w:sz w:val="20"/>
          <w:lang w:eastAsia="es-AR"/>
        </w:rPr>
      </w:pPr>
    </w:p>
    <w:p w14:paraId="72A3C7A5" w14:textId="77777777" w:rsidR="00CD66BA" w:rsidRDefault="00CD66BA" w:rsidP="00311890">
      <w:pPr>
        <w:ind w:left="851"/>
        <w:jc w:val="both"/>
        <w:rPr>
          <w:rFonts w:ascii="Times New Roman" w:hAnsi="Times New Roman"/>
          <w:color w:val="000000"/>
          <w:sz w:val="20"/>
          <w:lang w:eastAsia="es-AR"/>
        </w:rPr>
      </w:pPr>
    </w:p>
    <w:p w14:paraId="2848E21C" w14:textId="77777777" w:rsidR="00915F83" w:rsidRDefault="00915F83" w:rsidP="00311890">
      <w:pPr>
        <w:ind w:left="851"/>
        <w:jc w:val="both"/>
        <w:rPr>
          <w:rFonts w:ascii="Times New Roman" w:hAnsi="Times New Roman"/>
          <w:color w:val="000000"/>
          <w:sz w:val="20"/>
          <w:lang w:eastAsia="es-AR"/>
        </w:rPr>
      </w:pPr>
    </w:p>
    <w:p w14:paraId="758C4D47" w14:textId="77777777" w:rsidR="00A310C5" w:rsidRPr="00110E8B" w:rsidRDefault="00A310C5" w:rsidP="0084616E">
      <w:pPr>
        <w:ind w:right="-427"/>
        <w:jc w:val="both"/>
        <w:rPr>
          <w:rFonts w:ascii="Times New Roman" w:hAnsi="Times New Roman"/>
          <w:b/>
          <w:vanish/>
          <w:sz w:val="20"/>
        </w:rPr>
      </w:pPr>
    </w:p>
    <w:p w14:paraId="227D9DD2" w14:textId="77777777" w:rsidR="00A310C5" w:rsidRPr="00C65326" w:rsidRDefault="00A310C5" w:rsidP="00C60CC8">
      <w:pPr>
        <w:pStyle w:val="Prrafodelista"/>
        <w:numPr>
          <w:ilvl w:val="0"/>
          <w:numId w:val="11"/>
        </w:numPr>
        <w:tabs>
          <w:tab w:val="left" w:pos="1134"/>
        </w:tabs>
        <w:ind w:right="-427"/>
        <w:jc w:val="both"/>
        <w:rPr>
          <w:b/>
          <w:sz w:val="20"/>
          <w:szCs w:val="20"/>
        </w:rPr>
      </w:pPr>
      <w:r w:rsidRPr="00C65326">
        <w:rPr>
          <w:b/>
          <w:sz w:val="20"/>
          <w:szCs w:val="20"/>
        </w:rPr>
        <w:t>Ingresos por intereses</w:t>
      </w:r>
    </w:p>
    <w:p w14:paraId="60193587" w14:textId="3C817472" w:rsidR="00D9271A" w:rsidRDefault="00D9271A" w:rsidP="0074314C">
      <w:pPr>
        <w:pStyle w:val="Prrafodelista"/>
        <w:ind w:left="709" w:right="-427"/>
        <w:jc w:val="center"/>
        <w:rPr>
          <w:b/>
          <w:sz w:val="20"/>
          <w:szCs w:val="20"/>
          <w:lang w:val="es-AR"/>
        </w:rPr>
      </w:pPr>
    </w:p>
    <w:p w14:paraId="0F170379" w14:textId="77777777" w:rsidR="00915F83" w:rsidRPr="00110E8B" w:rsidRDefault="00915F83" w:rsidP="0074314C">
      <w:pPr>
        <w:pStyle w:val="Prrafodelista"/>
        <w:ind w:left="709" w:right="-427"/>
        <w:jc w:val="center"/>
        <w:rPr>
          <w:b/>
          <w:sz w:val="20"/>
          <w:szCs w:val="20"/>
          <w:lang w:val="es-AR"/>
        </w:rPr>
      </w:pPr>
    </w:p>
    <w:p w14:paraId="2A3DAB1E" w14:textId="3E3DF6F5" w:rsidR="00352AC6" w:rsidRPr="00110E8B" w:rsidRDefault="00785D4A" w:rsidP="0074314C">
      <w:pPr>
        <w:pStyle w:val="Prrafodelista"/>
        <w:ind w:left="709" w:right="-427"/>
        <w:jc w:val="center"/>
        <w:rPr>
          <w:b/>
          <w:sz w:val="20"/>
          <w:szCs w:val="20"/>
          <w:lang w:val="es-AR"/>
        </w:rPr>
      </w:pPr>
      <w:r w:rsidRPr="00915F83">
        <w:rPr>
          <w:noProof/>
          <w:lang w:val="es-AR" w:eastAsia="es-AR"/>
        </w:rPr>
        <w:drawing>
          <wp:inline distT="0" distB="0" distL="0" distR="0" wp14:anchorId="0B67E757" wp14:editId="326AB150">
            <wp:extent cx="6031230" cy="2690562"/>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1230" cy="2690562"/>
                    </a:xfrm>
                    <a:prstGeom prst="rect">
                      <a:avLst/>
                    </a:prstGeom>
                    <a:noFill/>
                    <a:ln>
                      <a:noFill/>
                    </a:ln>
                  </pic:spPr>
                </pic:pic>
              </a:graphicData>
            </a:graphic>
          </wp:inline>
        </w:drawing>
      </w:r>
    </w:p>
    <w:p w14:paraId="6F949656" w14:textId="77777777" w:rsidR="006C3581" w:rsidRDefault="006C3581" w:rsidP="0074314C">
      <w:pPr>
        <w:pStyle w:val="Prrafodelista"/>
        <w:ind w:left="709" w:right="-427"/>
        <w:jc w:val="center"/>
        <w:rPr>
          <w:b/>
          <w:sz w:val="20"/>
          <w:szCs w:val="20"/>
          <w:lang w:val="es-AR"/>
        </w:rPr>
      </w:pPr>
    </w:p>
    <w:p w14:paraId="47913271" w14:textId="77777777" w:rsidR="00915F83" w:rsidRDefault="00915F83" w:rsidP="0074314C">
      <w:pPr>
        <w:pStyle w:val="Prrafodelista"/>
        <w:ind w:left="709" w:right="-427"/>
        <w:jc w:val="center"/>
        <w:rPr>
          <w:b/>
          <w:sz w:val="20"/>
          <w:szCs w:val="20"/>
          <w:lang w:val="es-AR"/>
        </w:rPr>
      </w:pPr>
    </w:p>
    <w:p w14:paraId="4EA53EDA" w14:textId="77777777" w:rsidR="00303474" w:rsidRDefault="00303474" w:rsidP="0074314C">
      <w:pPr>
        <w:pStyle w:val="Prrafodelista"/>
        <w:ind w:left="709" w:right="-427"/>
        <w:jc w:val="center"/>
        <w:rPr>
          <w:b/>
          <w:sz w:val="20"/>
          <w:szCs w:val="20"/>
          <w:lang w:val="es-AR"/>
        </w:rPr>
      </w:pPr>
    </w:p>
    <w:p w14:paraId="346902F1" w14:textId="77777777" w:rsidR="00303474" w:rsidRDefault="00303474" w:rsidP="0074314C">
      <w:pPr>
        <w:pStyle w:val="Prrafodelista"/>
        <w:ind w:left="709" w:right="-427"/>
        <w:jc w:val="center"/>
        <w:rPr>
          <w:b/>
          <w:sz w:val="20"/>
          <w:szCs w:val="20"/>
          <w:lang w:val="es-AR"/>
        </w:rPr>
      </w:pPr>
    </w:p>
    <w:p w14:paraId="3BA2B7E9" w14:textId="77777777" w:rsidR="00303474" w:rsidRDefault="00303474" w:rsidP="0074314C">
      <w:pPr>
        <w:pStyle w:val="Prrafodelista"/>
        <w:ind w:left="709" w:right="-427"/>
        <w:jc w:val="center"/>
        <w:rPr>
          <w:b/>
          <w:sz w:val="20"/>
          <w:szCs w:val="20"/>
          <w:lang w:val="es-AR"/>
        </w:rPr>
      </w:pPr>
    </w:p>
    <w:p w14:paraId="6C762FBF" w14:textId="77777777" w:rsidR="00303474" w:rsidRDefault="00303474" w:rsidP="0074314C">
      <w:pPr>
        <w:pStyle w:val="Prrafodelista"/>
        <w:ind w:left="709" w:right="-427"/>
        <w:jc w:val="center"/>
        <w:rPr>
          <w:b/>
          <w:sz w:val="20"/>
          <w:szCs w:val="20"/>
          <w:lang w:val="es-AR"/>
        </w:rPr>
      </w:pPr>
    </w:p>
    <w:p w14:paraId="0D12A4E1" w14:textId="77777777" w:rsidR="00303474" w:rsidRDefault="00303474" w:rsidP="0074314C">
      <w:pPr>
        <w:pStyle w:val="Prrafodelista"/>
        <w:ind w:left="709" w:right="-427"/>
        <w:jc w:val="center"/>
        <w:rPr>
          <w:b/>
          <w:sz w:val="20"/>
          <w:szCs w:val="20"/>
          <w:lang w:val="es-AR"/>
        </w:rPr>
      </w:pPr>
    </w:p>
    <w:p w14:paraId="1F4C1432" w14:textId="77777777" w:rsidR="00303474" w:rsidRDefault="00303474" w:rsidP="0074314C">
      <w:pPr>
        <w:pStyle w:val="Prrafodelista"/>
        <w:ind w:left="709" w:right="-427"/>
        <w:jc w:val="center"/>
        <w:rPr>
          <w:b/>
          <w:sz w:val="20"/>
          <w:szCs w:val="20"/>
          <w:lang w:val="es-AR"/>
        </w:rPr>
      </w:pPr>
    </w:p>
    <w:p w14:paraId="44AF8E71" w14:textId="77777777" w:rsidR="00303474" w:rsidRDefault="00303474" w:rsidP="0074314C">
      <w:pPr>
        <w:pStyle w:val="Prrafodelista"/>
        <w:ind w:left="709" w:right="-427"/>
        <w:jc w:val="center"/>
        <w:rPr>
          <w:b/>
          <w:sz w:val="20"/>
          <w:szCs w:val="20"/>
          <w:lang w:val="es-AR"/>
        </w:rPr>
      </w:pPr>
    </w:p>
    <w:p w14:paraId="00ECEE63" w14:textId="77777777" w:rsidR="00915F83" w:rsidRDefault="00915F83" w:rsidP="0074314C">
      <w:pPr>
        <w:pStyle w:val="Prrafodelista"/>
        <w:ind w:left="709" w:right="-427"/>
        <w:jc w:val="center"/>
        <w:rPr>
          <w:b/>
          <w:sz w:val="20"/>
          <w:szCs w:val="20"/>
          <w:lang w:val="es-AR"/>
        </w:rPr>
      </w:pPr>
    </w:p>
    <w:p w14:paraId="2E482880" w14:textId="220D7987" w:rsidR="00A310C5" w:rsidRDefault="00A310C5" w:rsidP="00C60CC8">
      <w:pPr>
        <w:pStyle w:val="Prrafodelista"/>
        <w:numPr>
          <w:ilvl w:val="0"/>
          <w:numId w:val="11"/>
        </w:numPr>
        <w:tabs>
          <w:tab w:val="left" w:pos="1134"/>
        </w:tabs>
        <w:ind w:right="-427"/>
        <w:jc w:val="both"/>
        <w:rPr>
          <w:b/>
          <w:sz w:val="20"/>
          <w:szCs w:val="20"/>
        </w:rPr>
      </w:pPr>
      <w:r w:rsidRPr="003B67CB">
        <w:rPr>
          <w:b/>
          <w:sz w:val="20"/>
          <w:szCs w:val="20"/>
        </w:rPr>
        <w:lastRenderedPageBreak/>
        <w:t>Egresos por intereses</w:t>
      </w:r>
    </w:p>
    <w:p w14:paraId="64DCB527" w14:textId="77777777" w:rsidR="00665989" w:rsidRPr="003B67CB" w:rsidRDefault="00665989" w:rsidP="00665989">
      <w:pPr>
        <w:pStyle w:val="Prrafodelista"/>
        <w:tabs>
          <w:tab w:val="left" w:pos="1134"/>
        </w:tabs>
        <w:ind w:left="786" w:right="-427"/>
        <w:jc w:val="both"/>
        <w:rPr>
          <w:b/>
          <w:sz w:val="20"/>
          <w:szCs w:val="20"/>
        </w:rPr>
      </w:pPr>
    </w:p>
    <w:p w14:paraId="085BE7A2" w14:textId="0A85B30F" w:rsidR="006305F0" w:rsidRDefault="00785D4A" w:rsidP="00785D4A">
      <w:pPr>
        <w:pStyle w:val="Prrafodelista"/>
        <w:tabs>
          <w:tab w:val="left" w:pos="1797"/>
        </w:tabs>
        <w:ind w:left="709" w:right="-427"/>
        <w:jc w:val="both"/>
        <w:rPr>
          <w:b/>
          <w:sz w:val="20"/>
          <w:szCs w:val="20"/>
        </w:rPr>
      </w:pPr>
      <w:r w:rsidRPr="00915F83">
        <w:rPr>
          <w:noProof/>
          <w:lang w:val="es-AR" w:eastAsia="es-AR"/>
        </w:rPr>
        <w:drawing>
          <wp:inline distT="0" distB="0" distL="0" distR="0" wp14:anchorId="5AD5E2A9" wp14:editId="4221154A">
            <wp:extent cx="6031230" cy="1599769"/>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1230" cy="1599769"/>
                    </a:xfrm>
                    <a:prstGeom prst="rect">
                      <a:avLst/>
                    </a:prstGeom>
                    <a:noFill/>
                    <a:ln>
                      <a:noFill/>
                    </a:ln>
                  </pic:spPr>
                </pic:pic>
              </a:graphicData>
            </a:graphic>
          </wp:inline>
        </w:drawing>
      </w:r>
    </w:p>
    <w:p w14:paraId="6002909A" w14:textId="77777777" w:rsidR="00785D4A" w:rsidRDefault="00785D4A" w:rsidP="00C463A2">
      <w:pPr>
        <w:pStyle w:val="Prrafodelista"/>
        <w:tabs>
          <w:tab w:val="left" w:pos="1797"/>
        </w:tabs>
        <w:ind w:left="785" w:right="-427"/>
        <w:jc w:val="both"/>
        <w:rPr>
          <w:b/>
          <w:sz w:val="20"/>
          <w:szCs w:val="20"/>
        </w:rPr>
      </w:pPr>
    </w:p>
    <w:p w14:paraId="1C81ECA3" w14:textId="77777777" w:rsidR="00915F83" w:rsidRDefault="00915F83" w:rsidP="00C463A2">
      <w:pPr>
        <w:pStyle w:val="Prrafodelista"/>
        <w:tabs>
          <w:tab w:val="left" w:pos="1797"/>
        </w:tabs>
        <w:ind w:left="785" w:right="-427"/>
        <w:jc w:val="both"/>
        <w:rPr>
          <w:b/>
          <w:sz w:val="20"/>
          <w:szCs w:val="20"/>
        </w:rPr>
      </w:pPr>
    </w:p>
    <w:p w14:paraId="299DDC7B" w14:textId="77777777" w:rsidR="00A310C5" w:rsidRDefault="00A310C5" w:rsidP="00C60CC8">
      <w:pPr>
        <w:pStyle w:val="Prrafodelista"/>
        <w:numPr>
          <w:ilvl w:val="0"/>
          <w:numId w:val="11"/>
        </w:numPr>
        <w:tabs>
          <w:tab w:val="left" w:pos="1134"/>
        </w:tabs>
        <w:ind w:right="-427"/>
        <w:jc w:val="both"/>
        <w:rPr>
          <w:b/>
          <w:sz w:val="20"/>
          <w:szCs w:val="20"/>
        </w:rPr>
      </w:pPr>
      <w:r w:rsidRPr="003B67CB">
        <w:rPr>
          <w:b/>
          <w:sz w:val="20"/>
          <w:szCs w:val="20"/>
        </w:rPr>
        <w:t>Ingresos por comisiones</w:t>
      </w:r>
    </w:p>
    <w:p w14:paraId="4B97E74E" w14:textId="77777777" w:rsidR="00915F83" w:rsidRPr="003B67CB" w:rsidRDefault="00915F83" w:rsidP="00915F83">
      <w:pPr>
        <w:pStyle w:val="Prrafodelista"/>
        <w:tabs>
          <w:tab w:val="left" w:pos="1134"/>
        </w:tabs>
        <w:ind w:left="786" w:right="-427"/>
        <w:jc w:val="both"/>
        <w:rPr>
          <w:b/>
          <w:sz w:val="20"/>
          <w:szCs w:val="20"/>
        </w:rPr>
      </w:pPr>
    </w:p>
    <w:p w14:paraId="40D25B80" w14:textId="5B046E11" w:rsidR="00726F81" w:rsidRDefault="005C0B45" w:rsidP="00785D4A">
      <w:pPr>
        <w:ind w:left="709" w:right="-427"/>
        <w:jc w:val="both"/>
        <w:rPr>
          <w:rFonts w:ascii="Times New Roman" w:hAnsi="Times New Roman"/>
          <w:b/>
          <w:sz w:val="20"/>
        </w:rPr>
      </w:pPr>
      <w:r w:rsidRPr="007E6D46">
        <w:rPr>
          <w:noProof/>
          <w:lang w:eastAsia="es-AR"/>
        </w:rPr>
        <w:drawing>
          <wp:inline distT="0" distB="0" distL="0" distR="0" wp14:anchorId="3F26C1B9" wp14:editId="404C653C">
            <wp:extent cx="6031230" cy="145363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1230" cy="1453632"/>
                    </a:xfrm>
                    <a:prstGeom prst="rect">
                      <a:avLst/>
                    </a:prstGeom>
                    <a:noFill/>
                    <a:ln>
                      <a:noFill/>
                    </a:ln>
                  </pic:spPr>
                </pic:pic>
              </a:graphicData>
            </a:graphic>
          </wp:inline>
        </w:drawing>
      </w:r>
    </w:p>
    <w:p w14:paraId="0B85F3D3" w14:textId="77777777" w:rsidR="00785D4A" w:rsidRDefault="00785D4A" w:rsidP="00785D4A">
      <w:pPr>
        <w:ind w:left="709" w:right="-427"/>
        <w:jc w:val="both"/>
        <w:rPr>
          <w:rFonts w:ascii="Times New Roman" w:hAnsi="Times New Roman"/>
          <w:b/>
          <w:sz w:val="20"/>
        </w:rPr>
      </w:pPr>
    </w:p>
    <w:p w14:paraId="4E45897E" w14:textId="77777777" w:rsidR="00915F83" w:rsidRDefault="00915F83" w:rsidP="00785D4A">
      <w:pPr>
        <w:ind w:left="709" w:right="-427"/>
        <w:jc w:val="both"/>
        <w:rPr>
          <w:rFonts w:ascii="Times New Roman" w:hAnsi="Times New Roman"/>
          <w:b/>
          <w:sz w:val="20"/>
        </w:rPr>
      </w:pPr>
    </w:p>
    <w:p w14:paraId="206EBBF1" w14:textId="77777777" w:rsidR="00A310C5" w:rsidRPr="003B67CB" w:rsidRDefault="00A310C5" w:rsidP="00C60CC8">
      <w:pPr>
        <w:pStyle w:val="Prrafodelista"/>
        <w:numPr>
          <w:ilvl w:val="0"/>
          <w:numId w:val="11"/>
        </w:numPr>
        <w:tabs>
          <w:tab w:val="left" w:pos="1134"/>
        </w:tabs>
        <w:ind w:right="-427"/>
        <w:jc w:val="both"/>
        <w:rPr>
          <w:b/>
          <w:sz w:val="20"/>
          <w:szCs w:val="20"/>
        </w:rPr>
      </w:pPr>
      <w:r w:rsidRPr="003B67CB">
        <w:rPr>
          <w:b/>
          <w:sz w:val="20"/>
          <w:szCs w:val="20"/>
        </w:rPr>
        <w:t>Egresos por comisiones</w:t>
      </w:r>
    </w:p>
    <w:p w14:paraId="1353EAAB" w14:textId="235A6516" w:rsidR="00A310C5" w:rsidRPr="00110E8B" w:rsidRDefault="00A310C5" w:rsidP="00DD5EF1">
      <w:pPr>
        <w:tabs>
          <w:tab w:val="left" w:pos="1134"/>
        </w:tabs>
        <w:ind w:right="-427" w:firstLine="709"/>
        <w:jc w:val="both"/>
        <w:rPr>
          <w:rFonts w:ascii="Times New Roman" w:hAnsi="Times New Roman"/>
          <w:b/>
          <w:sz w:val="20"/>
        </w:rPr>
      </w:pPr>
    </w:p>
    <w:p w14:paraId="29280314" w14:textId="5D2F86EF" w:rsidR="003C66D2" w:rsidRPr="00852B1A" w:rsidRDefault="005C0B45" w:rsidP="00DD5EF1">
      <w:pPr>
        <w:tabs>
          <w:tab w:val="left" w:pos="1134"/>
        </w:tabs>
        <w:ind w:right="-427" w:firstLine="709"/>
        <w:jc w:val="both"/>
        <w:rPr>
          <w:rFonts w:ascii="Times New Roman" w:hAnsi="Times New Roman"/>
          <w:b/>
          <w:sz w:val="20"/>
        </w:rPr>
      </w:pPr>
      <w:r w:rsidRPr="007E6D46">
        <w:rPr>
          <w:noProof/>
          <w:lang w:eastAsia="es-AR"/>
        </w:rPr>
        <w:drawing>
          <wp:inline distT="0" distB="0" distL="0" distR="0" wp14:anchorId="3A5BA1F4" wp14:editId="6320E0A8">
            <wp:extent cx="6031230" cy="147093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1230" cy="1470932"/>
                    </a:xfrm>
                    <a:prstGeom prst="rect">
                      <a:avLst/>
                    </a:prstGeom>
                    <a:noFill/>
                    <a:ln>
                      <a:noFill/>
                    </a:ln>
                  </pic:spPr>
                </pic:pic>
              </a:graphicData>
            </a:graphic>
          </wp:inline>
        </w:drawing>
      </w:r>
    </w:p>
    <w:p w14:paraId="77A927F8" w14:textId="77777777" w:rsidR="00726F81" w:rsidRDefault="00726F81" w:rsidP="00DD5EF1">
      <w:pPr>
        <w:tabs>
          <w:tab w:val="left" w:pos="1134"/>
        </w:tabs>
        <w:ind w:right="-427" w:firstLine="709"/>
        <w:jc w:val="both"/>
        <w:rPr>
          <w:rFonts w:ascii="Times New Roman" w:hAnsi="Times New Roman"/>
          <w:b/>
          <w:sz w:val="20"/>
        </w:rPr>
      </w:pPr>
    </w:p>
    <w:p w14:paraId="0880A0CB" w14:textId="77777777" w:rsidR="00CD66BA" w:rsidRDefault="00CD66BA" w:rsidP="00DD5EF1">
      <w:pPr>
        <w:tabs>
          <w:tab w:val="left" w:pos="1134"/>
        </w:tabs>
        <w:ind w:right="-427" w:firstLine="709"/>
        <w:jc w:val="both"/>
        <w:rPr>
          <w:rFonts w:ascii="Times New Roman" w:hAnsi="Times New Roman"/>
          <w:b/>
          <w:sz w:val="20"/>
        </w:rPr>
      </w:pPr>
    </w:p>
    <w:p w14:paraId="3C68099C" w14:textId="77777777" w:rsidR="008020C6" w:rsidRDefault="008020C6" w:rsidP="00DD5EF1">
      <w:pPr>
        <w:tabs>
          <w:tab w:val="left" w:pos="1134"/>
        </w:tabs>
        <w:ind w:right="-427" w:firstLine="709"/>
        <w:jc w:val="both"/>
        <w:rPr>
          <w:rFonts w:ascii="Times New Roman" w:hAnsi="Times New Roman"/>
          <w:b/>
          <w:sz w:val="20"/>
        </w:rPr>
      </w:pPr>
    </w:p>
    <w:p w14:paraId="7E4569C7" w14:textId="77777777" w:rsidR="008020C6" w:rsidRDefault="008020C6" w:rsidP="00DD5EF1">
      <w:pPr>
        <w:tabs>
          <w:tab w:val="left" w:pos="1134"/>
        </w:tabs>
        <w:ind w:right="-427" w:firstLine="709"/>
        <w:jc w:val="both"/>
        <w:rPr>
          <w:rFonts w:ascii="Times New Roman" w:hAnsi="Times New Roman"/>
          <w:b/>
          <w:sz w:val="20"/>
        </w:rPr>
      </w:pPr>
    </w:p>
    <w:p w14:paraId="47F7FBC4" w14:textId="77777777" w:rsidR="008020C6" w:rsidRDefault="008020C6" w:rsidP="00DD5EF1">
      <w:pPr>
        <w:tabs>
          <w:tab w:val="left" w:pos="1134"/>
        </w:tabs>
        <w:ind w:right="-427" w:firstLine="709"/>
        <w:jc w:val="both"/>
        <w:rPr>
          <w:rFonts w:ascii="Times New Roman" w:hAnsi="Times New Roman"/>
          <w:b/>
          <w:sz w:val="20"/>
        </w:rPr>
      </w:pPr>
    </w:p>
    <w:p w14:paraId="0F826D71" w14:textId="77777777" w:rsidR="008020C6" w:rsidRDefault="008020C6" w:rsidP="00DD5EF1">
      <w:pPr>
        <w:tabs>
          <w:tab w:val="left" w:pos="1134"/>
        </w:tabs>
        <w:ind w:right="-427" w:firstLine="709"/>
        <w:jc w:val="both"/>
        <w:rPr>
          <w:rFonts w:ascii="Times New Roman" w:hAnsi="Times New Roman"/>
          <w:b/>
          <w:sz w:val="20"/>
        </w:rPr>
      </w:pPr>
    </w:p>
    <w:p w14:paraId="5AE21B18" w14:textId="77777777" w:rsidR="006C3581" w:rsidRDefault="006C3581" w:rsidP="00DD5EF1">
      <w:pPr>
        <w:tabs>
          <w:tab w:val="left" w:pos="1134"/>
        </w:tabs>
        <w:ind w:right="-427" w:firstLine="709"/>
        <w:jc w:val="both"/>
        <w:rPr>
          <w:rFonts w:ascii="Times New Roman" w:hAnsi="Times New Roman"/>
          <w:b/>
          <w:sz w:val="20"/>
        </w:rPr>
      </w:pPr>
    </w:p>
    <w:p w14:paraId="22C95E7A" w14:textId="77777777" w:rsidR="00810A2A" w:rsidRPr="00852B1A" w:rsidRDefault="00810A2A" w:rsidP="00DD5EF1">
      <w:pPr>
        <w:tabs>
          <w:tab w:val="left" w:pos="1134"/>
        </w:tabs>
        <w:ind w:right="-427" w:firstLine="709"/>
        <w:jc w:val="both"/>
        <w:rPr>
          <w:rFonts w:ascii="Times New Roman" w:hAnsi="Times New Roman"/>
          <w:b/>
          <w:sz w:val="20"/>
        </w:rPr>
      </w:pPr>
    </w:p>
    <w:p w14:paraId="34D87FD0" w14:textId="77777777" w:rsidR="00A310C5" w:rsidRDefault="00A310C5" w:rsidP="00C60CC8">
      <w:pPr>
        <w:pStyle w:val="Prrafodelista"/>
        <w:numPr>
          <w:ilvl w:val="0"/>
          <w:numId w:val="11"/>
        </w:numPr>
        <w:tabs>
          <w:tab w:val="left" w:pos="1134"/>
        </w:tabs>
        <w:ind w:right="141"/>
        <w:jc w:val="both"/>
        <w:rPr>
          <w:b/>
          <w:sz w:val="20"/>
          <w:szCs w:val="20"/>
          <w:lang w:val="es-AR"/>
        </w:rPr>
      </w:pPr>
      <w:r w:rsidRPr="00852B1A">
        <w:rPr>
          <w:b/>
          <w:sz w:val="20"/>
          <w:szCs w:val="20"/>
          <w:lang w:val="es-AR"/>
        </w:rPr>
        <w:t>Resultado neto por medición de instrumentos financieros a valor razonable con cambios en  resultados</w:t>
      </w:r>
    </w:p>
    <w:p w14:paraId="2DA7CB7C" w14:textId="1685867D" w:rsidR="00EB273E" w:rsidRPr="00852B1A" w:rsidRDefault="00EB273E" w:rsidP="000F5F18">
      <w:pPr>
        <w:tabs>
          <w:tab w:val="left" w:pos="1134"/>
        </w:tabs>
        <w:ind w:left="709" w:right="-427"/>
        <w:jc w:val="both"/>
        <w:rPr>
          <w:rFonts w:ascii="Times New Roman" w:hAnsi="Times New Roman"/>
          <w:b/>
          <w:sz w:val="20"/>
        </w:rPr>
      </w:pPr>
    </w:p>
    <w:p w14:paraId="04A67CD1" w14:textId="1B09CF96" w:rsidR="006A3700" w:rsidRDefault="00C75EA2" w:rsidP="00C75EA2">
      <w:pPr>
        <w:tabs>
          <w:tab w:val="left" w:pos="1134"/>
        </w:tabs>
        <w:ind w:left="709" w:right="-427"/>
        <w:jc w:val="both"/>
        <w:rPr>
          <w:rFonts w:ascii="Times New Roman" w:hAnsi="Times New Roman"/>
          <w:b/>
          <w:sz w:val="20"/>
        </w:rPr>
      </w:pPr>
      <w:r w:rsidRPr="00915F83">
        <w:rPr>
          <w:noProof/>
          <w:lang w:eastAsia="es-AR"/>
        </w:rPr>
        <w:drawing>
          <wp:inline distT="0" distB="0" distL="0" distR="0" wp14:anchorId="739D7B52" wp14:editId="6D234F92">
            <wp:extent cx="6031230" cy="1599769"/>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1230" cy="1599769"/>
                    </a:xfrm>
                    <a:prstGeom prst="rect">
                      <a:avLst/>
                    </a:prstGeom>
                    <a:noFill/>
                    <a:ln>
                      <a:noFill/>
                    </a:ln>
                  </pic:spPr>
                </pic:pic>
              </a:graphicData>
            </a:graphic>
          </wp:inline>
        </w:drawing>
      </w:r>
    </w:p>
    <w:p w14:paraId="0FA7DD4F" w14:textId="77777777" w:rsidR="00A379EC" w:rsidRDefault="00A379EC" w:rsidP="00A379EC">
      <w:pPr>
        <w:tabs>
          <w:tab w:val="left" w:pos="1134"/>
        </w:tabs>
        <w:ind w:left="567" w:right="-427"/>
        <w:jc w:val="both"/>
        <w:rPr>
          <w:rFonts w:ascii="Times New Roman" w:hAnsi="Times New Roman"/>
          <w:b/>
          <w:sz w:val="20"/>
        </w:rPr>
      </w:pPr>
    </w:p>
    <w:p w14:paraId="5CB87B37" w14:textId="77777777" w:rsidR="00915F83" w:rsidRDefault="00915F83" w:rsidP="00A379EC">
      <w:pPr>
        <w:tabs>
          <w:tab w:val="left" w:pos="1134"/>
        </w:tabs>
        <w:ind w:left="567" w:right="-427"/>
        <w:jc w:val="both"/>
        <w:rPr>
          <w:rFonts w:ascii="Times New Roman" w:hAnsi="Times New Roman"/>
          <w:b/>
          <w:sz w:val="20"/>
        </w:rPr>
      </w:pPr>
    </w:p>
    <w:p w14:paraId="335DFDED" w14:textId="77777777" w:rsidR="00AA5132" w:rsidRDefault="00AA5132" w:rsidP="00A379EC">
      <w:pPr>
        <w:tabs>
          <w:tab w:val="left" w:pos="1134"/>
        </w:tabs>
        <w:ind w:left="567" w:right="-427"/>
        <w:jc w:val="both"/>
        <w:rPr>
          <w:rFonts w:ascii="Times New Roman" w:hAnsi="Times New Roman"/>
          <w:b/>
          <w:sz w:val="20"/>
        </w:rPr>
      </w:pPr>
    </w:p>
    <w:p w14:paraId="37E338DA" w14:textId="77777777" w:rsidR="00AA5132" w:rsidRPr="00852B1A" w:rsidRDefault="00AA5132" w:rsidP="00A379EC">
      <w:pPr>
        <w:tabs>
          <w:tab w:val="left" w:pos="1134"/>
        </w:tabs>
        <w:ind w:left="567" w:right="-427"/>
        <w:jc w:val="both"/>
        <w:rPr>
          <w:rFonts w:ascii="Times New Roman" w:hAnsi="Times New Roman"/>
          <w:b/>
          <w:sz w:val="20"/>
        </w:rPr>
      </w:pPr>
    </w:p>
    <w:p w14:paraId="395D5541" w14:textId="14F74F56" w:rsidR="00A310C5" w:rsidRDefault="00A310C5" w:rsidP="00C60CC8">
      <w:pPr>
        <w:pStyle w:val="Prrafodelista"/>
        <w:numPr>
          <w:ilvl w:val="0"/>
          <w:numId w:val="11"/>
        </w:numPr>
        <w:tabs>
          <w:tab w:val="left" w:pos="1134"/>
        </w:tabs>
        <w:ind w:right="424"/>
        <w:jc w:val="both"/>
        <w:rPr>
          <w:b/>
          <w:sz w:val="20"/>
          <w:szCs w:val="20"/>
          <w:lang w:val="es-AR"/>
        </w:rPr>
      </w:pPr>
      <w:r w:rsidRPr="00852B1A">
        <w:rPr>
          <w:b/>
          <w:sz w:val="20"/>
          <w:szCs w:val="20"/>
          <w:lang w:val="es-AR"/>
        </w:rPr>
        <w:t>Resultado por baja de activos medidos a costo amortizado</w:t>
      </w:r>
      <w:r w:rsidR="003D71D4" w:rsidRPr="00852B1A">
        <w:rPr>
          <w:b/>
          <w:sz w:val="20"/>
          <w:szCs w:val="20"/>
          <w:lang w:val="es-AR"/>
        </w:rPr>
        <w:t xml:space="preserve"> y a valor razonable con cambios en ORI</w:t>
      </w:r>
    </w:p>
    <w:p w14:paraId="0F5925F7" w14:textId="0F2E0326" w:rsidR="00A379EC" w:rsidRDefault="00A379EC" w:rsidP="00A310C5">
      <w:pPr>
        <w:pStyle w:val="Prrafodelista"/>
        <w:tabs>
          <w:tab w:val="left" w:pos="1134"/>
        </w:tabs>
        <w:ind w:left="792" w:right="-427"/>
        <w:jc w:val="both"/>
        <w:rPr>
          <w:noProof/>
          <w:lang w:val="es-AR" w:eastAsia="es-AR"/>
        </w:rPr>
      </w:pPr>
    </w:p>
    <w:p w14:paraId="733B6FD7" w14:textId="3384B7F7" w:rsidR="00C75EA2" w:rsidRPr="00401B84" w:rsidRDefault="00C75EA2" w:rsidP="00A310C5">
      <w:pPr>
        <w:pStyle w:val="Prrafodelista"/>
        <w:tabs>
          <w:tab w:val="left" w:pos="1134"/>
        </w:tabs>
        <w:ind w:left="792" w:right="-427"/>
        <w:jc w:val="both"/>
        <w:rPr>
          <w:b/>
          <w:sz w:val="20"/>
          <w:szCs w:val="20"/>
          <w:lang w:val="es-AR"/>
        </w:rPr>
      </w:pPr>
      <w:r w:rsidRPr="00131ED8">
        <w:rPr>
          <w:noProof/>
          <w:lang w:val="es-AR" w:eastAsia="es-AR"/>
        </w:rPr>
        <w:drawing>
          <wp:inline distT="0" distB="0" distL="0" distR="0" wp14:anchorId="3BEC6717" wp14:editId="7EB08254">
            <wp:extent cx="6031230" cy="770748"/>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1230" cy="770748"/>
                    </a:xfrm>
                    <a:prstGeom prst="rect">
                      <a:avLst/>
                    </a:prstGeom>
                    <a:noFill/>
                    <a:ln>
                      <a:noFill/>
                    </a:ln>
                  </pic:spPr>
                </pic:pic>
              </a:graphicData>
            </a:graphic>
          </wp:inline>
        </w:drawing>
      </w:r>
    </w:p>
    <w:p w14:paraId="77E835E6" w14:textId="77777777" w:rsidR="00A379EC" w:rsidRDefault="00A379EC" w:rsidP="00A310C5">
      <w:pPr>
        <w:pStyle w:val="Prrafodelista"/>
        <w:tabs>
          <w:tab w:val="left" w:pos="1134"/>
        </w:tabs>
        <w:ind w:left="792" w:right="-427"/>
        <w:jc w:val="both"/>
        <w:rPr>
          <w:b/>
          <w:sz w:val="20"/>
          <w:szCs w:val="20"/>
          <w:lang w:val="es-AR"/>
        </w:rPr>
      </w:pPr>
    </w:p>
    <w:p w14:paraId="7AA50310" w14:textId="77777777" w:rsidR="00131ED8" w:rsidRDefault="00131ED8" w:rsidP="00A310C5">
      <w:pPr>
        <w:pStyle w:val="Prrafodelista"/>
        <w:tabs>
          <w:tab w:val="left" w:pos="1134"/>
        </w:tabs>
        <w:ind w:left="792" w:right="-427"/>
        <w:jc w:val="both"/>
        <w:rPr>
          <w:b/>
          <w:sz w:val="20"/>
          <w:szCs w:val="20"/>
          <w:lang w:val="es-AR"/>
        </w:rPr>
      </w:pPr>
    </w:p>
    <w:p w14:paraId="29F0C057" w14:textId="77777777" w:rsidR="00810A2A" w:rsidRDefault="00810A2A" w:rsidP="00A310C5">
      <w:pPr>
        <w:pStyle w:val="Prrafodelista"/>
        <w:tabs>
          <w:tab w:val="left" w:pos="1134"/>
        </w:tabs>
        <w:ind w:left="792" w:right="-427"/>
        <w:jc w:val="both"/>
        <w:rPr>
          <w:b/>
          <w:sz w:val="20"/>
          <w:szCs w:val="20"/>
          <w:lang w:val="es-AR"/>
        </w:rPr>
      </w:pPr>
    </w:p>
    <w:p w14:paraId="140FA159" w14:textId="77777777" w:rsidR="00810A2A" w:rsidRPr="00401B84" w:rsidRDefault="00810A2A" w:rsidP="00A310C5">
      <w:pPr>
        <w:pStyle w:val="Prrafodelista"/>
        <w:tabs>
          <w:tab w:val="left" w:pos="1134"/>
        </w:tabs>
        <w:ind w:left="792" w:right="-427"/>
        <w:jc w:val="both"/>
        <w:rPr>
          <w:b/>
          <w:sz w:val="20"/>
          <w:szCs w:val="20"/>
          <w:lang w:val="es-AR"/>
        </w:rPr>
      </w:pPr>
    </w:p>
    <w:p w14:paraId="1570E2EC" w14:textId="7529F6A4" w:rsidR="00A73525" w:rsidRPr="00401B84" w:rsidRDefault="00A310C5" w:rsidP="00C60CC8">
      <w:pPr>
        <w:pStyle w:val="Prrafodelista"/>
        <w:numPr>
          <w:ilvl w:val="0"/>
          <w:numId w:val="11"/>
        </w:numPr>
        <w:tabs>
          <w:tab w:val="left" w:pos="1134"/>
        </w:tabs>
        <w:ind w:right="-427"/>
        <w:jc w:val="both"/>
        <w:rPr>
          <w:b/>
          <w:sz w:val="20"/>
          <w:szCs w:val="20"/>
          <w:lang w:val="es-AR"/>
        </w:rPr>
      </w:pPr>
      <w:r w:rsidRPr="00401B84">
        <w:rPr>
          <w:b/>
          <w:sz w:val="20"/>
          <w:szCs w:val="20"/>
          <w:lang w:val="es-AR"/>
        </w:rPr>
        <w:t>Diferencia de cotización de oro y moneda extranjera</w:t>
      </w:r>
    </w:p>
    <w:p w14:paraId="7CAAED54" w14:textId="77777777" w:rsidR="00A379EC" w:rsidRPr="00401B84" w:rsidRDefault="00A379EC" w:rsidP="00A379EC">
      <w:pPr>
        <w:pStyle w:val="Prrafodelista"/>
        <w:tabs>
          <w:tab w:val="left" w:pos="1134"/>
        </w:tabs>
        <w:ind w:left="786" w:right="-427"/>
        <w:jc w:val="both"/>
        <w:rPr>
          <w:b/>
          <w:sz w:val="20"/>
          <w:szCs w:val="20"/>
          <w:lang w:val="es-AR"/>
        </w:rPr>
      </w:pPr>
    </w:p>
    <w:p w14:paraId="1D5CDE2B" w14:textId="17944E7A" w:rsidR="007847EB" w:rsidRDefault="00C75EA2" w:rsidP="00337921">
      <w:pPr>
        <w:tabs>
          <w:tab w:val="left" w:pos="993"/>
          <w:tab w:val="left" w:pos="1134"/>
        </w:tabs>
        <w:ind w:left="851" w:right="-427"/>
        <w:jc w:val="both"/>
        <w:rPr>
          <w:rFonts w:ascii="Times New Roman" w:hAnsi="Times New Roman"/>
          <w:b/>
          <w:sz w:val="20"/>
        </w:rPr>
      </w:pPr>
      <w:r w:rsidRPr="00131ED8">
        <w:rPr>
          <w:noProof/>
          <w:lang w:eastAsia="es-AR"/>
        </w:rPr>
        <w:drawing>
          <wp:inline distT="0" distB="0" distL="0" distR="0" wp14:anchorId="5CCA00D3" wp14:editId="5484DF1A">
            <wp:extent cx="6031230" cy="770748"/>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1230" cy="770748"/>
                    </a:xfrm>
                    <a:prstGeom prst="rect">
                      <a:avLst/>
                    </a:prstGeom>
                    <a:noFill/>
                    <a:ln>
                      <a:noFill/>
                    </a:ln>
                  </pic:spPr>
                </pic:pic>
              </a:graphicData>
            </a:graphic>
          </wp:inline>
        </w:drawing>
      </w:r>
    </w:p>
    <w:p w14:paraId="49A53C60" w14:textId="77777777" w:rsidR="00CD66BA" w:rsidRDefault="00CD66BA" w:rsidP="00337921">
      <w:pPr>
        <w:tabs>
          <w:tab w:val="left" w:pos="993"/>
          <w:tab w:val="left" w:pos="1134"/>
        </w:tabs>
        <w:ind w:left="851" w:right="-427"/>
        <w:jc w:val="both"/>
        <w:rPr>
          <w:rFonts w:ascii="Times New Roman" w:hAnsi="Times New Roman"/>
          <w:b/>
          <w:sz w:val="20"/>
        </w:rPr>
      </w:pPr>
    </w:p>
    <w:p w14:paraId="223A3DD2" w14:textId="77777777" w:rsidR="00810A2A" w:rsidRDefault="00810A2A" w:rsidP="00337921">
      <w:pPr>
        <w:tabs>
          <w:tab w:val="left" w:pos="993"/>
          <w:tab w:val="left" w:pos="1134"/>
        </w:tabs>
        <w:ind w:left="851" w:right="-427"/>
        <w:jc w:val="both"/>
        <w:rPr>
          <w:rFonts w:ascii="Times New Roman" w:hAnsi="Times New Roman"/>
          <w:b/>
          <w:sz w:val="20"/>
        </w:rPr>
      </w:pPr>
    </w:p>
    <w:p w14:paraId="2F62706A" w14:textId="77777777" w:rsidR="00810A2A" w:rsidRDefault="00810A2A" w:rsidP="00337921">
      <w:pPr>
        <w:tabs>
          <w:tab w:val="left" w:pos="993"/>
          <w:tab w:val="left" w:pos="1134"/>
        </w:tabs>
        <w:ind w:left="851" w:right="-427"/>
        <w:jc w:val="both"/>
        <w:rPr>
          <w:rFonts w:ascii="Times New Roman" w:hAnsi="Times New Roman"/>
          <w:b/>
          <w:sz w:val="20"/>
        </w:rPr>
      </w:pPr>
    </w:p>
    <w:p w14:paraId="6E7F6527" w14:textId="77777777" w:rsidR="00810A2A" w:rsidRDefault="00810A2A" w:rsidP="00337921">
      <w:pPr>
        <w:tabs>
          <w:tab w:val="left" w:pos="993"/>
          <w:tab w:val="left" w:pos="1134"/>
        </w:tabs>
        <w:ind w:left="851" w:right="-427"/>
        <w:jc w:val="both"/>
        <w:rPr>
          <w:rFonts w:ascii="Times New Roman" w:hAnsi="Times New Roman"/>
          <w:b/>
          <w:sz w:val="20"/>
        </w:rPr>
      </w:pPr>
    </w:p>
    <w:p w14:paraId="2858706C" w14:textId="77777777" w:rsidR="00810A2A" w:rsidRDefault="00810A2A" w:rsidP="00337921">
      <w:pPr>
        <w:tabs>
          <w:tab w:val="left" w:pos="993"/>
          <w:tab w:val="left" w:pos="1134"/>
        </w:tabs>
        <w:ind w:left="851" w:right="-427"/>
        <w:jc w:val="both"/>
        <w:rPr>
          <w:rFonts w:ascii="Times New Roman" w:hAnsi="Times New Roman"/>
          <w:b/>
          <w:sz w:val="20"/>
        </w:rPr>
      </w:pPr>
    </w:p>
    <w:p w14:paraId="63DD9E66" w14:textId="77777777" w:rsidR="00810A2A" w:rsidRDefault="00810A2A" w:rsidP="00337921">
      <w:pPr>
        <w:tabs>
          <w:tab w:val="left" w:pos="993"/>
          <w:tab w:val="left" w:pos="1134"/>
        </w:tabs>
        <w:ind w:left="851" w:right="-427"/>
        <w:jc w:val="both"/>
        <w:rPr>
          <w:rFonts w:ascii="Times New Roman" w:hAnsi="Times New Roman"/>
          <w:b/>
          <w:sz w:val="20"/>
        </w:rPr>
      </w:pPr>
    </w:p>
    <w:p w14:paraId="48128D9D" w14:textId="77777777" w:rsidR="00810A2A" w:rsidRDefault="00810A2A" w:rsidP="00337921">
      <w:pPr>
        <w:tabs>
          <w:tab w:val="left" w:pos="993"/>
          <w:tab w:val="left" w:pos="1134"/>
        </w:tabs>
        <w:ind w:left="851" w:right="-427"/>
        <w:jc w:val="both"/>
        <w:rPr>
          <w:rFonts w:ascii="Times New Roman" w:hAnsi="Times New Roman"/>
          <w:b/>
          <w:sz w:val="20"/>
        </w:rPr>
      </w:pPr>
    </w:p>
    <w:p w14:paraId="34DD541E" w14:textId="77777777" w:rsidR="00810A2A" w:rsidRPr="00110E8B" w:rsidRDefault="00810A2A" w:rsidP="00337921">
      <w:pPr>
        <w:tabs>
          <w:tab w:val="left" w:pos="993"/>
          <w:tab w:val="left" w:pos="1134"/>
        </w:tabs>
        <w:ind w:left="851" w:right="-427"/>
        <w:jc w:val="both"/>
        <w:rPr>
          <w:rFonts w:ascii="Times New Roman" w:hAnsi="Times New Roman"/>
          <w:b/>
          <w:sz w:val="20"/>
        </w:rPr>
      </w:pPr>
    </w:p>
    <w:p w14:paraId="7136094F" w14:textId="77777777" w:rsidR="00A310C5" w:rsidRDefault="00A310C5" w:rsidP="00C60CC8">
      <w:pPr>
        <w:pStyle w:val="Prrafodelista"/>
        <w:numPr>
          <w:ilvl w:val="0"/>
          <w:numId w:val="11"/>
        </w:numPr>
        <w:tabs>
          <w:tab w:val="left" w:pos="1134"/>
        </w:tabs>
        <w:ind w:right="-427"/>
        <w:jc w:val="both"/>
        <w:rPr>
          <w:b/>
          <w:sz w:val="20"/>
          <w:szCs w:val="20"/>
        </w:rPr>
      </w:pPr>
      <w:r w:rsidRPr="00852B1A">
        <w:rPr>
          <w:b/>
          <w:sz w:val="20"/>
          <w:szCs w:val="20"/>
        </w:rPr>
        <w:t>Otros ingresos operativos</w:t>
      </w:r>
    </w:p>
    <w:p w14:paraId="646DC9AA" w14:textId="6BF84CF4" w:rsidR="00352AC6" w:rsidRPr="00C75EA2" w:rsidRDefault="00352AC6" w:rsidP="00401B84">
      <w:pPr>
        <w:ind w:left="939" w:right="-427" w:hanging="153"/>
        <w:jc w:val="both"/>
        <w:rPr>
          <w:rFonts w:ascii="Times New Roman" w:hAnsi="Times New Roman"/>
          <w:noProof/>
          <w:sz w:val="20"/>
          <w:lang w:eastAsia="es-AR"/>
        </w:rPr>
      </w:pPr>
    </w:p>
    <w:p w14:paraId="2FAD0AD4" w14:textId="5A57DA0A" w:rsidR="00C75EA2" w:rsidRDefault="00C75EA2" w:rsidP="00401B84">
      <w:pPr>
        <w:ind w:left="939" w:right="-427" w:hanging="153"/>
        <w:jc w:val="both"/>
        <w:rPr>
          <w:rFonts w:ascii="Times New Roman" w:hAnsi="Times New Roman"/>
          <w:b/>
          <w:sz w:val="20"/>
        </w:rPr>
      </w:pPr>
      <w:r w:rsidRPr="00131ED8">
        <w:rPr>
          <w:rFonts w:ascii="Times New Roman" w:hAnsi="Times New Roman"/>
          <w:noProof/>
          <w:sz w:val="20"/>
          <w:lang w:eastAsia="es-AR"/>
        </w:rPr>
        <w:drawing>
          <wp:inline distT="0" distB="0" distL="0" distR="0" wp14:anchorId="22C8C9D1" wp14:editId="086FDBC3">
            <wp:extent cx="6031230" cy="1599769"/>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1230" cy="1599769"/>
                    </a:xfrm>
                    <a:prstGeom prst="rect">
                      <a:avLst/>
                    </a:prstGeom>
                    <a:noFill/>
                    <a:ln>
                      <a:noFill/>
                    </a:ln>
                  </pic:spPr>
                </pic:pic>
              </a:graphicData>
            </a:graphic>
          </wp:inline>
        </w:drawing>
      </w:r>
    </w:p>
    <w:p w14:paraId="4E652BB9" w14:textId="77777777" w:rsidR="00395E2B" w:rsidRDefault="00395E2B" w:rsidP="003B762D">
      <w:pPr>
        <w:ind w:left="862" w:right="-427" w:hanging="153"/>
        <w:jc w:val="both"/>
        <w:rPr>
          <w:rFonts w:ascii="Times New Roman" w:hAnsi="Times New Roman"/>
          <w:b/>
          <w:sz w:val="20"/>
        </w:rPr>
      </w:pPr>
    </w:p>
    <w:p w14:paraId="4EB2A118" w14:textId="77777777" w:rsidR="00AB7254" w:rsidRDefault="00AB7254" w:rsidP="00C60CC8">
      <w:pPr>
        <w:pStyle w:val="Prrafodelista"/>
        <w:numPr>
          <w:ilvl w:val="0"/>
          <w:numId w:val="11"/>
        </w:numPr>
        <w:ind w:right="-427"/>
        <w:jc w:val="both"/>
        <w:rPr>
          <w:b/>
          <w:sz w:val="20"/>
          <w:szCs w:val="20"/>
        </w:rPr>
      </w:pPr>
      <w:r w:rsidRPr="00852B1A">
        <w:rPr>
          <w:b/>
          <w:sz w:val="20"/>
          <w:szCs w:val="20"/>
        </w:rPr>
        <w:t>Beneficios al personal</w:t>
      </w:r>
    </w:p>
    <w:p w14:paraId="29061B85" w14:textId="77777777" w:rsidR="004335EE" w:rsidRDefault="004335EE" w:rsidP="004335EE">
      <w:pPr>
        <w:pStyle w:val="Prrafodelista"/>
        <w:ind w:left="786" w:right="-427"/>
        <w:jc w:val="both"/>
        <w:rPr>
          <w:b/>
          <w:sz w:val="20"/>
          <w:szCs w:val="20"/>
        </w:rPr>
      </w:pPr>
    </w:p>
    <w:p w14:paraId="2101E153" w14:textId="3515EA8B" w:rsidR="00337921" w:rsidRDefault="00C75EA2" w:rsidP="00337921">
      <w:pPr>
        <w:pStyle w:val="Prrafodelista"/>
        <w:ind w:left="786" w:right="-427"/>
        <w:jc w:val="both"/>
        <w:rPr>
          <w:b/>
          <w:sz w:val="20"/>
          <w:szCs w:val="20"/>
        </w:rPr>
      </w:pPr>
      <w:r w:rsidRPr="00131ED8">
        <w:rPr>
          <w:noProof/>
          <w:lang w:val="es-AR" w:eastAsia="es-AR"/>
        </w:rPr>
        <w:drawing>
          <wp:inline distT="0" distB="0" distL="0" distR="0" wp14:anchorId="4B65E452" wp14:editId="464E9038">
            <wp:extent cx="6031230" cy="1463192"/>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1230" cy="1463192"/>
                    </a:xfrm>
                    <a:prstGeom prst="rect">
                      <a:avLst/>
                    </a:prstGeom>
                    <a:noFill/>
                    <a:ln>
                      <a:noFill/>
                    </a:ln>
                  </pic:spPr>
                </pic:pic>
              </a:graphicData>
            </a:graphic>
          </wp:inline>
        </w:drawing>
      </w:r>
    </w:p>
    <w:p w14:paraId="5FA73C11" w14:textId="77777777" w:rsidR="005C50B1" w:rsidRPr="00A379EC" w:rsidRDefault="005C50B1" w:rsidP="00A379EC">
      <w:pPr>
        <w:ind w:right="-427"/>
        <w:jc w:val="both"/>
        <w:rPr>
          <w:b/>
          <w:sz w:val="20"/>
        </w:rPr>
      </w:pPr>
    </w:p>
    <w:p w14:paraId="5CA54EC7" w14:textId="77777777" w:rsidR="00A310C5" w:rsidRDefault="00A310C5" w:rsidP="00C60CC8">
      <w:pPr>
        <w:pStyle w:val="Prrafodelista"/>
        <w:numPr>
          <w:ilvl w:val="0"/>
          <w:numId w:val="11"/>
        </w:numPr>
        <w:tabs>
          <w:tab w:val="left" w:pos="1134"/>
        </w:tabs>
        <w:ind w:right="-427"/>
        <w:jc w:val="both"/>
        <w:rPr>
          <w:b/>
          <w:sz w:val="20"/>
          <w:szCs w:val="20"/>
        </w:rPr>
      </w:pPr>
      <w:r w:rsidRPr="00852B1A">
        <w:rPr>
          <w:b/>
          <w:sz w:val="20"/>
          <w:szCs w:val="20"/>
        </w:rPr>
        <w:t>Gastos de administración</w:t>
      </w:r>
    </w:p>
    <w:p w14:paraId="2FDF35F5" w14:textId="77777777" w:rsidR="00A379EC" w:rsidRDefault="00A379EC" w:rsidP="00A379EC">
      <w:pPr>
        <w:pStyle w:val="Prrafodelista"/>
        <w:tabs>
          <w:tab w:val="left" w:pos="1134"/>
        </w:tabs>
        <w:ind w:left="786" w:right="-427"/>
        <w:jc w:val="both"/>
        <w:rPr>
          <w:b/>
          <w:sz w:val="20"/>
          <w:szCs w:val="20"/>
        </w:rPr>
      </w:pPr>
    </w:p>
    <w:p w14:paraId="714DFE18" w14:textId="5879D8C1" w:rsidR="00DC08BE" w:rsidRDefault="00C75EA2" w:rsidP="006857E5">
      <w:pPr>
        <w:ind w:left="785" w:right="-427"/>
        <w:jc w:val="both"/>
        <w:rPr>
          <w:rFonts w:ascii="Times New Roman" w:hAnsi="Times New Roman"/>
          <w:b/>
          <w:sz w:val="20"/>
        </w:rPr>
      </w:pPr>
      <w:r w:rsidRPr="008975CA">
        <w:rPr>
          <w:noProof/>
          <w:lang w:eastAsia="es-AR"/>
        </w:rPr>
        <w:drawing>
          <wp:inline distT="0" distB="0" distL="0" distR="0" wp14:anchorId="19C00C18" wp14:editId="4EFFA004">
            <wp:extent cx="6031230" cy="2417864"/>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1230" cy="2417864"/>
                    </a:xfrm>
                    <a:prstGeom prst="rect">
                      <a:avLst/>
                    </a:prstGeom>
                    <a:noFill/>
                    <a:ln>
                      <a:noFill/>
                    </a:ln>
                  </pic:spPr>
                </pic:pic>
              </a:graphicData>
            </a:graphic>
          </wp:inline>
        </w:drawing>
      </w:r>
    </w:p>
    <w:p w14:paraId="4BF8AA6A" w14:textId="77777777" w:rsidR="00A379EC" w:rsidRDefault="00A379EC" w:rsidP="006857E5">
      <w:pPr>
        <w:ind w:left="785" w:right="-427"/>
        <w:jc w:val="both"/>
        <w:rPr>
          <w:rFonts w:ascii="Times New Roman" w:hAnsi="Times New Roman"/>
          <w:b/>
          <w:sz w:val="20"/>
        </w:rPr>
      </w:pPr>
    </w:p>
    <w:p w14:paraId="4FCECA4B" w14:textId="77777777" w:rsidR="00347F06" w:rsidRDefault="00347F06" w:rsidP="006857E5">
      <w:pPr>
        <w:ind w:left="785" w:right="-427"/>
        <w:jc w:val="both"/>
        <w:rPr>
          <w:rFonts w:ascii="Times New Roman" w:hAnsi="Times New Roman"/>
          <w:b/>
          <w:sz w:val="20"/>
        </w:rPr>
      </w:pPr>
    </w:p>
    <w:p w14:paraId="5ADA1B2A" w14:textId="77777777" w:rsidR="0016654F" w:rsidRDefault="0016654F" w:rsidP="006857E5">
      <w:pPr>
        <w:ind w:left="785" w:right="-427"/>
        <w:jc w:val="both"/>
        <w:rPr>
          <w:rFonts w:ascii="Times New Roman" w:hAnsi="Times New Roman"/>
          <w:b/>
          <w:sz w:val="20"/>
        </w:rPr>
      </w:pPr>
    </w:p>
    <w:p w14:paraId="2780D126" w14:textId="47FB0828" w:rsidR="00A310C5" w:rsidRPr="00A57C43" w:rsidRDefault="00552191" w:rsidP="00C60CC8">
      <w:pPr>
        <w:pStyle w:val="Prrafodelista"/>
        <w:numPr>
          <w:ilvl w:val="0"/>
          <w:numId w:val="11"/>
        </w:numPr>
        <w:tabs>
          <w:tab w:val="left" w:pos="1134"/>
        </w:tabs>
        <w:ind w:right="-427"/>
        <w:jc w:val="both"/>
        <w:rPr>
          <w:b/>
          <w:sz w:val="20"/>
          <w:szCs w:val="20"/>
          <w:lang w:val="es-AR"/>
        </w:rPr>
      </w:pPr>
      <w:r w:rsidRPr="00A57C43">
        <w:rPr>
          <w:b/>
          <w:sz w:val="20"/>
          <w:szCs w:val="20"/>
          <w:lang w:val="es-AR"/>
        </w:rPr>
        <w:t xml:space="preserve">Depreciaciones y </w:t>
      </w:r>
      <w:r w:rsidR="00AC31F0" w:rsidRPr="00A57C43">
        <w:rPr>
          <w:b/>
          <w:sz w:val="20"/>
          <w:szCs w:val="20"/>
          <w:lang w:val="es-AR"/>
        </w:rPr>
        <w:t>desvalorizaciones</w:t>
      </w:r>
      <w:r w:rsidRPr="00A57C43">
        <w:rPr>
          <w:b/>
          <w:sz w:val="20"/>
          <w:szCs w:val="20"/>
          <w:lang w:val="es-AR"/>
        </w:rPr>
        <w:t xml:space="preserve"> </w:t>
      </w:r>
      <w:r w:rsidR="00A310C5" w:rsidRPr="00A57C43">
        <w:rPr>
          <w:b/>
          <w:sz w:val="20"/>
          <w:szCs w:val="20"/>
          <w:lang w:val="es-AR"/>
        </w:rPr>
        <w:t>de bienes</w:t>
      </w:r>
    </w:p>
    <w:p w14:paraId="4BBE6FD2" w14:textId="77777777" w:rsidR="00C75EA2" w:rsidRPr="00A57C43" w:rsidRDefault="00C75EA2" w:rsidP="00C75EA2">
      <w:pPr>
        <w:pStyle w:val="Prrafodelista"/>
        <w:tabs>
          <w:tab w:val="left" w:pos="1134"/>
        </w:tabs>
        <w:ind w:left="786" w:right="-427"/>
        <w:jc w:val="both"/>
        <w:rPr>
          <w:b/>
          <w:sz w:val="20"/>
          <w:szCs w:val="20"/>
          <w:lang w:val="es-AR"/>
        </w:rPr>
      </w:pPr>
    </w:p>
    <w:p w14:paraId="62CB139E" w14:textId="42E6958F" w:rsidR="004335EE" w:rsidRPr="00A57C43" w:rsidRDefault="00C75EA2" w:rsidP="004335EE">
      <w:pPr>
        <w:pStyle w:val="Prrafodelista"/>
        <w:tabs>
          <w:tab w:val="left" w:pos="1134"/>
        </w:tabs>
        <w:ind w:left="786" w:right="-427"/>
        <w:jc w:val="both"/>
        <w:rPr>
          <w:b/>
          <w:sz w:val="20"/>
          <w:szCs w:val="20"/>
          <w:lang w:val="es-AR"/>
        </w:rPr>
      </w:pPr>
      <w:r w:rsidRPr="00A57C43">
        <w:rPr>
          <w:noProof/>
          <w:lang w:val="es-AR" w:eastAsia="es-AR"/>
        </w:rPr>
        <w:drawing>
          <wp:inline distT="0" distB="0" distL="0" distR="0" wp14:anchorId="5C830437" wp14:editId="3FAA93F8">
            <wp:extent cx="6031230" cy="1043446"/>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1230" cy="1043446"/>
                    </a:xfrm>
                    <a:prstGeom prst="rect">
                      <a:avLst/>
                    </a:prstGeom>
                    <a:noFill/>
                    <a:ln>
                      <a:noFill/>
                    </a:ln>
                  </pic:spPr>
                </pic:pic>
              </a:graphicData>
            </a:graphic>
          </wp:inline>
        </w:drawing>
      </w:r>
    </w:p>
    <w:p w14:paraId="0387D56D" w14:textId="32CA56C2" w:rsidR="00CD75A9" w:rsidRPr="00A57C43" w:rsidRDefault="00CD75A9" w:rsidP="00DD5EF1">
      <w:pPr>
        <w:ind w:left="862" w:right="-427" w:hanging="153"/>
        <w:jc w:val="both"/>
        <w:rPr>
          <w:rFonts w:ascii="Times New Roman" w:hAnsi="Times New Roman"/>
          <w:b/>
          <w:sz w:val="20"/>
        </w:rPr>
      </w:pPr>
    </w:p>
    <w:p w14:paraId="60A2BBA9" w14:textId="77777777" w:rsidR="006C3581" w:rsidRPr="00A57C43" w:rsidRDefault="006C3581" w:rsidP="00DD5EF1">
      <w:pPr>
        <w:ind w:left="862" w:right="-427" w:hanging="153"/>
        <w:jc w:val="both"/>
        <w:rPr>
          <w:rFonts w:ascii="Times New Roman" w:hAnsi="Times New Roman"/>
          <w:b/>
          <w:sz w:val="20"/>
        </w:rPr>
      </w:pPr>
    </w:p>
    <w:p w14:paraId="69FBB0F2" w14:textId="41940793" w:rsidR="003F6D02" w:rsidRPr="00A57C43" w:rsidRDefault="00A310C5" w:rsidP="00C60CC8">
      <w:pPr>
        <w:pStyle w:val="Prrafodelista"/>
        <w:numPr>
          <w:ilvl w:val="0"/>
          <w:numId w:val="11"/>
        </w:numPr>
        <w:tabs>
          <w:tab w:val="left" w:pos="1134"/>
        </w:tabs>
        <w:ind w:right="-427"/>
        <w:jc w:val="both"/>
        <w:rPr>
          <w:b/>
          <w:sz w:val="20"/>
          <w:szCs w:val="20"/>
        </w:rPr>
      </w:pPr>
      <w:r w:rsidRPr="00A57C43">
        <w:rPr>
          <w:b/>
          <w:sz w:val="20"/>
          <w:szCs w:val="20"/>
        </w:rPr>
        <w:t>Otros gastos operativos</w:t>
      </w:r>
    </w:p>
    <w:p w14:paraId="129944CC" w14:textId="72C8D17B" w:rsidR="000F613C" w:rsidRPr="00A57C43" w:rsidRDefault="000F613C" w:rsidP="00D54601">
      <w:pPr>
        <w:pStyle w:val="Prrafodelista"/>
        <w:ind w:left="709" w:right="141"/>
        <w:jc w:val="both"/>
        <w:rPr>
          <w:noProof/>
          <w:lang w:val="es-AR" w:eastAsia="es-AR"/>
        </w:rPr>
      </w:pPr>
    </w:p>
    <w:p w14:paraId="1D1952BF" w14:textId="3D467747" w:rsidR="00A379EC" w:rsidRPr="00A57C43" w:rsidRDefault="00C75EA2" w:rsidP="00D54601">
      <w:pPr>
        <w:pStyle w:val="Prrafodelista"/>
        <w:ind w:left="709" w:right="141"/>
        <w:jc w:val="both"/>
        <w:rPr>
          <w:sz w:val="20"/>
          <w:szCs w:val="20"/>
          <w:lang w:val="es-AR"/>
        </w:rPr>
      </w:pPr>
      <w:r w:rsidRPr="00A57C43">
        <w:rPr>
          <w:noProof/>
          <w:lang w:val="es-AR" w:eastAsia="es-AR"/>
        </w:rPr>
        <w:drawing>
          <wp:inline distT="0" distB="0" distL="0" distR="0" wp14:anchorId="73CDC29F" wp14:editId="0DFB54C2">
            <wp:extent cx="6031230" cy="1599769"/>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1230" cy="1599769"/>
                    </a:xfrm>
                    <a:prstGeom prst="rect">
                      <a:avLst/>
                    </a:prstGeom>
                    <a:noFill/>
                    <a:ln>
                      <a:noFill/>
                    </a:ln>
                  </pic:spPr>
                </pic:pic>
              </a:graphicData>
            </a:graphic>
          </wp:inline>
        </w:drawing>
      </w:r>
    </w:p>
    <w:p w14:paraId="0C4B8015" w14:textId="77777777" w:rsidR="00DB4D1B" w:rsidRPr="00A57C43" w:rsidRDefault="00DB4D1B" w:rsidP="00D54601">
      <w:pPr>
        <w:pStyle w:val="Prrafodelista"/>
        <w:ind w:left="709" w:right="141"/>
        <w:jc w:val="both"/>
        <w:rPr>
          <w:sz w:val="20"/>
          <w:szCs w:val="20"/>
          <w:lang w:val="es-AR"/>
        </w:rPr>
      </w:pPr>
    </w:p>
    <w:p w14:paraId="28B68700" w14:textId="77777777" w:rsidR="00347F06" w:rsidRPr="00A57C43" w:rsidRDefault="00347F06" w:rsidP="00D54601">
      <w:pPr>
        <w:pStyle w:val="Prrafodelista"/>
        <w:ind w:left="709" w:right="141"/>
        <w:jc w:val="both"/>
        <w:rPr>
          <w:sz w:val="20"/>
          <w:szCs w:val="20"/>
          <w:lang w:val="es-AR"/>
        </w:rPr>
      </w:pPr>
    </w:p>
    <w:p w14:paraId="451DAAE9" w14:textId="77777777" w:rsidR="00347F06" w:rsidRPr="00A57C43" w:rsidRDefault="00347F06" w:rsidP="00D54601">
      <w:pPr>
        <w:pStyle w:val="Prrafodelista"/>
        <w:ind w:left="709" w:right="141"/>
        <w:jc w:val="both"/>
        <w:rPr>
          <w:sz w:val="20"/>
          <w:szCs w:val="20"/>
          <w:lang w:val="es-AR"/>
        </w:rPr>
      </w:pPr>
    </w:p>
    <w:p w14:paraId="00D8AFB8" w14:textId="7D3B1E48" w:rsidR="00AB7254" w:rsidRPr="00A57C43" w:rsidRDefault="00AB7254" w:rsidP="00C60CC8">
      <w:pPr>
        <w:pStyle w:val="Prrafodelista"/>
        <w:numPr>
          <w:ilvl w:val="0"/>
          <w:numId w:val="11"/>
        </w:numPr>
        <w:ind w:right="141"/>
        <w:jc w:val="both"/>
        <w:rPr>
          <w:b/>
          <w:sz w:val="20"/>
          <w:szCs w:val="20"/>
          <w:lang w:val="es-AR"/>
        </w:rPr>
      </w:pPr>
      <w:r w:rsidRPr="00A57C43">
        <w:rPr>
          <w:b/>
          <w:sz w:val="20"/>
          <w:szCs w:val="20"/>
          <w:lang w:val="es-AR"/>
        </w:rPr>
        <w:t>Valores razonables de instrumentos financieros</w:t>
      </w:r>
    </w:p>
    <w:p w14:paraId="55D16FF6" w14:textId="77777777" w:rsidR="00455FA0" w:rsidRPr="00A57C43" w:rsidRDefault="00455FA0" w:rsidP="00455FA0">
      <w:pPr>
        <w:pStyle w:val="Prrafodelista"/>
        <w:ind w:left="786" w:right="141"/>
        <w:jc w:val="both"/>
        <w:rPr>
          <w:b/>
          <w:sz w:val="20"/>
          <w:szCs w:val="20"/>
          <w:lang w:val="es-AR"/>
        </w:rPr>
      </w:pPr>
    </w:p>
    <w:p w14:paraId="2373F1F6" w14:textId="71978727" w:rsidR="00076966" w:rsidRPr="00A57C43" w:rsidRDefault="00076966" w:rsidP="00C60CC8">
      <w:pPr>
        <w:numPr>
          <w:ilvl w:val="0"/>
          <w:numId w:val="15"/>
        </w:numPr>
        <w:spacing w:before="120" w:after="120" w:line="240" w:lineRule="exact"/>
        <w:ind w:left="709" w:right="141" w:firstLine="0"/>
        <w:jc w:val="both"/>
        <w:rPr>
          <w:rFonts w:ascii="Times New Roman" w:hAnsi="Times New Roman"/>
          <w:sz w:val="20"/>
        </w:rPr>
      </w:pPr>
      <w:r w:rsidRPr="00A57C43">
        <w:rPr>
          <w:rFonts w:ascii="Times New Roman" w:hAnsi="Times New Roman"/>
          <w:sz w:val="20"/>
        </w:rPr>
        <w:t>Activos y pasivos medidos a valor razonable</w:t>
      </w:r>
    </w:p>
    <w:p w14:paraId="1D815EC3" w14:textId="10B58685" w:rsidR="00A85DB0" w:rsidRPr="00A57C43" w:rsidRDefault="00A85DB0" w:rsidP="00A85DB0">
      <w:pPr>
        <w:pStyle w:val="Prrafodelista"/>
        <w:ind w:left="709" w:right="141"/>
        <w:jc w:val="both"/>
        <w:rPr>
          <w:sz w:val="20"/>
          <w:szCs w:val="20"/>
          <w:lang w:val="es-AR" w:eastAsia="es-ES"/>
        </w:rPr>
      </w:pPr>
      <w:r w:rsidRPr="00A57C43">
        <w:rPr>
          <w:sz w:val="20"/>
          <w:szCs w:val="20"/>
          <w:lang w:val="es-AR" w:eastAsia="es-ES"/>
        </w:rPr>
        <w:t>La jerarquía de valor razonable de los activos y pasivos</w:t>
      </w:r>
      <w:r w:rsidR="00CD7255" w:rsidRPr="00A57C43">
        <w:rPr>
          <w:sz w:val="20"/>
          <w:szCs w:val="20"/>
          <w:lang w:val="es-AR" w:eastAsia="es-ES"/>
        </w:rPr>
        <w:t xml:space="preserve"> medidos a valor razonable al 3</w:t>
      </w:r>
      <w:r w:rsidR="00F850BC" w:rsidRPr="00A57C43">
        <w:rPr>
          <w:sz w:val="20"/>
          <w:szCs w:val="20"/>
          <w:lang w:val="es-AR" w:eastAsia="es-ES"/>
        </w:rPr>
        <w:t>0</w:t>
      </w:r>
      <w:r w:rsidR="00EF165C" w:rsidRPr="00A57C43">
        <w:rPr>
          <w:sz w:val="20"/>
          <w:szCs w:val="20"/>
          <w:lang w:val="es-AR" w:eastAsia="es-ES"/>
        </w:rPr>
        <w:t xml:space="preserve"> de </w:t>
      </w:r>
      <w:r w:rsidR="00D04238" w:rsidRPr="00A57C43">
        <w:rPr>
          <w:sz w:val="20"/>
          <w:szCs w:val="20"/>
          <w:lang w:val="es-AR" w:eastAsia="es-ES"/>
        </w:rPr>
        <w:t>septiembre</w:t>
      </w:r>
      <w:r w:rsidR="000B2480" w:rsidRPr="00A57C43">
        <w:rPr>
          <w:sz w:val="20"/>
          <w:szCs w:val="20"/>
          <w:lang w:val="es-AR" w:eastAsia="es-ES"/>
        </w:rPr>
        <w:t xml:space="preserve"> </w:t>
      </w:r>
      <w:r w:rsidRPr="00A57C43">
        <w:rPr>
          <w:sz w:val="20"/>
          <w:szCs w:val="20"/>
          <w:lang w:val="es-AR" w:eastAsia="es-ES"/>
        </w:rPr>
        <w:t>de</w:t>
      </w:r>
      <w:r w:rsidR="00E45771" w:rsidRPr="00A57C43">
        <w:rPr>
          <w:sz w:val="20"/>
          <w:szCs w:val="20"/>
          <w:lang w:val="es-AR" w:eastAsia="es-ES"/>
        </w:rPr>
        <w:t xml:space="preserve"> 20</w:t>
      </w:r>
      <w:r w:rsidR="00F279FB" w:rsidRPr="00A57C43">
        <w:rPr>
          <w:sz w:val="20"/>
          <w:szCs w:val="20"/>
          <w:lang w:val="es-AR" w:eastAsia="es-ES"/>
        </w:rPr>
        <w:t>2</w:t>
      </w:r>
      <w:r w:rsidR="00C10472" w:rsidRPr="00A57C43">
        <w:rPr>
          <w:sz w:val="20"/>
          <w:szCs w:val="20"/>
          <w:lang w:val="es-AR" w:eastAsia="es-ES"/>
        </w:rPr>
        <w:t>1</w:t>
      </w:r>
      <w:r w:rsidR="00E45771" w:rsidRPr="00A57C43">
        <w:rPr>
          <w:sz w:val="20"/>
          <w:szCs w:val="20"/>
          <w:lang w:val="es-AR" w:eastAsia="es-ES"/>
        </w:rPr>
        <w:t xml:space="preserve"> se detalla a continuación:</w:t>
      </w:r>
    </w:p>
    <w:p w14:paraId="1078A452" w14:textId="77777777" w:rsidR="00707969" w:rsidRPr="00A57C43" w:rsidRDefault="00707969" w:rsidP="00A85DB0">
      <w:pPr>
        <w:pStyle w:val="Prrafodelista"/>
        <w:ind w:left="709" w:right="141"/>
        <w:jc w:val="both"/>
        <w:rPr>
          <w:sz w:val="20"/>
          <w:szCs w:val="20"/>
          <w:lang w:val="es-AR" w:eastAsia="es-ES"/>
        </w:rPr>
      </w:pPr>
    </w:p>
    <w:p w14:paraId="5B088755" w14:textId="38268AB4" w:rsidR="004B59B0" w:rsidRPr="00A57C43" w:rsidRDefault="0050030B" w:rsidP="00DB6B3B">
      <w:pPr>
        <w:pStyle w:val="Prrafodelista"/>
        <w:ind w:left="567" w:right="141"/>
        <w:jc w:val="both"/>
        <w:rPr>
          <w:sz w:val="20"/>
          <w:szCs w:val="20"/>
          <w:lang w:val="es-AR" w:eastAsia="es-ES"/>
        </w:rPr>
      </w:pPr>
      <w:r w:rsidRPr="00A57C43">
        <w:rPr>
          <w:noProof/>
          <w:lang w:val="es-AR" w:eastAsia="es-AR"/>
        </w:rPr>
        <w:lastRenderedPageBreak/>
        <w:drawing>
          <wp:inline distT="0" distB="0" distL="0" distR="0" wp14:anchorId="7E0A1D2F" wp14:editId="7DEF4AC6">
            <wp:extent cx="6031230" cy="232169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1230" cy="2321699"/>
                    </a:xfrm>
                    <a:prstGeom prst="rect">
                      <a:avLst/>
                    </a:prstGeom>
                    <a:noFill/>
                    <a:ln>
                      <a:noFill/>
                    </a:ln>
                  </pic:spPr>
                </pic:pic>
              </a:graphicData>
            </a:graphic>
          </wp:inline>
        </w:drawing>
      </w:r>
    </w:p>
    <w:p w14:paraId="68524462" w14:textId="2BB8944E" w:rsidR="00EA3747" w:rsidRPr="00A57C43" w:rsidRDefault="00EA3747" w:rsidP="00DB6B3B">
      <w:pPr>
        <w:pStyle w:val="Prrafodelista"/>
        <w:ind w:left="567" w:right="141"/>
        <w:jc w:val="both"/>
        <w:rPr>
          <w:sz w:val="20"/>
          <w:szCs w:val="20"/>
          <w:lang w:val="es-AR" w:eastAsia="es-ES"/>
        </w:rPr>
      </w:pPr>
    </w:p>
    <w:p w14:paraId="7F266800" w14:textId="77777777" w:rsidR="00A57C43" w:rsidRDefault="00A57C43" w:rsidP="003B762D">
      <w:pPr>
        <w:pStyle w:val="Prrafodelista"/>
        <w:ind w:left="709" w:right="141"/>
        <w:jc w:val="both"/>
        <w:rPr>
          <w:sz w:val="20"/>
          <w:szCs w:val="20"/>
          <w:lang w:val="es-AR" w:eastAsia="es-ES"/>
        </w:rPr>
      </w:pPr>
    </w:p>
    <w:p w14:paraId="7F70C1D4" w14:textId="77777777" w:rsidR="00A57C43" w:rsidRDefault="00A57C43" w:rsidP="003B762D">
      <w:pPr>
        <w:pStyle w:val="Prrafodelista"/>
        <w:ind w:left="709" w:right="141"/>
        <w:jc w:val="both"/>
        <w:rPr>
          <w:sz w:val="20"/>
          <w:szCs w:val="20"/>
          <w:lang w:val="es-AR" w:eastAsia="es-ES"/>
        </w:rPr>
      </w:pPr>
    </w:p>
    <w:p w14:paraId="6010572A" w14:textId="39B5EAE1" w:rsidR="00A85DB0" w:rsidRPr="00A57C43" w:rsidRDefault="00A85DB0" w:rsidP="003B762D">
      <w:pPr>
        <w:pStyle w:val="Prrafodelista"/>
        <w:ind w:left="709" w:right="141"/>
        <w:jc w:val="both"/>
        <w:rPr>
          <w:sz w:val="20"/>
          <w:szCs w:val="20"/>
          <w:lang w:val="es-AR" w:eastAsia="es-ES"/>
        </w:rPr>
      </w:pPr>
      <w:r w:rsidRPr="00A57C43">
        <w:rPr>
          <w:sz w:val="20"/>
          <w:szCs w:val="20"/>
          <w:lang w:val="es-AR" w:eastAsia="es-ES"/>
        </w:rPr>
        <w:t>La jerarquía de valor razonable de los activos y pasivos medidos a valor razonable al 31 de diciembre de</w:t>
      </w:r>
      <w:r w:rsidR="00E120A4" w:rsidRPr="00A57C43">
        <w:rPr>
          <w:sz w:val="20"/>
          <w:szCs w:val="20"/>
          <w:lang w:val="es-AR" w:eastAsia="es-ES"/>
        </w:rPr>
        <w:t xml:space="preserve"> 20</w:t>
      </w:r>
      <w:r w:rsidR="00C10472" w:rsidRPr="00A57C43">
        <w:rPr>
          <w:sz w:val="20"/>
          <w:szCs w:val="20"/>
          <w:lang w:val="es-AR" w:eastAsia="es-ES"/>
        </w:rPr>
        <w:t>20</w:t>
      </w:r>
      <w:r w:rsidR="00E45771" w:rsidRPr="00A57C43">
        <w:rPr>
          <w:sz w:val="20"/>
          <w:szCs w:val="20"/>
          <w:lang w:val="es-AR" w:eastAsia="es-ES"/>
        </w:rPr>
        <w:t xml:space="preserve"> se detalla a continuación:</w:t>
      </w:r>
    </w:p>
    <w:p w14:paraId="39828040" w14:textId="176C0A8F" w:rsidR="007F241F" w:rsidRPr="00A57C43" w:rsidRDefault="007F241F" w:rsidP="004C318E">
      <w:pPr>
        <w:pStyle w:val="Prrafodelista"/>
        <w:tabs>
          <w:tab w:val="left" w:pos="993"/>
        </w:tabs>
        <w:ind w:left="284" w:right="-284" w:firstLine="283"/>
        <w:jc w:val="both"/>
        <w:rPr>
          <w:sz w:val="20"/>
          <w:szCs w:val="20"/>
          <w:lang w:val="es-AR" w:eastAsia="es-ES"/>
        </w:rPr>
      </w:pPr>
    </w:p>
    <w:p w14:paraId="2A3BA55E" w14:textId="320A07A4" w:rsidR="007C2F9D" w:rsidRPr="00A57C43" w:rsidRDefault="0050030B" w:rsidP="0050030B">
      <w:pPr>
        <w:pStyle w:val="Prrafodelista"/>
        <w:ind w:left="567" w:right="141" w:firstLine="1"/>
        <w:jc w:val="right"/>
        <w:rPr>
          <w:sz w:val="20"/>
          <w:szCs w:val="20"/>
          <w:lang w:val="es-AR" w:eastAsia="es-ES"/>
        </w:rPr>
      </w:pPr>
      <w:r w:rsidRPr="00A57C43">
        <w:rPr>
          <w:noProof/>
          <w:lang w:val="es-AR" w:eastAsia="es-AR"/>
        </w:rPr>
        <w:drawing>
          <wp:inline distT="0" distB="0" distL="0" distR="0" wp14:anchorId="4DAB8662" wp14:editId="601485E3">
            <wp:extent cx="6031230" cy="219199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1230" cy="2191995"/>
                    </a:xfrm>
                    <a:prstGeom prst="rect">
                      <a:avLst/>
                    </a:prstGeom>
                    <a:noFill/>
                    <a:ln>
                      <a:noFill/>
                    </a:ln>
                  </pic:spPr>
                </pic:pic>
              </a:graphicData>
            </a:graphic>
          </wp:inline>
        </w:drawing>
      </w:r>
    </w:p>
    <w:p w14:paraId="28473CFA" w14:textId="6D80B0AA" w:rsidR="00D87333" w:rsidRPr="00A57C43" w:rsidRDefault="00D87333" w:rsidP="00845D78">
      <w:pPr>
        <w:pStyle w:val="Prrafodelista"/>
        <w:ind w:left="567" w:right="141" w:firstLine="1"/>
        <w:jc w:val="right"/>
        <w:rPr>
          <w:sz w:val="20"/>
          <w:szCs w:val="20"/>
          <w:lang w:val="es-AR" w:eastAsia="es-ES"/>
        </w:rPr>
      </w:pPr>
    </w:p>
    <w:p w14:paraId="6A8B3580" w14:textId="77777777" w:rsidR="004C318E" w:rsidRPr="00A57C43" w:rsidRDefault="004C318E" w:rsidP="00BB0472">
      <w:pPr>
        <w:pStyle w:val="Prrafodelista"/>
        <w:ind w:left="709" w:right="141"/>
        <w:jc w:val="both"/>
        <w:rPr>
          <w:sz w:val="20"/>
          <w:szCs w:val="20"/>
          <w:lang w:val="es-AR" w:eastAsia="es-ES"/>
        </w:rPr>
      </w:pPr>
    </w:p>
    <w:p w14:paraId="2F921718" w14:textId="77777777" w:rsidR="001124BA" w:rsidRPr="00A57C43" w:rsidRDefault="001124BA" w:rsidP="001124BA">
      <w:pPr>
        <w:pStyle w:val="Prrafodelista"/>
        <w:ind w:left="709"/>
        <w:jc w:val="both"/>
        <w:rPr>
          <w:sz w:val="20"/>
          <w:szCs w:val="20"/>
          <w:lang w:val="es-AR" w:eastAsia="es-ES"/>
        </w:rPr>
      </w:pPr>
      <w:r w:rsidRPr="00A57C43">
        <w:rPr>
          <w:sz w:val="20"/>
          <w:szCs w:val="20"/>
          <w:lang w:val="es-AR" w:eastAsia="es-ES"/>
        </w:rPr>
        <w:t xml:space="preserve">Se define valor razonable de un activo o pasivo financiero, en una fecha dada, al importe que podría ser recibido al vender un activo o pagado para trasferir un pasivo entre dos partes independientes que actuasen en libre mercado. </w:t>
      </w:r>
    </w:p>
    <w:p w14:paraId="128CC398" w14:textId="77777777" w:rsidR="001124BA" w:rsidRPr="00A57C43" w:rsidRDefault="001124BA" w:rsidP="001124BA">
      <w:pPr>
        <w:pStyle w:val="Prrafodelista"/>
        <w:ind w:left="709"/>
        <w:jc w:val="both"/>
        <w:rPr>
          <w:sz w:val="20"/>
          <w:szCs w:val="20"/>
          <w:lang w:val="es-AR"/>
        </w:rPr>
      </w:pPr>
    </w:p>
    <w:p w14:paraId="3D3869D2" w14:textId="77777777" w:rsidR="001124BA" w:rsidRPr="00A57C43" w:rsidRDefault="001124BA" w:rsidP="001124BA">
      <w:pPr>
        <w:pStyle w:val="Prrafodelista"/>
        <w:ind w:left="709"/>
        <w:jc w:val="both"/>
        <w:rPr>
          <w:sz w:val="20"/>
          <w:szCs w:val="20"/>
          <w:lang w:val="es-AR" w:eastAsia="es-ES"/>
        </w:rPr>
      </w:pPr>
      <w:r w:rsidRPr="00A57C43">
        <w:rPr>
          <w:sz w:val="20"/>
          <w:szCs w:val="20"/>
          <w:lang w:val="es-AR" w:eastAsia="es-ES"/>
        </w:rPr>
        <w:t>La referencia más objetiva y habitual del valor razonable de un activo o pasivo financiero es el precio que se pagaría por él en un mercado organizado, transparente y profundo, es decir su precio de cotización o precio de mercado.</w:t>
      </w:r>
    </w:p>
    <w:p w14:paraId="384081B2" w14:textId="77777777" w:rsidR="001124BA" w:rsidRPr="00A57C43" w:rsidRDefault="001124BA" w:rsidP="001124BA">
      <w:pPr>
        <w:pStyle w:val="Prrafodelista"/>
        <w:ind w:left="709"/>
        <w:jc w:val="both"/>
        <w:rPr>
          <w:sz w:val="20"/>
          <w:szCs w:val="20"/>
          <w:lang w:val="es-AR" w:eastAsia="es-ES"/>
        </w:rPr>
      </w:pPr>
    </w:p>
    <w:p w14:paraId="1DBC4C6D" w14:textId="77777777" w:rsidR="001124BA" w:rsidRPr="00A57C43" w:rsidRDefault="001124BA" w:rsidP="001124BA">
      <w:pPr>
        <w:pStyle w:val="Prrafodelista"/>
        <w:ind w:left="709"/>
        <w:jc w:val="both"/>
        <w:rPr>
          <w:sz w:val="20"/>
          <w:szCs w:val="20"/>
          <w:lang w:val="es-AR"/>
        </w:rPr>
      </w:pPr>
      <w:r w:rsidRPr="00A57C43">
        <w:rPr>
          <w:sz w:val="20"/>
          <w:szCs w:val="20"/>
          <w:lang w:val="es-AR" w:eastAsia="es-ES"/>
        </w:rPr>
        <w:lastRenderedPageBreak/>
        <w:t>En el caso de que no sea posible obtener un precio de mercado, se determina un valor razonable utilizando técnicas de valoración de mejores prácticas de mercado, como por ejemplo el descuento de flujos de fondos a partir de una curva de rendimientos correspondientes a la misma clase y tipo de instrumento, o en caso que no exista una curva de mercado con las mismas características del bono se calcula el valor razonable sobre la base del último precio de mercado y se devengan los intereses hasta la fecha de valuación (el que sea más representativo para la especie).</w:t>
      </w:r>
    </w:p>
    <w:p w14:paraId="5BCCC55E" w14:textId="77777777" w:rsidR="001124BA" w:rsidRPr="00A57C43" w:rsidRDefault="001124BA" w:rsidP="001124BA">
      <w:pPr>
        <w:pStyle w:val="Prrafodelista"/>
        <w:ind w:left="709"/>
        <w:jc w:val="both"/>
        <w:rPr>
          <w:sz w:val="20"/>
          <w:szCs w:val="20"/>
          <w:lang w:val="es-AR"/>
        </w:rPr>
      </w:pPr>
    </w:p>
    <w:p w14:paraId="59BC83D5" w14:textId="77777777" w:rsidR="001124BA" w:rsidRPr="00A57C43" w:rsidRDefault="001124BA" w:rsidP="001124BA">
      <w:pPr>
        <w:pStyle w:val="Prrafodelista"/>
        <w:ind w:left="709"/>
        <w:jc w:val="both"/>
        <w:rPr>
          <w:sz w:val="20"/>
          <w:szCs w:val="20"/>
          <w:lang w:val="es-AR"/>
        </w:rPr>
      </w:pPr>
      <w:r w:rsidRPr="00A57C43">
        <w:rPr>
          <w:sz w:val="20"/>
          <w:szCs w:val="20"/>
          <w:lang w:val="es-AR" w:eastAsia="es-ES"/>
        </w:rPr>
        <w:t>En línea con el estándar contable se establece una clasificación en tres niveles de los instrumentos financieros. Esta clasificación se realiza fundamentalmente basándose en la observabilidad de los inputs necesarios para calcular dicho valor razonable definiendo los siguientes niveles:</w:t>
      </w:r>
    </w:p>
    <w:p w14:paraId="301A76AB" w14:textId="77777777" w:rsidR="001124BA" w:rsidRPr="00A57C43" w:rsidRDefault="001124BA" w:rsidP="001124BA">
      <w:pPr>
        <w:tabs>
          <w:tab w:val="num" w:pos="709"/>
        </w:tabs>
        <w:ind w:left="1416"/>
        <w:jc w:val="both"/>
        <w:rPr>
          <w:rFonts w:ascii="Times New Roman" w:hAnsi="Times New Roman"/>
          <w:sz w:val="20"/>
        </w:rPr>
      </w:pPr>
    </w:p>
    <w:p w14:paraId="0247545E" w14:textId="77777777" w:rsidR="001124BA" w:rsidRPr="00A57C43" w:rsidRDefault="001124BA" w:rsidP="001124BA">
      <w:pPr>
        <w:pStyle w:val="Prrafodelista"/>
        <w:numPr>
          <w:ilvl w:val="0"/>
          <w:numId w:val="10"/>
        </w:numPr>
        <w:ind w:left="1418"/>
        <w:jc w:val="both"/>
        <w:rPr>
          <w:sz w:val="20"/>
          <w:szCs w:val="20"/>
          <w:lang w:val="es-AR"/>
        </w:rPr>
      </w:pPr>
      <w:r w:rsidRPr="00A57C43">
        <w:rPr>
          <w:sz w:val="20"/>
          <w:szCs w:val="20"/>
          <w:lang w:val="es-AR" w:eastAsia="es-ES"/>
        </w:rPr>
        <w:t>Nivel 1: Instrumentos financieros que se valoran con precios cotizados en un mercado activo. Mercado activo se refiere a un mercado que permite la observación de precios representativos con suficiente frecuencia y volumen diario.</w:t>
      </w:r>
    </w:p>
    <w:p w14:paraId="057C5040" w14:textId="77777777" w:rsidR="001124BA" w:rsidRPr="00A57C43" w:rsidRDefault="001124BA" w:rsidP="001124BA">
      <w:pPr>
        <w:pStyle w:val="Prrafodelista"/>
        <w:ind w:left="1418"/>
        <w:jc w:val="both"/>
        <w:rPr>
          <w:sz w:val="20"/>
          <w:szCs w:val="20"/>
          <w:lang w:val="es-AR"/>
        </w:rPr>
      </w:pPr>
    </w:p>
    <w:p w14:paraId="0D1F6047" w14:textId="77777777" w:rsidR="001124BA" w:rsidRPr="00A57C43" w:rsidRDefault="001124BA" w:rsidP="001124BA">
      <w:pPr>
        <w:pStyle w:val="Prrafodelista"/>
        <w:numPr>
          <w:ilvl w:val="0"/>
          <w:numId w:val="10"/>
        </w:numPr>
        <w:ind w:left="1418"/>
        <w:jc w:val="both"/>
        <w:rPr>
          <w:sz w:val="20"/>
          <w:szCs w:val="20"/>
          <w:lang w:val="es-AR"/>
        </w:rPr>
      </w:pPr>
      <w:r w:rsidRPr="00A57C43">
        <w:rPr>
          <w:sz w:val="20"/>
          <w:szCs w:val="20"/>
          <w:lang w:val="es-AR" w:eastAsia="es-ES"/>
        </w:rPr>
        <w:t xml:space="preserve">Nivel 2: Instrumentos financieros que no cuentan con un mercado activo, pero que son susceptibles de ser valorados mediante inputs observables de mercado. </w:t>
      </w:r>
      <w:r w:rsidRPr="00A57C43">
        <w:rPr>
          <w:sz w:val="20"/>
          <w:szCs w:val="20"/>
          <w:lang w:val="es-AR"/>
        </w:rPr>
        <w:t>Entendiéndose por inputs observables de mercado, activos que cotizan en mercados que permitan calcular una curva de tasas de intereses o definir un spread de crédito.</w:t>
      </w:r>
    </w:p>
    <w:p w14:paraId="07BD30AB" w14:textId="77777777" w:rsidR="001124BA" w:rsidRPr="00A57C43" w:rsidRDefault="001124BA" w:rsidP="001124BA">
      <w:pPr>
        <w:pStyle w:val="Prrafodelista"/>
        <w:ind w:left="709"/>
        <w:jc w:val="both"/>
        <w:rPr>
          <w:sz w:val="20"/>
          <w:szCs w:val="20"/>
          <w:lang w:val="es-AR"/>
        </w:rPr>
      </w:pPr>
    </w:p>
    <w:p w14:paraId="0000D324" w14:textId="77777777" w:rsidR="001124BA" w:rsidRPr="00A57C43" w:rsidRDefault="001124BA" w:rsidP="001124BA">
      <w:pPr>
        <w:pStyle w:val="Prrafodelista"/>
        <w:numPr>
          <w:ilvl w:val="0"/>
          <w:numId w:val="10"/>
        </w:numPr>
        <w:jc w:val="both"/>
        <w:rPr>
          <w:sz w:val="20"/>
          <w:szCs w:val="20"/>
          <w:lang w:val="es-AR"/>
        </w:rPr>
      </w:pPr>
      <w:r w:rsidRPr="00A57C43">
        <w:rPr>
          <w:sz w:val="20"/>
          <w:szCs w:val="20"/>
          <w:lang w:val="es-AR" w:eastAsia="es-ES"/>
        </w:rPr>
        <w:t>Nivel 3: Valoración mediante modelos en los que se utilizan variables no obtenidas de datos observables en el mercado.</w:t>
      </w:r>
    </w:p>
    <w:p w14:paraId="3AB0AF70" w14:textId="77777777" w:rsidR="001124BA" w:rsidRPr="00A57C43" w:rsidRDefault="001124BA" w:rsidP="001124BA">
      <w:pPr>
        <w:pStyle w:val="Prrafodelista"/>
        <w:ind w:left="709"/>
        <w:jc w:val="both"/>
        <w:rPr>
          <w:sz w:val="20"/>
          <w:szCs w:val="20"/>
          <w:lang w:val="es-AR" w:eastAsia="es-ES"/>
        </w:rPr>
      </w:pPr>
    </w:p>
    <w:p w14:paraId="27471C15" w14:textId="77777777" w:rsidR="001124BA" w:rsidRPr="00A57C43" w:rsidRDefault="001124BA" w:rsidP="001124BA">
      <w:pPr>
        <w:pStyle w:val="Prrafodelista"/>
        <w:ind w:left="709"/>
        <w:jc w:val="both"/>
        <w:rPr>
          <w:sz w:val="20"/>
          <w:szCs w:val="20"/>
          <w:lang w:val="es-AR" w:eastAsia="es-ES"/>
        </w:rPr>
      </w:pPr>
      <w:r w:rsidRPr="00A57C43">
        <w:rPr>
          <w:sz w:val="20"/>
          <w:szCs w:val="20"/>
          <w:lang w:val="es-AR" w:eastAsia="es-ES"/>
        </w:rPr>
        <w:t xml:space="preserve">Los activos financieros a valor razonable se conforman principalmente por Letras de Liquidez del Banco Central de la República Argentina y por Bonos de la Nación Argentina, junto con una participación menor en Letras del Tesoro Nacional y Obligaciones Negociables. Asimismo se clasifican a valor razonable derivados financieros que incluyen futuros que son valuados a precio del mercado en el que operan (Rofex y MAE) y NDF (non-delivery forwards) de tipo de cambio y swaps de tasa de interés. </w:t>
      </w:r>
    </w:p>
    <w:p w14:paraId="6E0D1B6E" w14:textId="77777777" w:rsidR="001124BA" w:rsidRPr="00A57C43" w:rsidRDefault="001124BA" w:rsidP="001124BA">
      <w:pPr>
        <w:pStyle w:val="Prrafodelista"/>
        <w:ind w:left="709"/>
        <w:jc w:val="both"/>
        <w:rPr>
          <w:sz w:val="20"/>
          <w:szCs w:val="20"/>
          <w:lang w:val="es-AR" w:eastAsia="es-ES"/>
        </w:rPr>
      </w:pPr>
    </w:p>
    <w:p w14:paraId="2A83E733" w14:textId="77777777" w:rsidR="00AB5FE8" w:rsidRPr="00A57C43" w:rsidRDefault="00AB5FE8" w:rsidP="00455FA0">
      <w:pPr>
        <w:pStyle w:val="Prrafodelista"/>
        <w:ind w:left="709"/>
        <w:jc w:val="both"/>
        <w:rPr>
          <w:sz w:val="20"/>
          <w:szCs w:val="20"/>
          <w:lang w:val="es-AR" w:eastAsia="es-ES"/>
        </w:rPr>
      </w:pPr>
    </w:p>
    <w:p w14:paraId="7FDB0176" w14:textId="77777777" w:rsidR="00BB0472" w:rsidRPr="00A57C43" w:rsidRDefault="00BB0472" w:rsidP="00455FA0">
      <w:pPr>
        <w:pStyle w:val="Prrafodelista"/>
        <w:numPr>
          <w:ilvl w:val="0"/>
          <w:numId w:val="15"/>
        </w:numPr>
        <w:spacing w:before="120" w:after="120" w:line="240" w:lineRule="exact"/>
        <w:ind w:left="709" w:firstLine="0"/>
        <w:jc w:val="both"/>
        <w:rPr>
          <w:sz w:val="20"/>
          <w:szCs w:val="20"/>
          <w:lang w:val="es-AR"/>
        </w:rPr>
      </w:pPr>
      <w:r w:rsidRPr="00A57C43">
        <w:rPr>
          <w:sz w:val="20"/>
          <w:szCs w:val="20"/>
          <w:lang w:val="es-AR"/>
        </w:rPr>
        <w:t>Transferencias entre niveles de jerarquía</w:t>
      </w:r>
    </w:p>
    <w:p w14:paraId="0FD4137E" w14:textId="77777777" w:rsidR="00BB0472" w:rsidRPr="00A57C43" w:rsidRDefault="00BB0472" w:rsidP="00455FA0">
      <w:pPr>
        <w:pStyle w:val="Prrafodelista"/>
        <w:spacing w:before="120" w:after="120" w:line="240" w:lineRule="exact"/>
        <w:ind w:left="709"/>
        <w:jc w:val="both"/>
        <w:rPr>
          <w:sz w:val="20"/>
          <w:szCs w:val="20"/>
          <w:lang w:val="es-AR"/>
        </w:rPr>
      </w:pPr>
      <w:r w:rsidRPr="00A57C43">
        <w:rPr>
          <w:sz w:val="20"/>
          <w:szCs w:val="20"/>
          <w:lang w:val="es-AR"/>
        </w:rPr>
        <w:t>b.1) Transferencias desde Nivel 1 a Nivel 2</w:t>
      </w:r>
    </w:p>
    <w:p w14:paraId="03D36870" w14:textId="77777777" w:rsidR="00481B5E" w:rsidRPr="00A57C43" w:rsidRDefault="00481B5E" w:rsidP="00481B5E">
      <w:pPr>
        <w:spacing w:after="120" w:line="240" w:lineRule="exact"/>
        <w:ind w:left="709"/>
        <w:rPr>
          <w:rFonts w:ascii="Times New Roman" w:hAnsi="Times New Roman"/>
          <w:color w:val="000000"/>
          <w:sz w:val="20"/>
        </w:rPr>
      </w:pPr>
      <w:r w:rsidRPr="00A57C43">
        <w:rPr>
          <w:rFonts w:ascii="Times New Roman" w:hAnsi="Times New Roman"/>
          <w:color w:val="000000"/>
          <w:sz w:val="20"/>
        </w:rPr>
        <w:t>Los siguientes instrumentos medidos a valor razonable, fueron transferidos desde Nivel 1 a Nivel 2 de la jerarquía de valor razonable:</w:t>
      </w:r>
    </w:p>
    <w:tbl>
      <w:tblPr>
        <w:tblW w:w="8215" w:type="dxa"/>
        <w:tblInd w:w="1214" w:type="dxa"/>
        <w:tblLayout w:type="fixed"/>
        <w:tblCellMar>
          <w:left w:w="0" w:type="dxa"/>
          <w:right w:w="0" w:type="dxa"/>
        </w:tblCellMar>
        <w:tblLook w:val="0000" w:firstRow="0" w:lastRow="0" w:firstColumn="0" w:lastColumn="0" w:noHBand="0" w:noVBand="0"/>
      </w:tblPr>
      <w:tblGrid>
        <w:gridCol w:w="5670"/>
        <w:gridCol w:w="1054"/>
        <w:gridCol w:w="222"/>
        <w:gridCol w:w="967"/>
        <w:gridCol w:w="302"/>
      </w:tblGrid>
      <w:tr w:rsidR="00481B5E" w:rsidRPr="00A57C43" w14:paraId="00F37183" w14:textId="77777777" w:rsidTr="00477BD2">
        <w:trPr>
          <w:trHeight w:val="227"/>
        </w:trPr>
        <w:tc>
          <w:tcPr>
            <w:tcW w:w="5670" w:type="dxa"/>
            <w:tcBorders>
              <w:top w:val="nil"/>
              <w:left w:val="nil"/>
              <w:bottom w:val="nil"/>
              <w:right w:val="nil"/>
            </w:tcBorders>
            <w:vAlign w:val="bottom"/>
          </w:tcPr>
          <w:p w14:paraId="605A47E8" w14:textId="77777777" w:rsidR="00481B5E" w:rsidRPr="00A57C43" w:rsidRDefault="00481B5E" w:rsidP="00EF293E">
            <w:pPr>
              <w:rPr>
                <w:rFonts w:ascii="Times New Roman" w:hAnsi="Times New Roman"/>
                <w:sz w:val="20"/>
              </w:rPr>
            </w:pPr>
          </w:p>
        </w:tc>
        <w:tc>
          <w:tcPr>
            <w:tcW w:w="1054" w:type="dxa"/>
            <w:tcBorders>
              <w:top w:val="nil"/>
              <w:left w:val="nil"/>
              <w:bottom w:val="single" w:sz="4" w:space="0" w:color="auto"/>
              <w:right w:val="nil"/>
            </w:tcBorders>
          </w:tcPr>
          <w:p w14:paraId="02858A78" w14:textId="6E1485BD" w:rsidR="00481B5E" w:rsidRPr="00A57C43" w:rsidRDefault="00CB1236" w:rsidP="00D04238">
            <w:pPr>
              <w:jc w:val="center"/>
              <w:rPr>
                <w:rFonts w:ascii="Times New Roman" w:eastAsia="Arial Unicode MS" w:hAnsi="Times New Roman"/>
                <w:sz w:val="20"/>
              </w:rPr>
            </w:pPr>
            <w:r w:rsidRPr="00A57C43">
              <w:rPr>
                <w:rFonts w:ascii="Times New Roman" w:eastAsia="Arial Unicode MS" w:hAnsi="Times New Roman"/>
                <w:sz w:val="20"/>
              </w:rPr>
              <w:t>3</w:t>
            </w:r>
            <w:r w:rsidR="00F850BC" w:rsidRPr="00A57C43">
              <w:rPr>
                <w:rFonts w:ascii="Times New Roman" w:eastAsia="Arial Unicode MS" w:hAnsi="Times New Roman"/>
                <w:sz w:val="20"/>
              </w:rPr>
              <w:t>0</w:t>
            </w:r>
            <w:r w:rsidRPr="00A57C43">
              <w:rPr>
                <w:rFonts w:ascii="Times New Roman" w:eastAsia="Arial Unicode MS" w:hAnsi="Times New Roman"/>
                <w:sz w:val="20"/>
              </w:rPr>
              <w:t>.0</w:t>
            </w:r>
            <w:r w:rsidR="00D04238" w:rsidRPr="00A57C43">
              <w:rPr>
                <w:rFonts w:ascii="Times New Roman" w:eastAsia="Arial Unicode MS" w:hAnsi="Times New Roman"/>
                <w:sz w:val="20"/>
              </w:rPr>
              <w:t>9</w:t>
            </w:r>
            <w:r w:rsidR="00481B5E" w:rsidRPr="00A57C43">
              <w:rPr>
                <w:rFonts w:ascii="Times New Roman" w:eastAsia="Arial Unicode MS" w:hAnsi="Times New Roman"/>
                <w:sz w:val="20"/>
              </w:rPr>
              <w:t>.</w:t>
            </w:r>
            <w:r w:rsidRPr="00A57C43">
              <w:rPr>
                <w:rFonts w:ascii="Times New Roman" w:eastAsia="Arial Unicode MS" w:hAnsi="Times New Roman"/>
                <w:sz w:val="20"/>
              </w:rPr>
              <w:t>21</w:t>
            </w:r>
          </w:p>
        </w:tc>
        <w:tc>
          <w:tcPr>
            <w:tcW w:w="222" w:type="dxa"/>
            <w:tcBorders>
              <w:top w:val="nil"/>
              <w:left w:val="nil"/>
              <w:right w:val="nil"/>
            </w:tcBorders>
          </w:tcPr>
          <w:p w14:paraId="581DC262" w14:textId="77777777" w:rsidR="00481B5E" w:rsidRPr="00A57C43" w:rsidRDefault="00481B5E" w:rsidP="00EF293E">
            <w:pPr>
              <w:jc w:val="center"/>
              <w:rPr>
                <w:rFonts w:ascii="Times New Roman" w:eastAsia="Arial Unicode MS" w:hAnsi="Times New Roman"/>
                <w:sz w:val="20"/>
              </w:rPr>
            </w:pPr>
          </w:p>
        </w:tc>
        <w:tc>
          <w:tcPr>
            <w:tcW w:w="967" w:type="dxa"/>
            <w:tcBorders>
              <w:top w:val="nil"/>
              <w:left w:val="nil"/>
              <w:bottom w:val="single" w:sz="4" w:space="0" w:color="auto"/>
              <w:right w:val="nil"/>
            </w:tcBorders>
            <w:noWrap/>
            <w:vAlign w:val="bottom"/>
          </w:tcPr>
          <w:p w14:paraId="08B70A91" w14:textId="065B1067" w:rsidR="00481B5E" w:rsidRPr="00A57C43" w:rsidRDefault="00481B5E" w:rsidP="00F32A58">
            <w:pPr>
              <w:jc w:val="center"/>
              <w:rPr>
                <w:rFonts w:ascii="Times New Roman" w:eastAsia="Arial Unicode MS" w:hAnsi="Times New Roman"/>
                <w:sz w:val="20"/>
              </w:rPr>
            </w:pPr>
            <w:r w:rsidRPr="00A57C43">
              <w:rPr>
                <w:rFonts w:ascii="Times New Roman" w:eastAsia="Arial Unicode MS" w:hAnsi="Times New Roman"/>
                <w:sz w:val="20"/>
              </w:rPr>
              <w:t>31.12.</w:t>
            </w:r>
            <w:r w:rsidR="00F32A58" w:rsidRPr="00A57C43">
              <w:rPr>
                <w:rFonts w:ascii="Times New Roman" w:eastAsia="Arial Unicode MS" w:hAnsi="Times New Roman"/>
                <w:sz w:val="20"/>
              </w:rPr>
              <w:t>20</w:t>
            </w:r>
          </w:p>
        </w:tc>
        <w:tc>
          <w:tcPr>
            <w:tcW w:w="302" w:type="dxa"/>
            <w:tcBorders>
              <w:top w:val="nil"/>
              <w:left w:val="nil"/>
              <w:right w:val="nil"/>
            </w:tcBorders>
            <w:noWrap/>
            <w:vAlign w:val="bottom"/>
          </w:tcPr>
          <w:p w14:paraId="711D0270" w14:textId="77777777" w:rsidR="00481B5E" w:rsidRPr="00A57C43" w:rsidRDefault="00481B5E" w:rsidP="00EF293E">
            <w:pPr>
              <w:jc w:val="center"/>
              <w:rPr>
                <w:rFonts w:ascii="Times New Roman" w:eastAsia="Arial Unicode MS" w:hAnsi="Times New Roman"/>
                <w:sz w:val="20"/>
              </w:rPr>
            </w:pPr>
          </w:p>
        </w:tc>
      </w:tr>
      <w:tr w:rsidR="00481B5E" w:rsidRPr="00A57C43" w14:paraId="464246B5" w14:textId="77777777" w:rsidTr="00477BD2">
        <w:trPr>
          <w:trHeight w:val="227"/>
        </w:trPr>
        <w:tc>
          <w:tcPr>
            <w:tcW w:w="5670" w:type="dxa"/>
            <w:tcBorders>
              <w:top w:val="nil"/>
              <w:left w:val="nil"/>
              <w:bottom w:val="nil"/>
              <w:right w:val="nil"/>
            </w:tcBorders>
            <w:vAlign w:val="bottom"/>
          </w:tcPr>
          <w:p w14:paraId="16565495" w14:textId="77777777" w:rsidR="00481B5E" w:rsidRPr="00A57C43" w:rsidRDefault="00481B5E" w:rsidP="00EF293E">
            <w:pPr>
              <w:rPr>
                <w:rFonts w:ascii="Times New Roman" w:hAnsi="Times New Roman"/>
                <w:sz w:val="20"/>
              </w:rPr>
            </w:pPr>
          </w:p>
        </w:tc>
        <w:tc>
          <w:tcPr>
            <w:tcW w:w="1054" w:type="dxa"/>
            <w:tcBorders>
              <w:top w:val="single" w:sz="4" w:space="0" w:color="auto"/>
              <w:left w:val="nil"/>
              <w:right w:val="nil"/>
            </w:tcBorders>
          </w:tcPr>
          <w:p w14:paraId="08F78F22" w14:textId="77777777" w:rsidR="00481B5E" w:rsidRPr="00A57C43" w:rsidRDefault="00481B5E" w:rsidP="00EF293E">
            <w:pPr>
              <w:jc w:val="center"/>
              <w:rPr>
                <w:rFonts w:ascii="Times New Roman" w:eastAsia="Arial Unicode MS" w:hAnsi="Times New Roman"/>
                <w:sz w:val="20"/>
              </w:rPr>
            </w:pPr>
          </w:p>
        </w:tc>
        <w:tc>
          <w:tcPr>
            <w:tcW w:w="222" w:type="dxa"/>
            <w:tcBorders>
              <w:left w:val="nil"/>
              <w:right w:val="nil"/>
            </w:tcBorders>
          </w:tcPr>
          <w:p w14:paraId="1C3AB068" w14:textId="77777777" w:rsidR="00481B5E" w:rsidRPr="00A57C43" w:rsidRDefault="00481B5E" w:rsidP="00EF293E">
            <w:pPr>
              <w:jc w:val="center"/>
              <w:rPr>
                <w:rFonts w:ascii="Times New Roman" w:eastAsia="Arial Unicode MS" w:hAnsi="Times New Roman"/>
                <w:sz w:val="20"/>
              </w:rPr>
            </w:pPr>
          </w:p>
        </w:tc>
        <w:tc>
          <w:tcPr>
            <w:tcW w:w="967" w:type="dxa"/>
            <w:tcBorders>
              <w:top w:val="single" w:sz="4" w:space="0" w:color="auto"/>
              <w:left w:val="nil"/>
              <w:right w:val="nil"/>
            </w:tcBorders>
            <w:noWrap/>
            <w:vAlign w:val="bottom"/>
          </w:tcPr>
          <w:p w14:paraId="128E4596" w14:textId="77777777" w:rsidR="00481B5E" w:rsidRPr="00A57C43" w:rsidRDefault="00481B5E" w:rsidP="00EF293E">
            <w:pPr>
              <w:jc w:val="center"/>
              <w:rPr>
                <w:rFonts w:ascii="Times New Roman" w:eastAsia="Arial Unicode MS" w:hAnsi="Times New Roman"/>
                <w:sz w:val="20"/>
              </w:rPr>
            </w:pPr>
          </w:p>
        </w:tc>
        <w:tc>
          <w:tcPr>
            <w:tcW w:w="302" w:type="dxa"/>
            <w:tcBorders>
              <w:top w:val="nil"/>
              <w:left w:val="nil"/>
              <w:right w:val="nil"/>
            </w:tcBorders>
            <w:noWrap/>
            <w:vAlign w:val="bottom"/>
          </w:tcPr>
          <w:p w14:paraId="7710455F" w14:textId="77777777" w:rsidR="00481B5E" w:rsidRPr="00A57C43" w:rsidRDefault="00481B5E" w:rsidP="00EF293E">
            <w:pPr>
              <w:jc w:val="center"/>
              <w:rPr>
                <w:rFonts w:ascii="Times New Roman" w:eastAsia="Arial Unicode MS" w:hAnsi="Times New Roman"/>
                <w:sz w:val="20"/>
              </w:rPr>
            </w:pPr>
          </w:p>
        </w:tc>
      </w:tr>
      <w:tr w:rsidR="00481B5E" w:rsidRPr="00A57C43" w14:paraId="5E6E6CEC" w14:textId="77777777" w:rsidTr="00477BD2">
        <w:trPr>
          <w:trHeight w:val="306"/>
        </w:trPr>
        <w:tc>
          <w:tcPr>
            <w:tcW w:w="5670" w:type="dxa"/>
            <w:tcBorders>
              <w:left w:val="nil"/>
              <w:right w:val="nil"/>
            </w:tcBorders>
            <w:vAlign w:val="bottom"/>
          </w:tcPr>
          <w:p w14:paraId="779F7347" w14:textId="77777777" w:rsidR="00481B5E" w:rsidRPr="00A57C43" w:rsidRDefault="00481B5E" w:rsidP="00EF293E">
            <w:pPr>
              <w:rPr>
                <w:rFonts w:ascii="Times New Roman" w:hAnsi="Times New Roman"/>
                <w:sz w:val="20"/>
              </w:rPr>
            </w:pPr>
            <w:r w:rsidRPr="00A57C43">
              <w:rPr>
                <w:rFonts w:ascii="Times New Roman" w:hAnsi="Times New Roman"/>
                <w:sz w:val="20"/>
              </w:rPr>
              <w:t xml:space="preserve"> Bono de la Nación Argentina en pesos ajustado por CER Vto. 2021</w:t>
            </w:r>
          </w:p>
        </w:tc>
        <w:tc>
          <w:tcPr>
            <w:tcW w:w="1054" w:type="dxa"/>
            <w:tcBorders>
              <w:left w:val="nil"/>
              <w:right w:val="nil"/>
            </w:tcBorders>
          </w:tcPr>
          <w:p w14:paraId="3B166FB7" w14:textId="77777777" w:rsidR="00481B5E" w:rsidRPr="00A57C43" w:rsidRDefault="00481B5E" w:rsidP="00EF293E">
            <w:pPr>
              <w:ind w:right="120"/>
              <w:jc w:val="right"/>
              <w:rPr>
                <w:rFonts w:ascii="Times New Roman" w:eastAsia="Arial Unicode MS" w:hAnsi="Times New Roman"/>
                <w:sz w:val="20"/>
              </w:rPr>
            </w:pPr>
          </w:p>
          <w:p w14:paraId="66C8A24F" w14:textId="6314030A" w:rsidR="00481B5E" w:rsidRPr="00A57C43" w:rsidRDefault="00F32A58" w:rsidP="00EF293E">
            <w:pPr>
              <w:ind w:right="120"/>
              <w:jc w:val="right"/>
              <w:rPr>
                <w:rFonts w:ascii="Times New Roman" w:eastAsia="Arial Unicode MS" w:hAnsi="Times New Roman"/>
                <w:sz w:val="20"/>
              </w:rPr>
            </w:pPr>
            <w:r w:rsidRPr="00A57C43">
              <w:rPr>
                <w:rFonts w:ascii="Times New Roman" w:eastAsia="Arial Unicode MS" w:hAnsi="Times New Roman"/>
                <w:sz w:val="20"/>
              </w:rPr>
              <w:t>-</w:t>
            </w:r>
          </w:p>
        </w:tc>
        <w:tc>
          <w:tcPr>
            <w:tcW w:w="222" w:type="dxa"/>
            <w:tcBorders>
              <w:left w:val="nil"/>
              <w:right w:val="nil"/>
            </w:tcBorders>
          </w:tcPr>
          <w:p w14:paraId="3A07A0F1" w14:textId="77777777" w:rsidR="00481B5E" w:rsidRPr="00A57C43" w:rsidRDefault="00481B5E" w:rsidP="00EF293E">
            <w:pPr>
              <w:ind w:right="120"/>
              <w:jc w:val="right"/>
              <w:rPr>
                <w:rFonts w:ascii="Times New Roman" w:eastAsia="Arial Unicode MS" w:hAnsi="Times New Roman"/>
                <w:sz w:val="20"/>
              </w:rPr>
            </w:pPr>
          </w:p>
        </w:tc>
        <w:tc>
          <w:tcPr>
            <w:tcW w:w="967" w:type="dxa"/>
            <w:tcBorders>
              <w:left w:val="nil"/>
              <w:right w:val="nil"/>
            </w:tcBorders>
            <w:noWrap/>
            <w:vAlign w:val="bottom"/>
          </w:tcPr>
          <w:p w14:paraId="51B61B23" w14:textId="56DCAC03" w:rsidR="00481B5E" w:rsidRPr="00A57C43" w:rsidRDefault="00C96983" w:rsidP="00C96983">
            <w:pPr>
              <w:ind w:right="120"/>
              <w:jc w:val="right"/>
              <w:rPr>
                <w:rFonts w:ascii="Times New Roman" w:eastAsia="Arial Unicode MS" w:hAnsi="Times New Roman"/>
                <w:sz w:val="20"/>
              </w:rPr>
            </w:pPr>
            <w:r w:rsidRPr="00A57C43">
              <w:rPr>
                <w:rFonts w:ascii="Times New Roman" w:eastAsia="Arial Unicode MS" w:hAnsi="Times New Roman"/>
                <w:sz w:val="20"/>
              </w:rPr>
              <w:t>85.873</w:t>
            </w:r>
          </w:p>
        </w:tc>
        <w:tc>
          <w:tcPr>
            <w:tcW w:w="302" w:type="dxa"/>
            <w:tcBorders>
              <w:left w:val="nil"/>
              <w:right w:val="nil"/>
            </w:tcBorders>
            <w:noWrap/>
            <w:vAlign w:val="bottom"/>
          </w:tcPr>
          <w:p w14:paraId="523BE288" w14:textId="77777777" w:rsidR="00481B5E" w:rsidRPr="00A57C43" w:rsidRDefault="00481B5E" w:rsidP="00EF293E">
            <w:pPr>
              <w:rPr>
                <w:rFonts w:ascii="Times New Roman" w:eastAsia="Arial Unicode MS" w:hAnsi="Times New Roman"/>
                <w:sz w:val="20"/>
              </w:rPr>
            </w:pPr>
          </w:p>
        </w:tc>
      </w:tr>
    </w:tbl>
    <w:p w14:paraId="4D557AB1" w14:textId="77777777" w:rsidR="00481B5E" w:rsidRPr="00A57C43" w:rsidRDefault="00481B5E" w:rsidP="00481B5E">
      <w:pPr>
        <w:pStyle w:val="Prrafodelista"/>
        <w:spacing w:before="120" w:after="120" w:line="240" w:lineRule="exact"/>
        <w:ind w:left="709"/>
        <w:jc w:val="both"/>
        <w:rPr>
          <w:sz w:val="20"/>
          <w:szCs w:val="20"/>
          <w:lang w:val="es-AR"/>
        </w:rPr>
      </w:pPr>
      <w:r w:rsidRPr="00A57C43">
        <w:rPr>
          <w:sz w:val="20"/>
          <w:szCs w:val="20"/>
          <w:lang w:val="es-AR"/>
        </w:rPr>
        <w:t xml:space="preserve"> La transferencia se debe a que el bono no cotizó en el mercado la cantidad de días necesarios para ser considerado como Nivel 1.</w:t>
      </w:r>
    </w:p>
    <w:p w14:paraId="4DF752A4" w14:textId="77777777" w:rsidR="00CB1236" w:rsidRDefault="00CB1236" w:rsidP="00455FA0">
      <w:pPr>
        <w:pStyle w:val="Prrafodelista"/>
        <w:spacing w:before="120" w:after="120" w:line="240" w:lineRule="exact"/>
        <w:ind w:left="426" w:firstLine="284"/>
        <w:jc w:val="both"/>
        <w:rPr>
          <w:sz w:val="20"/>
          <w:szCs w:val="20"/>
          <w:lang w:val="es-AR"/>
        </w:rPr>
      </w:pPr>
    </w:p>
    <w:p w14:paraId="23C8EFB5" w14:textId="77777777" w:rsidR="00A57C43" w:rsidRDefault="00A57C43" w:rsidP="00455FA0">
      <w:pPr>
        <w:pStyle w:val="Prrafodelista"/>
        <w:spacing w:before="120" w:after="120" w:line="240" w:lineRule="exact"/>
        <w:ind w:left="426" w:firstLine="284"/>
        <w:jc w:val="both"/>
        <w:rPr>
          <w:sz w:val="20"/>
          <w:szCs w:val="20"/>
          <w:lang w:val="es-AR"/>
        </w:rPr>
      </w:pPr>
    </w:p>
    <w:p w14:paraId="6EA0B8CF" w14:textId="77777777" w:rsidR="00A57C43" w:rsidRPr="00A57C43" w:rsidRDefault="00A57C43" w:rsidP="00455FA0">
      <w:pPr>
        <w:pStyle w:val="Prrafodelista"/>
        <w:spacing w:before="120" w:after="120" w:line="240" w:lineRule="exact"/>
        <w:ind w:left="426" w:firstLine="284"/>
        <w:jc w:val="both"/>
        <w:rPr>
          <w:sz w:val="20"/>
          <w:szCs w:val="20"/>
          <w:lang w:val="es-AR"/>
        </w:rPr>
      </w:pPr>
    </w:p>
    <w:p w14:paraId="692885CC" w14:textId="77777777" w:rsidR="00BB0472" w:rsidRPr="00A57C43" w:rsidRDefault="00BB0472" w:rsidP="00455FA0">
      <w:pPr>
        <w:pStyle w:val="Prrafodelista"/>
        <w:spacing w:before="120" w:after="120" w:line="240" w:lineRule="exact"/>
        <w:ind w:left="426" w:firstLine="284"/>
        <w:jc w:val="both"/>
        <w:rPr>
          <w:sz w:val="20"/>
          <w:szCs w:val="20"/>
          <w:lang w:val="es-AR"/>
        </w:rPr>
      </w:pPr>
      <w:r w:rsidRPr="00A57C43">
        <w:rPr>
          <w:sz w:val="20"/>
          <w:szCs w:val="20"/>
          <w:lang w:val="es-AR"/>
        </w:rPr>
        <w:t>b.2) Transferencias desde Nivel 2 a Nivel 1</w:t>
      </w:r>
    </w:p>
    <w:p w14:paraId="4BAB3159" w14:textId="31562A82" w:rsidR="00CB1236" w:rsidRPr="00A57C43" w:rsidRDefault="00CB1236" w:rsidP="00CB1236">
      <w:pPr>
        <w:spacing w:after="120" w:line="240" w:lineRule="exact"/>
        <w:ind w:left="709"/>
        <w:rPr>
          <w:rFonts w:ascii="Times New Roman" w:hAnsi="Times New Roman"/>
          <w:color w:val="000000"/>
          <w:sz w:val="20"/>
        </w:rPr>
      </w:pPr>
      <w:r w:rsidRPr="00A57C43">
        <w:rPr>
          <w:rFonts w:ascii="Times New Roman" w:hAnsi="Times New Roman"/>
          <w:color w:val="000000"/>
          <w:sz w:val="20"/>
        </w:rPr>
        <w:t>Los siguientes instrumentos medidos a valor razonable, fueron transferidos desde Nivel 2 a Nivel 1 de la jerarquía de valor razonable:</w:t>
      </w:r>
    </w:p>
    <w:tbl>
      <w:tblPr>
        <w:tblW w:w="8215" w:type="dxa"/>
        <w:tblInd w:w="1214" w:type="dxa"/>
        <w:tblLayout w:type="fixed"/>
        <w:tblCellMar>
          <w:left w:w="0" w:type="dxa"/>
          <w:right w:w="0" w:type="dxa"/>
        </w:tblCellMar>
        <w:tblLook w:val="0000" w:firstRow="0" w:lastRow="0" w:firstColumn="0" w:lastColumn="0" w:noHBand="0" w:noVBand="0"/>
      </w:tblPr>
      <w:tblGrid>
        <w:gridCol w:w="5670"/>
        <w:gridCol w:w="1480"/>
        <w:gridCol w:w="141"/>
        <w:gridCol w:w="622"/>
        <w:gridCol w:w="302"/>
      </w:tblGrid>
      <w:tr w:rsidR="00CB1236" w:rsidRPr="00A57C43" w14:paraId="515A0CB2" w14:textId="77777777" w:rsidTr="00C96983">
        <w:trPr>
          <w:trHeight w:val="227"/>
        </w:trPr>
        <w:tc>
          <w:tcPr>
            <w:tcW w:w="5670" w:type="dxa"/>
            <w:tcBorders>
              <w:top w:val="nil"/>
              <w:left w:val="nil"/>
              <w:bottom w:val="nil"/>
              <w:right w:val="nil"/>
            </w:tcBorders>
            <w:vAlign w:val="bottom"/>
          </w:tcPr>
          <w:p w14:paraId="0190EE1D" w14:textId="77777777" w:rsidR="00CB1236" w:rsidRPr="00A57C43" w:rsidRDefault="00CB1236" w:rsidP="00CB1236">
            <w:pPr>
              <w:rPr>
                <w:rFonts w:ascii="Times New Roman" w:hAnsi="Times New Roman"/>
                <w:sz w:val="20"/>
              </w:rPr>
            </w:pPr>
          </w:p>
        </w:tc>
        <w:tc>
          <w:tcPr>
            <w:tcW w:w="1480" w:type="dxa"/>
            <w:tcBorders>
              <w:top w:val="nil"/>
              <w:left w:val="nil"/>
              <w:bottom w:val="single" w:sz="4" w:space="0" w:color="auto"/>
              <w:right w:val="nil"/>
            </w:tcBorders>
          </w:tcPr>
          <w:p w14:paraId="300B8CA7" w14:textId="6803C58D" w:rsidR="00CB1236" w:rsidRPr="00A57C43" w:rsidRDefault="00CB1236" w:rsidP="00D04238">
            <w:pPr>
              <w:jc w:val="center"/>
              <w:rPr>
                <w:rFonts w:ascii="Times New Roman" w:eastAsia="Arial Unicode MS" w:hAnsi="Times New Roman"/>
                <w:sz w:val="20"/>
              </w:rPr>
            </w:pPr>
            <w:r w:rsidRPr="00A57C43">
              <w:rPr>
                <w:rFonts w:ascii="Times New Roman" w:eastAsia="Arial Unicode MS" w:hAnsi="Times New Roman"/>
                <w:sz w:val="20"/>
              </w:rPr>
              <w:t>3</w:t>
            </w:r>
            <w:r w:rsidR="00F850BC" w:rsidRPr="00A57C43">
              <w:rPr>
                <w:rFonts w:ascii="Times New Roman" w:eastAsia="Arial Unicode MS" w:hAnsi="Times New Roman"/>
                <w:sz w:val="20"/>
              </w:rPr>
              <w:t>0</w:t>
            </w:r>
            <w:r w:rsidRPr="00A57C43">
              <w:rPr>
                <w:rFonts w:ascii="Times New Roman" w:eastAsia="Arial Unicode MS" w:hAnsi="Times New Roman"/>
                <w:sz w:val="20"/>
              </w:rPr>
              <w:t>.</w:t>
            </w:r>
            <w:r w:rsidR="00477BD2" w:rsidRPr="00A57C43">
              <w:rPr>
                <w:rFonts w:ascii="Times New Roman" w:eastAsia="Arial Unicode MS" w:hAnsi="Times New Roman"/>
                <w:sz w:val="20"/>
              </w:rPr>
              <w:t>0</w:t>
            </w:r>
            <w:r w:rsidR="00D04238" w:rsidRPr="00A57C43">
              <w:rPr>
                <w:rFonts w:ascii="Times New Roman" w:eastAsia="Arial Unicode MS" w:hAnsi="Times New Roman"/>
                <w:sz w:val="20"/>
              </w:rPr>
              <w:t>9</w:t>
            </w:r>
            <w:r w:rsidR="00477BD2" w:rsidRPr="00A57C43">
              <w:rPr>
                <w:rFonts w:ascii="Times New Roman" w:eastAsia="Arial Unicode MS" w:hAnsi="Times New Roman"/>
                <w:sz w:val="20"/>
              </w:rPr>
              <w:t>.21</w:t>
            </w:r>
          </w:p>
        </w:tc>
        <w:tc>
          <w:tcPr>
            <w:tcW w:w="141" w:type="dxa"/>
            <w:tcBorders>
              <w:top w:val="nil"/>
              <w:left w:val="nil"/>
              <w:right w:val="nil"/>
            </w:tcBorders>
          </w:tcPr>
          <w:p w14:paraId="461FAC66" w14:textId="77777777" w:rsidR="00CB1236" w:rsidRPr="00A57C43" w:rsidRDefault="00CB1236" w:rsidP="00CB1236">
            <w:pPr>
              <w:jc w:val="center"/>
              <w:rPr>
                <w:rFonts w:ascii="Times New Roman" w:eastAsia="Arial Unicode MS" w:hAnsi="Times New Roman"/>
                <w:sz w:val="20"/>
              </w:rPr>
            </w:pPr>
          </w:p>
        </w:tc>
        <w:tc>
          <w:tcPr>
            <w:tcW w:w="622" w:type="dxa"/>
            <w:tcBorders>
              <w:top w:val="nil"/>
              <w:left w:val="nil"/>
              <w:right w:val="nil"/>
            </w:tcBorders>
            <w:noWrap/>
            <w:vAlign w:val="bottom"/>
          </w:tcPr>
          <w:p w14:paraId="4825A034" w14:textId="1BCD4699" w:rsidR="00CB1236" w:rsidRPr="00A57C43" w:rsidRDefault="00CB1236" w:rsidP="00CB1236">
            <w:pPr>
              <w:jc w:val="center"/>
              <w:rPr>
                <w:rFonts w:ascii="Times New Roman" w:eastAsia="Arial Unicode MS" w:hAnsi="Times New Roman"/>
                <w:sz w:val="20"/>
              </w:rPr>
            </w:pPr>
          </w:p>
        </w:tc>
        <w:tc>
          <w:tcPr>
            <w:tcW w:w="302" w:type="dxa"/>
            <w:tcBorders>
              <w:top w:val="nil"/>
              <w:left w:val="nil"/>
              <w:right w:val="nil"/>
            </w:tcBorders>
            <w:noWrap/>
            <w:vAlign w:val="bottom"/>
          </w:tcPr>
          <w:p w14:paraId="667FD6A3" w14:textId="77777777" w:rsidR="00CB1236" w:rsidRPr="00A57C43" w:rsidRDefault="00CB1236" w:rsidP="00CB1236">
            <w:pPr>
              <w:jc w:val="center"/>
              <w:rPr>
                <w:rFonts w:ascii="Times New Roman" w:eastAsia="Arial Unicode MS" w:hAnsi="Times New Roman"/>
                <w:sz w:val="20"/>
              </w:rPr>
            </w:pPr>
          </w:p>
        </w:tc>
      </w:tr>
      <w:tr w:rsidR="00CB1236" w:rsidRPr="00A57C43" w14:paraId="1443765F" w14:textId="77777777" w:rsidTr="00C96983">
        <w:trPr>
          <w:trHeight w:val="227"/>
        </w:trPr>
        <w:tc>
          <w:tcPr>
            <w:tcW w:w="5670" w:type="dxa"/>
            <w:tcBorders>
              <w:top w:val="nil"/>
              <w:left w:val="nil"/>
              <w:bottom w:val="nil"/>
              <w:right w:val="nil"/>
            </w:tcBorders>
            <w:vAlign w:val="bottom"/>
          </w:tcPr>
          <w:p w14:paraId="06A5EE92" w14:textId="77777777" w:rsidR="00CB1236" w:rsidRPr="00A57C43" w:rsidRDefault="00CB1236" w:rsidP="00CB1236">
            <w:pPr>
              <w:rPr>
                <w:rFonts w:ascii="Times New Roman" w:hAnsi="Times New Roman"/>
                <w:sz w:val="20"/>
              </w:rPr>
            </w:pPr>
          </w:p>
        </w:tc>
        <w:tc>
          <w:tcPr>
            <w:tcW w:w="1480" w:type="dxa"/>
            <w:tcBorders>
              <w:top w:val="single" w:sz="4" w:space="0" w:color="auto"/>
              <w:left w:val="nil"/>
              <w:right w:val="nil"/>
            </w:tcBorders>
          </w:tcPr>
          <w:p w14:paraId="26BE0BB7" w14:textId="77777777" w:rsidR="00CB1236" w:rsidRPr="00A57C43" w:rsidRDefault="00CB1236" w:rsidP="00CB1236">
            <w:pPr>
              <w:jc w:val="center"/>
              <w:rPr>
                <w:rFonts w:ascii="Times New Roman" w:eastAsia="Arial Unicode MS" w:hAnsi="Times New Roman"/>
                <w:sz w:val="20"/>
              </w:rPr>
            </w:pPr>
          </w:p>
        </w:tc>
        <w:tc>
          <w:tcPr>
            <w:tcW w:w="141" w:type="dxa"/>
            <w:tcBorders>
              <w:left w:val="nil"/>
              <w:right w:val="nil"/>
            </w:tcBorders>
          </w:tcPr>
          <w:p w14:paraId="63D4398E" w14:textId="77777777" w:rsidR="00CB1236" w:rsidRPr="00A57C43" w:rsidRDefault="00CB1236" w:rsidP="00CB1236">
            <w:pPr>
              <w:jc w:val="center"/>
              <w:rPr>
                <w:rFonts w:ascii="Times New Roman" w:eastAsia="Arial Unicode MS" w:hAnsi="Times New Roman"/>
                <w:sz w:val="20"/>
              </w:rPr>
            </w:pPr>
          </w:p>
        </w:tc>
        <w:tc>
          <w:tcPr>
            <w:tcW w:w="622" w:type="dxa"/>
            <w:tcBorders>
              <w:left w:val="nil"/>
              <w:right w:val="nil"/>
            </w:tcBorders>
            <w:noWrap/>
            <w:vAlign w:val="bottom"/>
          </w:tcPr>
          <w:p w14:paraId="5FB0E0C3" w14:textId="77777777" w:rsidR="00CB1236" w:rsidRPr="00A57C43" w:rsidRDefault="00CB1236" w:rsidP="00CB1236">
            <w:pPr>
              <w:jc w:val="center"/>
              <w:rPr>
                <w:rFonts w:ascii="Times New Roman" w:eastAsia="Arial Unicode MS" w:hAnsi="Times New Roman"/>
                <w:sz w:val="20"/>
              </w:rPr>
            </w:pPr>
          </w:p>
        </w:tc>
        <w:tc>
          <w:tcPr>
            <w:tcW w:w="302" w:type="dxa"/>
            <w:tcBorders>
              <w:top w:val="nil"/>
              <w:left w:val="nil"/>
              <w:right w:val="nil"/>
            </w:tcBorders>
            <w:noWrap/>
            <w:vAlign w:val="bottom"/>
          </w:tcPr>
          <w:p w14:paraId="1FAB936D" w14:textId="77777777" w:rsidR="00CB1236" w:rsidRPr="00A57C43" w:rsidRDefault="00CB1236" w:rsidP="00CB1236">
            <w:pPr>
              <w:jc w:val="center"/>
              <w:rPr>
                <w:rFonts w:ascii="Times New Roman" w:eastAsia="Arial Unicode MS" w:hAnsi="Times New Roman"/>
                <w:sz w:val="20"/>
              </w:rPr>
            </w:pPr>
          </w:p>
        </w:tc>
      </w:tr>
      <w:tr w:rsidR="00C96983" w:rsidRPr="00A57C43" w14:paraId="0F53D0E1" w14:textId="77777777" w:rsidTr="00C96983">
        <w:trPr>
          <w:trHeight w:val="306"/>
        </w:trPr>
        <w:tc>
          <w:tcPr>
            <w:tcW w:w="5670" w:type="dxa"/>
            <w:tcBorders>
              <w:left w:val="nil"/>
              <w:right w:val="nil"/>
            </w:tcBorders>
          </w:tcPr>
          <w:p w14:paraId="2A26F797" w14:textId="77777777" w:rsidR="00C96983" w:rsidRPr="00A57C43" w:rsidRDefault="00C96983" w:rsidP="00C96983">
            <w:pPr>
              <w:rPr>
                <w:rFonts w:ascii="Times New Roman" w:hAnsi="Times New Roman"/>
                <w:sz w:val="20"/>
              </w:rPr>
            </w:pPr>
          </w:p>
          <w:p w14:paraId="7B20CFB5" w14:textId="608DEA26" w:rsidR="00C96983" w:rsidRPr="00A57C43" w:rsidRDefault="00C96983" w:rsidP="00C96983">
            <w:pPr>
              <w:rPr>
                <w:rFonts w:ascii="Times New Roman" w:hAnsi="Times New Roman"/>
                <w:sz w:val="20"/>
              </w:rPr>
            </w:pPr>
            <w:r w:rsidRPr="00A57C43">
              <w:rPr>
                <w:rFonts w:ascii="Times New Roman" w:hAnsi="Times New Roman"/>
                <w:sz w:val="20"/>
              </w:rPr>
              <w:t>Bonos del Tesoro en pesos ajustados por CER 1,20% Vto 18-03-2022</w:t>
            </w:r>
          </w:p>
        </w:tc>
        <w:tc>
          <w:tcPr>
            <w:tcW w:w="1480" w:type="dxa"/>
            <w:tcBorders>
              <w:left w:val="nil"/>
              <w:right w:val="nil"/>
            </w:tcBorders>
          </w:tcPr>
          <w:p w14:paraId="3B493FF5" w14:textId="77777777" w:rsidR="00C96983" w:rsidRPr="00A57C43" w:rsidRDefault="00C96983" w:rsidP="00C96983">
            <w:pPr>
              <w:ind w:right="120"/>
              <w:jc w:val="right"/>
              <w:rPr>
                <w:rFonts w:ascii="Times New Roman" w:hAnsi="Times New Roman"/>
                <w:sz w:val="20"/>
              </w:rPr>
            </w:pPr>
            <w:r w:rsidRPr="00A57C43">
              <w:rPr>
                <w:rFonts w:ascii="Times New Roman" w:hAnsi="Times New Roman"/>
                <w:sz w:val="20"/>
              </w:rPr>
              <w:t xml:space="preserve"> </w:t>
            </w:r>
          </w:p>
          <w:p w14:paraId="43C09514" w14:textId="04276E87" w:rsidR="00C96983" w:rsidRPr="00A57C43" w:rsidRDefault="00C96983" w:rsidP="00C96983">
            <w:pPr>
              <w:ind w:right="120"/>
              <w:jc w:val="right"/>
              <w:rPr>
                <w:rFonts w:ascii="Times New Roman" w:eastAsia="Arial Unicode MS" w:hAnsi="Times New Roman"/>
                <w:sz w:val="20"/>
              </w:rPr>
            </w:pPr>
            <w:r w:rsidRPr="00A57C43">
              <w:rPr>
                <w:rFonts w:ascii="Times New Roman" w:hAnsi="Times New Roman"/>
                <w:sz w:val="20"/>
              </w:rPr>
              <w:t xml:space="preserve">3.790.274 </w:t>
            </w:r>
          </w:p>
        </w:tc>
        <w:tc>
          <w:tcPr>
            <w:tcW w:w="141" w:type="dxa"/>
            <w:tcBorders>
              <w:left w:val="nil"/>
              <w:right w:val="nil"/>
            </w:tcBorders>
          </w:tcPr>
          <w:p w14:paraId="4E23FE13" w14:textId="77777777" w:rsidR="00C96983" w:rsidRPr="00A57C43" w:rsidRDefault="00C96983" w:rsidP="00C96983">
            <w:pPr>
              <w:ind w:right="120"/>
              <w:jc w:val="right"/>
              <w:rPr>
                <w:rFonts w:ascii="Times New Roman" w:eastAsia="Arial Unicode MS" w:hAnsi="Times New Roman"/>
                <w:sz w:val="20"/>
              </w:rPr>
            </w:pPr>
          </w:p>
        </w:tc>
        <w:tc>
          <w:tcPr>
            <w:tcW w:w="622" w:type="dxa"/>
            <w:tcBorders>
              <w:left w:val="nil"/>
              <w:right w:val="nil"/>
            </w:tcBorders>
            <w:noWrap/>
            <w:vAlign w:val="bottom"/>
          </w:tcPr>
          <w:p w14:paraId="55D708A0" w14:textId="2D1A27B6" w:rsidR="00C96983" w:rsidRPr="00A57C43" w:rsidRDefault="00C96983" w:rsidP="00C96983">
            <w:pPr>
              <w:ind w:right="120"/>
              <w:jc w:val="right"/>
              <w:rPr>
                <w:rFonts w:ascii="Times New Roman" w:hAnsi="Times New Roman"/>
                <w:sz w:val="20"/>
              </w:rPr>
            </w:pPr>
          </w:p>
        </w:tc>
        <w:tc>
          <w:tcPr>
            <w:tcW w:w="302" w:type="dxa"/>
            <w:tcBorders>
              <w:left w:val="nil"/>
              <w:right w:val="nil"/>
            </w:tcBorders>
            <w:noWrap/>
            <w:vAlign w:val="bottom"/>
          </w:tcPr>
          <w:p w14:paraId="3572C747" w14:textId="77777777" w:rsidR="00C96983" w:rsidRPr="00A57C43" w:rsidRDefault="00C96983" w:rsidP="00C96983">
            <w:pPr>
              <w:rPr>
                <w:rFonts w:ascii="Times New Roman" w:eastAsia="Arial Unicode MS" w:hAnsi="Times New Roman"/>
                <w:sz w:val="20"/>
              </w:rPr>
            </w:pPr>
          </w:p>
        </w:tc>
      </w:tr>
      <w:tr w:rsidR="00C96983" w:rsidRPr="00A57C43" w14:paraId="19C71F82" w14:textId="77777777" w:rsidTr="00C96983">
        <w:trPr>
          <w:trHeight w:val="306"/>
        </w:trPr>
        <w:tc>
          <w:tcPr>
            <w:tcW w:w="5670" w:type="dxa"/>
            <w:tcBorders>
              <w:left w:val="nil"/>
              <w:right w:val="nil"/>
            </w:tcBorders>
          </w:tcPr>
          <w:p w14:paraId="6752381C" w14:textId="77777777" w:rsidR="00C96983" w:rsidRPr="00A57C43" w:rsidRDefault="00C96983" w:rsidP="00C96983">
            <w:pPr>
              <w:rPr>
                <w:rFonts w:ascii="Times New Roman" w:hAnsi="Times New Roman"/>
                <w:sz w:val="20"/>
              </w:rPr>
            </w:pPr>
          </w:p>
          <w:p w14:paraId="5FF247BD" w14:textId="60F153BA" w:rsidR="00C96983" w:rsidRPr="00A57C43" w:rsidRDefault="00C96983" w:rsidP="00C96983">
            <w:pPr>
              <w:rPr>
                <w:rFonts w:ascii="Times New Roman" w:hAnsi="Times New Roman"/>
                <w:sz w:val="20"/>
              </w:rPr>
            </w:pPr>
            <w:r w:rsidRPr="00A57C43">
              <w:rPr>
                <w:rFonts w:ascii="Times New Roman" w:hAnsi="Times New Roman"/>
                <w:sz w:val="20"/>
              </w:rPr>
              <w:t>Bonos del Tesoro en pesos ajustados por CER 1,50% Vto 25-03-2024</w:t>
            </w:r>
          </w:p>
        </w:tc>
        <w:tc>
          <w:tcPr>
            <w:tcW w:w="1480" w:type="dxa"/>
            <w:tcBorders>
              <w:left w:val="nil"/>
              <w:right w:val="nil"/>
            </w:tcBorders>
          </w:tcPr>
          <w:p w14:paraId="0506D07B" w14:textId="77777777" w:rsidR="00C96983" w:rsidRPr="00A57C43" w:rsidRDefault="00C96983" w:rsidP="00C96983">
            <w:pPr>
              <w:ind w:right="120"/>
              <w:jc w:val="right"/>
              <w:rPr>
                <w:rFonts w:ascii="Times New Roman" w:hAnsi="Times New Roman"/>
                <w:sz w:val="20"/>
              </w:rPr>
            </w:pPr>
            <w:r w:rsidRPr="00A57C43">
              <w:rPr>
                <w:rFonts w:ascii="Times New Roman" w:hAnsi="Times New Roman"/>
                <w:sz w:val="20"/>
              </w:rPr>
              <w:t xml:space="preserve"> </w:t>
            </w:r>
          </w:p>
          <w:p w14:paraId="6CB6FD0B" w14:textId="7178C38A" w:rsidR="00C96983" w:rsidRPr="00A57C43" w:rsidRDefault="00C96983" w:rsidP="00C96983">
            <w:pPr>
              <w:ind w:right="120"/>
              <w:jc w:val="right"/>
              <w:rPr>
                <w:rFonts w:ascii="Times New Roman" w:eastAsia="Arial Unicode MS" w:hAnsi="Times New Roman"/>
                <w:sz w:val="20"/>
              </w:rPr>
            </w:pPr>
            <w:r w:rsidRPr="00A57C43">
              <w:rPr>
                <w:rFonts w:ascii="Times New Roman" w:hAnsi="Times New Roman"/>
                <w:sz w:val="20"/>
              </w:rPr>
              <w:t xml:space="preserve">10.882.892 </w:t>
            </w:r>
          </w:p>
        </w:tc>
        <w:tc>
          <w:tcPr>
            <w:tcW w:w="141" w:type="dxa"/>
            <w:tcBorders>
              <w:left w:val="nil"/>
              <w:right w:val="nil"/>
            </w:tcBorders>
          </w:tcPr>
          <w:p w14:paraId="4316719A" w14:textId="77777777" w:rsidR="00C96983" w:rsidRPr="00A57C43" w:rsidRDefault="00C96983" w:rsidP="00C96983">
            <w:pPr>
              <w:ind w:right="120"/>
              <w:jc w:val="right"/>
              <w:rPr>
                <w:rFonts w:ascii="Times New Roman" w:eastAsia="Arial Unicode MS" w:hAnsi="Times New Roman"/>
                <w:sz w:val="20"/>
              </w:rPr>
            </w:pPr>
          </w:p>
        </w:tc>
        <w:tc>
          <w:tcPr>
            <w:tcW w:w="622" w:type="dxa"/>
            <w:tcBorders>
              <w:left w:val="nil"/>
              <w:right w:val="nil"/>
            </w:tcBorders>
            <w:noWrap/>
            <w:vAlign w:val="bottom"/>
          </w:tcPr>
          <w:p w14:paraId="4F10FC48" w14:textId="5F723992" w:rsidR="00C96983" w:rsidRPr="00A57C43" w:rsidRDefault="00C96983" w:rsidP="00C96983">
            <w:pPr>
              <w:ind w:right="120"/>
              <w:jc w:val="right"/>
              <w:rPr>
                <w:rFonts w:ascii="Times New Roman" w:hAnsi="Times New Roman"/>
                <w:sz w:val="20"/>
              </w:rPr>
            </w:pPr>
          </w:p>
        </w:tc>
        <w:tc>
          <w:tcPr>
            <w:tcW w:w="302" w:type="dxa"/>
            <w:tcBorders>
              <w:left w:val="nil"/>
              <w:right w:val="nil"/>
            </w:tcBorders>
            <w:noWrap/>
            <w:vAlign w:val="bottom"/>
          </w:tcPr>
          <w:p w14:paraId="59AB401B" w14:textId="77777777" w:rsidR="00C96983" w:rsidRPr="00A57C43" w:rsidRDefault="00C96983" w:rsidP="00C96983">
            <w:pPr>
              <w:rPr>
                <w:rFonts w:ascii="Times New Roman" w:eastAsia="Arial Unicode MS" w:hAnsi="Times New Roman"/>
                <w:sz w:val="20"/>
              </w:rPr>
            </w:pPr>
          </w:p>
        </w:tc>
      </w:tr>
      <w:tr w:rsidR="00C96983" w:rsidRPr="00A57C43" w14:paraId="0F527F6A" w14:textId="77777777" w:rsidTr="00C96983">
        <w:trPr>
          <w:trHeight w:val="306"/>
        </w:trPr>
        <w:tc>
          <w:tcPr>
            <w:tcW w:w="5670" w:type="dxa"/>
            <w:tcBorders>
              <w:left w:val="nil"/>
              <w:right w:val="nil"/>
            </w:tcBorders>
          </w:tcPr>
          <w:p w14:paraId="133195A9" w14:textId="77777777" w:rsidR="00C96983" w:rsidRPr="00A57C43" w:rsidRDefault="00C96983" w:rsidP="00C96983">
            <w:pPr>
              <w:rPr>
                <w:rFonts w:ascii="Times New Roman" w:hAnsi="Times New Roman"/>
                <w:sz w:val="20"/>
              </w:rPr>
            </w:pPr>
          </w:p>
          <w:p w14:paraId="4DB358F8" w14:textId="3B525478" w:rsidR="00C96983" w:rsidRPr="00A57C43" w:rsidRDefault="00C96983" w:rsidP="00C96983">
            <w:pPr>
              <w:rPr>
                <w:rFonts w:ascii="Times New Roman" w:hAnsi="Times New Roman"/>
                <w:sz w:val="20"/>
              </w:rPr>
            </w:pPr>
            <w:r w:rsidRPr="00A57C43">
              <w:rPr>
                <w:rFonts w:ascii="Times New Roman" w:hAnsi="Times New Roman"/>
                <w:sz w:val="20"/>
              </w:rPr>
              <w:t>Bonos del Tesoro en pesos ajustados por CER 1,40% Vto 25-03-2023</w:t>
            </w:r>
          </w:p>
        </w:tc>
        <w:tc>
          <w:tcPr>
            <w:tcW w:w="1480" w:type="dxa"/>
            <w:tcBorders>
              <w:left w:val="nil"/>
              <w:right w:val="nil"/>
            </w:tcBorders>
          </w:tcPr>
          <w:p w14:paraId="77C7E052" w14:textId="77777777" w:rsidR="00C96983" w:rsidRPr="00A57C43" w:rsidRDefault="00C96983" w:rsidP="00C96983">
            <w:pPr>
              <w:ind w:right="120"/>
              <w:jc w:val="right"/>
              <w:rPr>
                <w:rFonts w:ascii="Times New Roman" w:hAnsi="Times New Roman"/>
                <w:sz w:val="20"/>
              </w:rPr>
            </w:pPr>
            <w:r w:rsidRPr="00A57C43">
              <w:rPr>
                <w:rFonts w:ascii="Times New Roman" w:hAnsi="Times New Roman"/>
                <w:sz w:val="20"/>
              </w:rPr>
              <w:t xml:space="preserve"> </w:t>
            </w:r>
          </w:p>
          <w:p w14:paraId="7468F6FC" w14:textId="49F59B3B" w:rsidR="00C96983" w:rsidRPr="00A57C43" w:rsidRDefault="00C96983" w:rsidP="00C96983">
            <w:pPr>
              <w:ind w:right="120"/>
              <w:jc w:val="right"/>
              <w:rPr>
                <w:rFonts w:ascii="Times New Roman" w:eastAsia="Arial Unicode MS" w:hAnsi="Times New Roman"/>
                <w:sz w:val="20"/>
              </w:rPr>
            </w:pPr>
            <w:r w:rsidRPr="00A57C43">
              <w:rPr>
                <w:rFonts w:ascii="Times New Roman" w:hAnsi="Times New Roman"/>
                <w:sz w:val="20"/>
              </w:rPr>
              <w:t xml:space="preserve">5.726.602 </w:t>
            </w:r>
          </w:p>
        </w:tc>
        <w:tc>
          <w:tcPr>
            <w:tcW w:w="141" w:type="dxa"/>
            <w:tcBorders>
              <w:left w:val="nil"/>
              <w:right w:val="nil"/>
            </w:tcBorders>
          </w:tcPr>
          <w:p w14:paraId="79D81A07" w14:textId="77777777" w:rsidR="00C96983" w:rsidRPr="00A57C43" w:rsidRDefault="00C96983" w:rsidP="00C96983">
            <w:pPr>
              <w:ind w:right="120"/>
              <w:jc w:val="right"/>
              <w:rPr>
                <w:rFonts w:ascii="Times New Roman" w:eastAsia="Arial Unicode MS" w:hAnsi="Times New Roman"/>
                <w:sz w:val="20"/>
              </w:rPr>
            </w:pPr>
          </w:p>
        </w:tc>
        <w:tc>
          <w:tcPr>
            <w:tcW w:w="622" w:type="dxa"/>
            <w:tcBorders>
              <w:left w:val="nil"/>
              <w:right w:val="nil"/>
            </w:tcBorders>
            <w:noWrap/>
            <w:vAlign w:val="bottom"/>
          </w:tcPr>
          <w:p w14:paraId="726B81BD" w14:textId="3C1788AE" w:rsidR="00C96983" w:rsidRPr="00A57C43" w:rsidRDefault="00C96983" w:rsidP="00C96983">
            <w:pPr>
              <w:ind w:right="120"/>
              <w:jc w:val="right"/>
              <w:rPr>
                <w:rFonts w:ascii="Times New Roman" w:hAnsi="Times New Roman"/>
                <w:sz w:val="20"/>
              </w:rPr>
            </w:pPr>
          </w:p>
        </w:tc>
        <w:tc>
          <w:tcPr>
            <w:tcW w:w="302" w:type="dxa"/>
            <w:tcBorders>
              <w:left w:val="nil"/>
              <w:right w:val="nil"/>
            </w:tcBorders>
            <w:noWrap/>
            <w:vAlign w:val="bottom"/>
          </w:tcPr>
          <w:p w14:paraId="215D31F6" w14:textId="77777777" w:rsidR="00C96983" w:rsidRPr="00A57C43" w:rsidRDefault="00C96983" w:rsidP="00C96983">
            <w:pPr>
              <w:rPr>
                <w:rFonts w:ascii="Times New Roman" w:eastAsia="Arial Unicode MS" w:hAnsi="Times New Roman"/>
                <w:sz w:val="20"/>
              </w:rPr>
            </w:pPr>
          </w:p>
        </w:tc>
      </w:tr>
      <w:tr w:rsidR="00C96983" w:rsidRPr="00A57C43" w14:paraId="22049500" w14:textId="77777777" w:rsidTr="00C96983">
        <w:trPr>
          <w:trHeight w:val="306"/>
        </w:trPr>
        <w:tc>
          <w:tcPr>
            <w:tcW w:w="5670" w:type="dxa"/>
            <w:tcBorders>
              <w:left w:val="nil"/>
              <w:right w:val="nil"/>
            </w:tcBorders>
          </w:tcPr>
          <w:p w14:paraId="16465B01" w14:textId="77777777" w:rsidR="00C96983" w:rsidRPr="00A57C43" w:rsidRDefault="00C96983" w:rsidP="00C96983">
            <w:pPr>
              <w:rPr>
                <w:rFonts w:ascii="Times New Roman" w:hAnsi="Times New Roman"/>
                <w:sz w:val="20"/>
              </w:rPr>
            </w:pPr>
          </w:p>
          <w:p w14:paraId="70178247" w14:textId="10350D65" w:rsidR="00C96983" w:rsidRPr="00A57C43" w:rsidRDefault="00C96983" w:rsidP="00C96983">
            <w:pPr>
              <w:rPr>
                <w:rFonts w:ascii="Times New Roman" w:hAnsi="Times New Roman"/>
                <w:sz w:val="20"/>
              </w:rPr>
            </w:pPr>
            <w:r w:rsidRPr="00A57C43">
              <w:rPr>
                <w:rFonts w:ascii="Times New Roman" w:hAnsi="Times New Roman"/>
                <w:sz w:val="20"/>
              </w:rPr>
              <w:t>Bonos del Tesoro en pesos ajustados por CER 1,30% Vto 20-09-2022</w:t>
            </w:r>
          </w:p>
        </w:tc>
        <w:tc>
          <w:tcPr>
            <w:tcW w:w="1480" w:type="dxa"/>
            <w:tcBorders>
              <w:left w:val="nil"/>
              <w:right w:val="nil"/>
            </w:tcBorders>
          </w:tcPr>
          <w:p w14:paraId="6E510092" w14:textId="77777777" w:rsidR="00C96983" w:rsidRPr="00A57C43" w:rsidRDefault="00C96983" w:rsidP="00C96983">
            <w:pPr>
              <w:ind w:right="120"/>
              <w:jc w:val="right"/>
              <w:rPr>
                <w:rFonts w:ascii="Times New Roman" w:hAnsi="Times New Roman"/>
                <w:sz w:val="20"/>
              </w:rPr>
            </w:pPr>
            <w:r w:rsidRPr="00A57C43">
              <w:rPr>
                <w:rFonts w:ascii="Times New Roman" w:hAnsi="Times New Roman"/>
                <w:sz w:val="20"/>
              </w:rPr>
              <w:t xml:space="preserve"> </w:t>
            </w:r>
          </w:p>
          <w:p w14:paraId="50EDD29B" w14:textId="348FCE96" w:rsidR="00C96983" w:rsidRPr="00A57C43" w:rsidRDefault="00C96983" w:rsidP="00C96983">
            <w:pPr>
              <w:ind w:right="120"/>
              <w:jc w:val="right"/>
              <w:rPr>
                <w:rFonts w:ascii="Times New Roman" w:eastAsia="Arial Unicode MS" w:hAnsi="Times New Roman"/>
                <w:sz w:val="20"/>
              </w:rPr>
            </w:pPr>
            <w:r w:rsidRPr="00A57C43">
              <w:rPr>
                <w:rFonts w:ascii="Times New Roman" w:hAnsi="Times New Roman"/>
                <w:sz w:val="20"/>
              </w:rPr>
              <w:t xml:space="preserve">5.461.373 </w:t>
            </w:r>
          </w:p>
        </w:tc>
        <w:tc>
          <w:tcPr>
            <w:tcW w:w="141" w:type="dxa"/>
            <w:tcBorders>
              <w:left w:val="nil"/>
              <w:right w:val="nil"/>
            </w:tcBorders>
          </w:tcPr>
          <w:p w14:paraId="4EB5650A" w14:textId="77777777" w:rsidR="00C96983" w:rsidRPr="00A57C43" w:rsidRDefault="00C96983" w:rsidP="00C96983">
            <w:pPr>
              <w:ind w:right="120"/>
              <w:jc w:val="right"/>
              <w:rPr>
                <w:rFonts w:ascii="Times New Roman" w:eastAsia="Arial Unicode MS" w:hAnsi="Times New Roman"/>
                <w:sz w:val="20"/>
              </w:rPr>
            </w:pPr>
          </w:p>
        </w:tc>
        <w:tc>
          <w:tcPr>
            <w:tcW w:w="622" w:type="dxa"/>
            <w:tcBorders>
              <w:left w:val="nil"/>
              <w:right w:val="nil"/>
            </w:tcBorders>
            <w:noWrap/>
            <w:vAlign w:val="bottom"/>
          </w:tcPr>
          <w:p w14:paraId="1FF21D95" w14:textId="6DE3519A" w:rsidR="00C96983" w:rsidRPr="00A57C43" w:rsidRDefault="00C96983" w:rsidP="00C96983">
            <w:pPr>
              <w:ind w:right="120"/>
              <w:jc w:val="right"/>
              <w:rPr>
                <w:rFonts w:ascii="Times New Roman" w:hAnsi="Times New Roman"/>
                <w:sz w:val="20"/>
              </w:rPr>
            </w:pPr>
          </w:p>
        </w:tc>
        <w:tc>
          <w:tcPr>
            <w:tcW w:w="302" w:type="dxa"/>
            <w:tcBorders>
              <w:left w:val="nil"/>
              <w:right w:val="nil"/>
            </w:tcBorders>
            <w:noWrap/>
            <w:vAlign w:val="bottom"/>
          </w:tcPr>
          <w:p w14:paraId="266594A7" w14:textId="77777777" w:rsidR="00C96983" w:rsidRPr="00A57C43" w:rsidRDefault="00C96983" w:rsidP="00C96983">
            <w:pPr>
              <w:rPr>
                <w:rFonts w:ascii="Times New Roman" w:eastAsia="Arial Unicode MS" w:hAnsi="Times New Roman"/>
                <w:sz w:val="20"/>
              </w:rPr>
            </w:pPr>
          </w:p>
        </w:tc>
      </w:tr>
    </w:tbl>
    <w:p w14:paraId="0D5856D2" w14:textId="77777777" w:rsidR="00477BD2" w:rsidRPr="00A57C43" w:rsidRDefault="00CB1236" w:rsidP="00CB1236">
      <w:pPr>
        <w:pStyle w:val="Prrafodelista"/>
        <w:spacing w:before="120" w:after="120" w:line="240" w:lineRule="exact"/>
        <w:ind w:left="709"/>
        <w:jc w:val="both"/>
        <w:rPr>
          <w:sz w:val="20"/>
          <w:szCs w:val="20"/>
          <w:lang w:val="es-AR"/>
        </w:rPr>
      </w:pPr>
      <w:r w:rsidRPr="00A57C43">
        <w:rPr>
          <w:sz w:val="20"/>
          <w:szCs w:val="20"/>
          <w:lang w:val="es-AR"/>
        </w:rPr>
        <w:t xml:space="preserve"> </w:t>
      </w:r>
    </w:p>
    <w:p w14:paraId="23841803" w14:textId="4A3605D9" w:rsidR="00AC286D" w:rsidRPr="00A57C43" w:rsidRDefault="00CB1236" w:rsidP="00AC286D">
      <w:pPr>
        <w:pStyle w:val="Prrafodelista"/>
        <w:spacing w:before="120" w:after="120" w:line="240" w:lineRule="exact"/>
        <w:ind w:left="709"/>
        <w:jc w:val="both"/>
        <w:rPr>
          <w:sz w:val="20"/>
          <w:szCs w:val="20"/>
          <w:lang w:val="es-AR"/>
        </w:rPr>
      </w:pPr>
      <w:r w:rsidRPr="00A57C43">
        <w:rPr>
          <w:sz w:val="20"/>
          <w:szCs w:val="20"/>
          <w:lang w:val="es-AR"/>
        </w:rPr>
        <w:t xml:space="preserve">La transferencia se debe a que </w:t>
      </w:r>
      <w:r w:rsidR="005B1B6A" w:rsidRPr="00A57C43">
        <w:rPr>
          <w:sz w:val="20"/>
          <w:szCs w:val="20"/>
          <w:lang w:val="es-AR"/>
        </w:rPr>
        <w:t xml:space="preserve">los bonos cotizaron </w:t>
      </w:r>
      <w:r w:rsidRPr="00A57C43">
        <w:rPr>
          <w:sz w:val="20"/>
          <w:szCs w:val="20"/>
          <w:lang w:val="es-AR"/>
        </w:rPr>
        <w:t>en el mercado la cantidad de días necesarios para ser considerado</w:t>
      </w:r>
      <w:r w:rsidR="005B1B6A" w:rsidRPr="00A57C43">
        <w:rPr>
          <w:sz w:val="20"/>
          <w:szCs w:val="20"/>
          <w:lang w:val="es-AR"/>
        </w:rPr>
        <w:t>s</w:t>
      </w:r>
      <w:r w:rsidRPr="00A57C43">
        <w:rPr>
          <w:sz w:val="20"/>
          <w:szCs w:val="20"/>
          <w:lang w:val="es-AR"/>
        </w:rPr>
        <w:t xml:space="preserve"> como Nivel 1.</w:t>
      </w:r>
      <w:r w:rsidR="00AC286D" w:rsidRPr="00A57C43">
        <w:rPr>
          <w:sz w:val="20"/>
          <w:szCs w:val="20"/>
          <w:lang w:val="es-AR"/>
        </w:rPr>
        <w:t xml:space="preserve"> Cabe señalar además, que no se han producido transferencias desde el Nivel 2 a Nivel 1 al 31 de diciembre de 2020.</w:t>
      </w:r>
    </w:p>
    <w:p w14:paraId="4B8D9593" w14:textId="722E868B" w:rsidR="00726F81" w:rsidRPr="00A57C43" w:rsidRDefault="00AC286D" w:rsidP="00EF017B">
      <w:pPr>
        <w:pStyle w:val="Prrafodelista"/>
        <w:spacing w:before="120" w:after="120" w:line="240" w:lineRule="exact"/>
        <w:ind w:left="709"/>
        <w:jc w:val="both"/>
        <w:rPr>
          <w:sz w:val="20"/>
          <w:szCs w:val="20"/>
          <w:lang w:val="es-AR"/>
        </w:rPr>
      </w:pPr>
      <w:r w:rsidRPr="00A57C43">
        <w:rPr>
          <w:sz w:val="20"/>
          <w:szCs w:val="20"/>
          <w:lang w:val="es-AR"/>
        </w:rPr>
        <w:t xml:space="preserve"> </w:t>
      </w:r>
    </w:p>
    <w:p w14:paraId="467DA328" w14:textId="77777777" w:rsidR="007710DD" w:rsidRPr="00A57C43" w:rsidRDefault="007710DD" w:rsidP="007710DD">
      <w:pPr>
        <w:pStyle w:val="Prrafodelista"/>
        <w:spacing w:before="120" w:after="120" w:line="240" w:lineRule="exact"/>
        <w:ind w:left="426" w:firstLine="284"/>
        <w:jc w:val="both"/>
        <w:rPr>
          <w:sz w:val="20"/>
          <w:szCs w:val="20"/>
          <w:lang w:val="es-AR"/>
        </w:rPr>
      </w:pPr>
      <w:r w:rsidRPr="00A57C43">
        <w:rPr>
          <w:sz w:val="20"/>
          <w:szCs w:val="20"/>
          <w:lang w:val="es-AR"/>
        </w:rPr>
        <w:t>b.3) Técnicas de valuación para Niveles 2 y 3</w:t>
      </w:r>
    </w:p>
    <w:p w14:paraId="5CE91B35" w14:textId="77777777" w:rsidR="007710DD" w:rsidRPr="00A57C43" w:rsidRDefault="007710DD" w:rsidP="007710DD">
      <w:pPr>
        <w:ind w:left="709"/>
        <w:jc w:val="both"/>
        <w:rPr>
          <w:rFonts w:ascii="Times New Roman" w:hAnsi="Times New Roman"/>
          <w:sz w:val="20"/>
        </w:rPr>
      </w:pPr>
      <w:r w:rsidRPr="00A57C43">
        <w:rPr>
          <w:rFonts w:ascii="Times New Roman" w:hAnsi="Times New Roman"/>
          <w:sz w:val="20"/>
        </w:rPr>
        <w:t>Las técnicas de valuación utilizadas para las especies clasificadas en Nivel 2 requieren la utilización de datos de entrada observables en el mercado: la curva de descuento spot en pesos, dólar, CER, la curva de rendimiento pesos que surge de los futuros de ROFEX, la curva de rendimiento pesos que surge de los futuros operados en el Broker ICAP y el tipo de cambio spot venta del Banco de la Nación Argentina (BNA). A continuación, se detallan las técnicas de valuación por cada producto financiero:</w:t>
      </w:r>
    </w:p>
    <w:p w14:paraId="75C5ACBF" w14:textId="77777777" w:rsidR="007710DD" w:rsidRPr="00A57C43" w:rsidRDefault="007710DD" w:rsidP="007710DD">
      <w:pPr>
        <w:ind w:left="709"/>
        <w:jc w:val="both"/>
        <w:rPr>
          <w:rFonts w:ascii="Times New Roman" w:hAnsi="Times New Roman"/>
          <w:sz w:val="20"/>
        </w:rPr>
      </w:pPr>
    </w:p>
    <w:p w14:paraId="3B811C30" w14:textId="77777777" w:rsidR="007710DD" w:rsidRPr="00A57C43" w:rsidRDefault="007710DD" w:rsidP="007710DD">
      <w:pPr>
        <w:pStyle w:val="Prrafodelista"/>
        <w:spacing w:before="120" w:after="120" w:line="240" w:lineRule="exact"/>
        <w:ind w:left="0" w:firstLine="284"/>
        <w:jc w:val="both"/>
        <w:rPr>
          <w:b/>
          <w:sz w:val="20"/>
          <w:szCs w:val="20"/>
          <w:lang w:val="es-AR"/>
        </w:rPr>
      </w:pPr>
      <w:r w:rsidRPr="00A57C43">
        <w:rPr>
          <w:sz w:val="20"/>
          <w:szCs w:val="20"/>
          <w:lang w:val="es-AR"/>
        </w:rPr>
        <w:tab/>
        <w:t xml:space="preserve">  </w:t>
      </w:r>
      <w:r w:rsidRPr="00A57C43">
        <w:rPr>
          <w:b/>
          <w:sz w:val="20"/>
          <w:szCs w:val="20"/>
          <w:lang w:val="es-AR"/>
        </w:rPr>
        <w:t xml:space="preserve">Renta Fija </w:t>
      </w:r>
    </w:p>
    <w:p w14:paraId="63234091" w14:textId="77777777" w:rsidR="007710DD" w:rsidRPr="00A57C43" w:rsidRDefault="007710DD" w:rsidP="007710DD">
      <w:pPr>
        <w:ind w:left="709"/>
        <w:jc w:val="both"/>
        <w:rPr>
          <w:rFonts w:ascii="Times New Roman" w:hAnsi="Times New Roman"/>
          <w:sz w:val="20"/>
        </w:rPr>
      </w:pPr>
    </w:p>
    <w:p w14:paraId="5A70E06D" w14:textId="77777777" w:rsidR="007710DD" w:rsidRPr="00A57C43" w:rsidRDefault="007710DD" w:rsidP="007710DD">
      <w:pPr>
        <w:ind w:left="709"/>
        <w:jc w:val="both"/>
        <w:rPr>
          <w:rFonts w:ascii="Times New Roman" w:hAnsi="Times New Roman"/>
          <w:sz w:val="20"/>
        </w:rPr>
      </w:pPr>
      <w:r w:rsidRPr="00A57C43">
        <w:rPr>
          <w:rFonts w:ascii="Times New Roman" w:hAnsi="Times New Roman"/>
          <w:sz w:val="20"/>
        </w:rPr>
        <w:t xml:space="preserve">La determinación de precios a valor razonable que establece el Banco para renta fija consiste en considerar los precios representativos de mercado correspondientes del MAE. </w:t>
      </w:r>
    </w:p>
    <w:p w14:paraId="375EA910" w14:textId="77777777" w:rsidR="007710DD" w:rsidRPr="00A57C43" w:rsidRDefault="007710DD" w:rsidP="007710DD">
      <w:pPr>
        <w:ind w:left="709"/>
        <w:jc w:val="both"/>
        <w:rPr>
          <w:rFonts w:ascii="Times New Roman" w:hAnsi="Times New Roman"/>
          <w:sz w:val="20"/>
        </w:rPr>
      </w:pPr>
    </w:p>
    <w:p w14:paraId="4588A121" w14:textId="77777777" w:rsidR="007710DD" w:rsidRPr="00A57C43" w:rsidRDefault="007710DD" w:rsidP="007710DD">
      <w:pPr>
        <w:ind w:left="709"/>
        <w:jc w:val="both"/>
        <w:rPr>
          <w:rFonts w:ascii="Times New Roman" w:hAnsi="Times New Roman"/>
          <w:sz w:val="20"/>
        </w:rPr>
      </w:pPr>
      <w:r w:rsidRPr="00A57C43">
        <w:rPr>
          <w:rFonts w:ascii="Times New Roman" w:hAnsi="Times New Roman"/>
          <w:sz w:val="20"/>
        </w:rPr>
        <w:t>En el caso de los bonos y letras del Tesoro Nacional se capturan precios del MAE, si los bonos no cotizan en los últimos 10 días hábiles se procede a realizar una valoración teórica descontando los flujos de fondos con la curva de descuento correspondiente.</w:t>
      </w:r>
    </w:p>
    <w:p w14:paraId="259A526C" w14:textId="77777777" w:rsidR="007710DD" w:rsidRPr="00A57C43" w:rsidRDefault="007710DD" w:rsidP="007710DD">
      <w:pPr>
        <w:ind w:left="709"/>
        <w:jc w:val="both"/>
        <w:rPr>
          <w:rFonts w:ascii="Times New Roman" w:hAnsi="Times New Roman"/>
          <w:sz w:val="20"/>
        </w:rPr>
      </w:pPr>
    </w:p>
    <w:p w14:paraId="2C58AE23" w14:textId="77777777" w:rsidR="007710DD" w:rsidRPr="00A57C43" w:rsidRDefault="007710DD" w:rsidP="007710DD">
      <w:pPr>
        <w:ind w:left="709"/>
        <w:jc w:val="both"/>
        <w:rPr>
          <w:rFonts w:ascii="Times New Roman" w:hAnsi="Times New Roman"/>
          <w:sz w:val="20"/>
        </w:rPr>
      </w:pPr>
      <w:r w:rsidRPr="00A57C43">
        <w:rPr>
          <w:rFonts w:ascii="Times New Roman" w:hAnsi="Times New Roman"/>
          <w:sz w:val="20"/>
        </w:rPr>
        <w:t>Las Letras de Liquidez del Banco Central de la República Argentina que no cotizaron en MAE en el día de fin de mes fueron valoradas teóricamente descontando el flujo con la tasa de política monetaria.</w:t>
      </w:r>
    </w:p>
    <w:p w14:paraId="611D3155" w14:textId="77777777" w:rsidR="007710DD" w:rsidRDefault="007710DD" w:rsidP="007710DD">
      <w:pPr>
        <w:ind w:left="709"/>
        <w:jc w:val="both"/>
        <w:rPr>
          <w:rFonts w:ascii="Times New Roman" w:hAnsi="Times New Roman"/>
          <w:sz w:val="20"/>
        </w:rPr>
      </w:pPr>
    </w:p>
    <w:p w14:paraId="26DED709" w14:textId="77777777" w:rsidR="00A57C43" w:rsidRDefault="00A57C43" w:rsidP="007710DD">
      <w:pPr>
        <w:ind w:left="709"/>
        <w:jc w:val="both"/>
        <w:rPr>
          <w:rFonts w:ascii="Times New Roman" w:hAnsi="Times New Roman"/>
          <w:sz w:val="20"/>
        </w:rPr>
      </w:pPr>
    </w:p>
    <w:p w14:paraId="4DEC353B" w14:textId="77777777" w:rsidR="00A57C43" w:rsidRDefault="00A57C43" w:rsidP="007710DD">
      <w:pPr>
        <w:ind w:left="709"/>
        <w:jc w:val="both"/>
        <w:rPr>
          <w:rFonts w:ascii="Times New Roman" w:hAnsi="Times New Roman"/>
          <w:sz w:val="20"/>
        </w:rPr>
      </w:pPr>
    </w:p>
    <w:p w14:paraId="79C304C7" w14:textId="77777777" w:rsidR="00A57C43" w:rsidRPr="00A57C43" w:rsidRDefault="00A57C43" w:rsidP="007710DD">
      <w:pPr>
        <w:ind w:left="709"/>
        <w:jc w:val="both"/>
        <w:rPr>
          <w:rFonts w:ascii="Times New Roman" w:hAnsi="Times New Roman"/>
          <w:sz w:val="20"/>
        </w:rPr>
      </w:pPr>
    </w:p>
    <w:p w14:paraId="71E808F4" w14:textId="77777777" w:rsidR="007710DD" w:rsidRPr="00A57C43" w:rsidRDefault="007710DD" w:rsidP="007710DD">
      <w:pPr>
        <w:ind w:left="709"/>
        <w:jc w:val="both"/>
        <w:rPr>
          <w:rFonts w:ascii="Times New Roman" w:hAnsi="Times New Roman"/>
          <w:b/>
          <w:sz w:val="20"/>
        </w:rPr>
      </w:pPr>
    </w:p>
    <w:p w14:paraId="6DAC6EDE" w14:textId="77777777" w:rsidR="007710DD" w:rsidRPr="00A57C43" w:rsidRDefault="007710DD" w:rsidP="007710DD">
      <w:pPr>
        <w:ind w:left="709"/>
        <w:jc w:val="both"/>
        <w:rPr>
          <w:rFonts w:ascii="Times New Roman" w:hAnsi="Times New Roman"/>
          <w:b/>
          <w:sz w:val="20"/>
        </w:rPr>
      </w:pPr>
      <w:r w:rsidRPr="00A57C43">
        <w:rPr>
          <w:rFonts w:ascii="Times New Roman" w:hAnsi="Times New Roman"/>
          <w:b/>
          <w:sz w:val="20"/>
        </w:rPr>
        <w:t>SWAPS</w:t>
      </w:r>
    </w:p>
    <w:p w14:paraId="0B261D7B" w14:textId="77777777" w:rsidR="007710DD" w:rsidRPr="00A57C43" w:rsidRDefault="007710DD" w:rsidP="007710DD">
      <w:pPr>
        <w:jc w:val="both"/>
        <w:rPr>
          <w:rFonts w:ascii="Times New Roman" w:hAnsi="Times New Roman"/>
          <w:sz w:val="20"/>
        </w:rPr>
      </w:pPr>
    </w:p>
    <w:p w14:paraId="5045C1A3" w14:textId="77777777" w:rsidR="007710DD" w:rsidRPr="00A57C43" w:rsidRDefault="007710DD" w:rsidP="007710DD">
      <w:pPr>
        <w:ind w:left="709"/>
        <w:jc w:val="both"/>
        <w:rPr>
          <w:rFonts w:ascii="Times New Roman" w:hAnsi="Times New Roman"/>
          <w:sz w:val="20"/>
        </w:rPr>
      </w:pPr>
      <w:r w:rsidRPr="00A57C43">
        <w:rPr>
          <w:rFonts w:ascii="Times New Roman" w:hAnsi="Times New Roman"/>
          <w:sz w:val="20"/>
        </w:rPr>
        <w:t xml:space="preserve">La valoración teórica que se realiza para los swaps consiste en el descuento de los flujos futuros a partir de la tasa de interés según la curva estimada con bonos en pesos a tasa fija y letras emitidos por el Gobierno de la Nación Argentina. </w:t>
      </w:r>
    </w:p>
    <w:p w14:paraId="1F226EC5" w14:textId="77777777" w:rsidR="007710DD" w:rsidRPr="00A57C43" w:rsidRDefault="007710DD" w:rsidP="007710DD">
      <w:pPr>
        <w:ind w:left="709"/>
        <w:jc w:val="both"/>
        <w:rPr>
          <w:rFonts w:ascii="Times New Roman" w:hAnsi="Times New Roman"/>
          <w:sz w:val="20"/>
        </w:rPr>
      </w:pPr>
    </w:p>
    <w:p w14:paraId="07004C45" w14:textId="77777777" w:rsidR="007710DD" w:rsidRPr="00A57C43" w:rsidRDefault="007710DD" w:rsidP="007710DD">
      <w:pPr>
        <w:ind w:left="709"/>
        <w:jc w:val="both"/>
        <w:rPr>
          <w:rFonts w:ascii="Times New Roman" w:hAnsi="Times New Roman"/>
          <w:b/>
          <w:sz w:val="20"/>
        </w:rPr>
      </w:pPr>
    </w:p>
    <w:p w14:paraId="317A983B" w14:textId="77777777" w:rsidR="007710DD" w:rsidRPr="00A57C43" w:rsidRDefault="007710DD" w:rsidP="007710DD">
      <w:pPr>
        <w:ind w:left="709"/>
        <w:jc w:val="both"/>
        <w:rPr>
          <w:rFonts w:ascii="Times New Roman" w:hAnsi="Times New Roman"/>
          <w:b/>
          <w:sz w:val="20"/>
        </w:rPr>
      </w:pPr>
      <w:r w:rsidRPr="00A57C43">
        <w:rPr>
          <w:rFonts w:ascii="Times New Roman" w:hAnsi="Times New Roman"/>
          <w:b/>
          <w:sz w:val="20"/>
        </w:rPr>
        <w:t>Non Delivery Forwards</w:t>
      </w:r>
    </w:p>
    <w:p w14:paraId="472EECDE" w14:textId="77777777" w:rsidR="007710DD" w:rsidRPr="00A57C43" w:rsidRDefault="007710DD" w:rsidP="007710DD">
      <w:pPr>
        <w:ind w:left="709"/>
        <w:jc w:val="both"/>
        <w:rPr>
          <w:rFonts w:ascii="Times New Roman" w:hAnsi="Times New Roman"/>
          <w:sz w:val="20"/>
        </w:rPr>
      </w:pPr>
    </w:p>
    <w:p w14:paraId="6E41EDE4" w14:textId="77777777" w:rsidR="007710DD" w:rsidRPr="00A57C43" w:rsidRDefault="007710DD" w:rsidP="007710DD">
      <w:pPr>
        <w:ind w:left="709"/>
        <w:jc w:val="both"/>
        <w:rPr>
          <w:rFonts w:ascii="Times New Roman" w:hAnsi="Times New Roman"/>
          <w:sz w:val="20"/>
        </w:rPr>
      </w:pPr>
      <w:r w:rsidRPr="00A57C43">
        <w:rPr>
          <w:rFonts w:ascii="Times New Roman" w:hAnsi="Times New Roman"/>
          <w:sz w:val="20"/>
        </w:rPr>
        <w:t>La valoración teórica consiste en descontar los flujos futuros a intercambiar según el contrato por una curva de descuento que va a depender de la moneda de cada flujo. Luego se calcula el resultado restando los valores presente en pesos, estimando el valor en pesos con el tipo de cambio spot correspondiente según sea un contrato local u offshore.</w:t>
      </w:r>
    </w:p>
    <w:p w14:paraId="72503D95" w14:textId="77777777" w:rsidR="007710DD" w:rsidRPr="00A57C43" w:rsidRDefault="007710DD" w:rsidP="007710DD">
      <w:pPr>
        <w:ind w:left="709"/>
        <w:jc w:val="both"/>
        <w:rPr>
          <w:rFonts w:ascii="Times New Roman" w:hAnsi="Times New Roman"/>
          <w:sz w:val="20"/>
        </w:rPr>
      </w:pPr>
    </w:p>
    <w:p w14:paraId="0B5783C7" w14:textId="77777777" w:rsidR="007710DD" w:rsidRPr="00A57C43" w:rsidRDefault="007710DD" w:rsidP="007710DD">
      <w:pPr>
        <w:ind w:left="709"/>
        <w:jc w:val="both"/>
        <w:rPr>
          <w:rFonts w:ascii="Times New Roman" w:hAnsi="Times New Roman"/>
          <w:sz w:val="20"/>
        </w:rPr>
      </w:pPr>
      <w:r w:rsidRPr="00A57C43">
        <w:rPr>
          <w:rFonts w:ascii="Times New Roman" w:hAnsi="Times New Roman"/>
          <w:sz w:val="20"/>
        </w:rPr>
        <w:t>En el caso de los contratos locales de intercambios pesos-dólar, el flujo en pesos se descuenta con la curva de rendimientos en pesos que surge a partir de los precios de los futuros de ROFEX y el tipo de cambio spot dólar BNA venta. El flujo en dólar se descuenta con la curva de dólar internacional Overnight Index Swap (OIS). Luego para realizar el neteo de valores presentes el flujo en dólar se transforma a pesos con el dólar spot venta publicado por el BNA.</w:t>
      </w:r>
    </w:p>
    <w:p w14:paraId="37672C81" w14:textId="77777777" w:rsidR="007710DD" w:rsidRPr="00A57C43" w:rsidRDefault="007710DD" w:rsidP="007710DD">
      <w:pPr>
        <w:ind w:left="709"/>
        <w:jc w:val="both"/>
        <w:rPr>
          <w:rFonts w:ascii="Times New Roman" w:hAnsi="Times New Roman"/>
          <w:sz w:val="20"/>
        </w:rPr>
      </w:pPr>
    </w:p>
    <w:p w14:paraId="0C232815" w14:textId="77777777" w:rsidR="007710DD" w:rsidRPr="00A57C43" w:rsidRDefault="007710DD" w:rsidP="007710DD">
      <w:pPr>
        <w:ind w:left="709"/>
        <w:jc w:val="both"/>
        <w:rPr>
          <w:rFonts w:ascii="Times New Roman" w:hAnsi="Times New Roman"/>
          <w:sz w:val="20"/>
        </w:rPr>
      </w:pPr>
      <w:r w:rsidRPr="00A57C43">
        <w:rPr>
          <w:rFonts w:ascii="Times New Roman" w:hAnsi="Times New Roman"/>
          <w:sz w:val="20"/>
        </w:rPr>
        <w:t>En el caso de los contratos locales de intercambios pesos-euro, el flujo en pesos se descuenta con la curva de rendimientos en pesos que surge a partir de los precios de los futuros de ROFEX y el tipo de cambio spot dólar BNA venta. El flujo en euro se descuenta con la curva de rendimientos en euros. Luego para realizar el neteo de valores presentes el flujo en euro se transforma a pesos con el euro spot venta publicado por el BNA.</w:t>
      </w:r>
    </w:p>
    <w:p w14:paraId="3BC57197" w14:textId="77777777" w:rsidR="007710DD" w:rsidRPr="00A57C43" w:rsidRDefault="007710DD" w:rsidP="007710DD">
      <w:pPr>
        <w:ind w:left="709"/>
        <w:jc w:val="both"/>
        <w:rPr>
          <w:rFonts w:ascii="Times New Roman" w:hAnsi="Times New Roman"/>
          <w:sz w:val="20"/>
        </w:rPr>
      </w:pPr>
    </w:p>
    <w:p w14:paraId="20A37E08" w14:textId="77777777" w:rsidR="007710DD" w:rsidRPr="00A57C43" w:rsidRDefault="007710DD" w:rsidP="007710DD">
      <w:pPr>
        <w:ind w:left="709"/>
        <w:jc w:val="both"/>
        <w:rPr>
          <w:rFonts w:ascii="Times New Roman" w:hAnsi="Times New Roman"/>
          <w:sz w:val="20"/>
        </w:rPr>
      </w:pPr>
      <w:r w:rsidRPr="00A57C43">
        <w:rPr>
          <w:rFonts w:ascii="Times New Roman" w:hAnsi="Times New Roman"/>
          <w:sz w:val="20"/>
        </w:rPr>
        <w:t>En el caso de los contratos offshore de intercambios pesos-dólar, el flujo en pesos se descuenta con la curva de rendimientos en pesos que surge a partir de los precios forwards cotizados en mercado en ICAP y el tipo de cambio dólar spot venta BNA. El flujo en dólar se descuenta con la curva de rendimientos OIS. Luego para realizar el neteo de valores presente el flujo en dólar se transforma a pesos con el dólar spot Emerging Markets Traders Association (E.M.T.A.).</w:t>
      </w:r>
    </w:p>
    <w:p w14:paraId="3B26BA05" w14:textId="77777777" w:rsidR="007710DD" w:rsidRPr="00A57C43" w:rsidRDefault="007710DD" w:rsidP="007710DD">
      <w:pPr>
        <w:ind w:left="709"/>
        <w:jc w:val="both"/>
        <w:rPr>
          <w:rFonts w:ascii="Times New Roman" w:hAnsi="Times New Roman"/>
          <w:sz w:val="20"/>
        </w:rPr>
      </w:pPr>
    </w:p>
    <w:p w14:paraId="57BB25BC" w14:textId="77777777" w:rsidR="007710DD" w:rsidRPr="00A57C43" w:rsidRDefault="007710DD" w:rsidP="007710DD">
      <w:pPr>
        <w:ind w:left="709"/>
        <w:jc w:val="both"/>
        <w:rPr>
          <w:rFonts w:ascii="Times New Roman" w:hAnsi="Times New Roman"/>
          <w:sz w:val="20"/>
        </w:rPr>
      </w:pPr>
      <w:r w:rsidRPr="00A57C43">
        <w:rPr>
          <w:rFonts w:ascii="Times New Roman" w:hAnsi="Times New Roman"/>
          <w:sz w:val="20"/>
        </w:rPr>
        <w:t>Las técnicas de valuación utilizadas para los activos financieros clasificados en Nivel 3 requieren la utilización de variables no obtenidas de datos de entrada observables en el mercado. A continuación, se detallan las técnicas de valuación utilizadas por cada activo financiero:</w:t>
      </w:r>
    </w:p>
    <w:p w14:paraId="41A387EC" w14:textId="77777777" w:rsidR="007710DD" w:rsidRPr="00A57C43" w:rsidRDefault="007710DD" w:rsidP="007710DD">
      <w:pPr>
        <w:ind w:left="709"/>
        <w:jc w:val="both"/>
        <w:rPr>
          <w:rFonts w:ascii="Times New Roman" w:hAnsi="Times New Roman"/>
          <w:sz w:val="20"/>
        </w:rPr>
      </w:pPr>
    </w:p>
    <w:p w14:paraId="39A22E6B" w14:textId="77777777" w:rsidR="007710DD" w:rsidRPr="00A57C43" w:rsidRDefault="007710DD" w:rsidP="008B63BA">
      <w:pPr>
        <w:ind w:left="709"/>
        <w:jc w:val="both"/>
        <w:rPr>
          <w:rFonts w:ascii="Times New Roman" w:hAnsi="Times New Roman"/>
          <w:b/>
          <w:sz w:val="20"/>
        </w:rPr>
      </w:pPr>
    </w:p>
    <w:p w14:paraId="78E630B9" w14:textId="77777777" w:rsidR="008B63BA" w:rsidRPr="00A57C43" w:rsidRDefault="008B63BA" w:rsidP="008B63BA">
      <w:pPr>
        <w:ind w:left="709"/>
        <w:jc w:val="both"/>
        <w:rPr>
          <w:rFonts w:ascii="Times New Roman" w:hAnsi="Times New Roman"/>
          <w:b/>
          <w:sz w:val="20"/>
        </w:rPr>
      </w:pPr>
      <w:r w:rsidRPr="00A57C43">
        <w:rPr>
          <w:rFonts w:ascii="Times New Roman" w:hAnsi="Times New Roman"/>
          <w:b/>
          <w:sz w:val="20"/>
        </w:rPr>
        <w:t>Inversiones en Instrumentos de Patrimonio</w:t>
      </w:r>
    </w:p>
    <w:p w14:paraId="31E81375" w14:textId="77777777" w:rsidR="008B63BA" w:rsidRPr="00A57C43" w:rsidRDefault="008B63BA" w:rsidP="008B63BA">
      <w:pPr>
        <w:ind w:left="709"/>
        <w:jc w:val="both"/>
        <w:rPr>
          <w:rFonts w:ascii="Times New Roman" w:hAnsi="Times New Roman"/>
          <w:sz w:val="20"/>
        </w:rPr>
      </w:pPr>
    </w:p>
    <w:p w14:paraId="2F3F38DC" w14:textId="0AA89CCD" w:rsidR="008B63BA" w:rsidRPr="00A57C43" w:rsidRDefault="008B63BA" w:rsidP="008B63BA">
      <w:pPr>
        <w:ind w:left="709"/>
        <w:jc w:val="both"/>
        <w:rPr>
          <w:rFonts w:ascii="Times New Roman" w:hAnsi="Times New Roman"/>
          <w:sz w:val="20"/>
        </w:rPr>
      </w:pPr>
      <w:r w:rsidRPr="00A57C43">
        <w:rPr>
          <w:rFonts w:ascii="Times New Roman" w:hAnsi="Times New Roman"/>
          <w:sz w:val="20"/>
        </w:rPr>
        <w:t xml:space="preserve">El cálculo del valor razonable de la participación mantenida en Prisma Medios de Pago S.A., clasificada en Nivel 3, </w:t>
      </w:r>
      <w:r w:rsidR="0090554B" w:rsidRPr="00A57C43">
        <w:rPr>
          <w:rFonts w:ascii="Times New Roman" w:hAnsi="Times New Roman"/>
          <w:sz w:val="20"/>
        </w:rPr>
        <w:t xml:space="preserve">ha sido determinado por la Gerencia de la Entidad con el input </w:t>
      </w:r>
      <w:r w:rsidRPr="00A57C43">
        <w:rPr>
          <w:rFonts w:ascii="Times New Roman" w:hAnsi="Times New Roman"/>
          <w:sz w:val="20"/>
        </w:rPr>
        <w:t>de</w:t>
      </w:r>
      <w:r w:rsidR="00F0471A" w:rsidRPr="00A57C43">
        <w:rPr>
          <w:rFonts w:ascii="Times New Roman" w:hAnsi="Times New Roman"/>
          <w:sz w:val="20"/>
        </w:rPr>
        <w:t>l informe de valuación</w:t>
      </w:r>
      <w:r w:rsidRPr="00A57C43">
        <w:rPr>
          <w:rFonts w:ascii="Times New Roman" w:hAnsi="Times New Roman"/>
          <w:sz w:val="20"/>
        </w:rPr>
        <w:t xml:space="preserve"> realizad</w:t>
      </w:r>
      <w:r w:rsidR="00F0471A" w:rsidRPr="00A57C43">
        <w:rPr>
          <w:rFonts w:ascii="Times New Roman" w:hAnsi="Times New Roman"/>
          <w:sz w:val="20"/>
        </w:rPr>
        <w:t>o</w:t>
      </w:r>
      <w:r w:rsidRPr="00A57C43">
        <w:rPr>
          <w:rFonts w:ascii="Times New Roman" w:hAnsi="Times New Roman"/>
          <w:sz w:val="20"/>
        </w:rPr>
        <w:t xml:space="preserve"> por </w:t>
      </w:r>
      <w:r w:rsidR="00F0471A" w:rsidRPr="00A57C43">
        <w:rPr>
          <w:rFonts w:ascii="Times New Roman" w:hAnsi="Times New Roman"/>
          <w:sz w:val="20"/>
        </w:rPr>
        <w:t xml:space="preserve">un </w:t>
      </w:r>
      <w:r w:rsidRPr="00A57C43">
        <w:rPr>
          <w:rFonts w:ascii="Times New Roman" w:hAnsi="Times New Roman"/>
          <w:sz w:val="20"/>
        </w:rPr>
        <w:t>experto independiente, que utiliz</w:t>
      </w:r>
      <w:r w:rsidR="00F0471A" w:rsidRPr="00A57C43">
        <w:rPr>
          <w:rFonts w:ascii="Times New Roman" w:hAnsi="Times New Roman"/>
          <w:sz w:val="20"/>
        </w:rPr>
        <w:t>ó</w:t>
      </w:r>
      <w:r w:rsidRPr="00A57C43">
        <w:rPr>
          <w:rFonts w:ascii="Times New Roman" w:hAnsi="Times New Roman"/>
          <w:sz w:val="20"/>
        </w:rPr>
        <w:t xml:space="preserve"> una técnica de medición de flujos de fondos futuros descontados con un enfoque de ingresos neto del ajuste de valuación requerido por el B.C.R.A. en su</w:t>
      </w:r>
      <w:r w:rsidR="00055215" w:rsidRPr="00A57C43">
        <w:rPr>
          <w:rFonts w:ascii="Times New Roman" w:hAnsi="Times New Roman"/>
          <w:sz w:val="20"/>
        </w:rPr>
        <w:t>s</w:t>
      </w:r>
      <w:r w:rsidRPr="00A57C43">
        <w:rPr>
          <w:rFonts w:ascii="Times New Roman" w:hAnsi="Times New Roman"/>
          <w:sz w:val="20"/>
        </w:rPr>
        <w:t xml:space="preserve"> Memorando</w:t>
      </w:r>
      <w:r w:rsidR="0033538A">
        <w:rPr>
          <w:rFonts w:ascii="Times New Roman" w:hAnsi="Times New Roman"/>
          <w:sz w:val="20"/>
        </w:rPr>
        <w:t>s</w:t>
      </w:r>
      <w:r w:rsidRPr="00A57C43">
        <w:rPr>
          <w:rFonts w:ascii="Times New Roman" w:hAnsi="Times New Roman"/>
          <w:sz w:val="20"/>
        </w:rPr>
        <w:t xml:space="preserve"> N° 7/2019</w:t>
      </w:r>
      <w:r w:rsidR="000A73E4" w:rsidRPr="00A57C43">
        <w:rPr>
          <w:rFonts w:ascii="Times New Roman" w:hAnsi="Times New Roman"/>
          <w:sz w:val="20"/>
        </w:rPr>
        <w:t xml:space="preserve"> </w:t>
      </w:r>
      <w:r w:rsidR="00055215" w:rsidRPr="00A57C43">
        <w:rPr>
          <w:rFonts w:ascii="Times New Roman" w:hAnsi="Times New Roman"/>
          <w:sz w:val="20"/>
        </w:rPr>
        <w:t>y N° 8/2021</w:t>
      </w:r>
      <w:r w:rsidR="0033538A">
        <w:rPr>
          <w:rFonts w:ascii="Times New Roman" w:hAnsi="Times New Roman"/>
          <w:sz w:val="20"/>
        </w:rPr>
        <w:t xml:space="preserve"> </w:t>
      </w:r>
      <w:r w:rsidR="000A73E4" w:rsidRPr="00A57C43">
        <w:rPr>
          <w:rFonts w:ascii="Times New Roman" w:hAnsi="Times New Roman"/>
          <w:sz w:val="20"/>
        </w:rPr>
        <w:t>y neto del cobro de dividendos</w:t>
      </w:r>
      <w:r w:rsidR="00422FD1" w:rsidRPr="00A57C43">
        <w:rPr>
          <w:rFonts w:ascii="Times New Roman" w:hAnsi="Times New Roman"/>
          <w:sz w:val="20"/>
        </w:rPr>
        <w:t xml:space="preserve"> (Nota 2.b) y Nota 16</w:t>
      </w:r>
      <w:r w:rsidRPr="00A57C43">
        <w:rPr>
          <w:rFonts w:ascii="Times New Roman" w:hAnsi="Times New Roman"/>
          <w:sz w:val="20"/>
        </w:rPr>
        <w:t>).</w:t>
      </w:r>
    </w:p>
    <w:p w14:paraId="47563328" w14:textId="77777777" w:rsidR="003B4B28" w:rsidRPr="00A57C43" w:rsidRDefault="003B4B28" w:rsidP="008B63BA">
      <w:pPr>
        <w:ind w:left="709"/>
        <w:jc w:val="both"/>
        <w:rPr>
          <w:rFonts w:ascii="Times New Roman" w:hAnsi="Times New Roman"/>
          <w:sz w:val="20"/>
        </w:rPr>
      </w:pPr>
    </w:p>
    <w:p w14:paraId="2063905B" w14:textId="77777777" w:rsidR="00BE6371" w:rsidRPr="00A57C43" w:rsidRDefault="00BE6371" w:rsidP="008B63BA">
      <w:pPr>
        <w:ind w:left="709"/>
        <w:jc w:val="both"/>
        <w:rPr>
          <w:rFonts w:ascii="Times New Roman" w:hAnsi="Times New Roman"/>
          <w:sz w:val="20"/>
        </w:rPr>
      </w:pPr>
    </w:p>
    <w:p w14:paraId="26A5A4AA" w14:textId="77777777" w:rsidR="00BE6371" w:rsidRPr="00A57C43" w:rsidRDefault="00BE6371" w:rsidP="008B63BA">
      <w:pPr>
        <w:ind w:left="709"/>
        <w:jc w:val="both"/>
        <w:rPr>
          <w:rFonts w:ascii="Times New Roman" w:hAnsi="Times New Roman"/>
          <w:sz w:val="20"/>
        </w:rPr>
      </w:pPr>
    </w:p>
    <w:p w14:paraId="3BAACAAD" w14:textId="77777777" w:rsidR="00BE6371" w:rsidRPr="00A57C43" w:rsidRDefault="00BE6371" w:rsidP="008B63BA">
      <w:pPr>
        <w:ind w:left="709"/>
        <w:jc w:val="both"/>
        <w:rPr>
          <w:rFonts w:ascii="Times New Roman" w:hAnsi="Times New Roman"/>
          <w:sz w:val="20"/>
        </w:rPr>
      </w:pPr>
    </w:p>
    <w:p w14:paraId="53D01B05" w14:textId="77777777" w:rsidR="008B63BA" w:rsidRPr="00A57C43" w:rsidRDefault="008B63BA" w:rsidP="008B63BA">
      <w:pPr>
        <w:ind w:left="709"/>
        <w:jc w:val="both"/>
        <w:rPr>
          <w:rFonts w:ascii="Times New Roman" w:hAnsi="Times New Roman"/>
          <w:sz w:val="20"/>
        </w:rPr>
      </w:pPr>
      <w:r w:rsidRPr="00A57C43">
        <w:rPr>
          <w:rFonts w:ascii="Times New Roman" w:hAnsi="Times New Roman"/>
          <w:sz w:val="20"/>
        </w:rPr>
        <w:t>Los datos no observables más relevantes incluyen:</w:t>
      </w:r>
    </w:p>
    <w:p w14:paraId="71A97DB5" w14:textId="77777777" w:rsidR="008B63BA" w:rsidRPr="00A57C43" w:rsidRDefault="008B63BA" w:rsidP="008B63BA">
      <w:pPr>
        <w:ind w:left="709"/>
        <w:jc w:val="both"/>
        <w:rPr>
          <w:rFonts w:ascii="Times New Roman" w:hAnsi="Times New Roman"/>
          <w:sz w:val="20"/>
        </w:rPr>
      </w:pPr>
    </w:p>
    <w:p w14:paraId="0E48825E" w14:textId="5A041CE6" w:rsidR="008B63BA" w:rsidRPr="00A57C43" w:rsidRDefault="008B63BA" w:rsidP="002E0A1C">
      <w:pPr>
        <w:numPr>
          <w:ilvl w:val="0"/>
          <w:numId w:val="44"/>
        </w:numPr>
        <w:jc w:val="both"/>
        <w:rPr>
          <w:rFonts w:ascii="Times New Roman" w:hAnsi="Times New Roman"/>
          <w:sz w:val="20"/>
          <w:lang w:eastAsia="en-US"/>
        </w:rPr>
      </w:pPr>
      <w:r w:rsidRPr="00A57C43">
        <w:rPr>
          <w:rFonts w:ascii="Times New Roman" w:hAnsi="Times New Roman"/>
          <w:sz w:val="20"/>
          <w:lang w:eastAsia="en-US"/>
        </w:rPr>
        <w:t xml:space="preserve">EBITDA proyectado y </w:t>
      </w:r>
      <w:r w:rsidR="00B25174" w:rsidRPr="00A57C43">
        <w:rPr>
          <w:rFonts w:ascii="Times New Roman" w:hAnsi="Times New Roman"/>
          <w:sz w:val="20"/>
          <w:lang w:eastAsia="en-US"/>
        </w:rPr>
        <w:t>f</w:t>
      </w:r>
      <w:r w:rsidRPr="00A57C43">
        <w:rPr>
          <w:rFonts w:ascii="Times New Roman" w:hAnsi="Times New Roman"/>
          <w:sz w:val="20"/>
          <w:lang w:eastAsia="en-US"/>
        </w:rPr>
        <w:t>lujo de caja libre (principalmente determinado por la evolución esperada del nivel de transaccion</w:t>
      </w:r>
      <w:r w:rsidR="009A596E" w:rsidRPr="00A57C43">
        <w:rPr>
          <w:rFonts w:ascii="Times New Roman" w:hAnsi="Times New Roman"/>
          <w:sz w:val="20"/>
          <w:lang w:eastAsia="en-US"/>
        </w:rPr>
        <w:t>es y comisiones de la compañía);</w:t>
      </w:r>
    </w:p>
    <w:p w14:paraId="0EBDFC22" w14:textId="32B6B739" w:rsidR="008B63BA" w:rsidRPr="00A57C43" w:rsidRDefault="008B63BA" w:rsidP="002E0A1C">
      <w:pPr>
        <w:numPr>
          <w:ilvl w:val="0"/>
          <w:numId w:val="44"/>
        </w:numPr>
        <w:jc w:val="both"/>
        <w:rPr>
          <w:rFonts w:ascii="Times New Roman" w:hAnsi="Times New Roman"/>
          <w:sz w:val="20"/>
          <w:lang w:eastAsia="en-US"/>
        </w:rPr>
      </w:pPr>
      <w:r w:rsidRPr="00A57C43">
        <w:rPr>
          <w:rFonts w:ascii="Times New Roman" w:hAnsi="Times New Roman"/>
          <w:sz w:val="20"/>
          <w:lang w:eastAsia="en-US"/>
        </w:rPr>
        <w:t>Tasa de descuento minoritaria (equivalente a 1 / (1 + Prima de control) -1)</w:t>
      </w:r>
      <w:r w:rsidR="009A596E" w:rsidRPr="00A57C43">
        <w:rPr>
          <w:rFonts w:ascii="Times New Roman" w:hAnsi="Times New Roman"/>
          <w:sz w:val="20"/>
          <w:lang w:eastAsia="en-US"/>
        </w:rPr>
        <w:t>;</w:t>
      </w:r>
    </w:p>
    <w:p w14:paraId="297E6FBB" w14:textId="269FD68E" w:rsidR="008B63BA" w:rsidRPr="00A57C43" w:rsidRDefault="008B63BA" w:rsidP="002E0A1C">
      <w:pPr>
        <w:numPr>
          <w:ilvl w:val="0"/>
          <w:numId w:val="44"/>
        </w:numPr>
        <w:jc w:val="both"/>
        <w:rPr>
          <w:rFonts w:ascii="Times New Roman" w:hAnsi="Times New Roman"/>
          <w:sz w:val="20"/>
          <w:lang w:eastAsia="en-US"/>
        </w:rPr>
      </w:pPr>
      <w:r w:rsidRPr="00A57C43">
        <w:rPr>
          <w:rFonts w:ascii="Times New Roman" w:hAnsi="Times New Roman"/>
          <w:sz w:val="20"/>
          <w:lang w:eastAsia="en-US"/>
        </w:rPr>
        <w:t>Costo Promedio Ponderado del Capital (WACC - Weighted Average Cost of Capital) de Prisma Medios de Pago S.A.</w:t>
      </w:r>
      <w:r w:rsidR="009A596E" w:rsidRPr="00A57C43">
        <w:rPr>
          <w:rFonts w:ascii="Times New Roman" w:hAnsi="Times New Roman"/>
          <w:sz w:val="20"/>
          <w:lang w:eastAsia="en-US"/>
        </w:rPr>
        <w:t>, y</w:t>
      </w:r>
    </w:p>
    <w:p w14:paraId="7291286E" w14:textId="77777777" w:rsidR="008B63BA" w:rsidRPr="00A57C43" w:rsidRDefault="008B63BA" w:rsidP="002E0A1C">
      <w:pPr>
        <w:numPr>
          <w:ilvl w:val="0"/>
          <w:numId w:val="44"/>
        </w:numPr>
        <w:jc w:val="both"/>
        <w:rPr>
          <w:rFonts w:ascii="Times New Roman" w:hAnsi="Times New Roman"/>
          <w:sz w:val="20"/>
          <w:lang w:eastAsia="en-US"/>
        </w:rPr>
      </w:pPr>
      <w:r w:rsidRPr="00A57C43">
        <w:rPr>
          <w:rFonts w:ascii="Times New Roman" w:hAnsi="Times New Roman"/>
          <w:sz w:val="20"/>
          <w:lang w:eastAsia="en-US"/>
        </w:rPr>
        <w:t>g = factor de crecimiento para el valor terminal.</w:t>
      </w:r>
    </w:p>
    <w:p w14:paraId="45C8F973" w14:textId="77777777" w:rsidR="008B63BA" w:rsidRPr="00A57C43" w:rsidRDefault="008B63BA" w:rsidP="008B63BA">
      <w:pPr>
        <w:jc w:val="both"/>
        <w:rPr>
          <w:rFonts w:ascii="Times New Roman" w:hAnsi="Times New Roman"/>
          <w:sz w:val="20"/>
        </w:rPr>
      </w:pPr>
    </w:p>
    <w:p w14:paraId="4A16836C" w14:textId="4FF185D9" w:rsidR="008B63BA" w:rsidRPr="00A57C43" w:rsidRDefault="008B63BA" w:rsidP="008B63BA">
      <w:pPr>
        <w:ind w:left="709"/>
        <w:jc w:val="both"/>
        <w:rPr>
          <w:rFonts w:ascii="Times New Roman" w:hAnsi="Times New Roman"/>
          <w:sz w:val="20"/>
        </w:rPr>
      </w:pPr>
      <w:r w:rsidRPr="00A57C43">
        <w:rPr>
          <w:rFonts w:ascii="Times New Roman" w:hAnsi="Times New Roman"/>
          <w:sz w:val="20"/>
        </w:rPr>
        <w:t xml:space="preserve">A continuación, se presenta el análisis de sensibilidad para la valuación de la participación remanente del 49% en Prisma Medios de Pago S.A. mantenida por los accionistas.  La sensibilidad </w:t>
      </w:r>
      <w:r w:rsidR="00C85562" w:rsidRPr="00A57C43">
        <w:rPr>
          <w:rFonts w:ascii="Times New Roman" w:hAnsi="Times New Roman"/>
          <w:sz w:val="20"/>
        </w:rPr>
        <w:t>está</w:t>
      </w:r>
      <w:r w:rsidRPr="00A57C43">
        <w:rPr>
          <w:rFonts w:ascii="Times New Roman" w:hAnsi="Times New Roman"/>
          <w:sz w:val="20"/>
        </w:rPr>
        <w:t xml:space="preserve"> relacionada con las siguientes dos variables:</w:t>
      </w:r>
      <w:r w:rsidR="00C85562" w:rsidRPr="00A57C43">
        <w:rPr>
          <w:rFonts w:ascii="Times New Roman" w:hAnsi="Times New Roman"/>
          <w:sz w:val="20"/>
        </w:rPr>
        <w:t xml:space="preserve"> </w:t>
      </w:r>
      <w:r w:rsidRPr="00A57C43">
        <w:rPr>
          <w:rFonts w:ascii="Times New Roman" w:hAnsi="Times New Roman"/>
          <w:sz w:val="20"/>
        </w:rPr>
        <w:t>el WACC y el nivel “g” (el factor de crecimiento para los flujos de fondos futuros luego de 2023 que determina el valor terminal):</w:t>
      </w:r>
    </w:p>
    <w:p w14:paraId="5CBCAD7C" w14:textId="77777777" w:rsidR="008B63BA" w:rsidRPr="00A57C43" w:rsidRDefault="008B63BA" w:rsidP="008B63BA">
      <w:pPr>
        <w:tabs>
          <w:tab w:val="left" w:pos="709"/>
        </w:tabs>
        <w:spacing w:after="160"/>
        <w:ind w:left="1560" w:right="62"/>
        <w:jc w:val="both"/>
        <w:rPr>
          <w:rFonts w:ascii="Times New Roman" w:hAnsi="Times New Roman"/>
          <w:sz w:val="20"/>
        </w:rPr>
      </w:pPr>
    </w:p>
    <w:tbl>
      <w:tblPr>
        <w:tblW w:w="0" w:type="auto"/>
        <w:tblInd w:w="2428" w:type="dxa"/>
        <w:tblLook w:val="04A0" w:firstRow="1" w:lastRow="0" w:firstColumn="1" w:lastColumn="0" w:noHBand="0" w:noVBand="1"/>
      </w:tblPr>
      <w:tblGrid>
        <w:gridCol w:w="452"/>
        <w:gridCol w:w="833"/>
        <w:gridCol w:w="1266"/>
        <w:gridCol w:w="1134"/>
        <w:gridCol w:w="1134"/>
      </w:tblGrid>
      <w:tr w:rsidR="008B63BA" w:rsidRPr="00A57C43" w14:paraId="50854D38" w14:textId="77777777" w:rsidTr="008B5DBD">
        <w:tc>
          <w:tcPr>
            <w:tcW w:w="4819" w:type="dxa"/>
            <w:gridSpan w:val="5"/>
          </w:tcPr>
          <w:p w14:paraId="4D58536D" w14:textId="7C142C85" w:rsidR="008B63BA" w:rsidRPr="00A57C43" w:rsidRDefault="008B63BA" w:rsidP="0062703D">
            <w:pPr>
              <w:jc w:val="center"/>
              <w:rPr>
                <w:rFonts w:ascii="Times New Roman" w:hAnsi="Times New Roman"/>
                <w:b/>
                <w:sz w:val="20"/>
              </w:rPr>
            </w:pPr>
            <w:r w:rsidRPr="00A57C43">
              <w:rPr>
                <w:rFonts w:ascii="Times New Roman" w:hAnsi="Times New Roman"/>
                <w:b/>
                <w:sz w:val="20"/>
              </w:rPr>
              <w:t>Valor 49% capital accionario + descuento por minoría (9</w:t>
            </w:r>
            <w:r w:rsidR="0062703D" w:rsidRPr="00A57C43">
              <w:rPr>
                <w:rFonts w:ascii="Times New Roman" w:hAnsi="Times New Roman"/>
                <w:b/>
                <w:sz w:val="20"/>
              </w:rPr>
              <w:t>,</w:t>
            </w:r>
            <w:r w:rsidRPr="00A57C43">
              <w:rPr>
                <w:rFonts w:ascii="Times New Roman" w:hAnsi="Times New Roman"/>
                <w:b/>
                <w:sz w:val="20"/>
              </w:rPr>
              <w:t xml:space="preserve">09%) – en millones de </w:t>
            </w:r>
            <w:r w:rsidR="0062703D" w:rsidRPr="00A57C43">
              <w:rPr>
                <w:rFonts w:ascii="Times New Roman" w:hAnsi="Times New Roman"/>
                <w:b/>
                <w:sz w:val="20"/>
              </w:rPr>
              <w:t>AR$</w:t>
            </w:r>
          </w:p>
        </w:tc>
      </w:tr>
      <w:tr w:rsidR="008B63BA" w:rsidRPr="00A57C43" w14:paraId="59AF75BF" w14:textId="77777777" w:rsidTr="008B5DBD">
        <w:tc>
          <w:tcPr>
            <w:tcW w:w="452" w:type="dxa"/>
          </w:tcPr>
          <w:p w14:paraId="24F04845" w14:textId="77777777" w:rsidR="008B63BA" w:rsidRPr="00A57C43" w:rsidRDefault="008B63BA" w:rsidP="008B63BA">
            <w:pPr>
              <w:rPr>
                <w:rFonts w:ascii="Times New Roman" w:hAnsi="Times New Roman"/>
                <w:i/>
                <w:sz w:val="20"/>
              </w:rPr>
            </w:pPr>
          </w:p>
        </w:tc>
        <w:tc>
          <w:tcPr>
            <w:tcW w:w="833" w:type="dxa"/>
          </w:tcPr>
          <w:p w14:paraId="31113A43" w14:textId="77777777" w:rsidR="008B63BA" w:rsidRPr="00A57C43" w:rsidRDefault="008B63BA" w:rsidP="008B63BA">
            <w:pPr>
              <w:rPr>
                <w:rFonts w:ascii="Times New Roman" w:hAnsi="Times New Roman"/>
                <w:i/>
                <w:sz w:val="20"/>
              </w:rPr>
            </w:pPr>
          </w:p>
        </w:tc>
        <w:tc>
          <w:tcPr>
            <w:tcW w:w="3534" w:type="dxa"/>
            <w:gridSpan w:val="3"/>
          </w:tcPr>
          <w:p w14:paraId="7CF4E2D8" w14:textId="77777777" w:rsidR="008B63BA" w:rsidRPr="00A57C43" w:rsidRDefault="008B63BA" w:rsidP="008B63BA">
            <w:pPr>
              <w:jc w:val="center"/>
              <w:rPr>
                <w:rFonts w:ascii="Times New Roman" w:hAnsi="Times New Roman"/>
                <w:i/>
                <w:sz w:val="20"/>
                <w:lang w:val="en-US"/>
              </w:rPr>
            </w:pPr>
            <w:r w:rsidRPr="00A57C43">
              <w:rPr>
                <w:rFonts w:ascii="Times New Roman" w:hAnsi="Times New Roman"/>
                <w:i/>
                <w:sz w:val="20"/>
              </w:rPr>
              <w:t xml:space="preserve"> </w:t>
            </w:r>
            <w:r w:rsidRPr="00A57C43">
              <w:rPr>
                <w:rFonts w:ascii="Times New Roman" w:hAnsi="Times New Roman"/>
                <w:i/>
                <w:sz w:val="20"/>
                <w:lang w:val="en"/>
              </w:rPr>
              <w:t>(g – anual)</w:t>
            </w:r>
          </w:p>
        </w:tc>
      </w:tr>
      <w:tr w:rsidR="008B63BA" w:rsidRPr="00A57C43" w14:paraId="01344B19" w14:textId="77777777" w:rsidTr="008B5DBD">
        <w:trPr>
          <w:trHeight w:val="87"/>
        </w:trPr>
        <w:tc>
          <w:tcPr>
            <w:tcW w:w="452" w:type="dxa"/>
          </w:tcPr>
          <w:p w14:paraId="3B451533" w14:textId="77777777" w:rsidR="008B63BA" w:rsidRPr="00A57C43" w:rsidRDefault="008B63BA" w:rsidP="008B63BA">
            <w:pPr>
              <w:rPr>
                <w:rFonts w:ascii="Times New Roman" w:hAnsi="Times New Roman"/>
                <w:sz w:val="20"/>
                <w:lang w:val="en-US"/>
              </w:rPr>
            </w:pPr>
          </w:p>
        </w:tc>
        <w:tc>
          <w:tcPr>
            <w:tcW w:w="833" w:type="dxa"/>
          </w:tcPr>
          <w:p w14:paraId="644B262F" w14:textId="77777777" w:rsidR="008B63BA" w:rsidRPr="00A57C43" w:rsidRDefault="008B63BA" w:rsidP="008B63BA">
            <w:pPr>
              <w:jc w:val="center"/>
              <w:rPr>
                <w:rFonts w:ascii="Times New Roman" w:hAnsi="Times New Roman"/>
                <w:sz w:val="20"/>
                <w:lang w:val="en-US"/>
              </w:rPr>
            </w:pPr>
          </w:p>
        </w:tc>
        <w:tc>
          <w:tcPr>
            <w:tcW w:w="1266" w:type="dxa"/>
          </w:tcPr>
          <w:p w14:paraId="3204BF0E" w14:textId="6FB5C434" w:rsidR="008B63BA" w:rsidRPr="00A57C43" w:rsidRDefault="0062703D" w:rsidP="002F7F00">
            <w:pPr>
              <w:jc w:val="center"/>
              <w:rPr>
                <w:rFonts w:ascii="Times New Roman" w:hAnsi="Times New Roman"/>
                <w:sz w:val="20"/>
                <w:lang w:val="en-US"/>
              </w:rPr>
            </w:pPr>
            <w:r w:rsidRPr="00A57C43">
              <w:rPr>
                <w:rFonts w:ascii="Times New Roman" w:hAnsi="Times New Roman"/>
                <w:sz w:val="20"/>
                <w:lang w:val="en-US"/>
              </w:rPr>
              <w:t>2,</w:t>
            </w:r>
            <w:r w:rsidR="002F7F00" w:rsidRPr="00A57C43">
              <w:rPr>
                <w:rFonts w:ascii="Times New Roman" w:hAnsi="Times New Roman"/>
                <w:sz w:val="20"/>
                <w:lang w:val="en-US"/>
              </w:rPr>
              <w:t>0</w:t>
            </w:r>
            <w:r w:rsidR="008B63BA" w:rsidRPr="00A57C43">
              <w:rPr>
                <w:rFonts w:ascii="Times New Roman" w:hAnsi="Times New Roman"/>
                <w:sz w:val="20"/>
                <w:lang w:val="en-US"/>
              </w:rPr>
              <w:t>0%</w:t>
            </w:r>
          </w:p>
        </w:tc>
        <w:tc>
          <w:tcPr>
            <w:tcW w:w="1134" w:type="dxa"/>
          </w:tcPr>
          <w:p w14:paraId="7B2237BA" w14:textId="2B33AD27" w:rsidR="008B63BA" w:rsidRPr="00A57C43" w:rsidRDefault="008B63BA" w:rsidP="0062703D">
            <w:pPr>
              <w:jc w:val="center"/>
              <w:rPr>
                <w:rFonts w:ascii="Times New Roman" w:hAnsi="Times New Roman"/>
                <w:sz w:val="20"/>
                <w:lang w:val="en-US"/>
              </w:rPr>
            </w:pPr>
            <w:r w:rsidRPr="00A57C43">
              <w:rPr>
                <w:rFonts w:ascii="Times New Roman" w:hAnsi="Times New Roman"/>
                <w:sz w:val="20"/>
                <w:lang w:val="en-US"/>
              </w:rPr>
              <w:t>3</w:t>
            </w:r>
            <w:r w:rsidR="0062703D" w:rsidRPr="00A57C43">
              <w:rPr>
                <w:rFonts w:ascii="Times New Roman" w:hAnsi="Times New Roman"/>
                <w:sz w:val="20"/>
                <w:lang w:val="en-US"/>
              </w:rPr>
              <w:t>,</w:t>
            </w:r>
            <w:r w:rsidRPr="00A57C43">
              <w:rPr>
                <w:rFonts w:ascii="Times New Roman" w:hAnsi="Times New Roman"/>
                <w:sz w:val="20"/>
                <w:lang w:val="en-US"/>
              </w:rPr>
              <w:t>00%</w:t>
            </w:r>
          </w:p>
        </w:tc>
        <w:tc>
          <w:tcPr>
            <w:tcW w:w="1134" w:type="dxa"/>
          </w:tcPr>
          <w:p w14:paraId="6AC0CAE3" w14:textId="5CBABB75" w:rsidR="008B63BA" w:rsidRPr="00A57C43" w:rsidRDefault="002F7F00" w:rsidP="0062703D">
            <w:pPr>
              <w:jc w:val="center"/>
              <w:rPr>
                <w:rFonts w:ascii="Times New Roman" w:hAnsi="Times New Roman"/>
                <w:sz w:val="20"/>
                <w:lang w:val="en-US"/>
              </w:rPr>
            </w:pPr>
            <w:r w:rsidRPr="00A57C43">
              <w:rPr>
                <w:rFonts w:ascii="Times New Roman" w:hAnsi="Times New Roman"/>
                <w:sz w:val="20"/>
                <w:lang w:val="en-US"/>
              </w:rPr>
              <w:t>4</w:t>
            </w:r>
            <w:r w:rsidR="0062703D" w:rsidRPr="00A57C43">
              <w:rPr>
                <w:rFonts w:ascii="Times New Roman" w:hAnsi="Times New Roman"/>
                <w:sz w:val="20"/>
                <w:lang w:val="en-US"/>
              </w:rPr>
              <w:t>,</w:t>
            </w:r>
            <w:r w:rsidRPr="00A57C43">
              <w:rPr>
                <w:rFonts w:ascii="Times New Roman" w:hAnsi="Times New Roman"/>
                <w:sz w:val="20"/>
                <w:lang w:val="en-US"/>
              </w:rPr>
              <w:t>0</w:t>
            </w:r>
            <w:r w:rsidR="008B63BA" w:rsidRPr="00A57C43">
              <w:rPr>
                <w:rFonts w:ascii="Times New Roman" w:hAnsi="Times New Roman"/>
                <w:sz w:val="20"/>
                <w:lang w:val="en-US"/>
              </w:rPr>
              <w:t>0%</w:t>
            </w:r>
          </w:p>
        </w:tc>
      </w:tr>
      <w:tr w:rsidR="008B63BA" w:rsidRPr="00A57C43" w14:paraId="02FAB522" w14:textId="77777777" w:rsidTr="008B5DBD">
        <w:trPr>
          <w:trHeight w:val="80"/>
        </w:trPr>
        <w:tc>
          <w:tcPr>
            <w:tcW w:w="452" w:type="dxa"/>
          </w:tcPr>
          <w:p w14:paraId="4E31AF62" w14:textId="77777777" w:rsidR="008B63BA" w:rsidRPr="00A57C43" w:rsidRDefault="008B63BA" w:rsidP="008B63BA">
            <w:pPr>
              <w:rPr>
                <w:rFonts w:ascii="Times New Roman" w:hAnsi="Times New Roman"/>
                <w:sz w:val="20"/>
                <w:lang w:val="en-US"/>
              </w:rPr>
            </w:pPr>
          </w:p>
        </w:tc>
        <w:tc>
          <w:tcPr>
            <w:tcW w:w="833" w:type="dxa"/>
          </w:tcPr>
          <w:p w14:paraId="6322305F" w14:textId="77777777" w:rsidR="008B63BA" w:rsidRPr="00A57C43" w:rsidRDefault="008B63BA" w:rsidP="008B63BA">
            <w:pPr>
              <w:jc w:val="center"/>
              <w:rPr>
                <w:rFonts w:ascii="Times New Roman" w:hAnsi="Times New Roman"/>
                <w:sz w:val="20"/>
                <w:lang w:val="en-US"/>
              </w:rPr>
            </w:pPr>
          </w:p>
        </w:tc>
        <w:tc>
          <w:tcPr>
            <w:tcW w:w="1266" w:type="dxa"/>
            <w:tcBorders>
              <w:bottom w:val="single" w:sz="4" w:space="0" w:color="auto"/>
            </w:tcBorders>
          </w:tcPr>
          <w:p w14:paraId="31A695CA" w14:textId="77777777" w:rsidR="008B63BA" w:rsidRPr="00A57C43" w:rsidRDefault="008B63BA" w:rsidP="008B63BA">
            <w:pPr>
              <w:jc w:val="center"/>
              <w:rPr>
                <w:rFonts w:ascii="Times New Roman" w:hAnsi="Times New Roman"/>
                <w:sz w:val="20"/>
                <w:lang w:val="en-US"/>
              </w:rPr>
            </w:pPr>
          </w:p>
        </w:tc>
        <w:tc>
          <w:tcPr>
            <w:tcW w:w="1134" w:type="dxa"/>
            <w:tcBorders>
              <w:bottom w:val="single" w:sz="4" w:space="0" w:color="auto"/>
            </w:tcBorders>
          </w:tcPr>
          <w:p w14:paraId="5ECD21B9" w14:textId="77777777" w:rsidR="008B63BA" w:rsidRPr="00A57C43" w:rsidRDefault="008B63BA" w:rsidP="008B63BA">
            <w:pPr>
              <w:jc w:val="center"/>
              <w:rPr>
                <w:rFonts w:ascii="Times New Roman" w:hAnsi="Times New Roman"/>
                <w:sz w:val="20"/>
                <w:lang w:val="en-US"/>
              </w:rPr>
            </w:pPr>
          </w:p>
        </w:tc>
        <w:tc>
          <w:tcPr>
            <w:tcW w:w="1134" w:type="dxa"/>
            <w:tcBorders>
              <w:bottom w:val="single" w:sz="4" w:space="0" w:color="auto"/>
            </w:tcBorders>
          </w:tcPr>
          <w:p w14:paraId="7E93B103" w14:textId="77777777" w:rsidR="008B63BA" w:rsidRPr="00A57C43" w:rsidRDefault="008B63BA" w:rsidP="008B63BA">
            <w:pPr>
              <w:jc w:val="center"/>
              <w:rPr>
                <w:rFonts w:ascii="Times New Roman" w:hAnsi="Times New Roman"/>
                <w:sz w:val="20"/>
                <w:lang w:val="en-US"/>
              </w:rPr>
            </w:pPr>
          </w:p>
        </w:tc>
      </w:tr>
      <w:tr w:rsidR="008B63BA" w:rsidRPr="00A57C43" w14:paraId="3FC09C9E" w14:textId="77777777" w:rsidTr="008B5DBD">
        <w:trPr>
          <w:trHeight w:val="260"/>
        </w:trPr>
        <w:tc>
          <w:tcPr>
            <w:tcW w:w="452" w:type="dxa"/>
            <w:vMerge w:val="restart"/>
            <w:textDirection w:val="btLr"/>
          </w:tcPr>
          <w:p w14:paraId="67038256" w14:textId="77777777" w:rsidR="008B63BA" w:rsidRPr="00A57C43" w:rsidRDefault="008B63BA" w:rsidP="008B63BA">
            <w:pPr>
              <w:ind w:left="113" w:right="113"/>
              <w:jc w:val="center"/>
              <w:rPr>
                <w:rFonts w:ascii="Times New Roman" w:hAnsi="Times New Roman"/>
                <w:i/>
                <w:sz w:val="20"/>
                <w:lang w:val="en-US"/>
              </w:rPr>
            </w:pPr>
            <w:r w:rsidRPr="00A57C43">
              <w:rPr>
                <w:rFonts w:ascii="Times New Roman" w:hAnsi="Times New Roman"/>
                <w:i/>
                <w:sz w:val="20"/>
                <w:lang w:val="en-US"/>
              </w:rPr>
              <w:t>WACC</w:t>
            </w:r>
          </w:p>
        </w:tc>
        <w:tc>
          <w:tcPr>
            <w:tcW w:w="833" w:type="dxa"/>
            <w:tcBorders>
              <w:right w:val="single" w:sz="4" w:space="0" w:color="auto"/>
            </w:tcBorders>
            <w:vAlign w:val="center"/>
          </w:tcPr>
          <w:p w14:paraId="0CAC04CD" w14:textId="7D2848C9" w:rsidR="008B63BA" w:rsidRPr="00A57C43" w:rsidRDefault="008B63BA" w:rsidP="0062703D">
            <w:pPr>
              <w:jc w:val="center"/>
              <w:rPr>
                <w:rFonts w:ascii="Times New Roman" w:hAnsi="Times New Roman"/>
                <w:sz w:val="20"/>
                <w:lang w:val="en-US"/>
              </w:rPr>
            </w:pPr>
            <w:r w:rsidRPr="00A57C43">
              <w:rPr>
                <w:rFonts w:ascii="Times New Roman" w:hAnsi="Times New Roman"/>
                <w:sz w:val="20"/>
                <w:lang w:val="en-US"/>
              </w:rPr>
              <w:t>97</w:t>
            </w:r>
            <w:r w:rsidR="0062703D" w:rsidRPr="00A57C43">
              <w:rPr>
                <w:rFonts w:ascii="Times New Roman" w:hAnsi="Times New Roman"/>
                <w:sz w:val="20"/>
                <w:lang w:val="en-US"/>
              </w:rPr>
              <w:t>,</w:t>
            </w:r>
            <w:r w:rsidRPr="00A57C43">
              <w:rPr>
                <w:rFonts w:ascii="Times New Roman" w:hAnsi="Times New Roman"/>
                <w:sz w:val="20"/>
                <w:lang w:val="en-US"/>
              </w:rPr>
              <w:t>5%</w:t>
            </w:r>
          </w:p>
        </w:tc>
        <w:tc>
          <w:tcPr>
            <w:tcW w:w="1266" w:type="dxa"/>
            <w:tcBorders>
              <w:top w:val="single" w:sz="4" w:space="0" w:color="auto"/>
              <w:left w:val="single" w:sz="4" w:space="0" w:color="auto"/>
            </w:tcBorders>
            <w:vAlign w:val="center"/>
          </w:tcPr>
          <w:p w14:paraId="3E40D1A3" w14:textId="0807709F" w:rsidR="008B63BA" w:rsidRPr="00A57C43" w:rsidRDefault="00244B83" w:rsidP="0062703D">
            <w:pPr>
              <w:jc w:val="center"/>
              <w:rPr>
                <w:rFonts w:ascii="Times New Roman" w:hAnsi="Times New Roman"/>
                <w:sz w:val="20"/>
                <w:lang w:val="en-US"/>
              </w:rPr>
            </w:pPr>
            <w:r w:rsidRPr="00A57C43">
              <w:rPr>
                <w:rFonts w:ascii="Times New Roman" w:hAnsi="Times New Roman"/>
                <w:sz w:val="20"/>
                <w:lang w:val="en-US"/>
              </w:rPr>
              <w:t>31.209,4</w:t>
            </w:r>
          </w:p>
        </w:tc>
        <w:tc>
          <w:tcPr>
            <w:tcW w:w="1134" w:type="dxa"/>
            <w:tcBorders>
              <w:top w:val="single" w:sz="4" w:space="0" w:color="auto"/>
            </w:tcBorders>
            <w:vAlign w:val="center"/>
          </w:tcPr>
          <w:p w14:paraId="57B737A6" w14:textId="173CF34D" w:rsidR="008B63BA" w:rsidRPr="00A57C43" w:rsidRDefault="00244B83" w:rsidP="002F7F00">
            <w:pPr>
              <w:jc w:val="center"/>
              <w:rPr>
                <w:rFonts w:ascii="Times New Roman" w:hAnsi="Times New Roman"/>
                <w:sz w:val="20"/>
                <w:lang w:val="en-US"/>
              </w:rPr>
            </w:pPr>
            <w:r w:rsidRPr="00A57C43">
              <w:rPr>
                <w:rFonts w:ascii="Times New Roman" w:hAnsi="Times New Roman"/>
                <w:sz w:val="20"/>
                <w:lang w:val="en-US"/>
              </w:rPr>
              <w:t>32.968,0</w:t>
            </w:r>
          </w:p>
        </w:tc>
        <w:tc>
          <w:tcPr>
            <w:tcW w:w="1134" w:type="dxa"/>
            <w:tcBorders>
              <w:top w:val="single" w:sz="4" w:space="0" w:color="auto"/>
            </w:tcBorders>
            <w:vAlign w:val="center"/>
          </w:tcPr>
          <w:p w14:paraId="2ADEC88D" w14:textId="2D817B2F" w:rsidR="008B63BA" w:rsidRPr="00A57C43" w:rsidRDefault="00244B83" w:rsidP="002F7F00">
            <w:pPr>
              <w:jc w:val="center"/>
              <w:rPr>
                <w:rFonts w:ascii="Times New Roman" w:hAnsi="Times New Roman"/>
                <w:sz w:val="20"/>
                <w:lang w:val="en-US"/>
              </w:rPr>
            </w:pPr>
            <w:r w:rsidRPr="00A57C43">
              <w:rPr>
                <w:rFonts w:ascii="Times New Roman" w:hAnsi="Times New Roman"/>
                <w:sz w:val="20"/>
                <w:lang w:val="en-US"/>
              </w:rPr>
              <w:t>35.046,4</w:t>
            </w:r>
          </w:p>
        </w:tc>
      </w:tr>
      <w:tr w:rsidR="008B63BA" w:rsidRPr="00A57C43" w14:paraId="08776787" w14:textId="77777777" w:rsidTr="008B5DBD">
        <w:trPr>
          <w:trHeight w:val="283"/>
        </w:trPr>
        <w:tc>
          <w:tcPr>
            <w:tcW w:w="452" w:type="dxa"/>
            <w:vMerge/>
          </w:tcPr>
          <w:p w14:paraId="5B45399B" w14:textId="77777777" w:rsidR="008B63BA" w:rsidRPr="00A57C43" w:rsidRDefault="008B63BA" w:rsidP="008B63BA">
            <w:pPr>
              <w:rPr>
                <w:rFonts w:ascii="Times New Roman" w:hAnsi="Times New Roman"/>
                <w:sz w:val="20"/>
                <w:lang w:val="en-US"/>
              </w:rPr>
            </w:pPr>
          </w:p>
        </w:tc>
        <w:tc>
          <w:tcPr>
            <w:tcW w:w="833" w:type="dxa"/>
            <w:tcBorders>
              <w:right w:val="single" w:sz="4" w:space="0" w:color="auto"/>
            </w:tcBorders>
            <w:vAlign w:val="center"/>
          </w:tcPr>
          <w:p w14:paraId="09BFD1D8" w14:textId="262C34CA" w:rsidR="008B63BA" w:rsidRPr="00A57C43" w:rsidRDefault="008B63BA" w:rsidP="008B63BA">
            <w:pPr>
              <w:jc w:val="center"/>
              <w:rPr>
                <w:rFonts w:ascii="Times New Roman" w:hAnsi="Times New Roman"/>
                <w:sz w:val="20"/>
                <w:lang w:val="en-US"/>
              </w:rPr>
            </w:pPr>
            <w:r w:rsidRPr="00A57C43">
              <w:rPr>
                <w:rFonts w:ascii="Times New Roman" w:hAnsi="Times New Roman"/>
                <w:sz w:val="20"/>
                <w:lang w:val="en-US"/>
              </w:rPr>
              <w:t>100</w:t>
            </w:r>
            <w:r w:rsidR="00942B4A" w:rsidRPr="00A57C43">
              <w:rPr>
                <w:rFonts w:ascii="Times New Roman" w:hAnsi="Times New Roman"/>
                <w:sz w:val="20"/>
                <w:lang w:val="en-US"/>
              </w:rPr>
              <w:t>,0</w:t>
            </w:r>
            <w:r w:rsidRPr="00A57C43">
              <w:rPr>
                <w:rFonts w:ascii="Times New Roman" w:hAnsi="Times New Roman"/>
                <w:sz w:val="20"/>
                <w:lang w:val="en-US"/>
              </w:rPr>
              <w:t>%</w:t>
            </w:r>
          </w:p>
        </w:tc>
        <w:tc>
          <w:tcPr>
            <w:tcW w:w="1266" w:type="dxa"/>
            <w:tcBorders>
              <w:left w:val="single" w:sz="4" w:space="0" w:color="auto"/>
            </w:tcBorders>
            <w:vAlign w:val="center"/>
          </w:tcPr>
          <w:p w14:paraId="1EE1F97A" w14:textId="4258DF77" w:rsidR="008B63BA" w:rsidRPr="00A57C43" w:rsidRDefault="00244B83" w:rsidP="0062703D">
            <w:pPr>
              <w:jc w:val="center"/>
              <w:rPr>
                <w:rFonts w:ascii="Times New Roman" w:hAnsi="Times New Roman"/>
                <w:sz w:val="20"/>
                <w:lang w:val="en-US"/>
              </w:rPr>
            </w:pPr>
            <w:r w:rsidRPr="00A57C43">
              <w:rPr>
                <w:rFonts w:ascii="Times New Roman" w:hAnsi="Times New Roman"/>
                <w:sz w:val="20"/>
                <w:lang w:val="en-US"/>
              </w:rPr>
              <w:t>30.813,9</w:t>
            </w:r>
          </w:p>
        </w:tc>
        <w:tc>
          <w:tcPr>
            <w:tcW w:w="1134" w:type="dxa"/>
            <w:vAlign w:val="center"/>
          </w:tcPr>
          <w:p w14:paraId="5E2C8506" w14:textId="2F10FDCB" w:rsidR="008B63BA" w:rsidRPr="00A57C43" w:rsidRDefault="00244B83" w:rsidP="008B63BA">
            <w:pPr>
              <w:jc w:val="center"/>
              <w:rPr>
                <w:rFonts w:ascii="Times New Roman" w:hAnsi="Times New Roman"/>
                <w:sz w:val="20"/>
                <w:lang w:val="en-US"/>
              </w:rPr>
            </w:pPr>
            <w:r w:rsidRPr="00A57C43">
              <w:rPr>
                <w:rFonts w:ascii="Times New Roman" w:hAnsi="Times New Roman"/>
                <w:sz w:val="20"/>
                <w:lang w:val="en-US"/>
              </w:rPr>
              <w:t>32.547,3</w:t>
            </w:r>
          </w:p>
        </w:tc>
        <w:tc>
          <w:tcPr>
            <w:tcW w:w="1134" w:type="dxa"/>
            <w:vAlign w:val="center"/>
          </w:tcPr>
          <w:p w14:paraId="6CF830DC" w14:textId="5B5F8F31" w:rsidR="008B63BA" w:rsidRPr="00A57C43" w:rsidRDefault="00244B83" w:rsidP="008B63BA">
            <w:pPr>
              <w:jc w:val="center"/>
              <w:rPr>
                <w:rFonts w:ascii="Times New Roman" w:hAnsi="Times New Roman"/>
                <w:sz w:val="20"/>
                <w:lang w:val="en-US"/>
              </w:rPr>
            </w:pPr>
            <w:r w:rsidRPr="00A57C43">
              <w:rPr>
                <w:rFonts w:ascii="Times New Roman" w:hAnsi="Times New Roman"/>
                <w:sz w:val="20"/>
                <w:lang w:val="en-US"/>
              </w:rPr>
              <w:t>34.592,0</w:t>
            </w:r>
          </w:p>
        </w:tc>
      </w:tr>
      <w:tr w:rsidR="008B63BA" w:rsidRPr="00A57C43" w14:paraId="0E312134" w14:textId="77777777" w:rsidTr="008B5DBD">
        <w:trPr>
          <w:trHeight w:val="306"/>
        </w:trPr>
        <w:tc>
          <w:tcPr>
            <w:tcW w:w="452" w:type="dxa"/>
            <w:vMerge/>
          </w:tcPr>
          <w:p w14:paraId="67CB6667" w14:textId="77777777" w:rsidR="008B63BA" w:rsidRPr="00A57C43" w:rsidRDefault="008B63BA" w:rsidP="008B63BA">
            <w:pPr>
              <w:rPr>
                <w:rFonts w:ascii="Times New Roman" w:hAnsi="Times New Roman"/>
                <w:sz w:val="20"/>
                <w:lang w:val="en-US"/>
              </w:rPr>
            </w:pPr>
          </w:p>
        </w:tc>
        <w:tc>
          <w:tcPr>
            <w:tcW w:w="833" w:type="dxa"/>
            <w:tcBorders>
              <w:right w:val="single" w:sz="4" w:space="0" w:color="auto"/>
            </w:tcBorders>
            <w:vAlign w:val="center"/>
          </w:tcPr>
          <w:p w14:paraId="01247EC0" w14:textId="52F19909" w:rsidR="008B63BA" w:rsidRPr="00A57C43" w:rsidRDefault="0062703D" w:rsidP="008B63BA">
            <w:pPr>
              <w:jc w:val="center"/>
              <w:rPr>
                <w:rFonts w:ascii="Times New Roman" w:hAnsi="Times New Roman"/>
                <w:sz w:val="20"/>
                <w:lang w:val="en-US"/>
              </w:rPr>
            </w:pPr>
            <w:r w:rsidRPr="00A57C43">
              <w:rPr>
                <w:rFonts w:ascii="Times New Roman" w:hAnsi="Times New Roman"/>
                <w:sz w:val="20"/>
                <w:lang w:val="en-US"/>
              </w:rPr>
              <w:t>102,</w:t>
            </w:r>
            <w:r w:rsidR="008B63BA" w:rsidRPr="00A57C43">
              <w:rPr>
                <w:rFonts w:ascii="Times New Roman" w:hAnsi="Times New Roman"/>
                <w:sz w:val="20"/>
                <w:lang w:val="en-US"/>
              </w:rPr>
              <w:t>5%</w:t>
            </w:r>
          </w:p>
        </w:tc>
        <w:tc>
          <w:tcPr>
            <w:tcW w:w="1266" w:type="dxa"/>
            <w:tcBorders>
              <w:left w:val="single" w:sz="4" w:space="0" w:color="auto"/>
            </w:tcBorders>
            <w:vAlign w:val="center"/>
          </w:tcPr>
          <w:p w14:paraId="701F2C7E" w14:textId="26409911" w:rsidR="008B63BA" w:rsidRPr="00A57C43" w:rsidRDefault="00244B83" w:rsidP="00244B83">
            <w:pPr>
              <w:jc w:val="center"/>
              <w:rPr>
                <w:rFonts w:ascii="Times New Roman" w:hAnsi="Times New Roman"/>
                <w:sz w:val="20"/>
                <w:lang w:val="en-US"/>
              </w:rPr>
            </w:pPr>
            <w:r w:rsidRPr="00A57C43">
              <w:rPr>
                <w:rFonts w:ascii="Times New Roman" w:hAnsi="Times New Roman"/>
                <w:sz w:val="20"/>
                <w:lang w:val="en-US"/>
              </w:rPr>
              <w:t>30.435,2</w:t>
            </w:r>
          </w:p>
        </w:tc>
        <w:tc>
          <w:tcPr>
            <w:tcW w:w="1134" w:type="dxa"/>
            <w:vAlign w:val="center"/>
          </w:tcPr>
          <w:p w14:paraId="76FAC612" w14:textId="39E531F5" w:rsidR="008B63BA" w:rsidRPr="00A57C43" w:rsidRDefault="00244B83" w:rsidP="008B63BA">
            <w:pPr>
              <w:jc w:val="center"/>
              <w:rPr>
                <w:rFonts w:ascii="Times New Roman" w:hAnsi="Times New Roman"/>
                <w:sz w:val="20"/>
                <w:lang w:val="en-US"/>
              </w:rPr>
            </w:pPr>
            <w:r w:rsidRPr="00A57C43">
              <w:rPr>
                <w:rFonts w:ascii="Times New Roman" w:hAnsi="Times New Roman"/>
                <w:sz w:val="20"/>
                <w:lang w:val="en-US"/>
              </w:rPr>
              <w:t>32.135,0</w:t>
            </w:r>
          </w:p>
        </w:tc>
        <w:tc>
          <w:tcPr>
            <w:tcW w:w="1134" w:type="dxa"/>
            <w:vAlign w:val="center"/>
          </w:tcPr>
          <w:p w14:paraId="0D8DA64A" w14:textId="7C053D53" w:rsidR="008B63BA" w:rsidRPr="00A57C43" w:rsidRDefault="00244B83" w:rsidP="008B63BA">
            <w:pPr>
              <w:jc w:val="center"/>
              <w:rPr>
                <w:rFonts w:ascii="Times New Roman" w:hAnsi="Times New Roman"/>
                <w:sz w:val="20"/>
                <w:lang w:val="en-US"/>
              </w:rPr>
            </w:pPr>
            <w:r w:rsidRPr="00A57C43">
              <w:rPr>
                <w:rFonts w:ascii="Times New Roman" w:hAnsi="Times New Roman"/>
                <w:sz w:val="20"/>
                <w:lang w:val="en-US"/>
              </w:rPr>
              <w:t>34.154,5</w:t>
            </w:r>
          </w:p>
        </w:tc>
      </w:tr>
    </w:tbl>
    <w:p w14:paraId="2C34A1E1" w14:textId="77777777" w:rsidR="00601826" w:rsidRPr="00A57C43" w:rsidRDefault="00601826" w:rsidP="009A596E">
      <w:pPr>
        <w:ind w:left="709"/>
        <w:jc w:val="both"/>
        <w:rPr>
          <w:rFonts w:ascii="Times New Roman" w:hAnsi="Times New Roman"/>
          <w:sz w:val="20"/>
        </w:rPr>
      </w:pPr>
    </w:p>
    <w:p w14:paraId="06756836" w14:textId="77777777" w:rsidR="008B63BA" w:rsidRPr="00A57C43" w:rsidRDefault="008B63BA" w:rsidP="009A596E">
      <w:pPr>
        <w:ind w:left="709"/>
        <w:jc w:val="both"/>
        <w:rPr>
          <w:rFonts w:ascii="Times New Roman" w:hAnsi="Times New Roman"/>
          <w:sz w:val="20"/>
        </w:rPr>
      </w:pPr>
      <w:r w:rsidRPr="00A57C43">
        <w:rPr>
          <w:rFonts w:ascii="Times New Roman" w:hAnsi="Times New Roman"/>
          <w:sz w:val="20"/>
        </w:rPr>
        <w:t>El escenario para la valuación considera un WACC del 100% y g al 3%.</w:t>
      </w:r>
    </w:p>
    <w:p w14:paraId="5ED97B59" w14:textId="77777777" w:rsidR="008B63BA" w:rsidRPr="00A57C43" w:rsidRDefault="008B63BA" w:rsidP="008B63BA">
      <w:pPr>
        <w:ind w:left="709"/>
        <w:jc w:val="both"/>
        <w:rPr>
          <w:rFonts w:ascii="Times New Roman" w:hAnsi="Times New Roman"/>
          <w:sz w:val="20"/>
        </w:rPr>
      </w:pPr>
    </w:p>
    <w:p w14:paraId="7CBB82EB" w14:textId="77777777" w:rsidR="0037203D" w:rsidRPr="00A57C43" w:rsidRDefault="0037203D" w:rsidP="008B63BA">
      <w:pPr>
        <w:ind w:left="709"/>
        <w:jc w:val="both"/>
        <w:rPr>
          <w:rFonts w:ascii="Times New Roman" w:hAnsi="Times New Roman"/>
          <w:sz w:val="20"/>
        </w:rPr>
      </w:pPr>
    </w:p>
    <w:p w14:paraId="585DE923" w14:textId="77777777" w:rsidR="008B63BA" w:rsidRPr="00A57C43" w:rsidRDefault="008B63BA" w:rsidP="008B63BA">
      <w:pPr>
        <w:ind w:left="709"/>
        <w:jc w:val="both"/>
        <w:rPr>
          <w:rFonts w:ascii="Times New Roman" w:hAnsi="Times New Roman"/>
          <w:b/>
          <w:sz w:val="20"/>
        </w:rPr>
      </w:pPr>
      <w:r w:rsidRPr="00A57C43">
        <w:rPr>
          <w:rFonts w:ascii="Times New Roman" w:hAnsi="Times New Roman"/>
          <w:b/>
          <w:sz w:val="20"/>
        </w:rPr>
        <w:t>Primas por opciones de venta</w:t>
      </w:r>
    </w:p>
    <w:p w14:paraId="25C5BB75" w14:textId="77777777" w:rsidR="008B63BA" w:rsidRPr="00A57C43" w:rsidRDefault="008B63BA" w:rsidP="008B63BA">
      <w:pPr>
        <w:ind w:left="709"/>
        <w:jc w:val="both"/>
        <w:rPr>
          <w:rFonts w:ascii="Times New Roman" w:hAnsi="Times New Roman"/>
          <w:b/>
          <w:sz w:val="20"/>
        </w:rPr>
      </w:pPr>
    </w:p>
    <w:p w14:paraId="2DB545E1" w14:textId="77777777" w:rsidR="008B63BA" w:rsidRPr="00A57C43" w:rsidRDefault="008B63BA" w:rsidP="008B63BA">
      <w:pPr>
        <w:ind w:left="709"/>
        <w:jc w:val="both"/>
        <w:rPr>
          <w:rFonts w:ascii="Times New Roman" w:hAnsi="Times New Roman"/>
          <w:sz w:val="20"/>
        </w:rPr>
      </w:pPr>
      <w:r w:rsidRPr="00A57C43">
        <w:rPr>
          <w:rFonts w:ascii="Times New Roman" w:hAnsi="Times New Roman"/>
          <w:sz w:val="20"/>
        </w:rPr>
        <w:t>El Grupo incluye en Nivel 3 a la opción de venta tomada por su participación en Prisma Medios de Pago S.A. dado que para la medición de su valor se utilizan datos significativos no observables. El resultado del activo valuado a valor razonable sobre la base de datos no observables se registra en Resultado neto por medición de instrumentos financieros a valor razonable con cambios en resultado.</w:t>
      </w:r>
    </w:p>
    <w:p w14:paraId="1E46A26E" w14:textId="77777777" w:rsidR="008B63BA" w:rsidRPr="00A57C43" w:rsidRDefault="008B63BA" w:rsidP="008B63BA">
      <w:pPr>
        <w:ind w:left="709"/>
        <w:jc w:val="both"/>
        <w:rPr>
          <w:rFonts w:ascii="Times New Roman" w:hAnsi="Times New Roman"/>
          <w:sz w:val="20"/>
        </w:rPr>
      </w:pPr>
      <w:r w:rsidRPr="00A57C43">
        <w:rPr>
          <w:rFonts w:ascii="Times New Roman" w:hAnsi="Times New Roman"/>
          <w:sz w:val="20"/>
        </w:rPr>
        <w:t xml:space="preserve"> </w:t>
      </w:r>
    </w:p>
    <w:p w14:paraId="16D219B3" w14:textId="172A601E" w:rsidR="008B63BA" w:rsidRPr="00A57C43" w:rsidRDefault="008B63BA" w:rsidP="008B63BA">
      <w:pPr>
        <w:ind w:left="709"/>
        <w:jc w:val="both"/>
        <w:rPr>
          <w:rFonts w:ascii="Times New Roman" w:hAnsi="Times New Roman"/>
          <w:sz w:val="20"/>
        </w:rPr>
      </w:pPr>
      <w:r w:rsidRPr="00A57C43">
        <w:rPr>
          <w:rFonts w:ascii="Times New Roman" w:hAnsi="Times New Roman"/>
          <w:sz w:val="20"/>
        </w:rPr>
        <w:t>Para la valuación de estos instrumentos se ha utilizado una técnica de valoración basada en el método binomial mediante la creación de un portfolio equivalente con condiciones idénticas al put y teniendo e</w:t>
      </w:r>
      <w:r w:rsidR="009A596E" w:rsidRPr="00A57C43">
        <w:rPr>
          <w:rFonts w:ascii="Times New Roman" w:hAnsi="Times New Roman"/>
          <w:sz w:val="20"/>
        </w:rPr>
        <w:t xml:space="preserve">n cuenta distintos escenarios. </w:t>
      </w:r>
      <w:r w:rsidRPr="00A57C43">
        <w:rPr>
          <w:rFonts w:ascii="Times New Roman" w:hAnsi="Times New Roman"/>
          <w:sz w:val="20"/>
        </w:rPr>
        <w:t xml:space="preserve">El modelo de valoración considera el valor proyectado de los flujos de caja y deuda financiera de la compañía a la fecha de ejercicio (34 meses posteriores a la fecha de cierre del contrato). Los flujos esperados se descuentan utilizando una tasa de descuento WACC. </w:t>
      </w:r>
    </w:p>
    <w:p w14:paraId="1530A34C" w14:textId="77777777" w:rsidR="008B63BA" w:rsidRPr="00A57C43" w:rsidRDefault="008B63BA" w:rsidP="008B63BA">
      <w:pPr>
        <w:ind w:left="709"/>
        <w:jc w:val="both"/>
        <w:rPr>
          <w:rFonts w:ascii="Times New Roman" w:hAnsi="Times New Roman"/>
          <w:sz w:val="20"/>
        </w:rPr>
      </w:pPr>
      <w:r w:rsidRPr="00A57C43">
        <w:rPr>
          <w:rFonts w:ascii="Times New Roman" w:hAnsi="Times New Roman"/>
          <w:sz w:val="20"/>
        </w:rPr>
        <w:t xml:space="preserve"> </w:t>
      </w:r>
    </w:p>
    <w:p w14:paraId="05F56817" w14:textId="77777777" w:rsidR="008B63BA" w:rsidRPr="00A57C43" w:rsidRDefault="008B63BA" w:rsidP="008B63BA">
      <w:pPr>
        <w:ind w:left="709"/>
        <w:jc w:val="both"/>
        <w:rPr>
          <w:rFonts w:ascii="Times New Roman" w:hAnsi="Times New Roman"/>
          <w:sz w:val="20"/>
        </w:rPr>
      </w:pPr>
      <w:r w:rsidRPr="00A57C43">
        <w:rPr>
          <w:rFonts w:ascii="Times New Roman" w:hAnsi="Times New Roman"/>
          <w:sz w:val="20"/>
        </w:rPr>
        <w:t>Entre los datos no observables más significativos utilizados en el modelo de valoración se mencionan:</w:t>
      </w:r>
    </w:p>
    <w:p w14:paraId="32A6E6CA" w14:textId="77777777" w:rsidR="008B63BA" w:rsidRPr="00A57C43" w:rsidRDefault="008B63BA" w:rsidP="008B63BA">
      <w:pPr>
        <w:ind w:left="709"/>
        <w:jc w:val="both"/>
        <w:rPr>
          <w:rFonts w:ascii="Times New Roman" w:hAnsi="Times New Roman"/>
          <w:sz w:val="20"/>
        </w:rPr>
      </w:pPr>
      <w:r w:rsidRPr="00A57C43">
        <w:rPr>
          <w:rFonts w:ascii="Times New Roman" w:hAnsi="Times New Roman"/>
          <w:sz w:val="20"/>
        </w:rPr>
        <w:t xml:space="preserve"> </w:t>
      </w:r>
    </w:p>
    <w:p w14:paraId="47F0A235" w14:textId="325F1A9F" w:rsidR="008B63BA" w:rsidRPr="00A57C43" w:rsidRDefault="008B63BA" w:rsidP="008B63BA">
      <w:pPr>
        <w:numPr>
          <w:ilvl w:val="0"/>
          <w:numId w:val="4"/>
        </w:numPr>
        <w:ind w:left="1134" w:hanging="425"/>
        <w:jc w:val="both"/>
        <w:rPr>
          <w:rFonts w:ascii="Times New Roman" w:hAnsi="Times New Roman"/>
          <w:sz w:val="20"/>
          <w:lang w:eastAsia="en-US"/>
        </w:rPr>
      </w:pPr>
      <w:r w:rsidRPr="00A57C43">
        <w:rPr>
          <w:rFonts w:ascii="Times New Roman" w:hAnsi="Times New Roman"/>
          <w:sz w:val="20"/>
          <w:lang w:eastAsia="en-US"/>
        </w:rPr>
        <w:t>Volatilidad mensual (sensibilidad a la volatilidad en un rango de 10%, 12%, 15% y 20%)</w:t>
      </w:r>
      <w:r w:rsidR="009A596E" w:rsidRPr="00A57C43">
        <w:rPr>
          <w:rFonts w:ascii="Times New Roman" w:hAnsi="Times New Roman"/>
          <w:sz w:val="20"/>
          <w:lang w:eastAsia="en-US"/>
        </w:rPr>
        <w:t>,</w:t>
      </w:r>
    </w:p>
    <w:p w14:paraId="758BA863" w14:textId="3B9AE00D" w:rsidR="008B63BA" w:rsidRPr="00A57C43" w:rsidRDefault="008B63BA" w:rsidP="008B63BA">
      <w:pPr>
        <w:numPr>
          <w:ilvl w:val="0"/>
          <w:numId w:val="4"/>
        </w:numPr>
        <w:ind w:left="1134" w:hanging="425"/>
        <w:jc w:val="both"/>
        <w:rPr>
          <w:rFonts w:ascii="Times New Roman" w:hAnsi="Times New Roman"/>
          <w:sz w:val="20"/>
          <w:lang w:eastAsia="en-US"/>
        </w:rPr>
      </w:pPr>
      <w:r w:rsidRPr="00A57C43">
        <w:rPr>
          <w:rFonts w:ascii="Times New Roman" w:hAnsi="Times New Roman"/>
          <w:sz w:val="20"/>
          <w:lang w:eastAsia="en-US"/>
        </w:rPr>
        <w:lastRenderedPageBreak/>
        <w:t>Precio del ejercicio teórico. Este precio es 7 veces el EBITD</w:t>
      </w:r>
      <w:r w:rsidR="009A596E" w:rsidRPr="00A57C43">
        <w:rPr>
          <w:rFonts w:ascii="Times New Roman" w:hAnsi="Times New Roman"/>
          <w:sz w:val="20"/>
          <w:lang w:eastAsia="en-US"/>
        </w:rPr>
        <w:t xml:space="preserve">A esperado para el tercer año. </w:t>
      </w:r>
      <w:r w:rsidRPr="00A57C43">
        <w:rPr>
          <w:rFonts w:ascii="Times New Roman" w:hAnsi="Times New Roman"/>
          <w:sz w:val="20"/>
          <w:lang w:eastAsia="en-US"/>
        </w:rPr>
        <w:t xml:space="preserve">Este EBITDA es calculado considerando los flujos de caja esperados y deuda financiera, basados en proyecciones de Caja y Bancos e Inversiones corrientes y deuda financiera a la fecha de ejercicio de la opción. </w:t>
      </w:r>
    </w:p>
    <w:p w14:paraId="09C7D5B4" w14:textId="77777777" w:rsidR="008B63BA" w:rsidRPr="00A57C43" w:rsidRDefault="008B63BA" w:rsidP="008B63BA">
      <w:pPr>
        <w:ind w:left="709"/>
        <w:jc w:val="both"/>
        <w:rPr>
          <w:rFonts w:ascii="Times New Roman" w:hAnsi="Times New Roman"/>
          <w:sz w:val="20"/>
        </w:rPr>
      </w:pPr>
      <w:r w:rsidRPr="00A57C43">
        <w:rPr>
          <w:rFonts w:ascii="Times New Roman" w:hAnsi="Times New Roman"/>
          <w:sz w:val="20"/>
        </w:rPr>
        <w:t xml:space="preserve"> </w:t>
      </w:r>
    </w:p>
    <w:p w14:paraId="525E180E" w14:textId="77777777" w:rsidR="008B63BA" w:rsidRPr="00A57C43" w:rsidRDefault="008B63BA" w:rsidP="008B63BA">
      <w:pPr>
        <w:ind w:left="709"/>
        <w:jc w:val="both"/>
        <w:rPr>
          <w:rFonts w:ascii="Times New Roman" w:hAnsi="Times New Roman"/>
          <w:sz w:val="20"/>
        </w:rPr>
      </w:pPr>
      <w:r w:rsidRPr="00A57C43">
        <w:rPr>
          <w:rFonts w:ascii="Times New Roman" w:hAnsi="Times New Roman"/>
          <w:sz w:val="20"/>
        </w:rPr>
        <w:t>Los posibles cambios significativos en algunos de estos datos no observables podrían aumentar o disminuir el valor razonable estimado de la opción de venta.</w:t>
      </w:r>
    </w:p>
    <w:p w14:paraId="7ECDBDBA" w14:textId="77777777" w:rsidR="008B63BA" w:rsidRPr="00A57C43" w:rsidRDefault="008B63BA" w:rsidP="008B63BA">
      <w:pPr>
        <w:ind w:left="709"/>
        <w:jc w:val="both"/>
        <w:rPr>
          <w:rFonts w:ascii="Times New Roman" w:hAnsi="Times New Roman"/>
          <w:sz w:val="20"/>
        </w:rPr>
      </w:pPr>
    </w:p>
    <w:p w14:paraId="35F4974F" w14:textId="77777777" w:rsidR="008B63BA" w:rsidRPr="00A57C43" w:rsidRDefault="008B63BA" w:rsidP="008B63BA">
      <w:pPr>
        <w:ind w:left="709"/>
        <w:jc w:val="both"/>
        <w:rPr>
          <w:rFonts w:ascii="Times New Roman" w:hAnsi="Times New Roman"/>
          <w:sz w:val="20"/>
        </w:rPr>
      </w:pPr>
      <w:r w:rsidRPr="00A57C43">
        <w:rPr>
          <w:rFonts w:ascii="Times New Roman" w:hAnsi="Times New Roman"/>
          <w:sz w:val="20"/>
        </w:rPr>
        <w:t>A continuación, se presenta el análisis de sensibilidad para la valuación de la opción de venta por acción, basado en el nivel de volatilidad implícita y el precio de ejercicio teórico de la acción:</w:t>
      </w:r>
    </w:p>
    <w:p w14:paraId="035D8C97" w14:textId="6B36B4C3" w:rsidR="008B63BA" w:rsidRPr="00A57C43" w:rsidRDefault="008B63BA" w:rsidP="008B63BA">
      <w:pPr>
        <w:ind w:left="709"/>
        <w:jc w:val="both"/>
        <w:rPr>
          <w:rFonts w:ascii="Times New Roman" w:hAnsi="Times New Roman"/>
          <w:sz w:val="20"/>
        </w:rPr>
      </w:pPr>
    </w:p>
    <w:tbl>
      <w:tblPr>
        <w:tblW w:w="0" w:type="auto"/>
        <w:tblInd w:w="2428" w:type="dxa"/>
        <w:tblLook w:val="04A0" w:firstRow="1" w:lastRow="0" w:firstColumn="1" w:lastColumn="0" w:noHBand="0" w:noVBand="1"/>
      </w:tblPr>
      <w:tblGrid>
        <w:gridCol w:w="594"/>
        <w:gridCol w:w="709"/>
        <w:gridCol w:w="992"/>
        <w:gridCol w:w="851"/>
        <w:gridCol w:w="850"/>
        <w:gridCol w:w="1072"/>
      </w:tblGrid>
      <w:tr w:rsidR="008B63BA" w:rsidRPr="00A57C43" w14:paraId="24EF2823" w14:textId="77777777" w:rsidTr="008B5DBD">
        <w:tc>
          <w:tcPr>
            <w:tcW w:w="5068" w:type="dxa"/>
            <w:gridSpan w:val="6"/>
          </w:tcPr>
          <w:p w14:paraId="601BC8B1" w14:textId="1ED1D43C" w:rsidR="008B63BA" w:rsidRPr="00A57C43" w:rsidRDefault="008B63BA" w:rsidP="008B63BA">
            <w:pPr>
              <w:jc w:val="center"/>
              <w:rPr>
                <w:rFonts w:ascii="Times New Roman" w:hAnsi="Times New Roman"/>
                <w:b/>
                <w:sz w:val="20"/>
                <w:lang w:val="en-US"/>
              </w:rPr>
            </w:pPr>
            <w:r w:rsidRPr="00A57C43">
              <w:rPr>
                <w:rFonts w:ascii="Times New Roman" w:hAnsi="Times New Roman"/>
                <w:sz w:val="20"/>
                <w:lang w:val="en-US"/>
              </w:rPr>
              <w:t>:</w:t>
            </w:r>
            <w:r w:rsidRPr="00A57C43">
              <w:rPr>
                <w:rFonts w:ascii="Times New Roman" w:hAnsi="Times New Roman"/>
                <w:b/>
                <w:sz w:val="20"/>
                <w:lang w:val="en-US"/>
              </w:rPr>
              <w:t>Sensibilidad – en dólares</w:t>
            </w:r>
          </w:p>
        </w:tc>
      </w:tr>
      <w:tr w:rsidR="008B63BA" w:rsidRPr="00A57C43" w14:paraId="7887AAA5" w14:textId="77777777" w:rsidTr="008B5DBD">
        <w:trPr>
          <w:trHeight w:val="207"/>
        </w:trPr>
        <w:tc>
          <w:tcPr>
            <w:tcW w:w="594" w:type="dxa"/>
          </w:tcPr>
          <w:p w14:paraId="05E38788" w14:textId="77777777" w:rsidR="008B63BA" w:rsidRPr="00A57C43" w:rsidRDefault="008B63BA" w:rsidP="008B63BA">
            <w:pPr>
              <w:rPr>
                <w:rFonts w:ascii="Times New Roman" w:hAnsi="Times New Roman"/>
                <w:i/>
                <w:sz w:val="20"/>
                <w:lang w:val="en-US"/>
              </w:rPr>
            </w:pPr>
          </w:p>
        </w:tc>
        <w:tc>
          <w:tcPr>
            <w:tcW w:w="709" w:type="dxa"/>
          </w:tcPr>
          <w:p w14:paraId="04D32475" w14:textId="77777777" w:rsidR="008B63BA" w:rsidRPr="00A57C43" w:rsidRDefault="008B63BA" w:rsidP="008B63BA">
            <w:pPr>
              <w:rPr>
                <w:rFonts w:ascii="Times New Roman" w:hAnsi="Times New Roman"/>
                <w:i/>
                <w:sz w:val="20"/>
                <w:lang w:val="en"/>
              </w:rPr>
            </w:pPr>
          </w:p>
        </w:tc>
        <w:tc>
          <w:tcPr>
            <w:tcW w:w="3765" w:type="dxa"/>
            <w:gridSpan w:val="4"/>
          </w:tcPr>
          <w:p w14:paraId="332A4AE3" w14:textId="77777777" w:rsidR="008B63BA" w:rsidRPr="00A57C43" w:rsidRDefault="008B63BA" w:rsidP="008B63BA">
            <w:pPr>
              <w:jc w:val="center"/>
              <w:rPr>
                <w:rFonts w:ascii="Times New Roman" w:hAnsi="Times New Roman"/>
                <w:i/>
                <w:sz w:val="20"/>
                <w:lang w:val="en-US"/>
              </w:rPr>
            </w:pPr>
            <w:r w:rsidRPr="00A57C43">
              <w:rPr>
                <w:rFonts w:ascii="Times New Roman" w:hAnsi="Times New Roman"/>
                <w:i/>
                <w:sz w:val="20"/>
                <w:lang w:val="en"/>
              </w:rPr>
              <w:t>Volatilidad</w:t>
            </w:r>
          </w:p>
        </w:tc>
      </w:tr>
      <w:tr w:rsidR="008B63BA" w:rsidRPr="00A57C43" w14:paraId="521F1202" w14:textId="77777777" w:rsidTr="008B5DBD">
        <w:tc>
          <w:tcPr>
            <w:tcW w:w="594" w:type="dxa"/>
          </w:tcPr>
          <w:p w14:paraId="07AA8763" w14:textId="77777777" w:rsidR="008B63BA" w:rsidRPr="00A57C43" w:rsidRDefault="008B63BA" w:rsidP="008B63BA">
            <w:pPr>
              <w:rPr>
                <w:rFonts w:ascii="Times New Roman" w:hAnsi="Times New Roman"/>
                <w:sz w:val="20"/>
                <w:lang w:val="en-US"/>
              </w:rPr>
            </w:pPr>
          </w:p>
        </w:tc>
        <w:tc>
          <w:tcPr>
            <w:tcW w:w="709" w:type="dxa"/>
          </w:tcPr>
          <w:p w14:paraId="341895CA" w14:textId="77777777" w:rsidR="008B63BA" w:rsidRPr="00A57C43" w:rsidRDefault="008B63BA" w:rsidP="008B63BA">
            <w:pPr>
              <w:jc w:val="center"/>
              <w:rPr>
                <w:rFonts w:ascii="Times New Roman" w:hAnsi="Times New Roman"/>
                <w:sz w:val="20"/>
                <w:lang w:val="en-US"/>
              </w:rPr>
            </w:pPr>
          </w:p>
        </w:tc>
        <w:tc>
          <w:tcPr>
            <w:tcW w:w="992" w:type="dxa"/>
          </w:tcPr>
          <w:p w14:paraId="2E374265" w14:textId="43594295" w:rsidR="008B63BA" w:rsidRPr="00A57C43" w:rsidRDefault="00942B4A" w:rsidP="008B63BA">
            <w:pPr>
              <w:jc w:val="center"/>
              <w:rPr>
                <w:rFonts w:ascii="Times New Roman" w:hAnsi="Times New Roman"/>
                <w:sz w:val="20"/>
                <w:lang w:val="en-US"/>
              </w:rPr>
            </w:pPr>
            <w:r w:rsidRPr="00A57C43">
              <w:rPr>
                <w:rFonts w:ascii="Times New Roman" w:hAnsi="Times New Roman"/>
                <w:sz w:val="20"/>
                <w:lang w:val="en-US"/>
              </w:rPr>
              <w:t>10,</w:t>
            </w:r>
            <w:r w:rsidR="008B63BA" w:rsidRPr="00A57C43">
              <w:rPr>
                <w:rFonts w:ascii="Times New Roman" w:hAnsi="Times New Roman"/>
                <w:sz w:val="20"/>
                <w:lang w:val="en-US"/>
              </w:rPr>
              <w:t>0%</w:t>
            </w:r>
          </w:p>
        </w:tc>
        <w:tc>
          <w:tcPr>
            <w:tcW w:w="851" w:type="dxa"/>
          </w:tcPr>
          <w:p w14:paraId="18FAF8A2" w14:textId="359879B4" w:rsidR="008B63BA" w:rsidRPr="00A57C43" w:rsidRDefault="008B63BA" w:rsidP="00942B4A">
            <w:pPr>
              <w:jc w:val="center"/>
              <w:rPr>
                <w:rFonts w:ascii="Times New Roman" w:hAnsi="Times New Roman"/>
                <w:sz w:val="20"/>
                <w:lang w:val="en-US"/>
              </w:rPr>
            </w:pPr>
            <w:r w:rsidRPr="00A57C43">
              <w:rPr>
                <w:rFonts w:ascii="Times New Roman" w:hAnsi="Times New Roman"/>
                <w:sz w:val="20"/>
                <w:lang w:val="en-US"/>
              </w:rPr>
              <w:t>12</w:t>
            </w:r>
            <w:r w:rsidR="00942B4A" w:rsidRPr="00A57C43">
              <w:rPr>
                <w:rFonts w:ascii="Times New Roman" w:hAnsi="Times New Roman"/>
                <w:sz w:val="20"/>
                <w:lang w:val="en-US"/>
              </w:rPr>
              <w:t>,</w:t>
            </w:r>
            <w:r w:rsidR="007A6642" w:rsidRPr="00A57C43">
              <w:rPr>
                <w:rFonts w:ascii="Times New Roman" w:hAnsi="Times New Roman"/>
                <w:sz w:val="20"/>
                <w:lang w:val="en-US"/>
              </w:rPr>
              <w:t>0</w:t>
            </w:r>
            <w:r w:rsidRPr="00A57C43">
              <w:rPr>
                <w:rFonts w:ascii="Times New Roman" w:hAnsi="Times New Roman"/>
                <w:sz w:val="20"/>
                <w:lang w:val="en-US"/>
              </w:rPr>
              <w:t>%</w:t>
            </w:r>
          </w:p>
        </w:tc>
        <w:tc>
          <w:tcPr>
            <w:tcW w:w="850" w:type="dxa"/>
          </w:tcPr>
          <w:p w14:paraId="6F210D74" w14:textId="4FB767EC" w:rsidR="008B63BA" w:rsidRPr="00A57C43" w:rsidRDefault="008B63BA" w:rsidP="00942B4A">
            <w:pPr>
              <w:jc w:val="center"/>
              <w:rPr>
                <w:rFonts w:ascii="Times New Roman" w:hAnsi="Times New Roman"/>
                <w:sz w:val="20"/>
                <w:lang w:val="en-US"/>
              </w:rPr>
            </w:pPr>
            <w:r w:rsidRPr="00A57C43">
              <w:rPr>
                <w:rFonts w:ascii="Times New Roman" w:hAnsi="Times New Roman"/>
                <w:sz w:val="20"/>
                <w:lang w:val="en-US"/>
              </w:rPr>
              <w:t>15</w:t>
            </w:r>
            <w:r w:rsidR="00942B4A" w:rsidRPr="00A57C43">
              <w:rPr>
                <w:rFonts w:ascii="Times New Roman" w:hAnsi="Times New Roman"/>
                <w:sz w:val="20"/>
                <w:lang w:val="en-US"/>
              </w:rPr>
              <w:t>,</w:t>
            </w:r>
            <w:r w:rsidRPr="00A57C43">
              <w:rPr>
                <w:rFonts w:ascii="Times New Roman" w:hAnsi="Times New Roman"/>
                <w:sz w:val="20"/>
                <w:lang w:val="en-US"/>
              </w:rPr>
              <w:t>0%</w:t>
            </w:r>
          </w:p>
        </w:tc>
        <w:tc>
          <w:tcPr>
            <w:tcW w:w="1072" w:type="dxa"/>
          </w:tcPr>
          <w:p w14:paraId="620E1A98" w14:textId="7CEF7B25" w:rsidR="008B63BA" w:rsidRPr="00A57C43" w:rsidRDefault="008B63BA" w:rsidP="00942B4A">
            <w:pPr>
              <w:jc w:val="center"/>
              <w:rPr>
                <w:rFonts w:ascii="Times New Roman" w:hAnsi="Times New Roman"/>
                <w:sz w:val="20"/>
                <w:lang w:val="en-US"/>
              </w:rPr>
            </w:pPr>
            <w:r w:rsidRPr="00A57C43">
              <w:rPr>
                <w:rFonts w:ascii="Times New Roman" w:hAnsi="Times New Roman"/>
                <w:sz w:val="20"/>
                <w:lang w:val="en-US"/>
              </w:rPr>
              <w:t>20</w:t>
            </w:r>
            <w:r w:rsidR="00942B4A" w:rsidRPr="00A57C43">
              <w:rPr>
                <w:rFonts w:ascii="Times New Roman" w:hAnsi="Times New Roman"/>
                <w:sz w:val="20"/>
                <w:lang w:val="en-US"/>
              </w:rPr>
              <w:t>,</w:t>
            </w:r>
            <w:r w:rsidRPr="00A57C43">
              <w:rPr>
                <w:rFonts w:ascii="Times New Roman" w:hAnsi="Times New Roman"/>
                <w:sz w:val="20"/>
                <w:lang w:val="en-US"/>
              </w:rPr>
              <w:t>0%</w:t>
            </w:r>
          </w:p>
        </w:tc>
      </w:tr>
      <w:tr w:rsidR="008B63BA" w:rsidRPr="00A57C43" w14:paraId="6F49539A" w14:textId="77777777" w:rsidTr="008B5DBD">
        <w:trPr>
          <w:trHeight w:val="80"/>
        </w:trPr>
        <w:tc>
          <w:tcPr>
            <w:tcW w:w="594" w:type="dxa"/>
          </w:tcPr>
          <w:p w14:paraId="0D02B9EF" w14:textId="77777777" w:rsidR="008B63BA" w:rsidRPr="00A57C43" w:rsidRDefault="008B63BA" w:rsidP="008B63BA">
            <w:pPr>
              <w:rPr>
                <w:rFonts w:ascii="Times New Roman" w:hAnsi="Times New Roman"/>
                <w:sz w:val="20"/>
                <w:lang w:val="en-US"/>
              </w:rPr>
            </w:pPr>
          </w:p>
        </w:tc>
        <w:tc>
          <w:tcPr>
            <w:tcW w:w="709" w:type="dxa"/>
          </w:tcPr>
          <w:p w14:paraId="3CA3CC2F" w14:textId="77777777" w:rsidR="008B63BA" w:rsidRPr="00A57C43" w:rsidRDefault="008B63BA" w:rsidP="008B63BA">
            <w:pPr>
              <w:jc w:val="center"/>
              <w:rPr>
                <w:rFonts w:ascii="Times New Roman" w:hAnsi="Times New Roman"/>
                <w:sz w:val="20"/>
                <w:lang w:val="en-US"/>
              </w:rPr>
            </w:pPr>
          </w:p>
        </w:tc>
        <w:tc>
          <w:tcPr>
            <w:tcW w:w="992" w:type="dxa"/>
            <w:tcBorders>
              <w:bottom w:val="single" w:sz="4" w:space="0" w:color="auto"/>
            </w:tcBorders>
          </w:tcPr>
          <w:p w14:paraId="72DCF00D" w14:textId="77777777" w:rsidR="008B63BA" w:rsidRPr="00A57C43" w:rsidRDefault="008B63BA" w:rsidP="008B63BA">
            <w:pPr>
              <w:jc w:val="center"/>
              <w:rPr>
                <w:rFonts w:ascii="Times New Roman" w:hAnsi="Times New Roman"/>
                <w:sz w:val="20"/>
                <w:lang w:val="en-US"/>
              </w:rPr>
            </w:pPr>
          </w:p>
        </w:tc>
        <w:tc>
          <w:tcPr>
            <w:tcW w:w="851" w:type="dxa"/>
            <w:tcBorders>
              <w:bottom w:val="single" w:sz="4" w:space="0" w:color="auto"/>
            </w:tcBorders>
          </w:tcPr>
          <w:p w14:paraId="20F21FC8" w14:textId="77777777" w:rsidR="008B63BA" w:rsidRPr="00A57C43" w:rsidRDefault="008B63BA" w:rsidP="008B63BA">
            <w:pPr>
              <w:jc w:val="center"/>
              <w:rPr>
                <w:rFonts w:ascii="Times New Roman" w:hAnsi="Times New Roman"/>
                <w:sz w:val="20"/>
                <w:lang w:val="en-US"/>
              </w:rPr>
            </w:pPr>
          </w:p>
        </w:tc>
        <w:tc>
          <w:tcPr>
            <w:tcW w:w="850" w:type="dxa"/>
            <w:tcBorders>
              <w:bottom w:val="single" w:sz="4" w:space="0" w:color="auto"/>
            </w:tcBorders>
          </w:tcPr>
          <w:p w14:paraId="03B9F548" w14:textId="77777777" w:rsidR="008B63BA" w:rsidRPr="00A57C43" w:rsidRDefault="008B63BA" w:rsidP="008B63BA">
            <w:pPr>
              <w:jc w:val="center"/>
              <w:rPr>
                <w:rFonts w:ascii="Times New Roman" w:hAnsi="Times New Roman"/>
                <w:sz w:val="20"/>
                <w:lang w:val="en-US"/>
              </w:rPr>
            </w:pPr>
          </w:p>
        </w:tc>
        <w:tc>
          <w:tcPr>
            <w:tcW w:w="1072" w:type="dxa"/>
            <w:tcBorders>
              <w:bottom w:val="single" w:sz="4" w:space="0" w:color="auto"/>
            </w:tcBorders>
          </w:tcPr>
          <w:p w14:paraId="1003726C" w14:textId="77777777" w:rsidR="008B63BA" w:rsidRPr="00A57C43" w:rsidRDefault="008B63BA" w:rsidP="008B63BA">
            <w:pPr>
              <w:jc w:val="center"/>
              <w:rPr>
                <w:rFonts w:ascii="Times New Roman" w:hAnsi="Times New Roman"/>
                <w:sz w:val="20"/>
                <w:lang w:val="en-US"/>
              </w:rPr>
            </w:pPr>
          </w:p>
        </w:tc>
      </w:tr>
      <w:tr w:rsidR="008B63BA" w:rsidRPr="00A57C43" w14:paraId="2BAF2472" w14:textId="77777777" w:rsidTr="008B5DBD">
        <w:trPr>
          <w:trHeight w:val="374"/>
        </w:trPr>
        <w:tc>
          <w:tcPr>
            <w:tcW w:w="594" w:type="dxa"/>
            <w:vMerge w:val="restart"/>
            <w:textDirection w:val="btLr"/>
          </w:tcPr>
          <w:p w14:paraId="6B1927E4" w14:textId="77777777" w:rsidR="008B63BA" w:rsidRPr="00A57C43" w:rsidRDefault="008B63BA" w:rsidP="008B63BA">
            <w:pPr>
              <w:ind w:left="113" w:right="113"/>
              <w:jc w:val="center"/>
              <w:rPr>
                <w:rFonts w:ascii="Times New Roman" w:hAnsi="Times New Roman"/>
                <w:i/>
                <w:sz w:val="20"/>
                <w:lang w:val="en-US"/>
              </w:rPr>
            </w:pPr>
            <w:r w:rsidRPr="00A57C43">
              <w:rPr>
                <w:rFonts w:ascii="Times New Roman" w:hAnsi="Times New Roman"/>
                <w:i/>
                <w:sz w:val="20"/>
                <w:lang w:val="en-US"/>
              </w:rPr>
              <w:t>EBITDA</w:t>
            </w:r>
          </w:p>
        </w:tc>
        <w:tc>
          <w:tcPr>
            <w:tcW w:w="709" w:type="dxa"/>
            <w:tcBorders>
              <w:right w:val="single" w:sz="4" w:space="0" w:color="auto"/>
            </w:tcBorders>
            <w:vAlign w:val="center"/>
          </w:tcPr>
          <w:p w14:paraId="3F1C33DD" w14:textId="77777777" w:rsidR="008B63BA" w:rsidRPr="00A57C43" w:rsidRDefault="008B63BA" w:rsidP="008B63BA">
            <w:pPr>
              <w:jc w:val="center"/>
              <w:rPr>
                <w:rFonts w:ascii="Times New Roman" w:hAnsi="Times New Roman"/>
                <w:sz w:val="20"/>
                <w:lang w:val="en-US"/>
              </w:rPr>
            </w:pPr>
            <w:r w:rsidRPr="00A57C43">
              <w:rPr>
                <w:rFonts w:ascii="Times New Roman" w:hAnsi="Times New Roman"/>
                <w:sz w:val="20"/>
                <w:lang w:val="en-US"/>
              </w:rPr>
              <w:t>95%</w:t>
            </w:r>
          </w:p>
        </w:tc>
        <w:tc>
          <w:tcPr>
            <w:tcW w:w="992" w:type="dxa"/>
            <w:tcBorders>
              <w:top w:val="single" w:sz="4" w:space="0" w:color="auto"/>
              <w:left w:val="single" w:sz="4" w:space="0" w:color="auto"/>
            </w:tcBorders>
            <w:vAlign w:val="center"/>
          </w:tcPr>
          <w:p w14:paraId="37FE7DA0" w14:textId="0CB2EA92" w:rsidR="008B63BA" w:rsidRPr="00A57C43" w:rsidRDefault="007A6642"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Pr="00A57C43">
              <w:rPr>
                <w:rFonts w:ascii="Times New Roman" w:hAnsi="Times New Roman"/>
                <w:sz w:val="20"/>
                <w:lang w:val="en-US"/>
              </w:rPr>
              <w:t>08</w:t>
            </w:r>
          </w:p>
        </w:tc>
        <w:tc>
          <w:tcPr>
            <w:tcW w:w="851" w:type="dxa"/>
            <w:tcBorders>
              <w:top w:val="single" w:sz="4" w:space="0" w:color="auto"/>
            </w:tcBorders>
            <w:vAlign w:val="center"/>
          </w:tcPr>
          <w:p w14:paraId="392642E2" w14:textId="3E17D54C" w:rsidR="008B63BA" w:rsidRPr="00A57C43" w:rsidRDefault="007A6642"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Pr="00A57C43">
              <w:rPr>
                <w:rFonts w:ascii="Times New Roman" w:hAnsi="Times New Roman"/>
                <w:sz w:val="20"/>
                <w:lang w:val="en-US"/>
              </w:rPr>
              <w:t>16</w:t>
            </w:r>
          </w:p>
        </w:tc>
        <w:tc>
          <w:tcPr>
            <w:tcW w:w="850" w:type="dxa"/>
            <w:tcBorders>
              <w:top w:val="single" w:sz="4" w:space="0" w:color="auto"/>
            </w:tcBorders>
            <w:vAlign w:val="center"/>
          </w:tcPr>
          <w:p w14:paraId="0BE0B730" w14:textId="5041EFD4" w:rsidR="008B63BA" w:rsidRPr="00A57C43" w:rsidRDefault="008B63BA"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007A6642" w:rsidRPr="00A57C43">
              <w:rPr>
                <w:rFonts w:ascii="Times New Roman" w:hAnsi="Times New Roman"/>
                <w:sz w:val="20"/>
                <w:lang w:val="en-US"/>
              </w:rPr>
              <w:t>2</w:t>
            </w:r>
            <w:r w:rsidRPr="00A57C43">
              <w:rPr>
                <w:rFonts w:ascii="Times New Roman" w:hAnsi="Times New Roman"/>
                <w:sz w:val="20"/>
                <w:lang w:val="en-US"/>
              </w:rPr>
              <w:t>6</w:t>
            </w:r>
          </w:p>
        </w:tc>
        <w:tc>
          <w:tcPr>
            <w:tcW w:w="1072" w:type="dxa"/>
            <w:tcBorders>
              <w:top w:val="single" w:sz="4" w:space="0" w:color="auto"/>
            </w:tcBorders>
            <w:vAlign w:val="center"/>
          </w:tcPr>
          <w:p w14:paraId="46E0732B" w14:textId="1BF1F187" w:rsidR="008B63BA" w:rsidRPr="00A57C43" w:rsidRDefault="008B63BA"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Pr="00A57C43">
              <w:rPr>
                <w:rFonts w:ascii="Times New Roman" w:hAnsi="Times New Roman"/>
                <w:sz w:val="20"/>
                <w:lang w:val="en-US"/>
              </w:rPr>
              <w:t>4</w:t>
            </w:r>
            <w:r w:rsidR="007A6642" w:rsidRPr="00A57C43">
              <w:rPr>
                <w:rFonts w:ascii="Times New Roman" w:hAnsi="Times New Roman"/>
                <w:sz w:val="20"/>
                <w:lang w:val="en-US"/>
              </w:rPr>
              <w:t>2</w:t>
            </w:r>
          </w:p>
        </w:tc>
      </w:tr>
      <w:tr w:rsidR="008B63BA" w:rsidRPr="00A57C43" w14:paraId="7C520FFF" w14:textId="77777777" w:rsidTr="008B5DBD">
        <w:trPr>
          <w:trHeight w:val="291"/>
        </w:trPr>
        <w:tc>
          <w:tcPr>
            <w:tcW w:w="594" w:type="dxa"/>
            <w:vMerge/>
          </w:tcPr>
          <w:p w14:paraId="7915EB7F" w14:textId="77777777" w:rsidR="008B63BA" w:rsidRPr="00A57C43" w:rsidRDefault="008B63BA" w:rsidP="008B63BA">
            <w:pPr>
              <w:rPr>
                <w:rFonts w:ascii="Times New Roman" w:hAnsi="Times New Roman"/>
                <w:sz w:val="20"/>
                <w:lang w:val="en-US"/>
              </w:rPr>
            </w:pPr>
          </w:p>
        </w:tc>
        <w:tc>
          <w:tcPr>
            <w:tcW w:w="709" w:type="dxa"/>
            <w:tcBorders>
              <w:right w:val="single" w:sz="4" w:space="0" w:color="auto"/>
            </w:tcBorders>
            <w:vAlign w:val="center"/>
          </w:tcPr>
          <w:p w14:paraId="58F86F48" w14:textId="77777777" w:rsidR="008B63BA" w:rsidRPr="00A57C43" w:rsidRDefault="008B63BA" w:rsidP="008B63BA">
            <w:pPr>
              <w:jc w:val="center"/>
              <w:rPr>
                <w:rFonts w:ascii="Times New Roman" w:hAnsi="Times New Roman"/>
                <w:sz w:val="20"/>
                <w:lang w:val="en-US"/>
              </w:rPr>
            </w:pPr>
            <w:r w:rsidRPr="00A57C43">
              <w:rPr>
                <w:rFonts w:ascii="Times New Roman" w:hAnsi="Times New Roman"/>
                <w:sz w:val="20"/>
                <w:lang w:val="en-US"/>
              </w:rPr>
              <w:t>100%</w:t>
            </w:r>
          </w:p>
        </w:tc>
        <w:tc>
          <w:tcPr>
            <w:tcW w:w="992" w:type="dxa"/>
            <w:tcBorders>
              <w:left w:val="single" w:sz="4" w:space="0" w:color="auto"/>
            </w:tcBorders>
            <w:vAlign w:val="center"/>
          </w:tcPr>
          <w:p w14:paraId="4DD1F8A5" w14:textId="38AA6ADA" w:rsidR="008B63BA" w:rsidRPr="00A57C43" w:rsidRDefault="007A6642"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Pr="00A57C43">
              <w:rPr>
                <w:rFonts w:ascii="Times New Roman" w:hAnsi="Times New Roman"/>
                <w:sz w:val="20"/>
                <w:lang w:val="en-US"/>
              </w:rPr>
              <w:t>26</w:t>
            </w:r>
          </w:p>
        </w:tc>
        <w:tc>
          <w:tcPr>
            <w:tcW w:w="851" w:type="dxa"/>
            <w:vAlign w:val="center"/>
          </w:tcPr>
          <w:p w14:paraId="0B3CA378" w14:textId="1DCF93B0" w:rsidR="008B63BA" w:rsidRPr="00A57C43" w:rsidRDefault="008B63BA"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007A6642" w:rsidRPr="00A57C43">
              <w:rPr>
                <w:rFonts w:ascii="Times New Roman" w:hAnsi="Times New Roman"/>
                <w:sz w:val="20"/>
                <w:lang w:val="en-US"/>
              </w:rPr>
              <w:t>31</w:t>
            </w:r>
          </w:p>
        </w:tc>
        <w:tc>
          <w:tcPr>
            <w:tcW w:w="850" w:type="dxa"/>
            <w:vAlign w:val="center"/>
          </w:tcPr>
          <w:p w14:paraId="3057D7AF" w14:textId="1DA15824" w:rsidR="008B63BA" w:rsidRPr="00A57C43" w:rsidRDefault="008B63BA"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007A6642" w:rsidRPr="00A57C43">
              <w:rPr>
                <w:rFonts w:ascii="Times New Roman" w:hAnsi="Times New Roman"/>
                <w:sz w:val="20"/>
                <w:lang w:val="en-US"/>
              </w:rPr>
              <w:t>42</w:t>
            </w:r>
          </w:p>
        </w:tc>
        <w:tc>
          <w:tcPr>
            <w:tcW w:w="1072" w:type="dxa"/>
            <w:vAlign w:val="center"/>
          </w:tcPr>
          <w:p w14:paraId="34FA2B0B" w14:textId="2E34F7DB" w:rsidR="008B63BA" w:rsidRPr="00A57C43" w:rsidRDefault="008B63BA"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Pr="00A57C43">
              <w:rPr>
                <w:rFonts w:ascii="Times New Roman" w:hAnsi="Times New Roman"/>
                <w:sz w:val="20"/>
                <w:lang w:val="en-US"/>
              </w:rPr>
              <w:t>59</w:t>
            </w:r>
          </w:p>
        </w:tc>
      </w:tr>
      <w:tr w:rsidR="008B63BA" w:rsidRPr="00A57C43" w14:paraId="10FE27D6" w14:textId="77777777" w:rsidTr="008B5DBD">
        <w:trPr>
          <w:trHeight w:val="409"/>
        </w:trPr>
        <w:tc>
          <w:tcPr>
            <w:tcW w:w="594" w:type="dxa"/>
            <w:vMerge/>
          </w:tcPr>
          <w:p w14:paraId="733CA305" w14:textId="77777777" w:rsidR="008B63BA" w:rsidRPr="00A57C43" w:rsidRDefault="008B63BA" w:rsidP="008B63BA">
            <w:pPr>
              <w:rPr>
                <w:rFonts w:ascii="Times New Roman" w:hAnsi="Times New Roman"/>
                <w:sz w:val="20"/>
                <w:lang w:val="en-US"/>
              </w:rPr>
            </w:pPr>
          </w:p>
        </w:tc>
        <w:tc>
          <w:tcPr>
            <w:tcW w:w="709" w:type="dxa"/>
            <w:tcBorders>
              <w:right w:val="single" w:sz="4" w:space="0" w:color="auto"/>
            </w:tcBorders>
            <w:vAlign w:val="center"/>
          </w:tcPr>
          <w:p w14:paraId="7846DA8B" w14:textId="77777777" w:rsidR="008B63BA" w:rsidRPr="00A57C43" w:rsidRDefault="008B63BA" w:rsidP="008B63BA">
            <w:pPr>
              <w:jc w:val="center"/>
              <w:rPr>
                <w:rFonts w:ascii="Times New Roman" w:hAnsi="Times New Roman"/>
                <w:sz w:val="20"/>
                <w:lang w:val="en-US"/>
              </w:rPr>
            </w:pPr>
            <w:r w:rsidRPr="00A57C43">
              <w:rPr>
                <w:rFonts w:ascii="Times New Roman" w:hAnsi="Times New Roman"/>
                <w:sz w:val="20"/>
                <w:lang w:val="en-US"/>
              </w:rPr>
              <w:t>105%</w:t>
            </w:r>
          </w:p>
        </w:tc>
        <w:tc>
          <w:tcPr>
            <w:tcW w:w="992" w:type="dxa"/>
            <w:tcBorders>
              <w:left w:val="single" w:sz="4" w:space="0" w:color="auto"/>
            </w:tcBorders>
            <w:vAlign w:val="center"/>
          </w:tcPr>
          <w:p w14:paraId="513AFDB5" w14:textId="6CC12BD4" w:rsidR="008B63BA" w:rsidRPr="00A57C43" w:rsidRDefault="007A6642"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Pr="00A57C43">
              <w:rPr>
                <w:rFonts w:ascii="Times New Roman" w:hAnsi="Times New Roman"/>
                <w:sz w:val="20"/>
                <w:lang w:val="en-US"/>
              </w:rPr>
              <w:t>43</w:t>
            </w:r>
          </w:p>
        </w:tc>
        <w:tc>
          <w:tcPr>
            <w:tcW w:w="851" w:type="dxa"/>
            <w:vAlign w:val="center"/>
          </w:tcPr>
          <w:p w14:paraId="5F23E24B" w14:textId="328266CD" w:rsidR="008B63BA" w:rsidRPr="00A57C43" w:rsidRDefault="008B63BA"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007A6642" w:rsidRPr="00A57C43">
              <w:rPr>
                <w:rFonts w:ascii="Times New Roman" w:hAnsi="Times New Roman"/>
                <w:sz w:val="20"/>
                <w:lang w:val="en-US"/>
              </w:rPr>
              <w:t>48</w:t>
            </w:r>
          </w:p>
        </w:tc>
        <w:tc>
          <w:tcPr>
            <w:tcW w:w="850" w:type="dxa"/>
            <w:vAlign w:val="center"/>
          </w:tcPr>
          <w:p w14:paraId="7EAD3368" w14:textId="7962CD91" w:rsidR="008B63BA" w:rsidRPr="00A57C43" w:rsidRDefault="008B63BA"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007A6642" w:rsidRPr="00A57C43">
              <w:rPr>
                <w:rFonts w:ascii="Times New Roman" w:hAnsi="Times New Roman"/>
                <w:sz w:val="20"/>
                <w:lang w:val="en-US"/>
              </w:rPr>
              <w:t>58</w:t>
            </w:r>
          </w:p>
        </w:tc>
        <w:tc>
          <w:tcPr>
            <w:tcW w:w="1072" w:type="dxa"/>
            <w:vAlign w:val="center"/>
          </w:tcPr>
          <w:p w14:paraId="559A06A7" w14:textId="5173AF23" w:rsidR="008B63BA" w:rsidRPr="00A57C43" w:rsidRDefault="008B63BA" w:rsidP="005703BA">
            <w:pPr>
              <w:jc w:val="center"/>
              <w:rPr>
                <w:rFonts w:ascii="Times New Roman" w:hAnsi="Times New Roman"/>
                <w:sz w:val="20"/>
                <w:lang w:val="en-US"/>
              </w:rPr>
            </w:pPr>
            <w:r w:rsidRPr="00A57C43">
              <w:rPr>
                <w:rFonts w:ascii="Times New Roman" w:hAnsi="Times New Roman"/>
                <w:sz w:val="20"/>
                <w:lang w:val="en-US"/>
              </w:rPr>
              <w:t>1</w:t>
            </w:r>
            <w:r w:rsidR="005703BA" w:rsidRPr="00A57C43">
              <w:rPr>
                <w:rFonts w:ascii="Times New Roman" w:hAnsi="Times New Roman"/>
                <w:sz w:val="20"/>
                <w:lang w:val="en-US"/>
              </w:rPr>
              <w:t>,</w:t>
            </w:r>
            <w:r w:rsidRPr="00A57C43">
              <w:rPr>
                <w:rFonts w:ascii="Times New Roman" w:hAnsi="Times New Roman"/>
                <w:sz w:val="20"/>
                <w:lang w:val="en-US"/>
              </w:rPr>
              <w:t>7</w:t>
            </w:r>
            <w:r w:rsidR="007A6642" w:rsidRPr="00A57C43">
              <w:rPr>
                <w:rFonts w:ascii="Times New Roman" w:hAnsi="Times New Roman"/>
                <w:sz w:val="20"/>
                <w:lang w:val="en-US"/>
              </w:rPr>
              <w:t>5</w:t>
            </w:r>
          </w:p>
        </w:tc>
      </w:tr>
    </w:tbl>
    <w:p w14:paraId="014AF731" w14:textId="3881E5A9" w:rsidR="008B63BA" w:rsidRPr="00A57C43" w:rsidRDefault="008B63BA" w:rsidP="008B5DBD">
      <w:pPr>
        <w:ind w:left="477"/>
        <w:rPr>
          <w:rFonts w:ascii="Times New Roman" w:hAnsi="Times New Roman"/>
          <w:sz w:val="20"/>
          <w:lang w:val="en-US"/>
        </w:rPr>
      </w:pPr>
    </w:p>
    <w:p w14:paraId="29723E6E" w14:textId="1480ACB1" w:rsidR="008B63BA" w:rsidRPr="00A57C43" w:rsidRDefault="008B63BA" w:rsidP="000A73E4">
      <w:pPr>
        <w:tabs>
          <w:tab w:val="left" w:pos="709"/>
        </w:tabs>
        <w:spacing w:after="160"/>
        <w:ind w:left="709" w:right="62"/>
        <w:jc w:val="both"/>
        <w:rPr>
          <w:rFonts w:ascii="Times New Roman" w:hAnsi="Times New Roman"/>
          <w:sz w:val="20"/>
        </w:rPr>
      </w:pPr>
      <w:r w:rsidRPr="00A57C43">
        <w:rPr>
          <w:rFonts w:ascii="Times New Roman" w:hAnsi="Times New Roman"/>
          <w:sz w:val="20"/>
        </w:rPr>
        <w:t xml:space="preserve">El escenario para la valuación considera un EBITDA al 100% y volatilidad al 12%, siendo el valor razonable de </w:t>
      </w:r>
      <w:r w:rsidR="000D481E" w:rsidRPr="00A57C43">
        <w:rPr>
          <w:rFonts w:ascii="Times New Roman" w:hAnsi="Times New Roman"/>
          <w:sz w:val="20"/>
        </w:rPr>
        <w:t>1.182.000</w:t>
      </w:r>
      <w:r w:rsidRPr="00A57C43">
        <w:rPr>
          <w:rFonts w:ascii="Times New Roman" w:hAnsi="Times New Roman"/>
          <w:sz w:val="20"/>
        </w:rPr>
        <w:t xml:space="preserve"> </w:t>
      </w:r>
      <w:r w:rsidR="00C95C9B" w:rsidRPr="00A57C43">
        <w:rPr>
          <w:rFonts w:ascii="Times New Roman" w:hAnsi="Times New Roman"/>
          <w:color w:val="000000"/>
          <w:sz w:val="20"/>
          <w:lang w:eastAsia="es-AR"/>
        </w:rPr>
        <w:t>(1.</w:t>
      </w:r>
      <w:r w:rsidR="00506F34" w:rsidRPr="00A57C43">
        <w:rPr>
          <w:rFonts w:ascii="Times New Roman" w:hAnsi="Times New Roman"/>
          <w:color w:val="000000"/>
          <w:sz w:val="20"/>
          <w:lang w:eastAsia="es-AR"/>
        </w:rPr>
        <w:t>618.842</w:t>
      </w:r>
      <w:r w:rsidR="00C95C9B" w:rsidRPr="00A57C43">
        <w:rPr>
          <w:rFonts w:ascii="Times New Roman" w:hAnsi="Times New Roman"/>
          <w:color w:val="000000"/>
          <w:sz w:val="20"/>
          <w:lang w:eastAsia="es-AR"/>
        </w:rPr>
        <w:t xml:space="preserve"> en valores reexpresados) </w:t>
      </w:r>
      <w:r w:rsidRPr="00A57C43">
        <w:rPr>
          <w:rFonts w:ascii="Times New Roman" w:hAnsi="Times New Roman"/>
          <w:sz w:val="20"/>
        </w:rPr>
        <w:t>en función de la posición de la Entidad en Prisma Medios de Pago S.A.</w:t>
      </w:r>
    </w:p>
    <w:p w14:paraId="0945DA6E" w14:textId="77777777" w:rsidR="00EF017B" w:rsidRPr="00A57C43" w:rsidRDefault="00EF017B" w:rsidP="0037203D">
      <w:pPr>
        <w:ind w:left="709"/>
        <w:jc w:val="both"/>
        <w:rPr>
          <w:rFonts w:ascii="Times New Roman" w:hAnsi="Times New Roman"/>
          <w:b/>
          <w:sz w:val="20"/>
        </w:rPr>
      </w:pPr>
    </w:p>
    <w:p w14:paraId="46D82807" w14:textId="77777777" w:rsidR="00546372" w:rsidRPr="00A57C43" w:rsidRDefault="00546372" w:rsidP="00546372">
      <w:pPr>
        <w:ind w:left="709"/>
        <w:jc w:val="both"/>
        <w:rPr>
          <w:rFonts w:ascii="Times New Roman" w:hAnsi="Times New Roman"/>
          <w:b/>
          <w:sz w:val="20"/>
        </w:rPr>
      </w:pPr>
      <w:r w:rsidRPr="00A57C43">
        <w:rPr>
          <w:rFonts w:ascii="Times New Roman" w:hAnsi="Times New Roman"/>
          <w:b/>
          <w:sz w:val="20"/>
        </w:rPr>
        <w:t>Obligaciones Negociables</w:t>
      </w:r>
    </w:p>
    <w:p w14:paraId="6D84744D" w14:textId="77777777" w:rsidR="00546372" w:rsidRPr="00A57C43" w:rsidRDefault="00546372" w:rsidP="00546372">
      <w:pPr>
        <w:ind w:left="709"/>
        <w:jc w:val="both"/>
        <w:rPr>
          <w:rFonts w:ascii="Times New Roman" w:hAnsi="Times New Roman"/>
          <w:sz w:val="20"/>
        </w:rPr>
      </w:pPr>
    </w:p>
    <w:p w14:paraId="0D6E8D0F" w14:textId="77777777" w:rsidR="00546372" w:rsidRPr="00A57C43" w:rsidRDefault="00546372" w:rsidP="00546372">
      <w:pPr>
        <w:ind w:left="709"/>
        <w:jc w:val="both"/>
        <w:rPr>
          <w:rFonts w:ascii="Times New Roman" w:hAnsi="Times New Roman"/>
          <w:sz w:val="20"/>
        </w:rPr>
      </w:pPr>
      <w:r w:rsidRPr="00A57C43">
        <w:rPr>
          <w:rFonts w:ascii="Times New Roman" w:hAnsi="Times New Roman"/>
          <w:sz w:val="20"/>
        </w:rPr>
        <w:t>El cálculo del valor razonable de las obligaciones negociables (ONs) en cartera que se detallan a continuación:</w:t>
      </w:r>
    </w:p>
    <w:p w14:paraId="65263F41" w14:textId="77777777" w:rsidR="00546372" w:rsidRPr="00A57C43" w:rsidRDefault="00546372" w:rsidP="00546372">
      <w:pPr>
        <w:ind w:left="709"/>
        <w:jc w:val="both"/>
        <w:rPr>
          <w:rFonts w:ascii="Times New Roman" w:hAnsi="Times New Roman"/>
          <w:sz w:val="20"/>
        </w:rPr>
      </w:pPr>
    </w:p>
    <w:p w14:paraId="07559368" w14:textId="77777777" w:rsidR="00546372" w:rsidRPr="00A57C43" w:rsidRDefault="00546372" w:rsidP="00546372">
      <w:pPr>
        <w:numPr>
          <w:ilvl w:val="0"/>
          <w:numId w:val="44"/>
        </w:numPr>
        <w:jc w:val="both"/>
        <w:rPr>
          <w:rFonts w:ascii="Times New Roman" w:hAnsi="Times New Roman"/>
          <w:sz w:val="20"/>
        </w:rPr>
      </w:pPr>
      <w:r w:rsidRPr="00A57C43">
        <w:rPr>
          <w:rFonts w:ascii="Times New Roman" w:hAnsi="Times New Roman"/>
          <w:sz w:val="20"/>
        </w:rPr>
        <w:t>ON Petroquímica (ON PCR G)</w:t>
      </w:r>
    </w:p>
    <w:p w14:paraId="7904BABE" w14:textId="77777777" w:rsidR="00546372" w:rsidRPr="00A57C43" w:rsidRDefault="00546372" w:rsidP="00546372">
      <w:pPr>
        <w:numPr>
          <w:ilvl w:val="0"/>
          <w:numId w:val="44"/>
        </w:numPr>
        <w:jc w:val="both"/>
        <w:rPr>
          <w:rFonts w:ascii="Times New Roman" w:hAnsi="Times New Roman"/>
          <w:sz w:val="20"/>
          <w:lang w:val="en-US"/>
        </w:rPr>
      </w:pPr>
      <w:r w:rsidRPr="00A57C43">
        <w:rPr>
          <w:rFonts w:ascii="Times New Roman" w:hAnsi="Times New Roman"/>
          <w:sz w:val="20"/>
          <w:lang w:val="en-US"/>
        </w:rPr>
        <w:t>ON Molinos Agro (ON MAC10)</w:t>
      </w:r>
    </w:p>
    <w:p w14:paraId="457D138B" w14:textId="77777777" w:rsidR="00546372" w:rsidRPr="00A57C43" w:rsidRDefault="00546372" w:rsidP="00546372">
      <w:pPr>
        <w:numPr>
          <w:ilvl w:val="0"/>
          <w:numId w:val="44"/>
        </w:numPr>
        <w:jc w:val="both"/>
        <w:rPr>
          <w:rFonts w:ascii="Times New Roman" w:hAnsi="Times New Roman"/>
          <w:sz w:val="20"/>
        </w:rPr>
      </w:pPr>
      <w:r w:rsidRPr="00A57C43">
        <w:rPr>
          <w:rFonts w:ascii="Times New Roman" w:hAnsi="Times New Roman"/>
          <w:sz w:val="20"/>
        </w:rPr>
        <w:t>ON VISTA OIL Y GAS (ON VISTA11)</w:t>
      </w:r>
    </w:p>
    <w:p w14:paraId="6A639389" w14:textId="77777777" w:rsidR="00546372" w:rsidRPr="00A57C43" w:rsidRDefault="00546372" w:rsidP="00546372">
      <w:pPr>
        <w:pStyle w:val="Prrafodelista"/>
        <w:ind w:left="1069"/>
        <w:jc w:val="both"/>
        <w:rPr>
          <w:sz w:val="20"/>
          <w:szCs w:val="20"/>
          <w:lang w:val="es-AR" w:eastAsia="es-ES"/>
        </w:rPr>
      </w:pPr>
    </w:p>
    <w:p w14:paraId="091FD906" w14:textId="77777777" w:rsidR="00546372" w:rsidRPr="00A57C43" w:rsidRDefault="00546372" w:rsidP="00546372">
      <w:pPr>
        <w:ind w:left="709"/>
        <w:jc w:val="both"/>
        <w:rPr>
          <w:rFonts w:ascii="Times New Roman" w:hAnsi="Times New Roman"/>
          <w:sz w:val="20"/>
        </w:rPr>
      </w:pPr>
      <w:r w:rsidRPr="00A57C43">
        <w:rPr>
          <w:rFonts w:ascii="Times New Roman" w:hAnsi="Times New Roman"/>
          <w:sz w:val="20"/>
        </w:rPr>
        <w:t>La valuación de las ONs clasificadas en Nivel 3 se realiza a partir del último precio de mercado disponible (o el precio de suscripción en caso de no haber cotizado en mercado desde su fecha de emisión) adicionando los intereses devengados a la fecha. En caso que la especie haya cortado cupón, se calcula el precio “clean”. En caso que haya amortizado se resta la amortización y se calcula nuevamente el precio “dirty” devengando intereses hasta la fecha de cierre del período.</w:t>
      </w:r>
    </w:p>
    <w:p w14:paraId="25D55E06" w14:textId="77777777" w:rsidR="00546372" w:rsidRPr="00A57C43" w:rsidRDefault="00546372" w:rsidP="00546372">
      <w:pPr>
        <w:ind w:left="709"/>
        <w:jc w:val="both"/>
        <w:rPr>
          <w:rFonts w:ascii="Times New Roman" w:hAnsi="Times New Roman"/>
          <w:sz w:val="20"/>
        </w:rPr>
      </w:pPr>
    </w:p>
    <w:p w14:paraId="0584D16B" w14:textId="77777777" w:rsidR="00546372" w:rsidRPr="00A57C43" w:rsidRDefault="00546372" w:rsidP="00546372">
      <w:pPr>
        <w:ind w:left="709"/>
        <w:jc w:val="both"/>
        <w:rPr>
          <w:rFonts w:ascii="Times New Roman" w:hAnsi="Times New Roman"/>
          <w:sz w:val="20"/>
        </w:rPr>
      </w:pPr>
      <w:r w:rsidRPr="00A57C43">
        <w:rPr>
          <w:rFonts w:ascii="Times New Roman" w:hAnsi="Times New Roman"/>
          <w:sz w:val="20"/>
        </w:rPr>
        <w:t>Los datos no observables más relevantes incluyen:</w:t>
      </w:r>
    </w:p>
    <w:p w14:paraId="5362A30D" w14:textId="77777777" w:rsidR="00546372" w:rsidRPr="00A57C43" w:rsidRDefault="00546372" w:rsidP="00546372">
      <w:pPr>
        <w:ind w:left="709"/>
        <w:jc w:val="both"/>
        <w:rPr>
          <w:rFonts w:ascii="Times New Roman" w:hAnsi="Times New Roman"/>
          <w:sz w:val="20"/>
        </w:rPr>
      </w:pPr>
    </w:p>
    <w:p w14:paraId="0A1617DF" w14:textId="77777777" w:rsidR="00546372" w:rsidRPr="00A57C43" w:rsidRDefault="00546372" w:rsidP="00546372">
      <w:pPr>
        <w:numPr>
          <w:ilvl w:val="0"/>
          <w:numId w:val="44"/>
        </w:numPr>
        <w:jc w:val="both"/>
        <w:rPr>
          <w:rFonts w:ascii="Times New Roman" w:hAnsi="Times New Roman"/>
          <w:sz w:val="20"/>
        </w:rPr>
      </w:pPr>
      <w:r w:rsidRPr="00A57C43">
        <w:rPr>
          <w:rFonts w:ascii="Times New Roman" w:hAnsi="Times New Roman"/>
          <w:sz w:val="20"/>
        </w:rPr>
        <w:t>Proyección de tasas BADLAR; y</w:t>
      </w:r>
    </w:p>
    <w:p w14:paraId="0C9E79F1" w14:textId="77777777" w:rsidR="00546372" w:rsidRPr="00A57C43" w:rsidRDefault="00546372" w:rsidP="00546372">
      <w:pPr>
        <w:numPr>
          <w:ilvl w:val="0"/>
          <w:numId w:val="44"/>
        </w:numPr>
        <w:jc w:val="both"/>
        <w:rPr>
          <w:rFonts w:ascii="Times New Roman" w:hAnsi="Times New Roman"/>
          <w:sz w:val="20"/>
        </w:rPr>
      </w:pPr>
      <w:r w:rsidRPr="00A57C43">
        <w:rPr>
          <w:rFonts w:ascii="Times New Roman" w:hAnsi="Times New Roman"/>
          <w:sz w:val="20"/>
        </w:rPr>
        <w:t xml:space="preserve">Último precio de mercado. </w:t>
      </w:r>
    </w:p>
    <w:p w14:paraId="36B8C14F" w14:textId="77777777" w:rsidR="00546372" w:rsidRPr="00A57C43" w:rsidRDefault="00546372" w:rsidP="00546372">
      <w:pPr>
        <w:numPr>
          <w:ilvl w:val="0"/>
          <w:numId w:val="44"/>
        </w:numPr>
        <w:jc w:val="both"/>
        <w:rPr>
          <w:rFonts w:ascii="Times New Roman" w:hAnsi="Times New Roman"/>
          <w:sz w:val="20"/>
        </w:rPr>
      </w:pPr>
      <w:r w:rsidRPr="00A57C43">
        <w:rPr>
          <w:rFonts w:ascii="Times New Roman" w:hAnsi="Times New Roman"/>
          <w:sz w:val="20"/>
        </w:rPr>
        <w:t>Spread de crédito</w:t>
      </w:r>
    </w:p>
    <w:p w14:paraId="68DCB45C" w14:textId="77777777" w:rsidR="00546372" w:rsidRPr="00A57C43" w:rsidRDefault="00546372" w:rsidP="00546372">
      <w:pPr>
        <w:rPr>
          <w:rFonts w:ascii="Times New Roman" w:hAnsi="Times New Roman"/>
          <w:sz w:val="20"/>
        </w:rPr>
      </w:pPr>
    </w:p>
    <w:p w14:paraId="76002441" w14:textId="77777777" w:rsidR="00546372" w:rsidRPr="00A57C43" w:rsidRDefault="00546372" w:rsidP="00546372">
      <w:pPr>
        <w:ind w:left="709"/>
        <w:jc w:val="both"/>
        <w:rPr>
          <w:rFonts w:ascii="Times New Roman" w:hAnsi="Times New Roman"/>
          <w:sz w:val="20"/>
        </w:rPr>
      </w:pPr>
      <w:r w:rsidRPr="00A57C43">
        <w:rPr>
          <w:rFonts w:ascii="Times New Roman" w:hAnsi="Times New Roman"/>
          <w:sz w:val="20"/>
        </w:rPr>
        <w:lastRenderedPageBreak/>
        <w:t>A continuación, se presenta el análisis de sensibilidad para cada una de las especies antes mencionadas:</w:t>
      </w:r>
    </w:p>
    <w:p w14:paraId="7E7BD4F6" w14:textId="77777777" w:rsidR="00546372" w:rsidRPr="00A57C43" w:rsidRDefault="00546372" w:rsidP="00546372">
      <w:pPr>
        <w:ind w:left="709"/>
        <w:jc w:val="both"/>
        <w:rPr>
          <w:rFonts w:ascii="Times New Roman" w:hAnsi="Times New Roman"/>
          <w:sz w:val="20"/>
        </w:rPr>
      </w:pPr>
    </w:p>
    <w:p w14:paraId="7EAAE530" w14:textId="77777777" w:rsidR="00546372" w:rsidRPr="00A57C43" w:rsidRDefault="00546372" w:rsidP="00546372">
      <w:pPr>
        <w:ind w:left="1214"/>
        <w:jc w:val="both"/>
        <w:rPr>
          <w:rFonts w:ascii="Times New Roman" w:hAnsi="Times New Roman"/>
          <w:sz w:val="18"/>
          <w:szCs w:val="18"/>
        </w:rPr>
      </w:pPr>
    </w:p>
    <w:tbl>
      <w:tblPr>
        <w:tblStyle w:val="Tablaconcuadrcula"/>
        <w:tblW w:w="0" w:type="auto"/>
        <w:tblInd w:w="2326" w:type="dxa"/>
        <w:tblLook w:val="04A0" w:firstRow="1" w:lastRow="0" w:firstColumn="1" w:lastColumn="0" w:noHBand="0" w:noVBand="1"/>
      </w:tblPr>
      <w:tblGrid>
        <w:gridCol w:w="1325"/>
        <w:gridCol w:w="1681"/>
        <w:gridCol w:w="1092"/>
      </w:tblGrid>
      <w:tr w:rsidR="00546372" w:rsidRPr="00A57C43" w14:paraId="6A1B3B06" w14:textId="77777777" w:rsidTr="00546372">
        <w:trPr>
          <w:trHeight w:val="269"/>
        </w:trPr>
        <w:tc>
          <w:tcPr>
            <w:tcW w:w="1325" w:type="dxa"/>
            <w:vMerge w:val="restart"/>
            <w:tcBorders>
              <w:top w:val="nil"/>
              <w:left w:val="nil"/>
              <w:right w:val="nil"/>
            </w:tcBorders>
          </w:tcPr>
          <w:p w14:paraId="4672D653"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xml:space="preserve">Escenarios </w:t>
            </w:r>
          </w:p>
          <w:p w14:paraId="3E950F09"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xml:space="preserve">Tasa Badlar </w:t>
            </w:r>
          </w:p>
        </w:tc>
        <w:tc>
          <w:tcPr>
            <w:tcW w:w="2773" w:type="dxa"/>
            <w:gridSpan w:val="2"/>
            <w:tcBorders>
              <w:top w:val="nil"/>
              <w:left w:val="nil"/>
              <w:bottom w:val="single" w:sz="4" w:space="0" w:color="auto"/>
              <w:right w:val="nil"/>
            </w:tcBorders>
          </w:tcPr>
          <w:p w14:paraId="776EA0C9"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Variación precio final</w:t>
            </w:r>
          </w:p>
        </w:tc>
      </w:tr>
      <w:tr w:rsidR="00546372" w:rsidRPr="00A57C43" w14:paraId="22C00ED9" w14:textId="77777777" w:rsidTr="00546372">
        <w:trPr>
          <w:trHeight w:val="269"/>
        </w:trPr>
        <w:tc>
          <w:tcPr>
            <w:tcW w:w="1325" w:type="dxa"/>
            <w:vMerge/>
            <w:tcBorders>
              <w:left w:val="nil"/>
              <w:bottom w:val="single" w:sz="4" w:space="0" w:color="auto"/>
              <w:right w:val="nil"/>
            </w:tcBorders>
          </w:tcPr>
          <w:p w14:paraId="31B446B2" w14:textId="77777777" w:rsidR="00546372" w:rsidRPr="00A57C43" w:rsidRDefault="00546372" w:rsidP="005A4775">
            <w:pPr>
              <w:jc w:val="both"/>
              <w:rPr>
                <w:rFonts w:ascii="Times New Roman" w:hAnsi="Times New Roman"/>
                <w:sz w:val="18"/>
                <w:szCs w:val="18"/>
              </w:rPr>
            </w:pPr>
          </w:p>
        </w:tc>
        <w:tc>
          <w:tcPr>
            <w:tcW w:w="1681" w:type="dxa"/>
            <w:tcBorders>
              <w:top w:val="single" w:sz="4" w:space="0" w:color="auto"/>
              <w:left w:val="nil"/>
              <w:bottom w:val="single" w:sz="4" w:space="0" w:color="auto"/>
              <w:right w:val="nil"/>
            </w:tcBorders>
          </w:tcPr>
          <w:p w14:paraId="6C08FB9E"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 xml:space="preserve">              ON PCR G</w:t>
            </w:r>
          </w:p>
        </w:tc>
        <w:tc>
          <w:tcPr>
            <w:tcW w:w="1092" w:type="dxa"/>
            <w:tcBorders>
              <w:top w:val="single" w:sz="4" w:space="0" w:color="auto"/>
              <w:left w:val="nil"/>
              <w:bottom w:val="single" w:sz="4" w:space="0" w:color="auto"/>
              <w:right w:val="nil"/>
            </w:tcBorders>
          </w:tcPr>
          <w:p w14:paraId="2FA9DE40" w14:textId="77777777" w:rsidR="00546372" w:rsidRPr="00A57C43" w:rsidRDefault="00546372" w:rsidP="005A4775">
            <w:pPr>
              <w:jc w:val="center"/>
              <w:rPr>
                <w:rFonts w:ascii="Times New Roman" w:hAnsi="Times New Roman"/>
                <w:sz w:val="18"/>
                <w:szCs w:val="18"/>
              </w:rPr>
            </w:pPr>
          </w:p>
        </w:tc>
      </w:tr>
      <w:tr w:rsidR="00546372" w:rsidRPr="00A57C43" w14:paraId="05B4DEE4" w14:textId="77777777" w:rsidTr="00546372">
        <w:trPr>
          <w:trHeight w:val="269"/>
        </w:trPr>
        <w:tc>
          <w:tcPr>
            <w:tcW w:w="1325" w:type="dxa"/>
            <w:tcBorders>
              <w:left w:val="nil"/>
              <w:bottom w:val="nil"/>
              <w:right w:val="nil"/>
            </w:tcBorders>
          </w:tcPr>
          <w:p w14:paraId="3D066D41"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+ 1%</w:t>
            </w:r>
          </w:p>
        </w:tc>
        <w:tc>
          <w:tcPr>
            <w:tcW w:w="1681" w:type="dxa"/>
            <w:tcBorders>
              <w:left w:val="nil"/>
              <w:bottom w:val="nil"/>
              <w:right w:val="nil"/>
            </w:tcBorders>
          </w:tcPr>
          <w:p w14:paraId="3A9A28F6" w14:textId="77777777" w:rsidR="00546372" w:rsidRPr="00A57C43" w:rsidRDefault="00546372" w:rsidP="005A4775">
            <w:pPr>
              <w:jc w:val="center"/>
              <w:rPr>
                <w:rFonts w:ascii="Times New Roman" w:hAnsi="Times New Roman"/>
                <w:sz w:val="18"/>
                <w:szCs w:val="18"/>
              </w:rPr>
            </w:pPr>
            <w:r w:rsidRPr="00A57C43">
              <w:rPr>
                <w:rFonts w:ascii="Times New Roman" w:hAnsi="Times New Roman"/>
                <w:color w:val="000000"/>
                <w:sz w:val="18"/>
                <w:szCs w:val="18"/>
                <w:lang w:eastAsia="es-AR"/>
              </w:rPr>
              <w:t xml:space="preserve">              0,011351%</w:t>
            </w:r>
          </w:p>
        </w:tc>
        <w:tc>
          <w:tcPr>
            <w:tcW w:w="1092" w:type="dxa"/>
            <w:tcBorders>
              <w:left w:val="nil"/>
              <w:bottom w:val="nil"/>
              <w:right w:val="nil"/>
            </w:tcBorders>
          </w:tcPr>
          <w:p w14:paraId="472230BF" w14:textId="77777777" w:rsidR="00546372" w:rsidRPr="00A57C43" w:rsidRDefault="00546372" w:rsidP="005A4775">
            <w:pPr>
              <w:jc w:val="center"/>
              <w:rPr>
                <w:rFonts w:ascii="Times New Roman" w:hAnsi="Times New Roman"/>
                <w:sz w:val="18"/>
                <w:szCs w:val="18"/>
              </w:rPr>
            </w:pPr>
          </w:p>
        </w:tc>
      </w:tr>
      <w:tr w:rsidR="00546372" w:rsidRPr="00A57C43" w14:paraId="3468F421" w14:textId="77777777" w:rsidTr="00546372">
        <w:trPr>
          <w:trHeight w:val="269"/>
        </w:trPr>
        <w:tc>
          <w:tcPr>
            <w:tcW w:w="1325" w:type="dxa"/>
            <w:tcBorders>
              <w:top w:val="nil"/>
              <w:left w:val="nil"/>
              <w:bottom w:val="nil"/>
              <w:right w:val="nil"/>
            </w:tcBorders>
          </w:tcPr>
          <w:p w14:paraId="06D77998"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+ 2%</w:t>
            </w:r>
          </w:p>
        </w:tc>
        <w:tc>
          <w:tcPr>
            <w:tcW w:w="1681" w:type="dxa"/>
            <w:tcBorders>
              <w:top w:val="nil"/>
              <w:left w:val="nil"/>
              <w:bottom w:val="nil"/>
              <w:right w:val="nil"/>
            </w:tcBorders>
          </w:tcPr>
          <w:p w14:paraId="13606881" w14:textId="77777777" w:rsidR="00546372" w:rsidRPr="00A57C43" w:rsidRDefault="00546372" w:rsidP="005A4775">
            <w:pPr>
              <w:jc w:val="center"/>
              <w:rPr>
                <w:rFonts w:ascii="Times New Roman" w:hAnsi="Times New Roman"/>
                <w:sz w:val="18"/>
                <w:szCs w:val="18"/>
              </w:rPr>
            </w:pPr>
            <w:r w:rsidRPr="00A57C43">
              <w:rPr>
                <w:rFonts w:ascii="Times New Roman" w:hAnsi="Times New Roman"/>
                <w:color w:val="000000"/>
                <w:sz w:val="18"/>
                <w:szCs w:val="18"/>
                <w:lang w:eastAsia="es-AR"/>
              </w:rPr>
              <w:t xml:space="preserve">              0,022702%</w:t>
            </w:r>
          </w:p>
        </w:tc>
        <w:tc>
          <w:tcPr>
            <w:tcW w:w="1092" w:type="dxa"/>
            <w:tcBorders>
              <w:top w:val="nil"/>
              <w:left w:val="nil"/>
              <w:bottom w:val="nil"/>
              <w:right w:val="nil"/>
            </w:tcBorders>
          </w:tcPr>
          <w:p w14:paraId="7495DDC0" w14:textId="77777777" w:rsidR="00546372" w:rsidRPr="00A57C43" w:rsidRDefault="00546372" w:rsidP="005A4775">
            <w:pPr>
              <w:jc w:val="center"/>
              <w:rPr>
                <w:rFonts w:ascii="Times New Roman" w:hAnsi="Times New Roman"/>
                <w:sz w:val="18"/>
                <w:szCs w:val="18"/>
              </w:rPr>
            </w:pPr>
          </w:p>
        </w:tc>
      </w:tr>
      <w:tr w:rsidR="00546372" w:rsidRPr="00A57C43" w14:paraId="25FCD201" w14:textId="77777777" w:rsidTr="00546372">
        <w:trPr>
          <w:trHeight w:val="250"/>
        </w:trPr>
        <w:tc>
          <w:tcPr>
            <w:tcW w:w="1325" w:type="dxa"/>
            <w:tcBorders>
              <w:top w:val="nil"/>
              <w:left w:val="nil"/>
              <w:right w:val="nil"/>
            </w:tcBorders>
          </w:tcPr>
          <w:p w14:paraId="396A66B0"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+ 3%</w:t>
            </w:r>
          </w:p>
        </w:tc>
        <w:tc>
          <w:tcPr>
            <w:tcW w:w="1681" w:type="dxa"/>
            <w:tcBorders>
              <w:top w:val="nil"/>
              <w:left w:val="nil"/>
              <w:right w:val="nil"/>
            </w:tcBorders>
          </w:tcPr>
          <w:p w14:paraId="41F23977" w14:textId="77777777" w:rsidR="00546372" w:rsidRPr="00A57C43" w:rsidRDefault="00546372" w:rsidP="005A4775">
            <w:pPr>
              <w:jc w:val="center"/>
              <w:rPr>
                <w:rFonts w:ascii="Times New Roman" w:hAnsi="Times New Roman"/>
                <w:sz w:val="18"/>
                <w:szCs w:val="18"/>
              </w:rPr>
            </w:pPr>
            <w:r w:rsidRPr="00A57C43">
              <w:rPr>
                <w:rFonts w:ascii="Times New Roman" w:hAnsi="Times New Roman"/>
                <w:color w:val="000000"/>
                <w:sz w:val="18"/>
                <w:szCs w:val="18"/>
                <w:lang w:eastAsia="es-AR"/>
              </w:rPr>
              <w:t xml:space="preserve">             0,034052%.</w:t>
            </w:r>
          </w:p>
        </w:tc>
        <w:tc>
          <w:tcPr>
            <w:tcW w:w="1092" w:type="dxa"/>
            <w:tcBorders>
              <w:top w:val="nil"/>
              <w:left w:val="nil"/>
              <w:right w:val="nil"/>
            </w:tcBorders>
          </w:tcPr>
          <w:p w14:paraId="049367AC" w14:textId="77777777" w:rsidR="00546372" w:rsidRPr="00A57C43" w:rsidRDefault="00546372" w:rsidP="005A4775">
            <w:pPr>
              <w:jc w:val="center"/>
              <w:rPr>
                <w:rFonts w:ascii="Times New Roman" w:hAnsi="Times New Roman"/>
                <w:sz w:val="18"/>
                <w:szCs w:val="18"/>
              </w:rPr>
            </w:pPr>
          </w:p>
        </w:tc>
      </w:tr>
    </w:tbl>
    <w:p w14:paraId="6F1143C2" w14:textId="77777777" w:rsidR="00546372" w:rsidRPr="00A57C43" w:rsidRDefault="00546372" w:rsidP="00546372">
      <w:pPr>
        <w:ind w:left="1821"/>
        <w:jc w:val="both"/>
        <w:rPr>
          <w:rFonts w:ascii="Times New Roman" w:hAnsi="Times New Roman"/>
          <w:sz w:val="18"/>
          <w:szCs w:val="18"/>
        </w:rPr>
      </w:pPr>
    </w:p>
    <w:p w14:paraId="046149B0" w14:textId="77777777" w:rsidR="00546372" w:rsidRPr="00A57C43" w:rsidRDefault="00546372" w:rsidP="00546372">
      <w:pPr>
        <w:ind w:left="1821"/>
        <w:jc w:val="both"/>
        <w:rPr>
          <w:rFonts w:ascii="Times New Roman" w:hAnsi="Times New Roman"/>
          <w:sz w:val="18"/>
          <w:szCs w:val="18"/>
        </w:rPr>
      </w:pPr>
    </w:p>
    <w:tbl>
      <w:tblPr>
        <w:tblStyle w:val="Tablaconcuadrcula"/>
        <w:tblW w:w="0" w:type="auto"/>
        <w:tblInd w:w="1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34"/>
        <w:gridCol w:w="1929"/>
        <w:gridCol w:w="6"/>
      </w:tblGrid>
      <w:tr w:rsidR="00546372" w:rsidRPr="00A57C43" w14:paraId="04B50480" w14:textId="77777777" w:rsidTr="00546372">
        <w:trPr>
          <w:trHeight w:val="413"/>
        </w:trPr>
        <w:tc>
          <w:tcPr>
            <w:tcW w:w="1985" w:type="dxa"/>
            <w:vMerge w:val="restart"/>
          </w:tcPr>
          <w:p w14:paraId="2354A11B"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xml:space="preserve">Escenarios </w:t>
            </w:r>
          </w:p>
          <w:p w14:paraId="00B55D2F"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xml:space="preserve">Último precio de </w:t>
            </w:r>
          </w:p>
          <w:p w14:paraId="48C4756B"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xml:space="preserve">mercado </w:t>
            </w:r>
          </w:p>
        </w:tc>
        <w:tc>
          <w:tcPr>
            <w:tcW w:w="3069" w:type="dxa"/>
            <w:gridSpan w:val="3"/>
            <w:tcBorders>
              <w:bottom w:val="single" w:sz="4" w:space="0" w:color="auto"/>
            </w:tcBorders>
          </w:tcPr>
          <w:p w14:paraId="33D95D32" w14:textId="77777777" w:rsidR="00546372" w:rsidRPr="00A57C43" w:rsidRDefault="00546372" w:rsidP="005A4775">
            <w:pPr>
              <w:jc w:val="center"/>
              <w:rPr>
                <w:rFonts w:ascii="Times New Roman" w:hAnsi="Times New Roman"/>
                <w:sz w:val="18"/>
                <w:szCs w:val="18"/>
              </w:rPr>
            </w:pPr>
          </w:p>
          <w:p w14:paraId="34D90581"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Variación precio final</w:t>
            </w:r>
          </w:p>
        </w:tc>
      </w:tr>
      <w:tr w:rsidR="00546372" w:rsidRPr="00A57C43" w14:paraId="23B05445" w14:textId="77777777" w:rsidTr="00546372">
        <w:trPr>
          <w:gridAfter w:val="1"/>
          <w:wAfter w:w="6" w:type="dxa"/>
        </w:trPr>
        <w:tc>
          <w:tcPr>
            <w:tcW w:w="1985" w:type="dxa"/>
            <w:vMerge/>
            <w:tcBorders>
              <w:bottom w:val="single" w:sz="4" w:space="0" w:color="auto"/>
            </w:tcBorders>
          </w:tcPr>
          <w:p w14:paraId="2F7A65C9" w14:textId="77777777" w:rsidR="00546372" w:rsidRPr="00A57C43" w:rsidRDefault="00546372" w:rsidP="005A4775">
            <w:pPr>
              <w:jc w:val="both"/>
              <w:rPr>
                <w:rFonts w:ascii="Times New Roman" w:hAnsi="Times New Roman"/>
                <w:sz w:val="18"/>
                <w:szCs w:val="18"/>
              </w:rPr>
            </w:pPr>
          </w:p>
        </w:tc>
        <w:tc>
          <w:tcPr>
            <w:tcW w:w="1134" w:type="dxa"/>
            <w:tcBorders>
              <w:bottom w:val="single" w:sz="4" w:space="0" w:color="auto"/>
            </w:tcBorders>
          </w:tcPr>
          <w:p w14:paraId="059FAE35"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ON PCR G</w:t>
            </w:r>
          </w:p>
        </w:tc>
        <w:tc>
          <w:tcPr>
            <w:tcW w:w="1929" w:type="dxa"/>
            <w:tcBorders>
              <w:bottom w:val="single" w:sz="4" w:space="0" w:color="auto"/>
            </w:tcBorders>
          </w:tcPr>
          <w:p w14:paraId="59EAE717"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ON MAC10</w:t>
            </w:r>
          </w:p>
        </w:tc>
      </w:tr>
      <w:tr w:rsidR="00546372" w:rsidRPr="00A57C43" w14:paraId="646CE7B0" w14:textId="77777777" w:rsidTr="00546372">
        <w:trPr>
          <w:gridAfter w:val="1"/>
          <w:wAfter w:w="6" w:type="dxa"/>
        </w:trPr>
        <w:tc>
          <w:tcPr>
            <w:tcW w:w="1985" w:type="dxa"/>
            <w:tcBorders>
              <w:top w:val="single" w:sz="4" w:space="0" w:color="auto"/>
            </w:tcBorders>
          </w:tcPr>
          <w:p w14:paraId="3E9D98A8"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+ 2%</w:t>
            </w:r>
          </w:p>
        </w:tc>
        <w:tc>
          <w:tcPr>
            <w:tcW w:w="1134" w:type="dxa"/>
            <w:tcBorders>
              <w:top w:val="single" w:sz="4" w:space="0" w:color="auto"/>
            </w:tcBorders>
          </w:tcPr>
          <w:p w14:paraId="3EF64AB6"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1,931%</w:t>
            </w:r>
          </w:p>
        </w:tc>
        <w:tc>
          <w:tcPr>
            <w:tcW w:w="1929" w:type="dxa"/>
            <w:tcBorders>
              <w:top w:val="single" w:sz="4" w:space="0" w:color="auto"/>
            </w:tcBorders>
          </w:tcPr>
          <w:p w14:paraId="099CEE41"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1,997%</w:t>
            </w:r>
          </w:p>
        </w:tc>
      </w:tr>
      <w:tr w:rsidR="00546372" w:rsidRPr="00A57C43" w14:paraId="399DF46E" w14:textId="77777777" w:rsidTr="00546372">
        <w:trPr>
          <w:gridAfter w:val="1"/>
          <w:wAfter w:w="6" w:type="dxa"/>
        </w:trPr>
        <w:tc>
          <w:tcPr>
            <w:tcW w:w="1985" w:type="dxa"/>
          </w:tcPr>
          <w:p w14:paraId="41012DFE"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+ 5%</w:t>
            </w:r>
          </w:p>
        </w:tc>
        <w:tc>
          <w:tcPr>
            <w:tcW w:w="1134" w:type="dxa"/>
          </w:tcPr>
          <w:p w14:paraId="654E480E"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4,826%</w:t>
            </w:r>
          </w:p>
        </w:tc>
        <w:tc>
          <w:tcPr>
            <w:tcW w:w="1929" w:type="dxa"/>
          </w:tcPr>
          <w:p w14:paraId="072F38AD"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4,993%</w:t>
            </w:r>
          </w:p>
        </w:tc>
      </w:tr>
      <w:tr w:rsidR="00546372" w:rsidRPr="00A57C43" w14:paraId="5C6C9024" w14:textId="77777777" w:rsidTr="00546372">
        <w:trPr>
          <w:gridAfter w:val="1"/>
          <w:wAfter w:w="6" w:type="dxa"/>
        </w:trPr>
        <w:tc>
          <w:tcPr>
            <w:tcW w:w="1985" w:type="dxa"/>
            <w:tcBorders>
              <w:bottom w:val="single" w:sz="4" w:space="0" w:color="auto"/>
            </w:tcBorders>
          </w:tcPr>
          <w:p w14:paraId="7BB6E08C"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+ 10%</w:t>
            </w:r>
          </w:p>
        </w:tc>
        <w:tc>
          <w:tcPr>
            <w:tcW w:w="1134" w:type="dxa"/>
            <w:tcBorders>
              <w:bottom w:val="single" w:sz="4" w:space="0" w:color="auto"/>
            </w:tcBorders>
          </w:tcPr>
          <w:p w14:paraId="31D14ABA"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9,652%</w:t>
            </w:r>
          </w:p>
        </w:tc>
        <w:tc>
          <w:tcPr>
            <w:tcW w:w="1929" w:type="dxa"/>
            <w:tcBorders>
              <w:bottom w:val="single" w:sz="4" w:space="0" w:color="auto"/>
            </w:tcBorders>
          </w:tcPr>
          <w:p w14:paraId="452CA2C1"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9,987%</w:t>
            </w:r>
          </w:p>
        </w:tc>
      </w:tr>
    </w:tbl>
    <w:p w14:paraId="4BE2A09A" w14:textId="77777777" w:rsidR="00546372" w:rsidRPr="00A57C43" w:rsidRDefault="00546372" w:rsidP="00546372">
      <w:pPr>
        <w:ind w:left="1821"/>
        <w:jc w:val="both"/>
        <w:rPr>
          <w:rFonts w:ascii="Times New Roman" w:hAnsi="Times New Roman"/>
          <w:sz w:val="18"/>
          <w:szCs w:val="18"/>
        </w:rPr>
      </w:pPr>
    </w:p>
    <w:p w14:paraId="50380085" w14:textId="77777777" w:rsidR="00546372" w:rsidRPr="00A57C43" w:rsidRDefault="00546372" w:rsidP="00546372">
      <w:pPr>
        <w:ind w:left="2428"/>
        <w:jc w:val="both"/>
        <w:rPr>
          <w:rFonts w:ascii="Times New Roman" w:hAnsi="Times New Roman"/>
          <w:sz w:val="18"/>
          <w:szCs w:val="18"/>
        </w:rPr>
      </w:pPr>
    </w:p>
    <w:tbl>
      <w:tblPr>
        <w:tblStyle w:val="Tablaconcuadrcula"/>
        <w:tblW w:w="0" w:type="auto"/>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2151"/>
      </w:tblGrid>
      <w:tr w:rsidR="00546372" w:rsidRPr="00A57C43" w14:paraId="0C0E867D" w14:textId="77777777" w:rsidTr="00546372">
        <w:tc>
          <w:tcPr>
            <w:tcW w:w="1960" w:type="dxa"/>
            <w:vMerge w:val="restart"/>
          </w:tcPr>
          <w:p w14:paraId="0F78E096"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xml:space="preserve">Escenarios </w:t>
            </w:r>
          </w:p>
          <w:p w14:paraId="2B4C8E0B"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xml:space="preserve">Paridad </w:t>
            </w:r>
          </w:p>
        </w:tc>
        <w:tc>
          <w:tcPr>
            <w:tcW w:w="2151" w:type="dxa"/>
            <w:tcBorders>
              <w:bottom w:val="single" w:sz="4" w:space="0" w:color="auto"/>
            </w:tcBorders>
          </w:tcPr>
          <w:p w14:paraId="32F214A3"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Variación precio final</w:t>
            </w:r>
          </w:p>
        </w:tc>
      </w:tr>
      <w:tr w:rsidR="00546372" w:rsidRPr="00A57C43" w14:paraId="6A73C681" w14:textId="77777777" w:rsidTr="00546372">
        <w:tc>
          <w:tcPr>
            <w:tcW w:w="1960" w:type="dxa"/>
            <w:vMerge/>
            <w:tcBorders>
              <w:bottom w:val="single" w:sz="4" w:space="0" w:color="auto"/>
            </w:tcBorders>
          </w:tcPr>
          <w:p w14:paraId="244A11A6" w14:textId="77777777" w:rsidR="00546372" w:rsidRPr="00A57C43" w:rsidRDefault="00546372" w:rsidP="005A4775">
            <w:pPr>
              <w:jc w:val="both"/>
              <w:rPr>
                <w:rFonts w:ascii="Times New Roman" w:hAnsi="Times New Roman"/>
                <w:sz w:val="18"/>
                <w:szCs w:val="18"/>
              </w:rPr>
            </w:pPr>
          </w:p>
        </w:tc>
        <w:tc>
          <w:tcPr>
            <w:tcW w:w="2151" w:type="dxa"/>
            <w:tcBorders>
              <w:top w:val="single" w:sz="4" w:space="0" w:color="auto"/>
              <w:bottom w:val="single" w:sz="4" w:space="0" w:color="auto"/>
            </w:tcBorders>
          </w:tcPr>
          <w:p w14:paraId="4893D589" w14:textId="77777777" w:rsidR="00546372" w:rsidRPr="00A57C43" w:rsidRDefault="00546372" w:rsidP="005A4775">
            <w:pPr>
              <w:jc w:val="center"/>
              <w:rPr>
                <w:rFonts w:ascii="Times New Roman" w:hAnsi="Times New Roman"/>
                <w:sz w:val="18"/>
                <w:szCs w:val="18"/>
              </w:rPr>
            </w:pPr>
            <w:r w:rsidRPr="00A57C43">
              <w:rPr>
                <w:rFonts w:ascii="Times New Roman" w:hAnsi="Times New Roman"/>
                <w:sz w:val="18"/>
                <w:szCs w:val="18"/>
              </w:rPr>
              <w:t>ON VISTA11 (a)</w:t>
            </w:r>
          </w:p>
        </w:tc>
      </w:tr>
      <w:tr w:rsidR="00546372" w:rsidRPr="00A57C43" w14:paraId="3C8E3344" w14:textId="77777777" w:rsidTr="00546372">
        <w:tc>
          <w:tcPr>
            <w:tcW w:w="1960" w:type="dxa"/>
            <w:tcBorders>
              <w:top w:val="single" w:sz="4" w:space="0" w:color="auto"/>
            </w:tcBorders>
          </w:tcPr>
          <w:p w14:paraId="7693259E"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+ 1%</w:t>
            </w:r>
          </w:p>
        </w:tc>
        <w:tc>
          <w:tcPr>
            <w:tcW w:w="2151" w:type="dxa"/>
            <w:tcBorders>
              <w:top w:val="single" w:sz="4" w:space="0" w:color="auto"/>
            </w:tcBorders>
          </w:tcPr>
          <w:p w14:paraId="061707AD" w14:textId="77777777" w:rsidR="00546372" w:rsidRPr="00A57C43" w:rsidRDefault="00546372" w:rsidP="005A4775">
            <w:pPr>
              <w:jc w:val="center"/>
              <w:rPr>
                <w:rFonts w:ascii="Times New Roman" w:hAnsi="Times New Roman"/>
                <w:sz w:val="18"/>
                <w:szCs w:val="18"/>
              </w:rPr>
            </w:pPr>
            <w:r w:rsidRPr="00A57C43">
              <w:rPr>
                <w:rFonts w:ascii="Times New Roman" w:hAnsi="Times New Roman"/>
                <w:color w:val="000000"/>
                <w:sz w:val="18"/>
                <w:szCs w:val="18"/>
                <w:lang w:eastAsia="es-AR"/>
              </w:rPr>
              <w:t>1,0152%</w:t>
            </w:r>
          </w:p>
        </w:tc>
      </w:tr>
      <w:tr w:rsidR="00546372" w:rsidRPr="00A57C43" w14:paraId="0DCF21B8" w14:textId="77777777" w:rsidTr="00546372">
        <w:tc>
          <w:tcPr>
            <w:tcW w:w="1960" w:type="dxa"/>
          </w:tcPr>
          <w:p w14:paraId="3651931E"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- 1%</w:t>
            </w:r>
          </w:p>
        </w:tc>
        <w:tc>
          <w:tcPr>
            <w:tcW w:w="2151" w:type="dxa"/>
          </w:tcPr>
          <w:p w14:paraId="7285B073" w14:textId="77777777" w:rsidR="00546372" w:rsidRPr="00A57C43" w:rsidRDefault="00546372" w:rsidP="005A4775">
            <w:pPr>
              <w:jc w:val="center"/>
              <w:rPr>
                <w:rFonts w:ascii="Times New Roman" w:hAnsi="Times New Roman"/>
                <w:sz w:val="18"/>
                <w:szCs w:val="18"/>
              </w:rPr>
            </w:pPr>
            <w:r w:rsidRPr="00A57C43">
              <w:rPr>
                <w:rFonts w:ascii="Times New Roman" w:hAnsi="Times New Roman"/>
                <w:color w:val="000000"/>
                <w:sz w:val="18"/>
                <w:szCs w:val="18"/>
                <w:lang w:eastAsia="es-AR"/>
              </w:rPr>
              <w:t>-1,0152%</w:t>
            </w:r>
          </w:p>
        </w:tc>
      </w:tr>
      <w:tr w:rsidR="00546372" w:rsidRPr="00A57C43" w14:paraId="122C1782" w14:textId="77777777" w:rsidTr="00546372">
        <w:tc>
          <w:tcPr>
            <w:tcW w:w="1960" w:type="dxa"/>
          </w:tcPr>
          <w:p w14:paraId="5E4D3FB9"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+3%</w:t>
            </w:r>
          </w:p>
        </w:tc>
        <w:tc>
          <w:tcPr>
            <w:tcW w:w="2151" w:type="dxa"/>
          </w:tcPr>
          <w:p w14:paraId="549278AB" w14:textId="77777777" w:rsidR="00546372" w:rsidRPr="00A57C43" w:rsidRDefault="00546372" w:rsidP="005A4775">
            <w:pPr>
              <w:jc w:val="center"/>
              <w:rPr>
                <w:rFonts w:ascii="Times New Roman" w:hAnsi="Times New Roman"/>
                <w:color w:val="000000"/>
                <w:sz w:val="18"/>
                <w:szCs w:val="18"/>
                <w:lang w:eastAsia="es-AR"/>
              </w:rPr>
            </w:pPr>
            <w:r w:rsidRPr="00A57C43">
              <w:rPr>
                <w:rFonts w:ascii="Times New Roman" w:hAnsi="Times New Roman"/>
                <w:color w:val="000000"/>
                <w:sz w:val="18"/>
                <w:szCs w:val="18"/>
                <w:lang w:eastAsia="es-AR"/>
              </w:rPr>
              <w:t>3,0455%</w:t>
            </w:r>
          </w:p>
        </w:tc>
      </w:tr>
      <w:tr w:rsidR="00546372" w:rsidRPr="00A57C43" w14:paraId="68E2F468" w14:textId="77777777" w:rsidTr="00546372">
        <w:tc>
          <w:tcPr>
            <w:tcW w:w="1960" w:type="dxa"/>
            <w:tcBorders>
              <w:bottom w:val="single" w:sz="4" w:space="0" w:color="auto"/>
            </w:tcBorders>
          </w:tcPr>
          <w:p w14:paraId="408E9278" w14:textId="77777777" w:rsidR="00546372" w:rsidRPr="00A57C43" w:rsidRDefault="00546372" w:rsidP="005A4775">
            <w:pPr>
              <w:jc w:val="both"/>
              <w:rPr>
                <w:rFonts w:ascii="Times New Roman" w:hAnsi="Times New Roman"/>
                <w:sz w:val="18"/>
                <w:szCs w:val="18"/>
              </w:rPr>
            </w:pPr>
            <w:r w:rsidRPr="00A57C43">
              <w:rPr>
                <w:rFonts w:ascii="Times New Roman" w:hAnsi="Times New Roman"/>
                <w:sz w:val="18"/>
                <w:szCs w:val="18"/>
              </w:rPr>
              <w:t>-3%</w:t>
            </w:r>
          </w:p>
        </w:tc>
        <w:tc>
          <w:tcPr>
            <w:tcW w:w="2151" w:type="dxa"/>
            <w:tcBorders>
              <w:bottom w:val="single" w:sz="4" w:space="0" w:color="auto"/>
            </w:tcBorders>
          </w:tcPr>
          <w:p w14:paraId="3895E0EF" w14:textId="77777777" w:rsidR="00546372" w:rsidRPr="00A57C43" w:rsidRDefault="00546372" w:rsidP="005A4775">
            <w:pPr>
              <w:jc w:val="center"/>
              <w:rPr>
                <w:rFonts w:ascii="Times New Roman" w:hAnsi="Times New Roman"/>
                <w:color w:val="000000"/>
                <w:sz w:val="18"/>
                <w:szCs w:val="18"/>
                <w:lang w:eastAsia="es-AR"/>
              </w:rPr>
            </w:pPr>
            <w:r w:rsidRPr="00A57C43">
              <w:rPr>
                <w:rFonts w:ascii="Times New Roman" w:hAnsi="Times New Roman"/>
                <w:color w:val="000000"/>
                <w:sz w:val="18"/>
                <w:szCs w:val="18"/>
                <w:lang w:eastAsia="es-AR"/>
              </w:rPr>
              <w:t>-3,0455%</w:t>
            </w:r>
          </w:p>
        </w:tc>
      </w:tr>
    </w:tbl>
    <w:p w14:paraId="65C733D6" w14:textId="77777777" w:rsidR="00546372" w:rsidRPr="00A57C43" w:rsidRDefault="00546372" w:rsidP="00546372">
      <w:pPr>
        <w:pStyle w:val="Prrafodelista"/>
        <w:ind w:left="1069"/>
        <w:jc w:val="both"/>
        <w:rPr>
          <w:sz w:val="18"/>
          <w:szCs w:val="18"/>
        </w:rPr>
      </w:pPr>
    </w:p>
    <w:p w14:paraId="261C94D3" w14:textId="77777777" w:rsidR="00546372" w:rsidRPr="00A57C43" w:rsidRDefault="00546372" w:rsidP="00546372">
      <w:pPr>
        <w:pStyle w:val="Prrafodelista"/>
        <w:numPr>
          <w:ilvl w:val="0"/>
          <w:numId w:val="77"/>
        </w:numPr>
        <w:ind w:left="1574"/>
        <w:jc w:val="both"/>
        <w:rPr>
          <w:sz w:val="18"/>
          <w:szCs w:val="18"/>
          <w:lang w:val="es-AR"/>
        </w:rPr>
      </w:pPr>
      <w:r w:rsidRPr="00A57C43">
        <w:rPr>
          <w:sz w:val="18"/>
          <w:szCs w:val="18"/>
          <w:lang w:val="es-AR"/>
        </w:rPr>
        <w:t>ON VISTA11 cotizó en mercado en el mes en los últimos 10 días hábiles por lo que se le asignó este precio. En este caso el análisis de sensibilidad se realiza por los cambios en la paridad que podría haber en el bono en la fecha de valuación respecto a la fecha de cotización.</w:t>
      </w:r>
    </w:p>
    <w:p w14:paraId="318634B3" w14:textId="77777777" w:rsidR="00546372" w:rsidRPr="00A57C43" w:rsidRDefault="00546372" w:rsidP="00546372">
      <w:pPr>
        <w:ind w:left="1214"/>
        <w:jc w:val="both"/>
        <w:rPr>
          <w:rFonts w:ascii="Times New Roman" w:hAnsi="Times New Roman"/>
          <w:sz w:val="18"/>
          <w:szCs w:val="18"/>
        </w:rPr>
      </w:pPr>
    </w:p>
    <w:p w14:paraId="2E26EEE2" w14:textId="705EB1C1" w:rsidR="00221181" w:rsidRPr="00A57C43" w:rsidRDefault="00221181" w:rsidP="0037203D">
      <w:pPr>
        <w:ind w:left="506"/>
        <w:rPr>
          <w:rFonts w:ascii="Times New Roman" w:hAnsi="Times New Roman"/>
          <w:sz w:val="18"/>
          <w:szCs w:val="18"/>
        </w:rPr>
      </w:pPr>
    </w:p>
    <w:p w14:paraId="1D7FF258" w14:textId="30BF3F7D" w:rsidR="00BB0472" w:rsidRPr="00A57C43" w:rsidRDefault="00BB0472" w:rsidP="00BB0472">
      <w:pPr>
        <w:pStyle w:val="Prrafodelista"/>
        <w:spacing w:before="120" w:after="120" w:line="240" w:lineRule="exact"/>
        <w:ind w:left="426" w:firstLine="284"/>
        <w:jc w:val="both"/>
        <w:rPr>
          <w:sz w:val="20"/>
          <w:szCs w:val="20"/>
          <w:lang w:val="es-AR"/>
        </w:rPr>
      </w:pPr>
      <w:r w:rsidRPr="00A57C43">
        <w:rPr>
          <w:sz w:val="20"/>
          <w:szCs w:val="20"/>
          <w:lang w:val="es-AR"/>
        </w:rPr>
        <w:t>b.4) Conciliación de saldos de apertura y cierre de activos y pasivos a valor razonable de Nivel 3</w:t>
      </w:r>
    </w:p>
    <w:p w14:paraId="243D9444" w14:textId="1F99CB14" w:rsidR="008D5D8D" w:rsidRPr="00A57C43" w:rsidRDefault="0050030B" w:rsidP="00BE6371">
      <w:pPr>
        <w:spacing w:after="120" w:line="240" w:lineRule="exact"/>
        <w:ind w:left="709"/>
        <w:jc w:val="both"/>
        <w:rPr>
          <w:rFonts w:ascii="Times New Roman" w:hAnsi="Times New Roman"/>
          <w:color w:val="000000"/>
          <w:sz w:val="20"/>
        </w:rPr>
      </w:pPr>
      <w:r w:rsidRPr="00A57C43">
        <w:rPr>
          <w:noProof/>
          <w:lang w:eastAsia="es-AR"/>
        </w:rPr>
        <w:drawing>
          <wp:anchor distT="0" distB="0" distL="114300" distR="114300" simplePos="0" relativeHeight="251657216" behindDoc="0" locked="0" layoutInCell="1" allowOverlap="1" wp14:anchorId="4AD2ABFF" wp14:editId="4BBAC72B">
            <wp:simplePos x="0" y="0"/>
            <wp:positionH relativeFrom="column">
              <wp:posOffset>403860</wp:posOffset>
            </wp:positionH>
            <wp:positionV relativeFrom="paragraph">
              <wp:posOffset>518160</wp:posOffset>
            </wp:positionV>
            <wp:extent cx="6031230" cy="1739939"/>
            <wp:effectExtent l="0" t="0" r="0" b="0"/>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31230" cy="1739939"/>
                    </a:xfrm>
                    <a:prstGeom prst="rect">
                      <a:avLst/>
                    </a:prstGeom>
                    <a:noFill/>
                    <a:ln>
                      <a:noFill/>
                    </a:ln>
                  </pic:spPr>
                </pic:pic>
              </a:graphicData>
            </a:graphic>
            <wp14:sizeRelH relativeFrom="page">
              <wp14:pctWidth>0</wp14:pctWidth>
            </wp14:sizeRelH>
            <wp14:sizeRelV relativeFrom="page">
              <wp14:pctHeight>0</wp14:pctHeight>
            </wp14:sizeRelV>
          </wp:anchor>
        </w:drawing>
      </w:r>
      <w:r w:rsidR="00BB0472" w:rsidRPr="00A57C43">
        <w:rPr>
          <w:rFonts w:ascii="Times New Roman" w:hAnsi="Times New Roman"/>
          <w:color w:val="000000"/>
          <w:sz w:val="20"/>
        </w:rPr>
        <w:t>La siguiente tabla muestra una conciliación entre los saldos iniciales y los saldos finales de los valores razonables Nivel 3:</w:t>
      </w:r>
    </w:p>
    <w:p w14:paraId="3093A69A" w14:textId="77777777" w:rsidR="00441721" w:rsidRPr="00A57C43" w:rsidRDefault="00441721" w:rsidP="00441721">
      <w:pPr>
        <w:numPr>
          <w:ilvl w:val="0"/>
          <w:numId w:val="15"/>
        </w:numPr>
        <w:spacing w:before="240" w:after="120" w:line="240" w:lineRule="exact"/>
        <w:ind w:left="709" w:firstLine="0"/>
        <w:jc w:val="both"/>
        <w:rPr>
          <w:rFonts w:ascii="Times New Roman" w:hAnsi="Times New Roman"/>
          <w:sz w:val="20"/>
        </w:rPr>
      </w:pPr>
      <w:r w:rsidRPr="00A57C43">
        <w:rPr>
          <w:rFonts w:ascii="Times New Roman" w:hAnsi="Times New Roman"/>
          <w:sz w:val="20"/>
        </w:rPr>
        <w:lastRenderedPageBreak/>
        <w:t>Valor razonable de Activos y Pasivos no medidos a valor razonable</w:t>
      </w:r>
    </w:p>
    <w:p w14:paraId="2B6B3485" w14:textId="77777777" w:rsidR="00441721" w:rsidRPr="00A57C43" w:rsidRDefault="00441721" w:rsidP="00441721">
      <w:pPr>
        <w:spacing w:before="240" w:after="120" w:line="240" w:lineRule="exact"/>
        <w:ind w:left="851"/>
        <w:jc w:val="both"/>
        <w:rPr>
          <w:rFonts w:ascii="Times New Roman" w:hAnsi="Times New Roman"/>
          <w:sz w:val="20"/>
        </w:rPr>
      </w:pPr>
      <w:r w:rsidRPr="00A57C43">
        <w:rPr>
          <w:rFonts w:ascii="Times New Roman" w:hAnsi="Times New Roman"/>
          <w:sz w:val="20"/>
        </w:rPr>
        <w:t>A continuación se describen las metodologías y supuestos utilizados para determinar los valores razonables de los principales instrumentos financieros no medidos a valor razonable, cuando el instrumento no cuenta con un valor de cotización en un mercado conocido.</w:t>
      </w:r>
    </w:p>
    <w:p w14:paraId="4ACA8C3C" w14:textId="77777777" w:rsidR="00441721" w:rsidRPr="00A57C43" w:rsidRDefault="00441721" w:rsidP="00441721">
      <w:pPr>
        <w:numPr>
          <w:ilvl w:val="0"/>
          <w:numId w:val="16"/>
        </w:numPr>
        <w:tabs>
          <w:tab w:val="left" w:pos="851"/>
        </w:tabs>
        <w:spacing w:before="120" w:after="120" w:line="240" w:lineRule="exact"/>
        <w:ind w:left="851" w:firstLine="0"/>
        <w:jc w:val="both"/>
        <w:rPr>
          <w:rFonts w:ascii="Times New Roman" w:hAnsi="Times New Roman"/>
          <w:sz w:val="20"/>
        </w:rPr>
      </w:pPr>
      <w:r w:rsidRPr="00A57C43">
        <w:rPr>
          <w:rFonts w:ascii="Times New Roman" w:hAnsi="Times New Roman"/>
          <w:sz w:val="20"/>
        </w:rPr>
        <w:t>Activos y pasivos cuyo valor razonable es similar a su saldo contable.</w:t>
      </w:r>
    </w:p>
    <w:p w14:paraId="5772C34B" w14:textId="7713E38C" w:rsidR="00441721" w:rsidRPr="00A57C43" w:rsidRDefault="00441721" w:rsidP="00441721">
      <w:pPr>
        <w:spacing w:after="120" w:line="240" w:lineRule="exact"/>
        <w:ind w:left="851" w:right="-1"/>
        <w:jc w:val="both"/>
        <w:rPr>
          <w:rFonts w:ascii="Times New Roman" w:hAnsi="Times New Roman"/>
          <w:sz w:val="20"/>
        </w:rPr>
      </w:pPr>
      <w:r w:rsidRPr="00A57C43">
        <w:rPr>
          <w:rFonts w:ascii="Times New Roman" w:hAnsi="Times New Roman"/>
          <w:sz w:val="20"/>
        </w:rPr>
        <w:t xml:space="preserve">Para los activos y </w:t>
      </w:r>
      <w:r w:rsidRPr="00303474">
        <w:rPr>
          <w:rFonts w:ascii="Times New Roman" w:hAnsi="Times New Roman"/>
          <w:sz w:val="20"/>
        </w:rPr>
        <w:t>pasivos financieros con vencimientos menores a un año, se considera que el saldo contable es similar al valor razonable</w:t>
      </w:r>
      <w:r w:rsidR="00303474" w:rsidRPr="00303474">
        <w:rPr>
          <w:rFonts w:ascii="Times New Roman" w:hAnsi="Times New Roman"/>
          <w:sz w:val="20"/>
        </w:rPr>
        <w:t>.</w:t>
      </w:r>
    </w:p>
    <w:p w14:paraId="68BB0ADB" w14:textId="77777777" w:rsidR="00441721" w:rsidRPr="00A57C43" w:rsidRDefault="00441721" w:rsidP="00441721">
      <w:pPr>
        <w:numPr>
          <w:ilvl w:val="0"/>
          <w:numId w:val="16"/>
        </w:numPr>
        <w:tabs>
          <w:tab w:val="left" w:pos="851"/>
        </w:tabs>
        <w:spacing w:before="120" w:after="120" w:line="240" w:lineRule="exact"/>
        <w:ind w:left="851" w:firstLine="0"/>
        <w:jc w:val="both"/>
        <w:rPr>
          <w:rFonts w:ascii="Times New Roman" w:hAnsi="Times New Roman"/>
          <w:sz w:val="20"/>
        </w:rPr>
      </w:pPr>
      <w:r w:rsidRPr="00A57C43">
        <w:rPr>
          <w:rFonts w:ascii="Times New Roman" w:hAnsi="Times New Roman"/>
          <w:sz w:val="20"/>
        </w:rPr>
        <w:t xml:space="preserve">Instrumentos financieros de tasa fija </w:t>
      </w:r>
    </w:p>
    <w:p w14:paraId="6A9C6200" w14:textId="77777777" w:rsidR="00441721" w:rsidRPr="00A57C43" w:rsidRDefault="00441721" w:rsidP="00441721">
      <w:pPr>
        <w:spacing w:after="120" w:line="240" w:lineRule="exact"/>
        <w:ind w:left="851"/>
        <w:jc w:val="both"/>
        <w:rPr>
          <w:rFonts w:ascii="Times New Roman" w:hAnsi="Times New Roman"/>
          <w:sz w:val="20"/>
        </w:rPr>
      </w:pPr>
      <w:r w:rsidRPr="00A57C43">
        <w:rPr>
          <w:rFonts w:ascii="Times New Roman" w:hAnsi="Times New Roman"/>
          <w:sz w:val="20"/>
        </w:rPr>
        <w:t>El valor razonable de los activos financieros se determinó descontando los flujos de fondos futuros a las tasas de mercado a cada fecha de medición para instrumentos financieros de similares características adicionando una prima de liquidez (input no observable) que expresa el valor añadido o costo adicional necesario para la enajenación del activo.</w:t>
      </w:r>
    </w:p>
    <w:p w14:paraId="0C68902A" w14:textId="77777777" w:rsidR="00441721" w:rsidRPr="00A57C43" w:rsidRDefault="00441721" w:rsidP="00441721">
      <w:pPr>
        <w:numPr>
          <w:ilvl w:val="0"/>
          <w:numId w:val="16"/>
        </w:numPr>
        <w:tabs>
          <w:tab w:val="left" w:pos="851"/>
        </w:tabs>
        <w:spacing w:before="120" w:after="120" w:line="240" w:lineRule="exact"/>
        <w:ind w:left="851" w:firstLine="0"/>
        <w:jc w:val="both"/>
        <w:rPr>
          <w:rFonts w:ascii="Times New Roman" w:hAnsi="Times New Roman"/>
          <w:sz w:val="20"/>
        </w:rPr>
      </w:pPr>
      <w:r w:rsidRPr="00A57C43">
        <w:rPr>
          <w:rFonts w:ascii="Times New Roman" w:hAnsi="Times New Roman"/>
          <w:sz w:val="20"/>
        </w:rPr>
        <w:t xml:space="preserve">Instrumentos financieros de tasa variable </w:t>
      </w:r>
    </w:p>
    <w:p w14:paraId="226F5FE5" w14:textId="77777777" w:rsidR="00441721" w:rsidRPr="00A57C43" w:rsidRDefault="00441721" w:rsidP="00441721">
      <w:pPr>
        <w:spacing w:after="120" w:line="240" w:lineRule="exact"/>
        <w:ind w:left="851"/>
        <w:jc w:val="both"/>
        <w:rPr>
          <w:rFonts w:ascii="Times New Roman" w:hAnsi="Times New Roman"/>
          <w:sz w:val="20"/>
        </w:rPr>
      </w:pPr>
      <w:r w:rsidRPr="00A57C43">
        <w:rPr>
          <w:rFonts w:ascii="Times New Roman" w:hAnsi="Times New Roman"/>
          <w:sz w:val="20"/>
        </w:rPr>
        <w:t xml:space="preserve">Para los activos y pasivos financieros que devengan una tasa variable se considera que el saldo contable es similar al valor razonable. </w:t>
      </w:r>
    </w:p>
    <w:p w14:paraId="499B3928" w14:textId="77777777" w:rsidR="00A57C43" w:rsidRDefault="00A57C43" w:rsidP="00CD66BA">
      <w:pPr>
        <w:spacing w:before="120" w:after="120" w:line="240" w:lineRule="exact"/>
        <w:ind w:left="567"/>
        <w:jc w:val="both"/>
        <w:rPr>
          <w:rFonts w:ascii="Times New Roman" w:hAnsi="Times New Roman"/>
          <w:sz w:val="20"/>
        </w:rPr>
      </w:pPr>
    </w:p>
    <w:p w14:paraId="1D38CE89" w14:textId="181CFE00" w:rsidR="002E0C0C" w:rsidRPr="00A57C43" w:rsidRDefault="000F4E68" w:rsidP="00CD66BA">
      <w:pPr>
        <w:spacing w:before="120" w:after="120" w:line="240" w:lineRule="exact"/>
        <w:ind w:left="567"/>
        <w:jc w:val="both"/>
        <w:rPr>
          <w:b/>
          <w:sz w:val="20"/>
        </w:rPr>
      </w:pPr>
      <w:r w:rsidRPr="00A57C43">
        <w:rPr>
          <w:rFonts w:ascii="Times New Roman" w:hAnsi="Times New Roman"/>
          <w:sz w:val="20"/>
        </w:rPr>
        <w:t>La jerarquía de valor razonable de los activos y pasivos no medidos a valor razonable al 3</w:t>
      </w:r>
      <w:r w:rsidR="00F850BC" w:rsidRPr="00A57C43">
        <w:rPr>
          <w:rFonts w:ascii="Times New Roman" w:hAnsi="Times New Roman"/>
          <w:sz w:val="20"/>
        </w:rPr>
        <w:t>0</w:t>
      </w:r>
      <w:r w:rsidRPr="00A57C43">
        <w:rPr>
          <w:rFonts w:ascii="Times New Roman" w:hAnsi="Times New Roman"/>
          <w:sz w:val="20"/>
        </w:rPr>
        <w:t xml:space="preserve"> de </w:t>
      </w:r>
      <w:r w:rsidR="00D04238" w:rsidRPr="00A57C43">
        <w:rPr>
          <w:rFonts w:ascii="Times New Roman" w:hAnsi="Times New Roman"/>
          <w:sz w:val="20"/>
        </w:rPr>
        <w:t>septiembre</w:t>
      </w:r>
      <w:r w:rsidR="00B65A0E" w:rsidRPr="00A57C43">
        <w:rPr>
          <w:rFonts w:ascii="Times New Roman" w:hAnsi="Times New Roman"/>
          <w:sz w:val="20"/>
        </w:rPr>
        <w:t xml:space="preserve"> </w:t>
      </w:r>
      <w:r w:rsidRPr="00A57C43">
        <w:rPr>
          <w:rFonts w:ascii="Times New Roman" w:hAnsi="Times New Roman"/>
          <w:sz w:val="20"/>
        </w:rPr>
        <w:t>de 20</w:t>
      </w:r>
      <w:r w:rsidR="00055215" w:rsidRPr="00A57C43">
        <w:rPr>
          <w:rFonts w:ascii="Times New Roman" w:hAnsi="Times New Roman"/>
          <w:sz w:val="20"/>
        </w:rPr>
        <w:t>21</w:t>
      </w:r>
      <w:r w:rsidRPr="00A57C43">
        <w:rPr>
          <w:rFonts w:ascii="Times New Roman" w:hAnsi="Times New Roman"/>
          <w:sz w:val="20"/>
        </w:rPr>
        <w:t xml:space="preserve"> se detalla a continuación: </w:t>
      </w:r>
    </w:p>
    <w:p w14:paraId="032612CE" w14:textId="1B476DD4" w:rsidR="00620188" w:rsidRPr="00A57C43" w:rsidRDefault="00463704" w:rsidP="00AD08FD">
      <w:pPr>
        <w:pStyle w:val="Prrafodelista"/>
        <w:ind w:left="1003" w:hanging="436"/>
        <w:jc w:val="center"/>
        <w:rPr>
          <w:b/>
          <w:sz w:val="20"/>
          <w:szCs w:val="20"/>
          <w:lang w:val="es-AR"/>
        </w:rPr>
      </w:pPr>
      <w:r w:rsidRPr="00463704">
        <w:rPr>
          <w:noProof/>
          <w:lang w:val="es-AR" w:eastAsia="es-AR"/>
        </w:rPr>
        <w:drawing>
          <wp:inline distT="0" distB="0" distL="0" distR="0" wp14:anchorId="77071C09" wp14:editId="2C5923B4">
            <wp:extent cx="6031230" cy="291075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1230" cy="2910752"/>
                    </a:xfrm>
                    <a:prstGeom prst="rect">
                      <a:avLst/>
                    </a:prstGeom>
                    <a:noFill/>
                    <a:ln>
                      <a:noFill/>
                    </a:ln>
                  </pic:spPr>
                </pic:pic>
              </a:graphicData>
            </a:graphic>
          </wp:inline>
        </w:drawing>
      </w:r>
    </w:p>
    <w:p w14:paraId="3395BB5E" w14:textId="77777777" w:rsidR="000534C9" w:rsidRPr="00A57C43" w:rsidRDefault="000534C9" w:rsidP="00AD08FD">
      <w:pPr>
        <w:pStyle w:val="Prrafodelista"/>
        <w:ind w:left="1003" w:hanging="436"/>
        <w:jc w:val="center"/>
        <w:rPr>
          <w:b/>
          <w:sz w:val="20"/>
          <w:szCs w:val="20"/>
          <w:lang w:val="es-AR"/>
        </w:rPr>
      </w:pPr>
    </w:p>
    <w:p w14:paraId="372384F6" w14:textId="5FEF46B4" w:rsidR="002E0C0C" w:rsidRPr="00A57C43" w:rsidRDefault="002E0C0C" w:rsidP="00F07536">
      <w:pPr>
        <w:pStyle w:val="Prrafodelista"/>
        <w:numPr>
          <w:ilvl w:val="0"/>
          <w:numId w:val="46"/>
        </w:numPr>
        <w:jc w:val="both"/>
        <w:rPr>
          <w:sz w:val="16"/>
          <w:szCs w:val="20"/>
          <w:lang w:val="es-AR"/>
        </w:rPr>
      </w:pPr>
      <w:r w:rsidRPr="00A57C43">
        <w:rPr>
          <w:sz w:val="16"/>
          <w:szCs w:val="20"/>
          <w:lang w:val="es-AR"/>
        </w:rPr>
        <w:t>No se informa el valor razonable porque se considera que el mismo es similar a su valor contable.</w:t>
      </w:r>
    </w:p>
    <w:p w14:paraId="5EC97EF9" w14:textId="77777777" w:rsidR="00FD7894" w:rsidRPr="00A57C43" w:rsidRDefault="00FD7894" w:rsidP="00823664">
      <w:pPr>
        <w:spacing w:before="120" w:after="120" w:line="240" w:lineRule="exact"/>
        <w:ind w:left="567"/>
        <w:jc w:val="both"/>
        <w:rPr>
          <w:rFonts w:ascii="Times New Roman" w:hAnsi="Times New Roman"/>
          <w:sz w:val="20"/>
        </w:rPr>
      </w:pPr>
    </w:p>
    <w:p w14:paraId="7F165D15" w14:textId="160F2EB2" w:rsidR="004A5221" w:rsidRDefault="004A5221" w:rsidP="00823664">
      <w:pPr>
        <w:spacing w:before="120" w:after="120" w:line="240" w:lineRule="exact"/>
        <w:ind w:left="567"/>
        <w:jc w:val="both"/>
        <w:rPr>
          <w:rFonts w:ascii="Times New Roman" w:hAnsi="Times New Roman"/>
          <w:sz w:val="20"/>
        </w:rPr>
      </w:pPr>
      <w:r w:rsidRPr="00A57C43">
        <w:rPr>
          <w:rFonts w:ascii="Times New Roman" w:hAnsi="Times New Roman"/>
          <w:sz w:val="20"/>
        </w:rPr>
        <w:t>La jerarquía de valor razonable de los activos y pasivos no medidos a valor razo</w:t>
      </w:r>
      <w:r w:rsidR="00E120A4" w:rsidRPr="00A57C43">
        <w:rPr>
          <w:rFonts w:ascii="Times New Roman" w:hAnsi="Times New Roman"/>
          <w:sz w:val="20"/>
        </w:rPr>
        <w:t>nable al 3</w:t>
      </w:r>
      <w:r w:rsidR="00307624" w:rsidRPr="00A57C43">
        <w:rPr>
          <w:rFonts w:ascii="Times New Roman" w:hAnsi="Times New Roman"/>
          <w:sz w:val="20"/>
        </w:rPr>
        <w:t>1</w:t>
      </w:r>
      <w:r w:rsidR="00E120A4" w:rsidRPr="00A57C43">
        <w:rPr>
          <w:rFonts w:ascii="Times New Roman" w:hAnsi="Times New Roman"/>
          <w:sz w:val="20"/>
        </w:rPr>
        <w:t xml:space="preserve"> de diciembre de 20</w:t>
      </w:r>
      <w:r w:rsidR="00B65A0E" w:rsidRPr="00A57C43">
        <w:rPr>
          <w:rFonts w:ascii="Times New Roman" w:hAnsi="Times New Roman"/>
          <w:sz w:val="20"/>
        </w:rPr>
        <w:t>20</w:t>
      </w:r>
      <w:r w:rsidRPr="00A57C43">
        <w:rPr>
          <w:rFonts w:ascii="Times New Roman" w:hAnsi="Times New Roman"/>
          <w:sz w:val="20"/>
        </w:rPr>
        <w:t xml:space="preserve"> se detalla a continuación:</w:t>
      </w:r>
    </w:p>
    <w:p w14:paraId="5F0C3977" w14:textId="77777777" w:rsidR="00A57C43" w:rsidRPr="00A57C43" w:rsidRDefault="00A57C43" w:rsidP="00823664">
      <w:pPr>
        <w:spacing w:before="120" w:after="120" w:line="240" w:lineRule="exact"/>
        <w:ind w:left="567"/>
        <w:jc w:val="both"/>
        <w:rPr>
          <w:rFonts w:ascii="Times New Roman" w:hAnsi="Times New Roman"/>
          <w:sz w:val="20"/>
        </w:rPr>
      </w:pPr>
    </w:p>
    <w:p w14:paraId="5F72DCC3" w14:textId="2FB41A13" w:rsidR="004A5221" w:rsidRPr="00A57C43" w:rsidRDefault="0050030B" w:rsidP="00D0343A">
      <w:pPr>
        <w:ind w:left="567" w:right="-142"/>
        <w:jc w:val="center"/>
        <w:rPr>
          <w:rFonts w:ascii="Times New Roman" w:hAnsi="Times New Roman"/>
          <w:b/>
          <w:sz w:val="20"/>
        </w:rPr>
      </w:pPr>
      <w:r w:rsidRPr="00A57C43">
        <w:rPr>
          <w:noProof/>
          <w:lang w:eastAsia="es-AR"/>
        </w:rPr>
        <w:drawing>
          <wp:inline distT="0" distB="0" distL="0" distR="0" wp14:anchorId="28EA5663" wp14:editId="217DC26C">
            <wp:extent cx="6178319" cy="298173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86229" cy="2985557"/>
                    </a:xfrm>
                    <a:prstGeom prst="rect">
                      <a:avLst/>
                    </a:prstGeom>
                    <a:noFill/>
                    <a:ln>
                      <a:noFill/>
                    </a:ln>
                  </pic:spPr>
                </pic:pic>
              </a:graphicData>
            </a:graphic>
          </wp:inline>
        </w:drawing>
      </w:r>
    </w:p>
    <w:p w14:paraId="7BF9FB59" w14:textId="77777777" w:rsidR="00FA339B" w:rsidRPr="00A57C43" w:rsidRDefault="00FA339B" w:rsidP="00D0343A">
      <w:pPr>
        <w:ind w:left="567" w:right="-142"/>
        <w:jc w:val="center"/>
        <w:rPr>
          <w:rFonts w:ascii="Times New Roman" w:hAnsi="Times New Roman"/>
          <w:b/>
          <w:sz w:val="20"/>
        </w:rPr>
      </w:pPr>
    </w:p>
    <w:p w14:paraId="43AF4473" w14:textId="10549611" w:rsidR="00FF2399" w:rsidRPr="00A57C43" w:rsidRDefault="0090022D" w:rsidP="00F07536">
      <w:pPr>
        <w:pStyle w:val="Prrafodelista"/>
        <w:numPr>
          <w:ilvl w:val="0"/>
          <w:numId w:val="52"/>
        </w:numPr>
        <w:rPr>
          <w:sz w:val="16"/>
          <w:szCs w:val="20"/>
          <w:lang w:val="es-AR"/>
        </w:rPr>
      </w:pPr>
      <w:r w:rsidRPr="00A57C43">
        <w:rPr>
          <w:sz w:val="16"/>
          <w:szCs w:val="20"/>
          <w:lang w:val="es-AR"/>
        </w:rPr>
        <w:t>No se informa el valor razonable porque se considera que el mismo es similar a su valor contable.</w:t>
      </w:r>
    </w:p>
    <w:p w14:paraId="7862427A" w14:textId="77777777" w:rsidR="00794732" w:rsidRDefault="00794732" w:rsidP="00FF2399">
      <w:pPr>
        <w:rPr>
          <w:sz w:val="16"/>
        </w:rPr>
      </w:pPr>
    </w:p>
    <w:p w14:paraId="6C9D4BD0" w14:textId="77777777" w:rsidR="00794732" w:rsidRDefault="00794732" w:rsidP="00FF2399">
      <w:pPr>
        <w:rPr>
          <w:sz w:val="16"/>
        </w:rPr>
      </w:pPr>
    </w:p>
    <w:p w14:paraId="731910F6" w14:textId="77777777" w:rsidR="00FD7894" w:rsidRDefault="00FD7894" w:rsidP="00FF2399">
      <w:pPr>
        <w:rPr>
          <w:sz w:val="16"/>
        </w:rPr>
      </w:pPr>
    </w:p>
    <w:p w14:paraId="1340E961" w14:textId="77777777" w:rsidR="00FD7894" w:rsidRPr="00FF2399" w:rsidRDefault="00FD7894" w:rsidP="00FF2399">
      <w:pPr>
        <w:rPr>
          <w:sz w:val="16"/>
        </w:rPr>
      </w:pPr>
    </w:p>
    <w:p w14:paraId="3A0DE1DD" w14:textId="77777777" w:rsidR="00966260" w:rsidRPr="00FD7894" w:rsidRDefault="00966260" w:rsidP="00C60CC8">
      <w:pPr>
        <w:pStyle w:val="Prrafodelista"/>
        <w:numPr>
          <w:ilvl w:val="0"/>
          <w:numId w:val="11"/>
        </w:numPr>
        <w:ind w:right="141"/>
        <w:jc w:val="both"/>
        <w:rPr>
          <w:b/>
          <w:sz w:val="20"/>
          <w:szCs w:val="20"/>
        </w:rPr>
      </w:pPr>
      <w:r w:rsidRPr="00FD7894">
        <w:rPr>
          <w:b/>
          <w:sz w:val="20"/>
          <w:szCs w:val="20"/>
        </w:rPr>
        <w:t>Información por segmentos</w:t>
      </w:r>
    </w:p>
    <w:p w14:paraId="419EB87F" w14:textId="77777777" w:rsidR="00A310C5" w:rsidRPr="00ED361F" w:rsidRDefault="00A310C5" w:rsidP="00D54601">
      <w:pPr>
        <w:pStyle w:val="Prrafodelista"/>
        <w:ind w:left="709" w:right="141"/>
        <w:jc w:val="both"/>
        <w:rPr>
          <w:sz w:val="20"/>
          <w:szCs w:val="20"/>
          <w:lang w:val="es-AR"/>
        </w:rPr>
      </w:pPr>
    </w:p>
    <w:p w14:paraId="2C6A0015" w14:textId="7B114CB0" w:rsidR="00966260" w:rsidRPr="00110E8B" w:rsidRDefault="00966260" w:rsidP="002F7BBF">
      <w:pPr>
        <w:ind w:left="709" w:right="-427"/>
        <w:jc w:val="both"/>
        <w:rPr>
          <w:rFonts w:ascii="Times New Roman" w:hAnsi="Times New Roman"/>
          <w:b/>
          <w:sz w:val="20"/>
          <w:lang w:val="es-ES"/>
        </w:rPr>
      </w:pPr>
      <w:r w:rsidRPr="00ED361F">
        <w:rPr>
          <w:rFonts w:ascii="Times New Roman" w:hAnsi="Times New Roman"/>
          <w:sz w:val="20"/>
          <w:u w:val="single"/>
          <w:lang w:val="es-ES"/>
        </w:rPr>
        <w:t>Bases para la segmentación</w:t>
      </w:r>
      <w:r w:rsidRPr="00110E8B">
        <w:rPr>
          <w:rFonts w:ascii="Times New Roman" w:hAnsi="Times New Roman"/>
          <w:sz w:val="20"/>
          <w:u w:val="single"/>
          <w:lang w:val="es-ES"/>
        </w:rPr>
        <w:t xml:space="preserve"> </w:t>
      </w:r>
    </w:p>
    <w:p w14:paraId="63345B7C" w14:textId="77777777" w:rsidR="009D5FB7" w:rsidRPr="00110E8B" w:rsidRDefault="009D5FB7" w:rsidP="009D5FB7">
      <w:pPr>
        <w:tabs>
          <w:tab w:val="num" w:pos="709"/>
        </w:tabs>
        <w:ind w:left="709" w:right="49"/>
        <w:jc w:val="both"/>
        <w:rPr>
          <w:rFonts w:ascii="Times New Roman" w:hAnsi="Times New Roman"/>
          <w:sz w:val="20"/>
        </w:rPr>
      </w:pPr>
    </w:p>
    <w:p w14:paraId="7281C206" w14:textId="562B0F76" w:rsidR="00333B57" w:rsidRPr="00110E8B" w:rsidRDefault="00333B57" w:rsidP="000F0D5C">
      <w:pPr>
        <w:ind w:left="709" w:right="49"/>
        <w:jc w:val="both"/>
        <w:rPr>
          <w:rFonts w:ascii="Times New Roman" w:hAnsi="Times New Roman"/>
          <w:sz w:val="20"/>
        </w:rPr>
      </w:pPr>
      <w:r w:rsidRPr="00110E8B">
        <w:rPr>
          <w:rFonts w:ascii="Times New Roman" w:hAnsi="Times New Roman"/>
          <w:sz w:val="20"/>
        </w:rPr>
        <w:t>Al 3</w:t>
      </w:r>
      <w:r w:rsidR="00F850BC">
        <w:rPr>
          <w:rFonts w:ascii="Times New Roman" w:hAnsi="Times New Roman"/>
          <w:sz w:val="20"/>
        </w:rPr>
        <w:t>0</w:t>
      </w:r>
      <w:r w:rsidRPr="00110E8B">
        <w:rPr>
          <w:rFonts w:ascii="Times New Roman" w:hAnsi="Times New Roman"/>
          <w:sz w:val="20"/>
        </w:rPr>
        <w:t xml:space="preserve"> de </w:t>
      </w:r>
      <w:r w:rsidR="00D04238">
        <w:rPr>
          <w:rFonts w:ascii="Times New Roman" w:hAnsi="Times New Roman"/>
          <w:sz w:val="20"/>
        </w:rPr>
        <w:t>septiembre</w:t>
      </w:r>
      <w:r w:rsidR="002F506F" w:rsidRPr="00110E8B">
        <w:rPr>
          <w:rFonts w:ascii="Times New Roman" w:hAnsi="Times New Roman"/>
          <w:sz w:val="20"/>
        </w:rPr>
        <w:t xml:space="preserve"> </w:t>
      </w:r>
      <w:r w:rsidRPr="00110E8B">
        <w:rPr>
          <w:rFonts w:ascii="Times New Roman" w:hAnsi="Times New Roman"/>
          <w:sz w:val="20"/>
        </w:rPr>
        <w:t>de 20</w:t>
      </w:r>
      <w:r w:rsidR="002F506F" w:rsidRPr="00110E8B">
        <w:rPr>
          <w:rFonts w:ascii="Times New Roman" w:hAnsi="Times New Roman"/>
          <w:sz w:val="20"/>
        </w:rPr>
        <w:t>2</w:t>
      </w:r>
      <w:r w:rsidR="00B65A0E">
        <w:rPr>
          <w:rFonts w:ascii="Times New Roman" w:hAnsi="Times New Roman"/>
          <w:sz w:val="20"/>
        </w:rPr>
        <w:t>1</w:t>
      </w:r>
      <w:r w:rsidRPr="00110E8B">
        <w:rPr>
          <w:rFonts w:ascii="Times New Roman" w:hAnsi="Times New Roman"/>
          <w:sz w:val="20"/>
        </w:rPr>
        <w:t xml:space="preserve"> </w:t>
      </w:r>
      <w:r w:rsidR="00B65A0E">
        <w:rPr>
          <w:rFonts w:ascii="Times New Roman" w:hAnsi="Times New Roman"/>
          <w:sz w:val="20"/>
        </w:rPr>
        <w:t xml:space="preserve">y 31 de diciembre </w:t>
      </w:r>
      <w:r w:rsidR="002F506F" w:rsidRPr="00110E8B">
        <w:rPr>
          <w:rFonts w:ascii="Times New Roman" w:hAnsi="Times New Roman"/>
          <w:sz w:val="20"/>
        </w:rPr>
        <w:t>20</w:t>
      </w:r>
      <w:r w:rsidR="00B65A0E">
        <w:rPr>
          <w:rFonts w:ascii="Times New Roman" w:hAnsi="Times New Roman"/>
          <w:sz w:val="20"/>
        </w:rPr>
        <w:t>20</w:t>
      </w:r>
      <w:r w:rsidRPr="00110E8B">
        <w:rPr>
          <w:rFonts w:ascii="Times New Roman" w:hAnsi="Times New Roman"/>
          <w:sz w:val="20"/>
        </w:rPr>
        <w:t>, el Grupo determinó que posee un solo segmento reportable relacionado con actividades bancarias en base a la información que es revisada por la máxima autoridad en la toma de decisiones operativas</w:t>
      </w:r>
      <w:r w:rsidR="00284E0F" w:rsidRPr="00110E8B">
        <w:rPr>
          <w:rFonts w:ascii="Times New Roman" w:hAnsi="Times New Roman"/>
          <w:sz w:val="20"/>
        </w:rPr>
        <w:t>. La mayoría de las operaciones, propiedades y clientes del Grupo se ubican en Argentina. Ningún cliente ha generado más del 10% del total de ingresos del Grupo.</w:t>
      </w:r>
    </w:p>
    <w:p w14:paraId="76FD4C99" w14:textId="77777777" w:rsidR="00333B57" w:rsidRPr="00110E8B" w:rsidRDefault="00333B57" w:rsidP="00333B57">
      <w:pPr>
        <w:pStyle w:val="Prrafodelista"/>
        <w:rPr>
          <w:sz w:val="20"/>
          <w:szCs w:val="20"/>
          <w:lang w:val="es-AR"/>
        </w:rPr>
      </w:pPr>
    </w:p>
    <w:p w14:paraId="079245A7" w14:textId="77777777" w:rsidR="00A57C43" w:rsidRDefault="00A57C43" w:rsidP="00333B57">
      <w:pPr>
        <w:tabs>
          <w:tab w:val="num" w:pos="709"/>
        </w:tabs>
        <w:ind w:left="709" w:right="49"/>
        <w:jc w:val="both"/>
        <w:rPr>
          <w:rFonts w:ascii="Times New Roman" w:hAnsi="Times New Roman"/>
          <w:sz w:val="20"/>
        </w:rPr>
      </w:pPr>
    </w:p>
    <w:p w14:paraId="1186BF29" w14:textId="77777777" w:rsidR="00A57C43" w:rsidRDefault="00A57C43" w:rsidP="00333B57">
      <w:pPr>
        <w:tabs>
          <w:tab w:val="num" w:pos="709"/>
        </w:tabs>
        <w:ind w:left="709" w:right="49"/>
        <w:jc w:val="both"/>
        <w:rPr>
          <w:rFonts w:ascii="Times New Roman" w:hAnsi="Times New Roman"/>
          <w:sz w:val="20"/>
        </w:rPr>
      </w:pPr>
    </w:p>
    <w:p w14:paraId="796030CD" w14:textId="77777777" w:rsidR="00A57C43" w:rsidRDefault="00A57C43" w:rsidP="00333B57">
      <w:pPr>
        <w:tabs>
          <w:tab w:val="num" w:pos="709"/>
        </w:tabs>
        <w:ind w:left="709" w:right="49"/>
        <w:jc w:val="both"/>
        <w:rPr>
          <w:rFonts w:ascii="Times New Roman" w:hAnsi="Times New Roman"/>
          <w:sz w:val="20"/>
        </w:rPr>
      </w:pPr>
    </w:p>
    <w:p w14:paraId="7A3D2F6A" w14:textId="77777777" w:rsidR="00A57C43" w:rsidRDefault="00A57C43" w:rsidP="00333B57">
      <w:pPr>
        <w:tabs>
          <w:tab w:val="num" w:pos="709"/>
        </w:tabs>
        <w:ind w:left="709" w:right="49"/>
        <w:jc w:val="both"/>
        <w:rPr>
          <w:rFonts w:ascii="Times New Roman" w:hAnsi="Times New Roman"/>
          <w:sz w:val="20"/>
        </w:rPr>
      </w:pPr>
    </w:p>
    <w:p w14:paraId="1850FAF5" w14:textId="77777777" w:rsidR="00A57C43" w:rsidRDefault="00A57C43" w:rsidP="00333B57">
      <w:pPr>
        <w:tabs>
          <w:tab w:val="num" w:pos="709"/>
        </w:tabs>
        <w:ind w:left="709" w:right="49"/>
        <w:jc w:val="both"/>
        <w:rPr>
          <w:rFonts w:ascii="Times New Roman" w:hAnsi="Times New Roman"/>
          <w:sz w:val="20"/>
        </w:rPr>
      </w:pPr>
    </w:p>
    <w:p w14:paraId="75B84FCF" w14:textId="77777777" w:rsidR="00A57C43" w:rsidRDefault="00A57C43" w:rsidP="00333B57">
      <w:pPr>
        <w:tabs>
          <w:tab w:val="num" w:pos="709"/>
        </w:tabs>
        <w:ind w:left="709" w:right="49"/>
        <w:jc w:val="both"/>
        <w:rPr>
          <w:rFonts w:ascii="Times New Roman" w:hAnsi="Times New Roman"/>
          <w:sz w:val="20"/>
        </w:rPr>
      </w:pPr>
    </w:p>
    <w:p w14:paraId="3ADAAAFD" w14:textId="77777777" w:rsidR="00A57C43" w:rsidRDefault="00A57C43" w:rsidP="00333B57">
      <w:pPr>
        <w:tabs>
          <w:tab w:val="num" w:pos="709"/>
        </w:tabs>
        <w:ind w:left="709" w:right="49"/>
        <w:jc w:val="both"/>
        <w:rPr>
          <w:rFonts w:ascii="Times New Roman" w:hAnsi="Times New Roman"/>
          <w:sz w:val="20"/>
        </w:rPr>
      </w:pPr>
    </w:p>
    <w:p w14:paraId="71DE903D" w14:textId="77777777" w:rsidR="00A57C43" w:rsidRDefault="00A57C43" w:rsidP="00333B57">
      <w:pPr>
        <w:tabs>
          <w:tab w:val="num" w:pos="709"/>
        </w:tabs>
        <w:ind w:left="709" w:right="49"/>
        <w:jc w:val="both"/>
        <w:rPr>
          <w:rFonts w:ascii="Times New Roman" w:hAnsi="Times New Roman"/>
          <w:sz w:val="20"/>
        </w:rPr>
      </w:pPr>
    </w:p>
    <w:p w14:paraId="02505652" w14:textId="77777777" w:rsidR="00A57C43" w:rsidRDefault="00A57C43" w:rsidP="00333B57">
      <w:pPr>
        <w:tabs>
          <w:tab w:val="num" w:pos="709"/>
        </w:tabs>
        <w:ind w:left="709" w:right="49"/>
        <w:jc w:val="both"/>
        <w:rPr>
          <w:rFonts w:ascii="Times New Roman" w:hAnsi="Times New Roman"/>
          <w:sz w:val="20"/>
        </w:rPr>
      </w:pPr>
    </w:p>
    <w:p w14:paraId="7C50EF5F" w14:textId="77777777" w:rsidR="0016654F" w:rsidRDefault="0016654F" w:rsidP="00333B57">
      <w:pPr>
        <w:tabs>
          <w:tab w:val="num" w:pos="709"/>
        </w:tabs>
        <w:ind w:left="709" w:right="49"/>
        <w:jc w:val="both"/>
        <w:rPr>
          <w:rFonts w:ascii="Times New Roman" w:hAnsi="Times New Roman"/>
          <w:sz w:val="20"/>
        </w:rPr>
      </w:pPr>
    </w:p>
    <w:p w14:paraId="6E70837D" w14:textId="501883A5" w:rsidR="00333B57" w:rsidRPr="00110E8B" w:rsidRDefault="00333B57" w:rsidP="00333B57">
      <w:pPr>
        <w:tabs>
          <w:tab w:val="num" w:pos="709"/>
        </w:tabs>
        <w:ind w:left="709" w:right="49"/>
        <w:jc w:val="both"/>
        <w:rPr>
          <w:rFonts w:ascii="Times New Roman" w:hAnsi="Times New Roman"/>
          <w:sz w:val="20"/>
        </w:rPr>
      </w:pPr>
      <w:r w:rsidRPr="00110E8B">
        <w:rPr>
          <w:rFonts w:ascii="Times New Roman" w:hAnsi="Times New Roman"/>
          <w:sz w:val="20"/>
        </w:rPr>
        <w:t>Se presenta a continuación información relevante de préstamos y depósitos por líneas de negocio</w:t>
      </w:r>
      <w:r w:rsidR="002F506F" w:rsidRPr="00110E8B">
        <w:rPr>
          <w:rFonts w:ascii="Times New Roman" w:hAnsi="Times New Roman"/>
          <w:sz w:val="20"/>
        </w:rPr>
        <w:t xml:space="preserve"> al 3</w:t>
      </w:r>
      <w:r w:rsidR="00F850BC">
        <w:rPr>
          <w:rFonts w:ascii="Times New Roman" w:hAnsi="Times New Roman"/>
          <w:sz w:val="20"/>
        </w:rPr>
        <w:t>0</w:t>
      </w:r>
      <w:r w:rsidR="002F506F" w:rsidRPr="00110E8B">
        <w:rPr>
          <w:rFonts w:ascii="Times New Roman" w:hAnsi="Times New Roman"/>
          <w:sz w:val="20"/>
        </w:rPr>
        <w:t xml:space="preserve"> de </w:t>
      </w:r>
      <w:r w:rsidR="00D04238">
        <w:rPr>
          <w:rFonts w:ascii="Times New Roman" w:hAnsi="Times New Roman"/>
          <w:sz w:val="20"/>
        </w:rPr>
        <w:t>septiembre</w:t>
      </w:r>
      <w:r w:rsidR="002241F2">
        <w:rPr>
          <w:rFonts w:ascii="Times New Roman" w:hAnsi="Times New Roman"/>
          <w:sz w:val="20"/>
        </w:rPr>
        <w:t xml:space="preserve"> de 202</w:t>
      </w:r>
      <w:r w:rsidR="001E710C">
        <w:rPr>
          <w:rFonts w:ascii="Times New Roman" w:hAnsi="Times New Roman"/>
          <w:sz w:val="20"/>
        </w:rPr>
        <w:t>1 y</w:t>
      </w:r>
      <w:r w:rsidR="00B65A0E">
        <w:rPr>
          <w:rFonts w:ascii="Times New Roman" w:hAnsi="Times New Roman"/>
          <w:sz w:val="20"/>
        </w:rPr>
        <w:t xml:space="preserve"> al 31 de diciembre</w:t>
      </w:r>
      <w:r w:rsidRPr="00110E8B">
        <w:rPr>
          <w:rFonts w:ascii="Times New Roman" w:hAnsi="Times New Roman"/>
          <w:sz w:val="20"/>
        </w:rPr>
        <w:t xml:space="preserve"> </w:t>
      </w:r>
      <w:r w:rsidR="003C4126">
        <w:rPr>
          <w:rFonts w:ascii="Times New Roman" w:hAnsi="Times New Roman"/>
          <w:sz w:val="20"/>
        </w:rPr>
        <w:t>20</w:t>
      </w:r>
      <w:r w:rsidR="00B65A0E">
        <w:rPr>
          <w:rFonts w:ascii="Times New Roman" w:hAnsi="Times New Roman"/>
          <w:sz w:val="20"/>
        </w:rPr>
        <w:t>20</w:t>
      </w:r>
      <w:r w:rsidRPr="00110E8B">
        <w:rPr>
          <w:rFonts w:ascii="Times New Roman" w:hAnsi="Times New Roman"/>
          <w:sz w:val="20"/>
        </w:rPr>
        <w:t>:</w:t>
      </w:r>
    </w:p>
    <w:p w14:paraId="719AB0E7" w14:textId="77777777" w:rsidR="00E34026" w:rsidRDefault="00E34026" w:rsidP="00E87739">
      <w:pPr>
        <w:tabs>
          <w:tab w:val="num" w:pos="709"/>
        </w:tabs>
        <w:ind w:left="709" w:right="49"/>
        <w:jc w:val="both"/>
        <w:rPr>
          <w:rFonts w:ascii="Times New Roman" w:hAnsi="Times New Roman"/>
          <w:sz w:val="20"/>
        </w:rPr>
      </w:pPr>
    </w:p>
    <w:p w14:paraId="102F9A1B" w14:textId="77777777" w:rsidR="00CC5A59" w:rsidRDefault="00CC5A59" w:rsidP="00E87739">
      <w:pPr>
        <w:tabs>
          <w:tab w:val="num" w:pos="709"/>
        </w:tabs>
        <w:ind w:left="709" w:right="49"/>
        <w:jc w:val="both"/>
        <w:rPr>
          <w:rFonts w:ascii="Times New Roman" w:hAnsi="Times New Roman"/>
          <w:sz w:val="20"/>
        </w:rPr>
      </w:pPr>
    </w:p>
    <w:p w14:paraId="47FC1CE7" w14:textId="77777777" w:rsidR="0016654F" w:rsidRDefault="0016654F" w:rsidP="00E87739">
      <w:pPr>
        <w:tabs>
          <w:tab w:val="num" w:pos="709"/>
        </w:tabs>
        <w:ind w:left="709" w:right="49"/>
        <w:jc w:val="both"/>
        <w:rPr>
          <w:rFonts w:ascii="Times New Roman" w:hAnsi="Times New Roman"/>
          <w:sz w:val="20"/>
        </w:rPr>
      </w:pPr>
    </w:p>
    <w:p w14:paraId="07B9130D" w14:textId="0E22762F" w:rsidR="00E8289D" w:rsidRDefault="00DC5E58" w:rsidP="00FD7894">
      <w:pPr>
        <w:ind w:left="1214" w:right="284"/>
        <w:rPr>
          <w:rFonts w:ascii="Times New Roman" w:hAnsi="Times New Roman"/>
          <w:noProof/>
          <w:sz w:val="20"/>
          <w:lang w:eastAsia="es-AR"/>
        </w:rPr>
      </w:pPr>
      <w:r w:rsidRPr="00FD7894">
        <w:rPr>
          <w:noProof/>
          <w:lang w:eastAsia="es-AR"/>
        </w:rPr>
        <w:drawing>
          <wp:inline distT="0" distB="0" distL="0" distR="0" wp14:anchorId="6A79B6C7" wp14:editId="709864CD">
            <wp:extent cx="4752299" cy="30055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3806" cy="3012871"/>
                    </a:xfrm>
                    <a:prstGeom prst="rect">
                      <a:avLst/>
                    </a:prstGeom>
                    <a:noFill/>
                    <a:ln>
                      <a:noFill/>
                    </a:ln>
                  </pic:spPr>
                </pic:pic>
              </a:graphicData>
            </a:graphic>
          </wp:inline>
        </w:drawing>
      </w:r>
    </w:p>
    <w:p w14:paraId="02DBD58B" w14:textId="56DEC646" w:rsidR="004C318E" w:rsidRPr="002241F2" w:rsidRDefault="00E34026" w:rsidP="002241F2">
      <w:pPr>
        <w:ind w:left="567" w:right="49"/>
        <w:rPr>
          <w:rFonts w:ascii="Times New Roman" w:hAnsi="Times New Roman"/>
          <w:sz w:val="20"/>
        </w:rPr>
      </w:pPr>
      <w:r>
        <w:rPr>
          <w:rFonts w:ascii="Times New Roman" w:hAnsi="Times New Roman"/>
          <w:sz w:val="20"/>
        </w:rPr>
        <w:br w:type="textWrapping" w:clear="all"/>
      </w:r>
    </w:p>
    <w:p w14:paraId="1F77163B" w14:textId="61713598" w:rsidR="00E8289D" w:rsidRPr="00067871" w:rsidRDefault="000507C0" w:rsidP="00E8289D">
      <w:pPr>
        <w:pStyle w:val="Prrafodelista"/>
        <w:numPr>
          <w:ilvl w:val="0"/>
          <w:numId w:val="13"/>
        </w:numPr>
        <w:ind w:left="993" w:hanging="284"/>
        <w:jc w:val="both"/>
        <w:rPr>
          <w:sz w:val="16"/>
          <w:szCs w:val="16"/>
          <w:lang w:val="es-ES"/>
        </w:rPr>
      </w:pPr>
      <w:r w:rsidRPr="00067871">
        <w:rPr>
          <w:sz w:val="16"/>
          <w:szCs w:val="16"/>
          <w:lang w:val="es-ES"/>
        </w:rPr>
        <w:t>I</w:t>
      </w:r>
      <w:r w:rsidR="00E8289D" w:rsidRPr="00067871">
        <w:rPr>
          <w:sz w:val="16"/>
          <w:szCs w:val="16"/>
          <w:lang w:val="es-ES"/>
        </w:rPr>
        <w:t xml:space="preserve">ncluye BBVA Asset Management Argentina S.A. Sociedad Gerente de Fondos Comunes de Inversión, Consolidar A.F.J.P. (en liquidación), </w:t>
      </w:r>
      <w:r w:rsidR="00E8289D" w:rsidRPr="00067871">
        <w:rPr>
          <w:sz w:val="16"/>
          <w:szCs w:val="16"/>
          <w:lang w:val="es-AR"/>
        </w:rPr>
        <w:t>PSA Financ</w:t>
      </w:r>
      <w:r w:rsidRPr="00067871">
        <w:rPr>
          <w:sz w:val="16"/>
          <w:szCs w:val="16"/>
          <w:lang w:val="es-AR"/>
        </w:rPr>
        <w:t>e Argentina Cía. Financiera S.A</w:t>
      </w:r>
      <w:r w:rsidR="00E8289D" w:rsidRPr="00067871">
        <w:rPr>
          <w:sz w:val="16"/>
          <w:szCs w:val="16"/>
          <w:lang w:val="es-AR"/>
        </w:rPr>
        <w:t>.</w:t>
      </w:r>
      <w:r w:rsidR="00E8289D" w:rsidRPr="00067871">
        <w:rPr>
          <w:snapToGrid w:val="0"/>
          <w:sz w:val="16"/>
          <w:szCs w:val="16"/>
          <w:lang w:val="es-AR"/>
        </w:rPr>
        <w:t xml:space="preserve"> </w:t>
      </w:r>
      <w:r w:rsidR="00E8289D" w:rsidRPr="00067871">
        <w:rPr>
          <w:sz w:val="16"/>
          <w:szCs w:val="16"/>
          <w:lang w:val="es-AR"/>
        </w:rPr>
        <w:t xml:space="preserve">y Volkswagen Financial Services Compañía Financiera S.A. </w:t>
      </w:r>
    </w:p>
    <w:p w14:paraId="621C9D9B" w14:textId="20C7A6F9" w:rsidR="00E8289D" w:rsidRPr="00067871" w:rsidRDefault="00E8289D" w:rsidP="00E8289D">
      <w:pPr>
        <w:pStyle w:val="Prrafodelista"/>
        <w:numPr>
          <w:ilvl w:val="0"/>
          <w:numId w:val="13"/>
        </w:numPr>
        <w:ind w:left="993" w:hanging="284"/>
        <w:jc w:val="both"/>
        <w:rPr>
          <w:sz w:val="16"/>
          <w:szCs w:val="16"/>
          <w:lang w:val="es-ES"/>
        </w:rPr>
      </w:pPr>
      <w:r w:rsidRPr="00067871">
        <w:rPr>
          <w:sz w:val="16"/>
          <w:szCs w:val="16"/>
          <w:lang w:val="es-AR"/>
        </w:rPr>
        <w:t>Incluye Sector Financiero.</w:t>
      </w:r>
    </w:p>
    <w:p w14:paraId="7ED732E0" w14:textId="69EB5824" w:rsidR="00E8289D" w:rsidRPr="00067871" w:rsidRDefault="00E8289D" w:rsidP="00E8289D">
      <w:pPr>
        <w:pStyle w:val="Prrafodelista"/>
        <w:numPr>
          <w:ilvl w:val="0"/>
          <w:numId w:val="13"/>
        </w:numPr>
        <w:ind w:left="993" w:hanging="284"/>
        <w:jc w:val="both"/>
        <w:rPr>
          <w:sz w:val="16"/>
          <w:szCs w:val="16"/>
          <w:lang w:val="es-ES"/>
        </w:rPr>
      </w:pPr>
      <w:r w:rsidRPr="00067871">
        <w:rPr>
          <w:sz w:val="16"/>
          <w:szCs w:val="16"/>
          <w:lang w:val="es-AR"/>
        </w:rPr>
        <w:t>Incluye Sector Público.</w:t>
      </w:r>
    </w:p>
    <w:p w14:paraId="0D415C1A" w14:textId="77777777" w:rsidR="00E8289D" w:rsidRPr="00110E8B" w:rsidRDefault="00E8289D" w:rsidP="00C1782A">
      <w:pPr>
        <w:pStyle w:val="Prrafodelista"/>
        <w:ind w:left="1214" w:right="-427"/>
        <w:jc w:val="both"/>
        <w:rPr>
          <w:b/>
          <w:sz w:val="20"/>
          <w:szCs w:val="20"/>
          <w:lang w:val="es-ES"/>
        </w:rPr>
      </w:pPr>
    </w:p>
    <w:p w14:paraId="03B9B7A3" w14:textId="77777777" w:rsidR="003C1381" w:rsidRDefault="003C1381" w:rsidP="00C1782A">
      <w:pPr>
        <w:pStyle w:val="Prrafodelista"/>
        <w:ind w:left="709" w:right="-427"/>
        <w:jc w:val="both"/>
        <w:rPr>
          <w:sz w:val="20"/>
          <w:szCs w:val="20"/>
          <w:lang w:val="es-AR"/>
        </w:rPr>
      </w:pPr>
    </w:p>
    <w:p w14:paraId="2DED9A78" w14:textId="77777777" w:rsidR="0016654F" w:rsidRPr="00110E8B" w:rsidRDefault="0016654F" w:rsidP="00C1782A">
      <w:pPr>
        <w:pStyle w:val="Prrafodelista"/>
        <w:ind w:left="709" w:right="-427"/>
        <w:jc w:val="both"/>
        <w:rPr>
          <w:sz w:val="20"/>
          <w:szCs w:val="20"/>
          <w:lang w:val="es-AR"/>
        </w:rPr>
      </w:pPr>
    </w:p>
    <w:p w14:paraId="3D77E1D4" w14:textId="6AD57FF0" w:rsidR="000C4245" w:rsidRPr="00A62E63" w:rsidRDefault="00362E28" w:rsidP="00362E28">
      <w:pPr>
        <w:ind w:left="567" w:right="-427"/>
        <w:jc w:val="both"/>
        <w:rPr>
          <w:sz w:val="20"/>
        </w:rPr>
      </w:pPr>
      <w:r w:rsidRPr="00362E28">
        <w:rPr>
          <w:rFonts w:ascii="Times New Roman" w:hAnsi="Times New Roman"/>
          <w:sz w:val="20"/>
          <w:lang w:eastAsia="en-US"/>
        </w:rPr>
        <w:t xml:space="preserve">La información </w:t>
      </w:r>
      <w:r w:rsidR="00B25174">
        <w:rPr>
          <w:rFonts w:ascii="Times New Roman" w:hAnsi="Times New Roman"/>
          <w:sz w:val="20"/>
          <w:lang w:eastAsia="en-US"/>
        </w:rPr>
        <w:t xml:space="preserve">sobre resultados </w:t>
      </w:r>
      <w:r w:rsidRPr="00362E28">
        <w:rPr>
          <w:rFonts w:ascii="Times New Roman" w:hAnsi="Times New Roman"/>
          <w:sz w:val="20"/>
          <w:lang w:eastAsia="en-US"/>
        </w:rPr>
        <w:t>en relación con el segmento de operación (actividad bancaria del Grupo) es la misma que se expone en el Estado</w:t>
      </w:r>
      <w:r w:rsidR="006C6B18">
        <w:rPr>
          <w:rFonts w:ascii="Times New Roman" w:hAnsi="Times New Roman"/>
          <w:sz w:val="20"/>
          <w:lang w:eastAsia="en-US"/>
        </w:rPr>
        <w:t xml:space="preserve"> Consolidado</w:t>
      </w:r>
      <w:r w:rsidRPr="00362E28">
        <w:rPr>
          <w:rFonts w:ascii="Times New Roman" w:hAnsi="Times New Roman"/>
          <w:sz w:val="20"/>
          <w:lang w:eastAsia="en-US"/>
        </w:rPr>
        <w:t xml:space="preserve"> de Resultados </w:t>
      </w:r>
      <w:r w:rsidR="00833E7A">
        <w:rPr>
          <w:rFonts w:ascii="Times New Roman" w:hAnsi="Times New Roman"/>
          <w:sz w:val="20"/>
          <w:lang w:eastAsia="en-US"/>
        </w:rPr>
        <w:t>condensado</w:t>
      </w:r>
      <w:r w:rsidRPr="00362E28">
        <w:rPr>
          <w:rFonts w:ascii="Times New Roman" w:hAnsi="Times New Roman"/>
          <w:sz w:val="20"/>
          <w:lang w:eastAsia="en-US"/>
        </w:rPr>
        <w:t xml:space="preserve"> considerando que es la medida utilizada por la máxima autoridad de la Entidad en la toma de decisiones sobre asignación de recursos y evaluación de rendimientos.</w:t>
      </w:r>
      <w:r w:rsidRPr="00A62E63">
        <w:rPr>
          <w:sz w:val="20"/>
        </w:rPr>
        <w:t xml:space="preserve"> </w:t>
      </w:r>
    </w:p>
    <w:p w14:paraId="7F0E230D" w14:textId="77777777" w:rsidR="00141EF3" w:rsidRDefault="00141EF3" w:rsidP="00FF1AEC">
      <w:pPr>
        <w:pStyle w:val="Prrafodelista"/>
        <w:ind w:left="993"/>
        <w:jc w:val="both"/>
        <w:rPr>
          <w:sz w:val="20"/>
          <w:szCs w:val="20"/>
          <w:lang w:val="es-AR"/>
        </w:rPr>
      </w:pPr>
    </w:p>
    <w:p w14:paraId="376AF082" w14:textId="77777777" w:rsidR="00FA339B" w:rsidRDefault="00FA339B" w:rsidP="00FF1AEC">
      <w:pPr>
        <w:pStyle w:val="Prrafodelista"/>
        <w:ind w:left="993"/>
        <w:jc w:val="both"/>
        <w:rPr>
          <w:sz w:val="20"/>
          <w:szCs w:val="20"/>
          <w:lang w:val="es-AR"/>
        </w:rPr>
      </w:pPr>
    </w:p>
    <w:p w14:paraId="72BAE745" w14:textId="77777777" w:rsidR="00A57C43" w:rsidRDefault="00A57C43" w:rsidP="00FF1AEC">
      <w:pPr>
        <w:pStyle w:val="Prrafodelista"/>
        <w:ind w:left="993"/>
        <w:jc w:val="both"/>
        <w:rPr>
          <w:sz w:val="20"/>
          <w:szCs w:val="20"/>
          <w:lang w:val="es-AR"/>
        </w:rPr>
      </w:pPr>
    </w:p>
    <w:p w14:paraId="0747390E" w14:textId="77777777" w:rsidR="00A57C43" w:rsidRDefault="00A57C43" w:rsidP="00FF1AEC">
      <w:pPr>
        <w:pStyle w:val="Prrafodelista"/>
        <w:ind w:left="993"/>
        <w:jc w:val="both"/>
        <w:rPr>
          <w:sz w:val="20"/>
          <w:szCs w:val="20"/>
          <w:lang w:val="es-AR"/>
        </w:rPr>
      </w:pPr>
    </w:p>
    <w:p w14:paraId="526492A5" w14:textId="77777777" w:rsidR="00A57C43" w:rsidRDefault="00A57C43" w:rsidP="00FF1AEC">
      <w:pPr>
        <w:pStyle w:val="Prrafodelista"/>
        <w:ind w:left="993"/>
        <w:jc w:val="both"/>
        <w:rPr>
          <w:sz w:val="20"/>
          <w:szCs w:val="20"/>
          <w:lang w:val="es-AR"/>
        </w:rPr>
      </w:pPr>
    </w:p>
    <w:p w14:paraId="775AA57F" w14:textId="77777777" w:rsidR="00A57C43" w:rsidRDefault="00A57C43" w:rsidP="00FF1AEC">
      <w:pPr>
        <w:pStyle w:val="Prrafodelista"/>
        <w:ind w:left="993"/>
        <w:jc w:val="both"/>
        <w:rPr>
          <w:sz w:val="20"/>
          <w:szCs w:val="20"/>
          <w:lang w:val="es-AR"/>
        </w:rPr>
      </w:pPr>
    </w:p>
    <w:p w14:paraId="0CCA2F31" w14:textId="77777777" w:rsidR="00060669" w:rsidRDefault="00060669" w:rsidP="00FF1AEC">
      <w:pPr>
        <w:pStyle w:val="Prrafodelista"/>
        <w:ind w:left="993"/>
        <w:jc w:val="both"/>
        <w:rPr>
          <w:sz w:val="20"/>
          <w:szCs w:val="20"/>
          <w:lang w:val="es-AR"/>
        </w:rPr>
      </w:pPr>
    </w:p>
    <w:p w14:paraId="203A54C9" w14:textId="77777777" w:rsidR="00CC5A59" w:rsidRPr="00B21CC9" w:rsidRDefault="00CC5A59" w:rsidP="00FF1AEC">
      <w:pPr>
        <w:pStyle w:val="Prrafodelista"/>
        <w:ind w:left="993"/>
        <w:jc w:val="both"/>
        <w:rPr>
          <w:sz w:val="20"/>
          <w:szCs w:val="20"/>
          <w:lang w:val="es-AR"/>
        </w:rPr>
      </w:pPr>
    </w:p>
    <w:p w14:paraId="261BD144" w14:textId="2DFBBF07" w:rsidR="00966260" w:rsidRPr="008A0C1A" w:rsidRDefault="00966260" w:rsidP="00C60CC8">
      <w:pPr>
        <w:pStyle w:val="Prrafodelista"/>
        <w:numPr>
          <w:ilvl w:val="0"/>
          <w:numId w:val="11"/>
        </w:numPr>
        <w:ind w:right="-427"/>
        <w:jc w:val="both"/>
        <w:rPr>
          <w:b/>
          <w:sz w:val="20"/>
          <w:szCs w:val="20"/>
          <w:lang w:val="es-ES"/>
        </w:rPr>
      </w:pPr>
      <w:r w:rsidRPr="008A0C1A">
        <w:rPr>
          <w:b/>
          <w:sz w:val="20"/>
          <w:szCs w:val="20"/>
          <w:lang w:val="es-ES"/>
        </w:rPr>
        <w:t>Subsidiarias</w:t>
      </w:r>
    </w:p>
    <w:p w14:paraId="2A6B2386" w14:textId="77777777" w:rsidR="001B241E" w:rsidRPr="00F850BC" w:rsidRDefault="001B241E" w:rsidP="00B91234">
      <w:pPr>
        <w:spacing w:after="120" w:line="240" w:lineRule="exact"/>
        <w:ind w:left="607"/>
        <w:jc w:val="both"/>
        <w:rPr>
          <w:rFonts w:ascii="Times New Roman" w:hAnsi="Times New Roman"/>
          <w:sz w:val="20"/>
          <w:highlight w:val="green"/>
        </w:rPr>
      </w:pPr>
    </w:p>
    <w:p w14:paraId="4BE878E6" w14:textId="067799BB" w:rsidR="00966260" w:rsidRPr="000F46C7" w:rsidRDefault="00966260" w:rsidP="0085719F">
      <w:pPr>
        <w:spacing w:after="120" w:line="240" w:lineRule="exact"/>
        <w:ind w:left="607"/>
        <w:rPr>
          <w:rFonts w:ascii="Times New Roman" w:hAnsi="Times New Roman"/>
          <w:sz w:val="20"/>
        </w:rPr>
      </w:pPr>
      <w:r w:rsidRPr="000F46C7">
        <w:rPr>
          <w:rFonts w:ascii="Times New Roman" w:hAnsi="Times New Roman"/>
          <w:sz w:val="20"/>
        </w:rPr>
        <w:t>A continuación se provee información s</w:t>
      </w:r>
      <w:r w:rsidR="0012366F" w:rsidRPr="000F46C7">
        <w:rPr>
          <w:rFonts w:ascii="Times New Roman" w:hAnsi="Times New Roman"/>
          <w:sz w:val="20"/>
        </w:rPr>
        <w:t>obre las subsidiarias del Banco:</w:t>
      </w:r>
    </w:p>
    <w:tbl>
      <w:tblPr>
        <w:tblW w:w="8679" w:type="dxa"/>
        <w:tblInd w:w="817" w:type="dxa"/>
        <w:tblLook w:val="04A0" w:firstRow="1" w:lastRow="0" w:firstColumn="1" w:lastColumn="0" w:noHBand="0" w:noVBand="1"/>
      </w:tblPr>
      <w:tblGrid>
        <w:gridCol w:w="4348"/>
        <w:gridCol w:w="1039"/>
        <w:gridCol w:w="1417"/>
        <w:gridCol w:w="1276"/>
        <w:gridCol w:w="599"/>
      </w:tblGrid>
      <w:tr w:rsidR="001543EE" w:rsidRPr="000F46C7" w14:paraId="243682CE" w14:textId="77777777" w:rsidTr="00794732">
        <w:trPr>
          <w:gridAfter w:val="1"/>
          <w:wAfter w:w="599" w:type="dxa"/>
        </w:trPr>
        <w:tc>
          <w:tcPr>
            <w:tcW w:w="4348" w:type="dxa"/>
            <w:vMerge w:val="restart"/>
            <w:tcBorders>
              <w:bottom w:val="single" w:sz="4" w:space="0" w:color="auto"/>
            </w:tcBorders>
            <w:shd w:val="clear" w:color="auto" w:fill="auto"/>
            <w:vAlign w:val="bottom"/>
          </w:tcPr>
          <w:p w14:paraId="68235E0F" w14:textId="77777777" w:rsidR="001543EE" w:rsidRPr="000F46C7" w:rsidRDefault="001543EE" w:rsidP="00AE3641">
            <w:pPr>
              <w:spacing w:after="120" w:line="240" w:lineRule="exact"/>
              <w:jc w:val="center"/>
              <w:rPr>
                <w:rFonts w:ascii="Times New Roman" w:hAnsi="Times New Roman"/>
                <w:b/>
                <w:sz w:val="20"/>
                <w:u w:val="single"/>
              </w:rPr>
            </w:pPr>
            <w:r w:rsidRPr="000F46C7">
              <w:rPr>
                <w:rFonts w:ascii="Times New Roman" w:hAnsi="Times New Roman"/>
                <w:b/>
                <w:sz w:val="20"/>
              </w:rPr>
              <w:t>Denominación</w:t>
            </w:r>
          </w:p>
        </w:tc>
        <w:tc>
          <w:tcPr>
            <w:tcW w:w="1039" w:type="dxa"/>
            <w:vMerge w:val="restart"/>
            <w:tcBorders>
              <w:bottom w:val="single" w:sz="4" w:space="0" w:color="auto"/>
            </w:tcBorders>
            <w:shd w:val="clear" w:color="auto" w:fill="auto"/>
            <w:vAlign w:val="bottom"/>
          </w:tcPr>
          <w:p w14:paraId="2FDC58C4" w14:textId="77777777" w:rsidR="001543EE" w:rsidRPr="000F46C7" w:rsidRDefault="001543EE" w:rsidP="00AE3641">
            <w:pPr>
              <w:spacing w:after="120" w:line="240" w:lineRule="exact"/>
              <w:jc w:val="center"/>
              <w:rPr>
                <w:rFonts w:ascii="Times New Roman" w:hAnsi="Times New Roman"/>
                <w:b/>
                <w:sz w:val="20"/>
              </w:rPr>
            </w:pPr>
            <w:r w:rsidRPr="000F46C7">
              <w:rPr>
                <w:rFonts w:ascii="Times New Roman" w:hAnsi="Times New Roman"/>
                <w:b/>
                <w:sz w:val="20"/>
              </w:rPr>
              <w:t>Domicilio (país)</w:t>
            </w:r>
          </w:p>
        </w:tc>
        <w:tc>
          <w:tcPr>
            <w:tcW w:w="2693" w:type="dxa"/>
            <w:gridSpan w:val="2"/>
            <w:tcBorders>
              <w:bottom w:val="single" w:sz="4" w:space="0" w:color="auto"/>
            </w:tcBorders>
            <w:shd w:val="clear" w:color="auto" w:fill="auto"/>
            <w:vAlign w:val="bottom"/>
          </w:tcPr>
          <w:p w14:paraId="33461F96" w14:textId="77777777" w:rsidR="001543EE" w:rsidRPr="000F46C7" w:rsidRDefault="001543EE" w:rsidP="00AE3641">
            <w:pPr>
              <w:spacing w:after="120" w:line="240" w:lineRule="exact"/>
              <w:rPr>
                <w:rFonts w:ascii="Times New Roman" w:hAnsi="Times New Roman"/>
                <w:b/>
                <w:sz w:val="20"/>
              </w:rPr>
            </w:pPr>
            <w:r w:rsidRPr="000F46C7">
              <w:rPr>
                <w:rFonts w:ascii="Times New Roman" w:hAnsi="Times New Roman"/>
                <w:b/>
                <w:sz w:val="20"/>
              </w:rPr>
              <w:t xml:space="preserve">         Participación al</w:t>
            </w:r>
          </w:p>
        </w:tc>
      </w:tr>
      <w:tr w:rsidR="001543EE" w:rsidRPr="000F46C7" w14:paraId="2F10353A" w14:textId="77777777" w:rsidTr="00794732">
        <w:trPr>
          <w:trHeight w:val="257"/>
        </w:trPr>
        <w:tc>
          <w:tcPr>
            <w:tcW w:w="4348" w:type="dxa"/>
            <w:vMerge/>
            <w:tcBorders>
              <w:bottom w:val="single" w:sz="4" w:space="0" w:color="auto"/>
            </w:tcBorders>
            <w:shd w:val="clear" w:color="auto" w:fill="auto"/>
            <w:vAlign w:val="bottom"/>
          </w:tcPr>
          <w:p w14:paraId="5A44CCFC" w14:textId="77777777" w:rsidR="001543EE" w:rsidRPr="000F46C7" w:rsidRDefault="001543EE" w:rsidP="00AE3641">
            <w:pPr>
              <w:spacing w:after="120" w:line="240" w:lineRule="exact"/>
              <w:jc w:val="center"/>
              <w:rPr>
                <w:rFonts w:ascii="Times New Roman" w:hAnsi="Times New Roman"/>
                <w:b/>
                <w:sz w:val="20"/>
              </w:rPr>
            </w:pPr>
          </w:p>
        </w:tc>
        <w:tc>
          <w:tcPr>
            <w:tcW w:w="1039" w:type="dxa"/>
            <w:vMerge/>
            <w:tcBorders>
              <w:bottom w:val="single" w:sz="4" w:space="0" w:color="auto"/>
            </w:tcBorders>
            <w:shd w:val="clear" w:color="auto" w:fill="auto"/>
            <w:vAlign w:val="bottom"/>
          </w:tcPr>
          <w:p w14:paraId="1C78C993" w14:textId="77777777" w:rsidR="001543EE" w:rsidRPr="000F46C7" w:rsidRDefault="001543EE" w:rsidP="00AE3641">
            <w:pPr>
              <w:spacing w:after="120" w:line="240" w:lineRule="exact"/>
              <w:jc w:val="center"/>
              <w:rPr>
                <w:rFonts w:ascii="Times New Roman" w:hAnsi="Times New Roman"/>
                <w:b/>
                <w:sz w:val="20"/>
              </w:rPr>
            </w:pPr>
          </w:p>
        </w:tc>
        <w:tc>
          <w:tcPr>
            <w:tcW w:w="1417" w:type="dxa"/>
            <w:tcBorders>
              <w:top w:val="single" w:sz="4" w:space="0" w:color="auto"/>
              <w:bottom w:val="single" w:sz="4" w:space="0" w:color="auto"/>
            </w:tcBorders>
            <w:shd w:val="clear" w:color="auto" w:fill="auto"/>
            <w:vAlign w:val="bottom"/>
          </w:tcPr>
          <w:p w14:paraId="60D9C0B3" w14:textId="48564143" w:rsidR="001543EE" w:rsidRPr="000F46C7" w:rsidRDefault="001543EE" w:rsidP="00D04238">
            <w:pPr>
              <w:spacing w:after="120" w:line="240" w:lineRule="exact"/>
              <w:jc w:val="center"/>
              <w:rPr>
                <w:rFonts w:ascii="Times New Roman" w:hAnsi="Times New Roman"/>
                <w:b/>
                <w:sz w:val="20"/>
              </w:rPr>
            </w:pPr>
            <w:r w:rsidRPr="000F46C7">
              <w:rPr>
                <w:rFonts w:ascii="Times New Roman" w:hAnsi="Times New Roman"/>
                <w:b/>
                <w:sz w:val="20"/>
              </w:rPr>
              <w:t>3</w:t>
            </w:r>
            <w:r w:rsidR="00F850BC" w:rsidRPr="000F46C7">
              <w:rPr>
                <w:rFonts w:ascii="Times New Roman" w:hAnsi="Times New Roman"/>
                <w:b/>
                <w:sz w:val="20"/>
              </w:rPr>
              <w:t>0</w:t>
            </w:r>
            <w:r w:rsidRPr="000F46C7">
              <w:rPr>
                <w:rFonts w:ascii="Times New Roman" w:hAnsi="Times New Roman"/>
                <w:b/>
                <w:sz w:val="20"/>
              </w:rPr>
              <w:t>.0</w:t>
            </w:r>
            <w:r w:rsidR="00D04238">
              <w:rPr>
                <w:rFonts w:ascii="Times New Roman" w:hAnsi="Times New Roman"/>
                <w:b/>
                <w:sz w:val="20"/>
              </w:rPr>
              <w:t>9</w:t>
            </w:r>
            <w:r w:rsidRPr="000F46C7">
              <w:rPr>
                <w:rFonts w:ascii="Times New Roman" w:hAnsi="Times New Roman"/>
                <w:b/>
                <w:sz w:val="20"/>
              </w:rPr>
              <w:t>.21</w:t>
            </w:r>
          </w:p>
        </w:tc>
        <w:tc>
          <w:tcPr>
            <w:tcW w:w="1276" w:type="dxa"/>
            <w:tcBorders>
              <w:top w:val="single" w:sz="4" w:space="0" w:color="auto"/>
              <w:bottom w:val="single" w:sz="4" w:space="0" w:color="auto"/>
            </w:tcBorders>
            <w:shd w:val="clear" w:color="auto" w:fill="auto"/>
            <w:vAlign w:val="bottom"/>
          </w:tcPr>
          <w:p w14:paraId="1CC28AFD" w14:textId="6E8BE235" w:rsidR="001543EE" w:rsidRPr="000F46C7" w:rsidRDefault="001543EE" w:rsidP="001543EE">
            <w:pPr>
              <w:spacing w:after="120" w:line="240" w:lineRule="exact"/>
              <w:jc w:val="center"/>
              <w:rPr>
                <w:rFonts w:ascii="Times New Roman" w:hAnsi="Times New Roman"/>
                <w:b/>
                <w:sz w:val="20"/>
              </w:rPr>
            </w:pPr>
            <w:r w:rsidRPr="000F46C7">
              <w:rPr>
                <w:rFonts w:ascii="Times New Roman" w:hAnsi="Times New Roman"/>
                <w:b/>
                <w:sz w:val="20"/>
              </w:rPr>
              <w:t>31.12.20</w:t>
            </w:r>
          </w:p>
        </w:tc>
        <w:tc>
          <w:tcPr>
            <w:tcW w:w="599" w:type="dxa"/>
            <w:shd w:val="clear" w:color="auto" w:fill="auto"/>
            <w:vAlign w:val="bottom"/>
          </w:tcPr>
          <w:p w14:paraId="6E5ADE54" w14:textId="77777777" w:rsidR="001543EE" w:rsidRPr="000F46C7" w:rsidRDefault="001543EE" w:rsidP="00AE3641">
            <w:pPr>
              <w:spacing w:after="120" w:line="240" w:lineRule="exact"/>
              <w:jc w:val="center"/>
              <w:rPr>
                <w:rFonts w:ascii="Times New Roman" w:hAnsi="Times New Roman"/>
                <w:b/>
                <w:sz w:val="20"/>
              </w:rPr>
            </w:pPr>
          </w:p>
        </w:tc>
      </w:tr>
      <w:tr w:rsidR="001543EE" w:rsidRPr="000F46C7" w14:paraId="7CFBE22A" w14:textId="77777777" w:rsidTr="00794732">
        <w:trPr>
          <w:trHeight w:val="639"/>
        </w:trPr>
        <w:tc>
          <w:tcPr>
            <w:tcW w:w="4348" w:type="dxa"/>
            <w:tcBorders>
              <w:top w:val="single" w:sz="4" w:space="0" w:color="auto"/>
            </w:tcBorders>
            <w:shd w:val="clear" w:color="auto" w:fill="auto"/>
          </w:tcPr>
          <w:p w14:paraId="1BD6BD87" w14:textId="77777777" w:rsidR="001543EE" w:rsidRPr="000F46C7" w:rsidRDefault="001543EE" w:rsidP="00AE3641">
            <w:pPr>
              <w:tabs>
                <w:tab w:val="left" w:pos="-778"/>
                <w:tab w:val="left" w:pos="9900"/>
              </w:tabs>
              <w:rPr>
                <w:rFonts w:ascii="Times New Roman" w:hAnsi="Times New Roman"/>
                <w:sz w:val="20"/>
              </w:rPr>
            </w:pPr>
          </w:p>
          <w:p w14:paraId="18319426" w14:textId="77777777" w:rsidR="001543EE" w:rsidRPr="000F46C7" w:rsidRDefault="001543EE" w:rsidP="00AE3641">
            <w:pPr>
              <w:spacing w:after="120" w:line="240" w:lineRule="exact"/>
              <w:rPr>
                <w:rFonts w:ascii="Times New Roman" w:hAnsi="Times New Roman"/>
                <w:sz w:val="20"/>
              </w:rPr>
            </w:pPr>
            <w:r w:rsidRPr="000F46C7">
              <w:rPr>
                <w:rFonts w:ascii="Times New Roman" w:hAnsi="Times New Roman"/>
                <w:sz w:val="20"/>
              </w:rPr>
              <w:t>Consolidar A.F.J.P. S.A. (en liquidación)</w:t>
            </w:r>
          </w:p>
        </w:tc>
        <w:tc>
          <w:tcPr>
            <w:tcW w:w="1039" w:type="dxa"/>
            <w:tcBorders>
              <w:top w:val="single" w:sz="4" w:space="0" w:color="auto"/>
            </w:tcBorders>
            <w:shd w:val="clear" w:color="auto" w:fill="auto"/>
          </w:tcPr>
          <w:p w14:paraId="410D40CF" w14:textId="77777777" w:rsidR="001543EE" w:rsidRPr="000F46C7" w:rsidRDefault="001543EE" w:rsidP="00AE3641">
            <w:pPr>
              <w:tabs>
                <w:tab w:val="left" w:pos="-778"/>
                <w:tab w:val="left" w:pos="9900"/>
              </w:tabs>
              <w:jc w:val="center"/>
              <w:rPr>
                <w:rFonts w:ascii="Times New Roman" w:hAnsi="Times New Roman"/>
                <w:sz w:val="20"/>
              </w:rPr>
            </w:pPr>
          </w:p>
          <w:p w14:paraId="347C1839" w14:textId="77777777" w:rsidR="001543EE" w:rsidRPr="000F46C7" w:rsidRDefault="001543EE" w:rsidP="00AE3641">
            <w:pPr>
              <w:spacing w:after="120" w:line="240" w:lineRule="exact"/>
              <w:jc w:val="center"/>
              <w:rPr>
                <w:rFonts w:ascii="Times New Roman" w:hAnsi="Times New Roman"/>
                <w:sz w:val="20"/>
              </w:rPr>
            </w:pPr>
            <w:r w:rsidRPr="000F46C7">
              <w:rPr>
                <w:rFonts w:ascii="Times New Roman" w:hAnsi="Times New Roman"/>
                <w:sz w:val="20"/>
              </w:rPr>
              <w:t>Argentina</w:t>
            </w:r>
          </w:p>
        </w:tc>
        <w:tc>
          <w:tcPr>
            <w:tcW w:w="1417" w:type="dxa"/>
            <w:tcBorders>
              <w:top w:val="single" w:sz="4" w:space="0" w:color="auto"/>
            </w:tcBorders>
            <w:shd w:val="clear" w:color="auto" w:fill="auto"/>
          </w:tcPr>
          <w:p w14:paraId="17BA0013" w14:textId="77777777" w:rsidR="001543EE" w:rsidRPr="000F46C7" w:rsidRDefault="001543EE" w:rsidP="00AE3641">
            <w:pPr>
              <w:jc w:val="center"/>
              <w:rPr>
                <w:rFonts w:ascii="Times New Roman" w:hAnsi="Times New Roman"/>
                <w:snapToGrid w:val="0"/>
                <w:sz w:val="20"/>
              </w:rPr>
            </w:pPr>
          </w:p>
          <w:p w14:paraId="55A1A9AD" w14:textId="77777777" w:rsidR="001543EE" w:rsidRPr="000F46C7" w:rsidRDefault="001543EE" w:rsidP="00AE3641">
            <w:pPr>
              <w:spacing w:after="120" w:line="240" w:lineRule="exact"/>
              <w:jc w:val="center"/>
              <w:rPr>
                <w:rFonts w:ascii="Times New Roman" w:hAnsi="Times New Roman"/>
                <w:sz w:val="20"/>
              </w:rPr>
            </w:pPr>
            <w:r w:rsidRPr="000F46C7">
              <w:rPr>
                <w:rFonts w:ascii="Times New Roman" w:hAnsi="Times New Roman"/>
                <w:snapToGrid w:val="0"/>
                <w:sz w:val="20"/>
              </w:rPr>
              <w:t>53,8892 %</w:t>
            </w:r>
          </w:p>
        </w:tc>
        <w:tc>
          <w:tcPr>
            <w:tcW w:w="1276" w:type="dxa"/>
            <w:tcBorders>
              <w:top w:val="single" w:sz="4" w:space="0" w:color="auto"/>
            </w:tcBorders>
            <w:shd w:val="clear" w:color="auto" w:fill="auto"/>
          </w:tcPr>
          <w:p w14:paraId="35F72458" w14:textId="77777777" w:rsidR="001543EE" w:rsidRPr="000F46C7" w:rsidRDefault="001543EE" w:rsidP="00AE3641">
            <w:pPr>
              <w:jc w:val="center"/>
              <w:rPr>
                <w:rFonts w:ascii="Times New Roman" w:hAnsi="Times New Roman"/>
                <w:snapToGrid w:val="0"/>
                <w:sz w:val="20"/>
              </w:rPr>
            </w:pPr>
          </w:p>
          <w:p w14:paraId="653A1D48" w14:textId="77777777" w:rsidR="001543EE" w:rsidRPr="000F46C7" w:rsidRDefault="001543EE" w:rsidP="00AE3641">
            <w:pPr>
              <w:spacing w:after="120" w:line="240" w:lineRule="exact"/>
              <w:jc w:val="center"/>
              <w:rPr>
                <w:rFonts w:ascii="Times New Roman" w:hAnsi="Times New Roman"/>
                <w:sz w:val="20"/>
              </w:rPr>
            </w:pPr>
            <w:r w:rsidRPr="000F46C7">
              <w:rPr>
                <w:rFonts w:ascii="Times New Roman" w:hAnsi="Times New Roman"/>
                <w:snapToGrid w:val="0"/>
                <w:sz w:val="20"/>
              </w:rPr>
              <w:t>53,8892 %</w:t>
            </w:r>
          </w:p>
        </w:tc>
        <w:tc>
          <w:tcPr>
            <w:tcW w:w="599" w:type="dxa"/>
            <w:shd w:val="clear" w:color="auto" w:fill="auto"/>
          </w:tcPr>
          <w:p w14:paraId="018240C8" w14:textId="77777777" w:rsidR="001543EE" w:rsidRPr="000F46C7" w:rsidRDefault="001543EE" w:rsidP="00AE3641">
            <w:pPr>
              <w:spacing w:after="120" w:line="240" w:lineRule="exact"/>
              <w:jc w:val="center"/>
              <w:rPr>
                <w:rFonts w:ascii="Times New Roman" w:hAnsi="Times New Roman"/>
                <w:sz w:val="20"/>
              </w:rPr>
            </w:pPr>
          </w:p>
        </w:tc>
      </w:tr>
      <w:tr w:rsidR="001543EE" w:rsidRPr="000F46C7" w14:paraId="6AFFC183" w14:textId="77777777" w:rsidTr="00794732">
        <w:trPr>
          <w:trHeight w:val="421"/>
        </w:trPr>
        <w:tc>
          <w:tcPr>
            <w:tcW w:w="4348" w:type="dxa"/>
            <w:shd w:val="clear" w:color="auto" w:fill="auto"/>
          </w:tcPr>
          <w:p w14:paraId="66205739" w14:textId="77777777" w:rsidR="001543EE" w:rsidRPr="000F46C7" w:rsidRDefault="001543EE" w:rsidP="00AE3641">
            <w:pPr>
              <w:tabs>
                <w:tab w:val="left" w:pos="-778"/>
                <w:tab w:val="left" w:pos="9900"/>
              </w:tabs>
              <w:rPr>
                <w:rFonts w:ascii="Times New Roman" w:hAnsi="Times New Roman"/>
                <w:sz w:val="20"/>
              </w:rPr>
            </w:pPr>
            <w:r w:rsidRPr="000F46C7">
              <w:rPr>
                <w:rFonts w:ascii="Times New Roman" w:hAnsi="Times New Roman"/>
                <w:sz w:val="20"/>
              </w:rPr>
              <w:t xml:space="preserve">PSA Finance Argentina Cía. Financiera S.A.   </w:t>
            </w:r>
          </w:p>
        </w:tc>
        <w:tc>
          <w:tcPr>
            <w:tcW w:w="1039" w:type="dxa"/>
            <w:shd w:val="clear" w:color="auto" w:fill="auto"/>
          </w:tcPr>
          <w:p w14:paraId="01BF15BB" w14:textId="77777777" w:rsidR="001543EE" w:rsidRPr="000F46C7" w:rsidRDefault="001543EE" w:rsidP="00AE3641">
            <w:pPr>
              <w:tabs>
                <w:tab w:val="left" w:pos="-778"/>
                <w:tab w:val="left" w:pos="9900"/>
              </w:tabs>
              <w:jc w:val="center"/>
              <w:rPr>
                <w:rFonts w:ascii="Times New Roman" w:hAnsi="Times New Roman"/>
                <w:sz w:val="20"/>
              </w:rPr>
            </w:pPr>
            <w:r w:rsidRPr="000F46C7">
              <w:rPr>
                <w:rFonts w:ascii="Times New Roman" w:hAnsi="Times New Roman"/>
                <w:sz w:val="20"/>
              </w:rPr>
              <w:t>Argentina</w:t>
            </w:r>
          </w:p>
        </w:tc>
        <w:tc>
          <w:tcPr>
            <w:tcW w:w="1417" w:type="dxa"/>
            <w:shd w:val="clear" w:color="auto" w:fill="auto"/>
          </w:tcPr>
          <w:p w14:paraId="1AB14941" w14:textId="77777777" w:rsidR="001543EE" w:rsidRPr="000F46C7" w:rsidRDefault="001543EE" w:rsidP="00AE3641">
            <w:pPr>
              <w:jc w:val="center"/>
              <w:rPr>
                <w:rFonts w:ascii="Times New Roman" w:hAnsi="Times New Roman"/>
                <w:snapToGrid w:val="0"/>
                <w:sz w:val="20"/>
              </w:rPr>
            </w:pPr>
            <w:r w:rsidRPr="000F46C7">
              <w:rPr>
                <w:rFonts w:ascii="Times New Roman" w:hAnsi="Times New Roman"/>
                <w:snapToGrid w:val="0"/>
                <w:sz w:val="20"/>
              </w:rPr>
              <w:t>50,0000 %</w:t>
            </w:r>
          </w:p>
        </w:tc>
        <w:tc>
          <w:tcPr>
            <w:tcW w:w="1276" w:type="dxa"/>
            <w:shd w:val="clear" w:color="auto" w:fill="auto"/>
          </w:tcPr>
          <w:p w14:paraId="1E53FD70" w14:textId="77777777" w:rsidR="001543EE" w:rsidRPr="000F46C7" w:rsidRDefault="001543EE" w:rsidP="00AE3641">
            <w:pPr>
              <w:jc w:val="center"/>
              <w:rPr>
                <w:rFonts w:ascii="Times New Roman" w:hAnsi="Times New Roman"/>
                <w:snapToGrid w:val="0"/>
                <w:sz w:val="20"/>
              </w:rPr>
            </w:pPr>
            <w:r w:rsidRPr="000F46C7">
              <w:rPr>
                <w:rFonts w:ascii="Times New Roman" w:hAnsi="Times New Roman"/>
                <w:snapToGrid w:val="0"/>
                <w:sz w:val="20"/>
              </w:rPr>
              <w:t>50,0000 %</w:t>
            </w:r>
          </w:p>
        </w:tc>
        <w:tc>
          <w:tcPr>
            <w:tcW w:w="599" w:type="dxa"/>
            <w:shd w:val="clear" w:color="auto" w:fill="auto"/>
          </w:tcPr>
          <w:p w14:paraId="172E6C5C" w14:textId="77777777" w:rsidR="001543EE" w:rsidRPr="000F46C7" w:rsidRDefault="001543EE" w:rsidP="00AE3641">
            <w:pPr>
              <w:spacing w:after="120" w:line="240" w:lineRule="exact"/>
              <w:jc w:val="center"/>
              <w:rPr>
                <w:rFonts w:ascii="Times New Roman" w:hAnsi="Times New Roman"/>
                <w:sz w:val="20"/>
              </w:rPr>
            </w:pPr>
          </w:p>
        </w:tc>
      </w:tr>
      <w:tr w:rsidR="001543EE" w:rsidRPr="000F46C7" w14:paraId="10C4700B" w14:textId="77777777" w:rsidTr="00794732">
        <w:trPr>
          <w:trHeight w:val="529"/>
        </w:trPr>
        <w:tc>
          <w:tcPr>
            <w:tcW w:w="4348" w:type="dxa"/>
            <w:shd w:val="clear" w:color="auto" w:fill="auto"/>
          </w:tcPr>
          <w:p w14:paraId="70AFB25A" w14:textId="77777777" w:rsidR="001543EE" w:rsidRPr="000F46C7" w:rsidRDefault="001543EE" w:rsidP="00AE3641">
            <w:pPr>
              <w:tabs>
                <w:tab w:val="left" w:pos="-778"/>
                <w:tab w:val="left" w:pos="9900"/>
              </w:tabs>
              <w:rPr>
                <w:rFonts w:ascii="Times New Roman" w:hAnsi="Times New Roman"/>
                <w:sz w:val="20"/>
              </w:rPr>
            </w:pPr>
            <w:r w:rsidRPr="000F46C7">
              <w:rPr>
                <w:rFonts w:ascii="Times New Roman" w:hAnsi="Times New Roman"/>
                <w:sz w:val="20"/>
              </w:rPr>
              <w:t>Volkswagen Financial Services Compañía Financiera S.A.</w:t>
            </w:r>
          </w:p>
        </w:tc>
        <w:tc>
          <w:tcPr>
            <w:tcW w:w="1039" w:type="dxa"/>
            <w:shd w:val="clear" w:color="auto" w:fill="auto"/>
          </w:tcPr>
          <w:p w14:paraId="0C564B79" w14:textId="77777777" w:rsidR="001543EE" w:rsidRPr="000F46C7" w:rsidRDefault="001543EE" w:rsidP="00AE3641">
            <w:pPr>
              <w:tabs>
                <w:tab w:val="left" w:pos="-778"/>
                <w:tab w:val="left" w:pos="9900"/>
              </w:tabs>
              <w:jc w:val="center"/>
              <w:rPr>
                <w:rFonts w:ascii="Times New Roman" w:hAnsi="Times New Roman"/>
                <w:sz w:val="20"/>
              </w:rPr>
            </w:pPr>
          </w:p>
          <w:p w14:paraId="1F5A18F7" w14:textId="77777777" w:rsidR="001543EE" w:rsidRPr="000F46C7" w:rsidRDefault="001543EE" w:rsidP="00AE3641">
            <w:pPr>
              <w:tabs>
                <w:tab w:val="left" w:pos="-778"/>
                <w:tab w:val="left" w:pos="9900"/>
              </w:tabs>
              <w:jc w:val="center"/>
              <w:rPr>
                <w:rFonts w:ascii="Times New Roman" w:hAnsi="Times New Roman"/>
                <w:sz w:val="20"/>
              </w:rPr>
            </w:pPr>
            <w:r w:rsidRPr="000F46C7">
              <w:rPr>
                <w:rFonts w:ascii="Times New Roman" w:hAnsi="Times New Roman"/>
                <w:sz w:val="20"/>
              </w:rPr>
              <w:t>Argentina</w:t>
            </w:r>
          </w:p>
        </w:tc>
        <w:tc>
          <w:tcPr>
            <w:tcW w:w="1417" w:type="dxa"/>
            <w:shd w:val="clear" w:color="auto" w:fill="auto"/>
          </w:tcPr>
          <w:p w14:paraId="659A1E52" w14:textId="77777777" w:rsidR="001543EE" w:rsidRPr="000F46C7" w:rsidRDefault="001543EE" w:rsidP="00AE3641">
            <w:pPr>
              <w:jc w:val="center"/>
              <w:rPr>
                <w:rFonts w:ascii="Times New Roman" w:hAnsi="Times New Roman"/>
                <w:sz w:val="20"/>
              </w:rPr>
            </w:pPr>
          </w:p>
          <w:p w14:paraId="5E7C6F5B" w14:textId="77777777" w:rsidR="001543EE" w:rsidRPr="000F46C7" w:rsidRDefault="001543EE" w:rsidP="00AE3641">
            <w:pPr>
              <w:jc w:val="center"/>
              <w:rPr>
                <w:rFonts w:ascii="Times New Roman" w:hAnsi="Times New Roman"/>
                <w:sz w:val="20"/>
              </w:rPr>
            </w:pPr>
            <w:r w:rsidRPr="000F46C7">
              <w:rPr>
                <w:rFonts w:ascii="Times New Roman" w:hAnsi="Times New Roman"/>
                <w:sz w:val="20"/>
              </w:rPr>
              <w:t>51,0000 %</w:t>
            </w:r>
          </w:p>
        </w:tc>
        <w:tc>
          <w:tcPr>
            <w:tcW w:w="1276" w:type="dxa"/>
            <w:shd w:val="clear" w:color="auto" w:fill="auto"/>
          </w:tcPr>
          <w:p w14:paraId="648A26EC" w14:textId="77777777" w:rsidR="001543EE" w:rsidRPr="000F46C7" w:rsidRDefault="001543EE" w:rsidP="00AE3641">
            <w:pPr>
              <w:jc w:val="center"/>
              <w:rPr>
                <w:rFonts w:ascii="Times New Roman" w:hAnsi="Times New Roman"/>
                <w:sz w:val="20"/>
              </w:rPr>
            </w:pPr>
          </w:p>
          <w:p w14:paraId="66C8D5AA" w14:textId="77777777" w:rsidR="001543EE" w:rsidRPr="000F46C7" w:rsidRDefault="001543EE" w:rsidP="00AE3641">
            <w:pPr>
              <w:jc w:val="center"/>
              <w:rPr>
                <w:rFonts w:ascii="Times New Roman" w:hAnsi="Times New Roman"/>
                <w:sz w:val="20"/>
              </w:rPr>
            </w:pPr>
            <w:r w:rsidRPr="000F46C7">
              <w:rPr>
                <w:rFonts w:ascii="Times New Roman" w:hAnsi="Times New Roman"/>
                <w:sz w:val="20"/>
              </w:rPr>
              <w:t>51,0000 %</w:t>
            </w:r>
          </w:p>
        </w:tc>
        <w:tc>
          <w:tcPr>
            <w:tcW w:w="599" w:type="dxa"/>
            <w:shd w:val="clear" w:color="auto" w:fill="auto"/>
          </w:tcPr>
          <w:p w14:paraId="41B9D245" w14:textId="77777777" w:rsidR="001543EE" w:rsidRPr="000F46C7" w:rsidRDefault="001543EE" w:rsidP="00AE3641">
            <w:pPr>
              <w:spacing w:after="120" w:line="240" w:lineRule="exact"/>
              <w:jc w:val="center"/>
              <w:rPr>
                <w:rFonts w:ascii="Times New Roman" w:hAnsi="Times New Roman"/>
                <w:sz w:val="20"/>
              </w:rPr>
            </w:pPr>
          </w:p>
        </w:tc>
      </w:tr>
      <w:tr w:rsidR="001543EE" w:rsidRPr="00110E8B" w14:paraId="5AA171CE" w14:textId="77777777" w:rsidTr="00794732">
        <w:trPr>
          <w:trHeight w:val="555"/>
        </w:trPr>
        <w:tc>
          <w:tcPr>
            <w:tcW w:w="4348" w:type="dxa"/>
            <w:shd w:val="clear" w:color="auto" w:fill="auto"/>
          </w:tcPr>
          <w:p w14:paraId="5B0B1AB4" w14:textId="77777777" w:rsidR="001543EE" w:rsidRPr="000F46C7" w:rsidRDefault="001543EE" w:rsidP="00AE3641">
            <w:pPr>
              <w:tabs>
                <w:tab w:val="left" w:pos="-778"/>
                <w:tab w:val="left" w:pos="9900"/>
              </w:tabs>
              <w:ind w:right="-249"/>
              <w:rPr>
                <w:rFonts w:ascii="Times New Roman" w:hAnsi="Times New Roman"/>
                <w:sz w:val="20"/>
              </w:rPr>
            </w:pPr>
            <w:r w:rsidRPr="000F46C7">
              <w:rPr>
                <w:rFonts w:ascii="Times New Roman" w:hAnsi="Times New Roman"/>
                <w:sz w:val="20"/>
              </w:rPr>
              <w:t xml:space="preserve">BBVA Asset Management Argentina S.A. Sociedad Gerente de Fondos Comunes de Inversión   </w:t>
            </w:r>
          </w:p>
        </w:tc>
        <w:tc>
          <w:tcPr>
            <w:tcW w:w="1039" w:type="dxa"/>
            <w:shd w:val="clear" w:color="auto" w:fill="auto"/>
          </w:tcPr>
          <w:p w14:paraId="540C5AE2" w14:textId="77777777" w:rsidR="001543EE" w:rsidRPr="000F46C7" w:rsidRDefault="001543EE" w:rsidP="00AE3641">
            <w:pPr>
              <w:tabs>
                <w:tab w:val="left" w:pos="-778"/>
                <w:tab w:val="left" w:pos="9900"/>
              </w:tabs>
              <w:jc w:val="center"/>
              <w:rPr>
                <w:rFonts w:ascii="Times New Roman" w:hAnsi="Times New Roman"/>
                <w:sz w:val="20"/>
              </w:rPr>
            </w:pPr>
          </w:p>
          <w:p w14:paraId="2E16019A" w14:textId="752DD525" w:rsidR="001543EE" w:rsidRPr="000F46C7" w:rsidRDefault="001543EE" w:rsidP="00794732">
            <w:pPr>
              <w:tabs>
                <w:tab w:val="left" w:pos="-778"/>
                <w:tab w:val="left" w:pos="9900"/>
              </w:tabs>
              <w:jc w:val="center"/>
              <w:rPr>
                <w:rFonts w:ascii="Times New Roman" w:hAnsi="Times New Roman"/>
                <w:sz w:val="20"/>
              </w:rPr>
            </w:pPr>
            <w:r w:rsidRPr="000F46C7">
              <w:rPr>
                <w:rFonts w:ascii="Times New Roman" w:hAnsi="Times New Roman"/>
                <w:sz w:val="20"/>
              </w:rPr>
              <w:t>Argentina</w:t>
            </w:r>
          </w:p>
        </w:tc>
        <w:tc>
          <w:tcPr>
            <w:tcW w:w="1417" w:type="dxa"/>
            <w:shd w:val="clear" w:color="auto" w:fill="auto"/>
          </w:tcPr>
          <w:p w14:paraId="1D483881" w14:textId="77777777" w:rsidR="001543EE" w:rsidRPr="000F46C7" w:rsidRDefault="001543EE" w:rsidP="00AE3641">
            <w:pPr>
              <w:jc w:val="center"/>
              <w:rPr>
                <w:rFonts w:ascii="Times New Roman" w:hAnsi="Times New Roman"/>
                <w:snapToGrid w:val="0"/>
                <w:sz w:val="20"/>
              </w:rPr>
            </w:pPr>
          </w:p>
          <w:p w14:paraId="76AC723E" w14:textId="77777777" w:rsidR="001543EE" w:rsidRPr="000F46C7" w:rsidRDefault="001543EE" w:rsidP="00AE3641">
            <w:pPr>
              <w:jc w:val="center"/>
              <w:rPr>
                <w:rFonts w:ascii="Times New Roman" w:hAnsi="Times New Roman"/>
                <w:snapToGrid w:val="0"/>
                <w:sz w:val="20"/>
              </w:rPr>
            </w:pPr>
            <w:r w:rsidRPr="000F46C7">
              <w:rPr>
                <w:rFonts w:ascii="Times New Roman" w:hAnsi="Times New Roman"/>
                <w:snapToGrid w:val="0"/>
                <w:sz w:val="20"/>
              </w:rPr>
              <w:t>100,0000 %</w:t>
            </w:r>
          </w:p>
        </w:tc>
        <w:tc>
          <w:tcPr>
            <w:tcW w:w="1276" w:type="dxa"/>
            <w:shd w:val="clear" w:color="auto" w:fill="auto"/>
          </w:tcPr>
          <w:p w14:paraId="50A7BC5E" w14:textId="77777777" w:rsidR="001543EE" w:rsidRPr="000F46C7" w:rsidRDefault="001543EE" w:rsidP="00AE3641">
            <w:pPr>
              <w:jc w:val="center"/>
              <w:rPr>
                <w:rFonts w:ascii="Times New Roman" w:hAnsi="Times New Roman"/>
                <w:snapToGrid w:val="0"/>
                <w:sz w:val="20"/>
              </w:rPr>
            </w:pPr>
          </w:p>
          <w:p w14:paraId="4DF24820" w14:textId="77777777" w:rsidR="001543EE" w:rsidRPr="00110E8B" w:rsidRDefault="001543EE" w:rsidP="00AE3641">
            <w:pPr>
              <w:rPr>
                <w:rFonts w:ascii="Times New Roman" w:hAnsi="Times New Roman"/>
                <w:snapToGrid w:val="0"/>
                <w:sz w:val="20"/>
              </w:rPr>
            </w:pPr>
            <w:r w:rsidRPr="000F46C7">
              <w:rPr>
                <w:rFonts w:ascii="Times New Roman" w:hAnsi="Times New Roman"/>
                <w:snapToGrid w:val="0"/>
                <w:sz w:val="20"/>
              </w:rPr>
              <w:t xml:space="preserve"> 100,0000 %</w:t>
            </w:r>
          </w:p>
        </w:tc>
        <w:tc>
          <w:tcPr>
            <w:tcW w:w="599" w:type="dxa"/>
            <w:shd w:val="clear" w:color="auto" w:fill="auto"/>
          </w:tcPr>
          <w:p w14:paraId="62C5D5A1" w14:textId="77777777" w:rsidR="001543EE" w:rsidRPr="00110E8B" w:rsidRDefault="001543EE" w:rsidP="00AE3641">
            <w:pPr>
              <w:jc w:val="center"/>
              <w:rPr>
                <w:rFonts w:ascii="Times New Roman" w:hAnsi="Times New Roman"/>
                <w:snapToGrid w:val="0"/>
                <w:sz w:val="20"/>
              </w:rPr>
            </w:pPr>
          </w:p>
        </w:tc>
      </w:tr>
    </w:tbl>
    <w:p w14:paraId="7E97D063" w14:textId="77777777" w:rsidR="001543EE" w:rsidRPr="00110E8B" w:rsidRDefault="001543EE" w:rsidP="001543EE">
      <w:pPr>
        <w:pStyle w:val="Prrafodelista"/>
        <w:ind w:left="786" w:right="141"/>
        <w:jc w:val="both"/>
        <w:rPr>
          <w:b/>
          <w:sz w:val="20"/>
          <w:szCs w:val="20"/>
          <w:lang w:val="es-AR"/>
        </w:rPr>
      </w:pPr>
    </w:p>
    <w:p w14:paraId="415E194F" w14:textId="459EEFDA" w:rsidR="00AE1F41" w:rsidRDefault="00AE1F41" w:rsidP="00EE3363">
      <w:pPr>
        <w:pStyle w:val="Prrafodelista"/>
        <w:ind w:left="786" w:right="141"/>
        <w:jc w:val="both"/>
        <w:rPr>
          <w:b/>
          <w:sz w:val="20"/>
          <w:szCs w:val="20"/>
          <w:lang w:val="es-AR"/>
        </w:rPr>
      </w:pPr>
    </w:p>
    <w:p w14:paraId="04FD8DB7" w14:textId="77777777" w:rsidR="008D6100" w:rsidRDefault="008D6100" w:rsidP="00EE3363">
      <w:pPr>
        <w:pStyle w:val="Prrafodelista"/>
        <w:ind w:left="786" w:right="141"/>
        <w:jc w:val="both"/>
        <w:rPr>
          <w:b/>
          <w:sz w:val="20"/>
          <w:szCs w:val="20"/>
          <w:lang w:val="es-AR"/>
        </w:rPr>
      </w:pPr>
    </w:p>
    <w:p w14:paraId="5E46D00B" w14:textId="77777777" w:rsidR="00A310C5" w:rsidRPr="00BF0456" w:rsidRDefault="004E3D66" w:rsidP="00C60CC8">
      <w:pPr>
        <w:pStyle w:val="Prrafodelista"/>
        <w:numPr>
          <w:ilvl w:val="0"/>
          <w:numId w:val="11"/>
        </w:numPr>
        <w:ind w:right="141"/>
        <w:jc w:val="both"/>
        <w:rPr>
          <w:b/>
          <w:sz w:val="20"/>
          <w:szCs w:val="20"/>
          <w:lang w:val="es-AR"/>
        </w:rPr>
      </w:pPr>
      <w:r w:rsidRPr="00BF0456">
        <w:rPr>
          <w:b/>
          <w:sz w:val="20"/>
          <w:szCs w:val="20"/>
          <w:lang w:val="es-AR"/>
        </w:rPr>
        <w:t>Partes relacionadas</w:t>
      </w:r>
    </w:p>
    <w:p w14:paraId="5DA81740" w14:textId="77777777" w:rsidR="004E3D66" w:rsidRPr="00F206A6" w:rsidRDefault="004E3D66" w:rsidP="004E3D66">
      <w:pPr>
        <w:ind w:right="141"/>
        <w:jc w:val="both"/>
        <w:rPr>
          <w:rFonts w:ascii="Times New Roman" w:hAnsi="Times New Roman"/>
          <w:b/>
          <w:sz w:val="20"/>
        </w:rPr>
      </w:pPr>
    </w:p>
    <w:p w14:paraId="1490E99D" w14:textId="77777777" w:rsidR="004E3D66" w:rsidRPr="00F206A6" w:rsidRDefault="004E3D66" w:rsidP="00C60CC8">
      <w:pPr>
        <w:numPr>
          <w:ilvl w:val="0"/>
          <w:numId w:val="14"/>
        </w:numPr>
        <w:tabs>
          <w:tab w:val="left" w:pos="851"/>
        </w:tabs>
        <w:spacing w:after="120" w:line="240" w:lineRule="exact"/>
        <w:ind w:left="567" w:firstLine="0"/>
        <w:jc w:val="both"/>
        <w:rPr>
          <w:rFonts w:ascii="Times New Roman" w:hAnsi="Times New Roman"/>
          <w:sz w:val="20"/>
        </w:rPr>
      </w:pPr>
      <w:r w:rsidRPr="00F206A6">
        <w:rPr>
          <w:rFonts w:ascii="Times New Roman" w:hAnsi="Times New Roman"/>
          <w:sz w:val="20"/>
        </w:rPr>
        <w:t>Controlante</w:t>
      </w:r>
    </w:p>
    <w:p w14:paraId="2019DE5F" w14:textId="0FB162E5" w:rsidR="005E6BBA" w:rsidRPr="00110E8B" w:rsidRDefault="004E3D66" w:rsidP="00650407">
      <w:pPr>
        <w:spacing w:after="120" w:line="240" w:lineRule="exact"/>
        <w:ind w:left="567" w:firstLine="142"/>
        <w:rPr>
          <w:rFonts w:ascii="Times New Roman" w:hAnsi="Times New Roman"/>
          <w:sz w:val="20"/>
        </w:rPr>
      </w:pPr>
      <w:r w:rsidRPr="00110E8B">
        <w:rPr>
          <w:rFonts w:ascii="Times New Roman" w:hAnsi="Times New Roman"/>
          <w:sz w:val="20"/>
        </w:rPr>
        <w:t xml:space="preserve">La entidad controlante directa del Banco es </w:t>
      </w:r>
      <w:r w:rsidR="004D0F8F" w:rsidRPr="00110E8B">
        <w:rPr>
          <w:rFonts w:ascii="Times New Roman" w:hAnsi="Times New Roman"/>
          <w:sz w:val="20"/>
        </w:rPr>
        <w:t>Banco Bilbao Vizcaya Argentaria.</w:t>
      </w:r>
    </w:p>
    <w:p w14:paraId="2054329C" w14:textId="7031B651" w:rsidR="00650407" w:rsidRPr="00110E8B" w:rsidRDefault="00650407" w:rsidP="00650407">
      <w:pPr>
        <w:spacing w:after="120" w:line="120" w:lineRule="exact"/>
        <w:ind w:left="567" w:firstLine="142"/>
        <w:rPr>
          <w:rFonts w:ascii="Times New Roman" w:hAnsi="Times New Roman"/>
          <w:sz w:val="20"/>
        </w:rPr>
      </w:pPr>
    </w:p>
    <w:p w14:paraId="52B9BEDA" w14:textId="07C55AC7" w:rsidR="004E3D66" w:rsidRPr="00110E8B" w:rsidRDefault="004E3D66" w:rsidP="00C60CC8">
      <w:pPr>
        <w:numPr>
          <w:ilvl w:val="0"/>
          <w:numId w:val="14"/>
        </w:numPr>
        <w:tabs>
          <w:tab w:val="left" w:pos="851"/>
        </w:tabs>
        <w:spacing w:before="120" w:after="120" w:line="240" w:lineRule="exact"/>
        <w:ind w:left="567" w:firstLine="0"/>
        <w:jc w:val="both"/>
        <w:rPr>
          <w:rFonts w:ascii="Times New Roman" w:hAnsi="Times New Roman"/>
          <w:sz w:val="20"/>
        </w:rPr>
      </w:pPr>
      <w:r w:rsidRPr="00110E8B">
        <w:rPr>
          <w:rFonts w:ascii="Times New Roman" w:hAnsi="Times New Roman"/>
          <w:sz w:val="20"/>
        </w:rPr>
        <w:t>Personal clave de la Dirección</w:t>
      </w:r>
    </w:p>
    <w:p w14:paraId="64E0F8ED" w14:textId="54B692C5" w:rsidR="00DD1F90" w:rsidRPr="00110E8B" w:rsidRDefault="00DD1F90" w:rsidP="00DD1F90">
      <w:pPr>
        <w:pStyle w:val="Prrafodelista"/>
        <w:spacing w:after="120" w:line="240" w:lineRule="exact"/>
        <w:jc w:val="both"/>
        <w:rPr>
          <w:sz w:val="20"/>
          <w:szCs w:val="20"/>
          <w:lang w:val="es-AR"/>
        </w:rPr>
      </w:pPr>
      <w:r w:rsidRPr="00110E8B">
        <w:rPr>
          <w:sz w:val="20"/>
          <w:szCs w:val="20"/>
          <w:lang w:val="es-AR"/>
        </w:rPr>
        <w:t xml:space="preserve">De acuerdo con la NIC </w:t>
      </w:r>
      <w:r w:rsidR="00EA15B6" w:rsidRPr="00110E8B">
        <w:rPr>
          <w:sz w:val="20"/>
          <w:szCs w:val="20"/>
          <w:lang w:val="es-AR"/>
        </w:rPr>
        <w:t xml:space="preserve">N° </w:t>
      </w:r>
      <w:r w:rsidRPr="00110E8B">
        <w:rPr>
          <w:sz w:val="20"/>
          <w:szCs w:val="20"/>
          <w:lang w:val="es-AR"/>
        </w:rPr>
        <w:t xml:space="preserve">24 el personal clave de la </w:t>
      </w:r>
      <w:r w:rsidR="00EA15B6" w:rsidRPr="00110E8B">
        <w:rPr>
          <w:sz w:val="20"/>
          <w:szCs w:val="20"/>
          <w:lang w:val="es-AR"/>
        </w:rPr>
        <w:t>D</w:t>
      </w:r>
      <w:r w:rsidRPr="00110E8B">
        <w:rPr>
          <w:sz w:val="20"/>
          <w:szCs w:val="20"/>
          <w:lang w:val="es-AR"/>
        </w:rPr>
        <w:t>irección son aquellas personas que tienen autoridad y responsabilidad para planificar, dirigir y con</w:t>
      </w:r>
      <w:r w:rsidR="00650407" w:rsidRPr="00110E8B">
        <w:rPr>
          <w:sz w:val="20"/>
          <w:szCs w:val="20"/>
          <w:lang w:val="es-AR"/>
        </w:rPr>
        <w:t>trolar las actividades del Grupo</w:t>
      </w:r>
      <w:r w:rsidRPr="00110E8B">
        <w:rPr>
          <w:sz w:val="20"/>
          <w:szCs w:val="20"/>
          <w:lang w:val="es-AR"/>
        </w:rPr>
        <w:t>, ya sea directa o indirectamente.</w:t>
      </w:r>
    </w:p>
    <w:p w14:paraId="25BA921D" w14:textId="489D3B16" w:rsidR="00DD1F90" w:rsidRPr="00110E8B" w:rsidRDefault="00DD1F90" w:rsidP="00DD1F90">
      <w:pPr>
        <w:pStyle w:val="Prrafodelista"/>
        <w:spacing w:after="120" w:line="240" w:lineRule="exact"/>
        <w:jc w:val="both"/>
        <w:rPr>
          <w:sz w:val="20"/>
          <w:szCs w:val="20"/>
          <w:lang w:val="es-AR"/>
        </w:rPr>
      </w:pPr>
      <w:r w:rsidRPr="00110E8B">
        <w:rPr>
          <w:sz w:val="20"/>
          <w:szCs w:val="20"/>
          <w:lang w:val="es-AR"/>
        </w:rPr>
        <w:t>De acuerd</w:t>
      </w:r>
      <w:r w:rsidR="00650407" w:rsidRPr="00110E8B">
        <w:rPr>
          <w:sz w:val="20"/>
          <w:szCs w:val="20"/>
          <w:lang w:val="es-AR"/>
        </w:rPr>
        <w:t>o con dicha definición, el Grupo</w:t>
      </w:r>
      <w:r w:rsidRPr="00110E8B">
        <w:rPr>
          <w:sz w:val="20"/>
          <w:szCs w:val="20"/>
          <w:lang w:val="es-AR"/>
        </w:rPr>
        <w:t xml:space="preserve"> considera como personal clave a los miembros del Directorio.</w:t>
      </w:r>
    </w:p>
    <w:p w14:paraId="74D9227E" w14:textId="1054FBE7" w:rsidR="00DA5591" w:rsidRDefault="00DA5591" w:rsidP="00DD1F90">
      <w:pPr>
        <w:spacing w:before="120" w:after="120" w:line="240" w:lineRule="exact"/>
        <w:ind w:left="567" w:firstLine="142"/>
        <w:rPr>
          <w:rFonts w:ascii="Times New Roman" w:hAnsi="Times New Roman"/>
          <w:sz w:val="20"/>
        </w:rPr>
      </w:pPr>
    </w:p>
    <w:p w14:paraId="3ADB9FF1" w14:textId="2918D128" w:rsidR="004E3D66" w:rsidRPr="00110E8B" w:rsidRDefault="004E3D66" w:rsidP="00DD1F90">
      <w:pPr>
        <w:spacing w:before="120" w:after="120" w:line="240" w:lineRule="exact"/>
        <w:ind w:left="567" w:firstLine="142"/>
        <w:rPr>
          <w:rFonts w:ascii="Times New Roman" w:hAnsi="Times New Roman"/>
          <w:sz w:val="20"/>
        </w:rPr>
      </w:pPr>
      <w:r w:rsidRPr="00947394">
        <w:rPr>
          <w:rFonts w:ascii="Times New Roman" w:hAnsi="Times New Roman"/>
          <w:sz w:val="20"/>
        </w:rPr>
        <w:t xml:space="preserve">b.1) Remuneraciones del personal clave de la </w:t>
      </w:r>
      <w:r w:rsidR="0086741A" w:rsidRPr="00947394">
        <w:rPr>
          <w:rFonts w:ascii="Times New Roman" w:hAnsi="Times New Roman"/>
          <w:sz w:val="20"/>
        </w:rPr>
        <w:t>D</w:t>
      </w:r>
      <w:r w:rsidRPr="00947394">
        <w:rPr>
          <w:rFonts w:ascii="Times New Roman" w:hAnsi="Times New Roman"/>
          <w:sz w:val="20"/>
        </w:rPr>
        <w:t>irección</w:t>
      </w:r>
    </w:p>
    <w:p w14:paraId="27DDE3A6" w14:textId="0DACB8AE" w:rsidR="00C6576F" w:rsidRDefault="004E3D66" w:rsidP="00DD1F90">
      <w:pPr>
        <w:spacing w:after="120" w:line="240" w:lineRule="exact"/>
        <w:ind w:left="567" w:firstLine="142"/>
        <w:rPr>
          <w:rFonts w:ascii="Times New Roman" w:hAnsi="Times New Roman"/>
          <w:sz w:val="20"/>
        </w:rPr>
      </w:pPr>
      <w:r w:rsidRPr="00C6576F">
        <w:rPr>
          <w:rFonts w:ascii="Times New Roman" w:hAnsi="Times New Roman"/>
          <w:sz w:val="20"/>
        </w:rPr>
        <w:t>El personal clave de la Dirección recibió las siguientes compensaciones:</w:t>
      </w:r>
    </w:p>
    <w:p w14:paraId="2189C1BB" w14:textId="77777777" w:rsidR="00C6576F" w:rsidRDefault="00C6576F" w:rsidP="00C6576F">
      <w:pPr>
        <w:tabs>
          <w:tab w:val="num" w:pos="709"/>
        </w:tabs>
        <w:ind w:left="709" w:right="49"/>
        <w:jc w:val="both"/>
        <w:rPr>
          <w:rFonts w:ascii="Times New Roman" w:hAnsi="Times New Roman"/>
          <w:sz w:val="20"/>
        </w:rPr>
      </w:pPr>
    </w:p>
    <w:p w14:paraId="3635A222" w14:textId="77777777" w:rsidR="00C6576F" w:rsidRDefault="00C6576F" w:rsidP="00C6576F">
      <w:pPr>
        <w:tabs>
          <w:tab w:val="num" w:pos="709"/>
        </w:tabs>
        <w:ind w:left="709" w:right="49"/>
        <w:jc w:val="both"/>
        <w:rPr>
          <w:rFonts w:ascii="Times New Roman" w:hAnsi="Times New Roman"/>
          <w:sz w:val="20"/>
        </w:rPr>
      </w:pPr>
      <w:r w:rsidRPr="00C6576F">
        <w:rPr>
          <w:noProof/>
          <w:lang w:eastAsia="es-AR"/>
        </w:rPr>
        <w:drawing>
          <wp:inline distT="0" distB="0" distL="0" distR="0" wp14:anchorId="336A0684" wp14:editId="3B994FF0">
            <wp:extent cx="5478145" cy="67564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8145" cy="675640"/>
                    </a:xfrm>
                    <a:prstGeom prst="rect">
                      <a:avLst/>
                    </a:prstGeom>
                    <a:noFill/>
                    <a:ln>
                      <a:noFill/>
                    </a:ln>
                  </pic:spPr>
                </pic:pic>
              </a:graphicData>
            </a:graphic>
          </wp:inline>
        </w:drawing>
      </w:r>
    </w:p>
    <w:p w14:paraId="3CD9E180" w14:textId="039C7A71" w:rsidR="00C6576F" w:rsidRDefault="00C6576F" w:rsidP="00C6576F">
      <w:pPr>
        <w:tabs>
          <w:tab w:val="num" w:pos="709"/>
        </w:tabs>
        <w:ind w:left="709" w:right="49"/>
        <w:jc w:val="both"/>
        <w:rPr>
          <w:rFonts w:ascii="Times New Roman" w:hAnsi="Times New Roman"/>
          <w:sz w:val="20"/>
        </w:rPr>
      </w:pPr>
    </w:p>
    <w:p w14:paraId="2E7B3448" w14:textId="297BE00E" w:rsidR="00A32783" w:rsidRDefault="00041E47" w:rsidP="00DD1F90">
      <w:pPr>
        <w:spacing w:after="120" w:line="240" w:lineRule="exact"/>
        <w:ind w:left="567" w:firstLine="142"/>
        <w:rPr>
          <w:b/>
          <w:noProof/>
          <w:sz w:val="20"/>
          <w:lang w:eastAsia="es-AR"/>
        </w:rPr>
      </w:pPr>
      <w:r w:rsidRPr="00041E47">
        <w:rPr>
          <w:b/>
          <w:noProof/>
          <w:sz w:val="20"/>
          <w:lang w:eastAsia="es-AR"/>
        </w:rPr>
        <w:t xml:space="preserve"> </w:t>
      </w:r>
    </w:p>
    <w:p w14:paraId="23023F54" w14:textId="2BE08B2C" w:rsidR="00C6576F" w:rsidRDefault="00C6576F" w:rsidP="00DD1F90">
      <w:pPr>
        <w:spacing w:after="120" w:line="240" w:lineRule="exact"/>
        <w:ind w:left="567" w:firstLine="142"/>
        <w:rPr>
          <w:b/>
          <w:noProof/>
          <w:sz w:val="20"/>
          <w:lang w:eastAsia="es-AR"/>
        </w:rPr>
      </w:pPr>
    </w:p>
    <w:p w14:paraId="091F12AD" w14:textId="77777777" w:rsidR="00041E47" w:rsidRDefault="00041E47" w:rsidP="00BE5484">
      <w:pPr>
        <w:spacing w:before="120" w:after="120" w:line="240" w:lineRule="exact"/>
        <w:ind w:firstLine="709"/>
        <w:rPr>
          <w:rFonts w:ascii="Times New Roman" w:hAnsi="Times New Roman"/>
          <w:sz w:val="20"/>
        </w:rPr>
      </w:pPr>
    </w:p>
    <w:p w14:paraId="6D045DF2" w14:textId="77777777" w:rsidR="00904811" w:rsidRDefault="004E3D66" w:rsidP="00BE5484">
      <w:pPr>
        <w:spacing w:before="120" w:after="120" w:line="240" w:lineRule="exact"/>
        <w:ind w:firstLine="709"/>
        <w:rPr>
          <w:rFonts w:ascii="Times New Roman" w:hAnsi="Times New Roman"/>
          <w:sz w:val="20"/>
        </w:rPr>
      </w:pPr>
      <w:r w:rsidRPr="00110E8B">
        <w:rPr>
          <w:rFonts w:ascii="Times New Roman" w:hAnsi="Times New Roman"/>
          <w:sz w:val="20"/>
        </w:rPr>
        <w:t xml:space="preserve">b.2) </w:t>
      </w:r>
      <w:r w:rsidR="00B463FA" w:rsidRPr="00110E8B">
        <w:rPr>
          <w:rFonts w:ascii="Times New Roman" w:hAnsi="Times New Roman"/>
          <w:sz w:val="20"/>
        </w:rPr>
        <w:t>Resultados</w:t>
      </w:r>
      <w:r w:rsidR="00F23FE8" w:rsidRPr="00110E8B">
        <w:rPr>
          <w:rFonts w:ascii="Times New Roman" w:hAnsi="Times New Roman"/>
          <w:sz w:val="20"/>
        </w:rPr>
        <w:t xml:space="preserve"> por transacciones</w:t>
      </w:r>
      <w:r w:rsidRPr="00110E8B">
        <w:rPr>
          <w:rFonts w:ascii="Times New Roman" w:hAnsi="Times New Roman"/>
          <w:sz w:val="20"/>
        </w:rPr>
        <w:t xml:space="preserve"> y saldos con personal clave de la Dirección</w:t>
      </w:r>
    </w:p>
    <w:tbl>
      <w:tblPr>
        <w:tblW w:w="7539" w:type="dxa"/>
        <w:tblInd w:w="1214" w:type="dxa"/>
        <w:tblCellMar>
          <w:left w:w="70" w:type="dxa"/>
          <w:right w:w="70" w:type="dxa"/>
        </w:tblCellMar>
        <w:tblLook w:val="04A0" w:firstRow="1" w:lastRow="0" w:firstColumn="1" w:lastColumn="0" w:noHBand="0" w:noVBand="1"/>
      </w:tblPr>
      <w:tblGrid>
        <w:gridCol w:w="2268"/>
        <w:gridCol w:w="1276"/>
        <w:gridCol w:w="1160"/>
        <w:gridCol w:w="560"/>
        <w:gridCol w:w="1115"/>
        <w:gridCol w:w="1160"/>
      </w:tblGrid>
      <w:tr w:rsidR="00541039" w:rsidRPr="00342411" w14:paraId="48B388A2" w14:textId="77777777" w:rsidTr="00342411">
        <w:trPr>
          <w:trHeight w:val="632"/>
        </w:trPr>
        <w:tc>
          <w:tcPr>
            <w:tcW w:w="2268" w:type="dxa"/>
            <w:tcBorders>
              <w:top w:val="nil"/>
              <w:left w:val="nil"/>
              <w:bottom w:val="nil"/>
              <w:right w:val="nil"/>
            </w:tcBorders>
            <w:shd w:val="clear" w:color="auto" w:fill="auto"/>
            <w:vAlign w:val="center"/>
            <w:hideMark/>
          </w:tcPr>
          <w:p w14:paraId="05B1CFB5" w14:textId="77777777" w:rsidR="00541039" w:rsidRPr="00541039" w:rsidRDefault="00541039" w:rsidP="00541039">
            <w:pPr>
              <w:rPr>
                <w:rFonts w:ascii="Times New Roman" w:hAnsi="Times New Roman"/>
                <w:sz w:val="20"/>
                <w:szCs w:val="24"/>
                <w:lang w:eastAsia="es-AR"/>
              </w:rPr>
            </w:pPr>
          </w:p>
        </w:tc>
        <w:tc>
          <w:tcPr>
            <w:tcW w:w="2436" w:type="dxa"/>
            <w:gridSpan w:val="2"/>
            <w:tcBorders>
              <w:top w:val="nil"/>
              <w:left w:val="nil"/>
              <w:bottom w:val="single" w:sz="8" w:space="0" w:color="auto"/>
              <w:right w:val="nil"/>
            </w:tcBorders>
            <w:shd w:val="clear" w:color="auto" w:fill="auto"/>
            <w:vAlign w:val="center"/>
            <w:hideMark/>
          </w:tcPr>
          <w:p w14:paraId="117A0868" w14:textId="77777777" w:rsidR="00541039" w:rsidRPr="00342411" w:rsidRDefault="00541039" w:rsidP="00541039">
            <w:pPr>
              <w:jc w:val="center"/>
              <w:rPr>
                <w:rFonts w:ascii="Times New Roman" w:hAnsi="Times New Roman"/>
                <w:b/>
                <w:bCs/>
                <w:color w:val="000000"/>
                <w:sz w:val="20"/>
                <w:lang w:eastAsia="es-AR"/>
              </w:rPr>
            </w:pPr>
            <w:r w:rsidRPr="00342411">
              <w:rPr>
                <w:rFonts w:ascii="Times New Roman" w:hAnsi="Times New Roman"/>
                <w:b/>
                <w:bCs/>
                <w:color w:val="000000"/>
                <w:sz w:val="20"/>
                <w:lang w:eastAsia="es-AR"/>
              </w:rPr>
              <w:t>Saldos al</w:t>
            </w:r>
          </w:p>
        </w:tc>
        <w:tc>
          <w:tcPr>
            <w:tcW w:w="560" w:type="dxa"/>
            <w:tcBorders>
              <w:top w:val="nil"/>
              <w:left w:val="nil"/>
              <w:bottom w:val="nil"/>
              <w:right w:val="nil"/>
            </w:tcBorders>
            <w:shd w:val="clear" w:color="auto" w:fill="auto"/>
            <w:vAlign w:val="center"/>
            <w:hideMark/>
          </w:tcPr>
          <w:p w14:paraId="11A1335C" w14:textId="77777777" w:rsidR="00541039" w:rsidRPr="00342411" w:rsidRDefault="00541039" w:rsidP="00541039">
            <w:pPr>
              <w:jc w:val="center"/>
              <w:rPr>
                <w:rFonts w:ascii="Times New Roman" w:hAnsi="Times New Roman"/>
                <w:b/>
                <w:bCs/>
                <w:color w:val="000000"/>
                <w:sz w:val="20"/>
                <w:lang w:eastAsia="es-AR"/>
              </w:rPr>
            </w:pPr>
          </w:p>
        </w:tc>
        <w:tc>
          <w:tcPr>
            <w:tcW w:w="2275" w:type="dxa"/>
            <w:gridSpan w:val="2"/>
            <w:tcBorders>
              <w:top w:val="nil"/>
              <w:left w:val="nil"/>
              <w:bottom w:val="single" w:sz="8" w:space="0" w:color="auto"/>
              <w:right w:val="nil"/>
            </w:tcBorders>
            <w:shd w:val="clear" w:color="auto" w:fill="auto"/>
            <w:vAlign w:val="center"/>
            <w:hideMark/>
          </w:tcPr>
          <w:p w14:paraId="703BFF06" w14:textId="77777777" w:rsidR="00541039" w:rsidRPr="00342411" w:rsidRDefault="00541039" w:rsidP="00541039">
            <w:pPr>
              <w:jc w:val="center"/>
              <w:rPr>
                <w:rFonts w:ascii="Times New Roman" w:hAnsi="Times New Roman"/>
                <w:b/>
                <w:bCs/>
                <w:color w:val="000000"/>
                <w:sz w:val="20"/>
                <w:lang w:eastAsia="es-AR"/>
              </w:rPr>
            </w:pPr>
            <w:r w:rsidRPr="00342411">
              <w:rPr>
                <w:rFonts w:ascii="Times New Roman" w:hAnsi="Times New Roman"/>
                <w:b/>
                <w:bCs/>
                <w:color w:val="000000"/>
                <w:sz w:val="20"/>
                <w:lang w:eastAsia="es-AR"/>
              </w:rPr>
              <w:t>Resultados generados por transacciones</w:t>
            </w:r>
          </w:p>
        </w:tc>
      </w:tr>
      <w:tr w:rsidR="00541039" w:rsidRPr="00342411" w14:paraId="2787AF5F" w14:textId="77777777" w:rsidTr="00342411">
        <w:trPr>
          <w:trHeight w:val="511"/>
        </w:trPr>
        <w:tc>
          <w:tcPr>
            <w:tcW w:w="2268" w:type="dxa"/>
            <w:tcBorders>
              <w:top w:val="nil"/>
              <w:left w:val="nil"/>
              <w:bottom w:val="nil"/>
              <w:right w:val="nil"/>
            </w:tcBorders>
            <w:shd w:val="clear" w:color="auto" w:fill="auto"/>
            <w:vAlign w:val="center"/>
            <w:hideMark/>
          </w:tcPr>
          <w:p w14:paraId="2A8D87A5" w14:textId="77777777" w:rsidR="00541039" w:rsidRPr="00342411" w:rsidRDefault="00541039" w:rsidP="00541039">
            <w:pPr>
              <w:jc w:val="center"/>
              <w:rPr>
                <w:rFonts w:ascii="Times New Roman" w:hAnsi="Times New Roman"/>
                <w:b/>
                <w:bCs/>
                <w:color w:val="000000"/>
                <w:sz w:val="20"/>
                <w:lang w:eastAsia="es-AR"/>
              </w:rPr>
            </w:pPr>
          </w:p>
        </w:tc>
        <w:tc>
          <w:tcPr>
            <w:tcW w:w="1276" w:type="dxa"/>
            <w:tcBorders>
              <w:top w:val="nil"/>
              <w:left w:val="nil"/>
              <w:bottom w:val="single" w:sz="8" w:space="0" w:color="auto"/>
              <w:right w:val="nil"/>
            </w:tcBorders>
            <w:shd w:val="clear" w:color="auto" w:fill="auto"/>
            <w:vAlign w:val="center"/>
            <w:hideMark/>
          </w:tcPr>
          <w:p w14:paraId="129981C9" w14:textId="54F65734" w:rsidR="00541039" w:rsidRPr="00342411" w:rsidRDefault="00541039" w:rsidP="00D04238">
            <w:pPr>
              <w:jc w:val="center"/>
              <w:rPr>
                <w:rFonts w:ascii="Times New Roman" w:hAnsi="Times New Roman"/>
                <w:b/>
                <w:bCs/>
                <w:color w:val="000000"/>
                <w:sz w:val="20"/>
                <w:lang w:eastAsia="es-AR"/>
              </w:rPr>
            </w:pPr>
            <w:r w:rsidRPr="00342411">
              <w:rPr>
                <w:rFonts w:ascii="Times New Roman" w:hAnsi="Times New Roman"/>
                <w:b/>
                <w:bCs/>
                <w:color w:val="000000"/>
                <w:sz w:val="20"/>
                <w:lang w:eastAsia="es-AR"/>
              </w:rPr>
              <w:t>3</w:t>
            </w:r>
            <w:r w:rsidR="00280C17" w:rsidRPr="00342411">
              <w:rPr>
                <w:rFonts w:ascii="Times New Roman" w:hAnsi="Times New Roman"/>
                <w:b/>
                <w:bCs/>
                <w:color w:val="000000"/>
                <w:sz w:val="20"/>
                <w:lang w:eastAsia="es-AR"/>
              </w:rPr>
              <w:t>0</w:t>
            </w:r>
            <w:r w:rsidRPr="00342411">
              <w:rPr>
                <w:rFonts w:ascii="Times New Roman" w:hAnsi="Times New Roman"/>
                <w:b/>
                <w:bCs/>
                <w:color w:val="000000"/>
                <w:sz w:val="20"/>
                <w:lang w:eastAsia="es-AR"/>
              </w:rPr>
              <w:t>.0</w:t>
            </w:r>
            <w:r w:rsidR="00D04238" w:rsidRPr="00342411">
              <w:rPr>
                <w:rFonts w:ascii="Times New Roman" w:hAnsi="Times New Roman"/>
                <w:b/>
                <w:bCs/>
                <w:color w:val="000000"/>
                <w:sz w:val="20"/>
                <w:lang w:eastAsia="es-AR"/>
              </w:rPr>
              <w:t>9</w:t>
            </w:r>
            <w:r w:rsidRPr="00342411">
              <w:rPr>
                <w:rFonts w:ascii="Times New Roman" w:hAnsi="Times New Roman"/>
                <w:b/>
                <w:bCs/>
                <w:color w:val="000000"/>
                <w:sz w:val="20"/>
                <w:lang w:eastAsia="es-AR"/>
              </w:rPr>
              <w:t>.21</w:t>
            </w:r>
          </w:p>
        </w:tc>
        <w:tc>
          <w:tcPr>
            <w:tcW w:w="1160" w:type="dxa"/>
            <w:tcBorders>
              <w:top w:val="nil"/>
              <w:left w:val="nil"/>
              <w:bottom w:val="single" w:sz="8" w:space="0" w:color="auto"/>
              <w:right w:val="nil"/>
            </w:tcBorders>
            <w:shd w:val="clear" w:color="auto" w:fill="auto"/>
            <w:vAlign w:val="center"/>
            <w:hideMark/>
          </w:tcPr>
          <w:p w14:paraId="2614C261" w14:textId="7E312BDC" w:rsidR="00541039" w:rsidRPr="00342411" w:rsidRDefault="00541039" w:rsidP="00342411">
            <w:pPr>
              <w:jc w:val="center"/>
              <w:rPr>
                <w:rFonts w:ascii="Times New Roman" w:hAnsi="Times New Roman"/>
                <w:b/>
                <w:bCs/>
                <w:color w:val="000000"/>
                <w:sz w:val="20"/>
                <w:lang w:eastAsia="es-AR"/>
              </w:rPr>
            </w:pPr>
            <w:r w:rsidRPr="00342411">
              <w:rPr>
                <w:rFonts w:ascii="Times New Roman" w:hAnsi="Times New Roman"/>
                <w:b/>
                <w:bCs/>
                <w:color w:val="000000"/>
                <w:sz w:val="20"/>
                <w:lang w:eastAsia="es-AR"/>
              </w:rPr>
              <w:t>31.12.20</w:t>
            </w:r>
          </w:p>
        </w:tc>
        <w:tc>
          <w:tcPr>
            <w:tcW w:w="560" w:type="dxa"/>
            <w:tcBorders>
              <w:top w:val="nil"/>
              <w:left w:val="nil"/>
              <w:bottom w:val="nil"/>
              <w:right w:val="nil"/>
            </w:tcBorders>
            <w:shd w:val="clear" w:color="auto" w:fill="auto"/>
            <w:vAlign w:val="center"/>
            <w:hideMark/>
          </w:tcPr>
          <w:p w14:paraId="0571CC39" w14:textId="77777777" w:rsidR="00541039" w:rsidRPr="00342411" w:rsidRDefault="00541039" w:rsidP="00541039">
            <w:pPr>
              <w:rPr>
                <w:rFonts w:ascii="Times New Roman" w:hAnsi="Times New Roman"/>
                <w:b/>
                <w:bCs/>
                <w:color w:val="000000"/>
                <w:sz w:val="20"/>
                <w:lang w:eastAsia="es-AR"/>
              </w:rPr>
            </w:pPr>
          </w:p>
        </w:tc>
        <w:tc>
          <w:tcPr>
            <w:tcW w:w="1115" w:type="dxa"/>
            <w:tcBorders>
              <w:top w:val="nil"/>
              <w:left w:val="nil"/>
              <w:bottom w:val="single" w:sz="8" w:space="0" w:color="auto"/>
              <w:right w:val="nil"/>
            </w:tcBorders>
            <w:shd w:val="clear" w:color="auto" w:fill="auto"/>
            <w:vAlign w:val="center"/>
            <w:hideMark/>
          </w:tcPr>
          <w:p w14:paraId="79B45708" w14:textId="021DF2A6" w:rsidR="00541039" w:rsidRPr="00342411" w:rsidRDefault="00541039" w:rsidP="00D04238">
            <w:pPr>
              <w:jc w:val="center"/>
              <w:rPr>
                <w:rFonts w:ascii="Times New Roman" w:hAnsi="Times New Roman"/>
                <w:b/>
                <w:bCs/>
                <w:color w:val="000000"/>
                <w:sz w:val="20"/>
                <w:lang w:eastAsia="es-AR"/>
              </w:rPr>
            </w:pPr>
            <w:r w:rsidRPr="00342411">
              <w:rPr>
                <w:rFonts w:ascii="Times New Roman" w:hAnsi="Times New Roman"/>
                <w:b/>
                <w:bCs/>
                <w:color w:val="000000"/>
                <w:sz w:val="20"/>
                <w:lang w:eastAsia="es-AR"/>
              </w:rPr>
              <w:t>3</w:t>
            </w:r>
            <w:r w:rsidR="00280C17" w:rsidRPr="00342411">
              <w:rPr>
                <w:rFonts w:ascii="Times New Roman" w:hAnsi="Times New Roman"/>
                <w:b/>
                <w:bCs/>
                <w:color w:val="000000"/>
                <w:sz w:val="20"/>
                <w:lang w:eastAsia="es-AR"/>
              </w:rPr>
              <w:t>0</w:t>
            </w:r>
            <w:r w:rsidRPr="00342411">
              <w:rPr>
                <w:rFonts w:ascii="Times New Roman" w:hAnsi="Times New Roman"/>
                <w:b/>
                <w:bCs/>
                <w:color w:val="000000"/>
                <w:sz w:val="20"/>
                <w:lang w:eastAsia="es-AR"/>
              </w:rPr>
              <w:t>.0</w:t>
            </w:r>
            <w:r w:rsidR="00D04238" w:rsidRPr="00342411">
              <w:rPr>
                <w:rFonts w:ascii="Times New Roman" w:hAnsi="Times New Roman"/>
                <w:b/>
                <w:bCs/>
                <w:color w:val="000000"/>
                <w:sz w:val="20"/>
                <w:lang w:eastAsia="es-AR"/>
              </w:rPr>
              <w:t>9</w:t>
            </w:r>
            <w:r w:rsidRPr="00342411">
              <w:rPr>
                <w:rFonts w:ascii="Times New Roman" w:hAnsi="Times New Roman"/>
                <w:b/>
                <w:bCs/>
                <w:color w:val="000000"/>
                <w:sz w:val="20"/>
                <w:lang w:eastAsia="es-AR"/>
              </w:rPr>
              <w:t xml:space="preserve">.21 </w:t>
            </w:r>
          </w:p>
        </w:tc>
        <w:tc>
          <w:tcPr>
            <w:tcW w:w="1160" w:type="dxa"/>
            <w:tcBorders>
              <w:top w:val="nil"/>
              <w:left w:val="nil"/>
              <w:bottom w:val="single" w:sz="8" w:space="0" w:color="auto"/>
              <w:right w:val="nil"/>
            </w:tcBorders>
            <w:shd w:val="clear" w:color="auto" w:fill="auto"/>
            <w:vAlign w:val="center"/>
            <w:hideMark/>
          </w:tcPr>
          <w:p w14:paraId="167BD42E" w14:textId="5DA260E8" w:rsidR="00541039" w:rsidRPr="00342411" w:rsidRDefault="00541039" w:rsidP="00342411">
            <w:pPr>
              <w:jc w:val="center"/>
              <w:rPr>
                <w:rFonts w:ascii="Times New Roman" w:hAnsi="Times New Roman"/>
                <w:b/>
                <w:bCs/>
                <w:color w:val="000000"/>
                <w:sz w:val="20"/>
                <w:lang w:eastAsia="es-AR"/>
              </w:rPr>
            </w:pPr>
            <w:r w:rsidRPr="00342411">
              <w:rPr>
                <w:rFonts w:ascii="Times New Roman" w:hAnsi="Times New Roman"/>
                <w:b/>
                <w:bCs/>
                <w:color w:val="000000"/>
                <w:sz w:val="20"/>
                <w:lang w:eastAsia="es-AR"/>
              </w:rPr>
              <w:t>3</w:t>
            </w:r>
            <w:r w:rsidR="00280C17" w:rsidRPr="00342411">
              <w:rPr>
                <w:rFonts w:ascii="Times New Roman" w:hAnsi="Times New Roman"/>
                <w:b/>
                <w:bCs/>
                <w:color w:val="000000"/>
                <w:sz w:val="20"/>
                <w:lang w:eastAsia="es-AR"/>
              </w:rPr>
              <w:t>0</w:t>
            </w:r>
            <w:r w:rsidRPr="00342411">
              <w:rPr>
                <w:rFonts w:ascii="Times New Roman" w:hAnsi="Times New Roman"/>
                <w:b/>
                <w:bCs/>
                <w:color w:val="000000"/>
                <w:sz w:val="20"/>
                <w:lang w:eastAsia="es-AR"/>
              </w:rPr>
              <w:t>.0</w:t>
            </w:r>
            <w:r w:rsidR="00D04238" w:rsidRPr="00342411">
              <w:rPr>
                <w:rFonts w:ascii="Times New Roman" w:hAnsi="Times New Roman"/>
                <w:b/>
                <w:bCs/>
                <w:color w:val="000000"/>
                <w:sz w:val="20"/>
                <w:lang w:eastAsia="es-AR"/>
              </w:rPr>
              <w:t>9</w:t>
            </w:r>
            <w:r w:rsidRPr="00342411">
              <w:rPr>
                <w:rFonts w:ascii="Times New Roman" w:hAnsi="Times New Roman"/>
                <w:b/>
                <w:bCs/>
                <w:color w:val="000000"/>
                <w:sz w:val="20"/>
                <w:lang w:eastAsia="es-AR"/>
              </w:rPr>
              <w:t>.20</w:t>
            </w:r>
          </w:p>
        </w:tc>
      </w:tr>
      <w:tr w:rsidR="00541039" w:rsidRPr="00342411" w14:paraId="48EFB9A8" w14:textId="77777777" w:rsidTr="00342411">
        <w:trPr>
          <w:trHeight w:val="248"/>
        </w:trPr>
        <w:tc>
          <w:tcPr>
            <w:tcW w:w="2268" w:type="dxa"/>
            <w:tcBorders>
              <w:top w:val="nil"/>
              <w:left w:val="nil"/>
              <w:bottom w:val="nil"/>
              <w:right w:val="nil"/>
            </w:tcBorders>
            <w:shd w:val="clear" w:color="auto" w:fill="auto"/>
            <w:vAlign w:val="center"/>
            <w:hideMark/>
          </w:tcPr>
          <w:p w14:paraId="1B5F8E01" w14:textId="77777777" w:rsidR="00541039" w:rsidRPr="00342411" w:rsidRDefault="00541039" w:rsidP="00541039">
            <w:pPr>
              <w:ind w:firstLineChars="100" w:firstLine="201"/>
              <w:rPr>
                <w:rFonts w:ascii="Times New Roman" w:hAnsi="Times New Roman"/>
                <w:b/>
                <w:bCs/>
                <w:color w:val="000000"/>
                <w:sz w:val="20"/>
                <w:lang w:eastAsia="es-AR"/>
              </w:rPr>
            </w:pPr>
            <w:r w:rsidRPr="00342411">
              <w:rPr>
                <w:rFonts w:ascii="Times New Roman" w:hAnsi="Times New Roman"/>
                <w:b/>
                <w:bCs/>
                <w:color w:val="000000"/>
                <w:sz w:val="20"/>
                <w:lang w:eastAsia="es-AR"/>
              </w:rPr>
              <w:t>Préstamos</w:t>
            </w:r>
          </w:p>
        </w:tc>
        <w:tc>
          <w:tcPr>
            <w:tcW w:w="1276" w:type="dxa"/>
            <w:tcBorders>
              <w:top w:val="nil"/>
              <w:left w:val="nil"/>
              <w:bottom w:val="nil"/>
              <w:right w:val="nil"/>
            </w:tcBorders>
            <w:shd w:val="clear" w:color="auto" w:fill="auto"/>
            <w:vAlign w:val="center"/>
            <w:hideMark/>
          </w:tcPr>
          <w:p w14:paraId="3BD78292" w14:textId="77777777" w:rsidR="00541039" w:rsidRPr="00342411" w:rsidRDefault="00541039" w:rsidP="00541039">
            <w:pPr>
              <w:ind w:firstLineChars="100" w:firstLine="201"/>
              <w:rPr>
                <w:rFonts w:ascii="Times New Roman" w:hAnsi="Times New Roman"/>
                <w:b/>
                <w:bCs/>
                <w:color w:val="000000"/>
                <w:sz w:val="20"/>
                <w:lang w:eastAsia="es-AR"/>
              </w:rPr>
            </w:pPr>
          </w:p>
        </w:tc>
        <w:tc>
          <w:tcPr>
            <w:tcW w:w="1160" w:type="dxa"/>
            <w:tcBorders>
              <w:top w:val="nil"/>
              <w:left w:val="nil"/>
              <w:bottom w:val="nil"/>
              <w:right w:val="nil"/>
            </w:tcBorders>
            <w:shd w:val="clear" w:color="auto" w:fill="auto"/>
            <w:vAlign w:val="center"/>
            <w:hideMark/>
          </w:tcPr>
          <w:p w14:paraId="55B8FC72" w14:textId="44B6F8B3" w:rsidR="00541039" w:rsidRPr="00342411" w:rsidRDefault="00541039" w:rsidP="00342411">
            <w:pPr>
              <w:jc w:val="center"/>
              <w:rPr>
                <w:rFonts w:ascii="Times New Roman" w:hAnsi="Times New Roman"/>
                <w:color w:val="000000"/>
                <w:sz w:val="20"/>
                <w:lang w:eastAsia="es-AR"/>
              </w:rPr>
            </w:pPr>
          </w:p>
        </w:tc>
        <w:tc>
          <w:tcPr>
            <w:tcW w:w="560" w:type="dxa"/>
            <w:tcBorders>
              <w:top w:val="nil"/>
              <w:left w:val="nil"/>
              <w:bottom w:val="nil"/>
              <w:right w:val="nil"/>
            </w:tcBorders>
            <w:shd w:val="clear" w:color="auto" w:fill="auto"/>
            <w:vAlign w:val="center"/>
            <w:hideMark/>
          </w:tcPr>
          <w:p w14:paraId="34B98059" w14:textId="77777777" w:rsidR="00541039" w:rsidRPr="00342411" w:rsidRDefault="00541039" w:rsidP="00541039">
            <w:pPr>
              <w:rPr>
                <w:rFonts w:ascii="Times New Roman" w:hAnsi="Times New Roman"/>
                <w:color w:val="000000"/>
                <w:sz w:val="20"/>
                <w:lang w:eastAsia="es-AR"/>
              </w:rPr>
            </w:pPr>
          </w:p>
        </w:tc>
        <w:tc>
          <w:tcPr>
            <w:tcW w:w="1115" w:type="dxa"/>
            <w:tcBorders>
              <w:top w:val="nil"/>
              <w:left w:val="nil"/>
              <w:bottom w:val="nil"/>
              <w:right w:val="nil"/>
            </w:tcBorders>
            <w:shd w:val="clear" w:color="auto" w:fill="auto"/>
            <w:vAlign w:val="center"/>
            <w:hideMark/>
          </w:tcPr>
          <w:p w14:paraId="4B7DB57E" w14:textId="77777777" w:rsidR="00541039" w:rsidRPr="00342411" w:rsidRDefault="00541039" w:rsidP="00541039">
            <w:pPr>
              <w:rPr>
                <w:rFonts w:ascii="Times New Roman" w:hAnsi="Times New Roman"/>
                <w:color w:val="000000"/>
                <w:sz w:val="20"/>
                <w:lang w:eastAsia="es-AR"/>
              </w:rPr>
            </w:pPr>
            <w:r w:rsidRPr="00342411">
              <w:rPr>
                <w:rFonts w:ascii="Times New Roman" w:hAnsi="Times New Roman"/>
                <w:color w:val="000000"/>
                <w:sz w:val="20"/>
                <w:lang w:eastAsia="es-AR"/>
              </w:rPr>
              <w:t> </w:t>
            </w:r>
          </w:p>
        </w:tc>
        <w:tc>
          <w:tcPr>
            <w:tcW w:w="1160" w:type="dxa"/>
            <w:tcBorders>
              <w:top w:val="nil"/>
              <w:left w:val="nil"/>
              <w:bottom w:val="nil"/>
              <w:right w:val="nil"/>
            </w:tcBorders>
            <w:shd w:val="clear" w:color="auto" w:fill="auto"/>
            <w:vAlign w:val="center"/>
            <w:hideMark/>
          </w:tcPr>
          <w:p w14:paraId="30A8707A" w14:textId="3A6FC3E5" w:rsidR="00541039" w:rsidRPr="00342411" w:rsidRDefault="00541039" w:rsidP="00342411">
            <w:pPr>
              <w:jc w:val="center"/>
              <w:rPr>
                <w:rFonts w:ascii="Times New Roman" w:hAnsi="Times New Roman"/>
                <w:color w:val="000000"/>
                <w:sz w:val="20"/>
                <w:lang w:eastAsia="es-AR"/>
              </w:rPr>
            </w:pPr>
          </w:p>
        </w:tc>
      </w:tr>
      <w:tr w:rsidR="00541039" w:rsidRPr="00342411" w14:paraId="1BF12FEB" w14:textId="77777777" w:rsidTr="00342411">
        <w:trPr>
          <w:trHeight w:val="248"/>
        </w:trPr>
        <w:tc>
          <w:tcPr>
            <w:tcW w:w="2268" w:type="dxa"/>
            <w:tcBorders>
              <w:top w:val="nil"/>
              <w:left w:val="nil"/>
              <w:bottom w:val="nil"/>
              <w:right w:val="nil"/>
            </w:tcBorders>
            <w:shd w:val="clear" w:color="auto" w:fill="auto"/>
            <w:vAlign w:val="center"/>
            <w:hideMark/>
          </w:tcPr>
          <w:p w14:paraId="2FB24ADB" w14:textId="77777777" w:rsidR="00541039" w:rsidRPr="00342411" w:rsidRDefault="00541039" w:rsidP="00541039">
            <w:pPr>
              <w:ind w:firstLineChars="100" w:firstLine="200"/>
              <w:rPr>
                <w:rFonts w:ascii="Times New Roman" w:hAnsi="Times New Roman"/>
                <w:color w:val="000000"/>
                <w:sz w:val="20"/>
                <w:lang w:eastAsia="es-AR"/>
              </w:rPr>
            </w:pPr>
            <w:r w:rsidRPr="00342411">
              <w:rPr>
                <w:rFonts w:ascii="Times New Roman" w:hAnsi="Times New Roman"/>
                <w:color w:val="000000"/>
                <w:sz w:val="20"/>
                <w:lang w:eastAsia="es-AR"/>
              </w:rPr>
              <w:t xml:space="preserve">Tarjetas de crédito </w:t>
            </w:r>
          </w:p>
        </w:tc>
        <w:tc>
          <w:tcPr>
            <w:tcW w:w="1276" w:type="dxa"/>
            <w:tcBorders>
              <w:top w:val="nil"/>
              <w:left w:val="nil"/>
              <w:bottom w:val="nil"/>
              <w:right w:val="nil"/>
            </w:tcBorders>
            <w:shd w:val="clear" w:color="auto" w:fill="auto"/>
            <w:vAlign w:val="center"/>
            <w:hideMark/>
          </w:tcPr>
          <w:p w14:paraId="65EE91D1" w14:textId="46798F83" w:rsidR="00541039" w:rsidRPr="00342411" w:rsidRDefault="00944CDA" w:rsidP="00283F65">
            <w:pPr>
              <w:jc w:val="right"/>
              <w:rPr>
                <w:rFonts w:ascii="Times New Roman" w:hAnsi="Times New Roman"/>
                <w:color w:val="000000"/>
                <w:sz w:val="20"/>
                <w:lang w:eastAsia="es-AR"/>
              </w:rPr>
            </w:pPr>
            <w:r w:rsidRPr="00342411">
              <w:rPr>
                <w:rFonts w:ascii="Times New Roman" w:hAnsi="Times New Roman"/>
                <w:color w:val="000000"/>
                <w:sz w:val="20"/>
                <w:lang w:eastAsia="es-AR"/>
              </w:rPr>
              <w:t>3.642</w:t>
            </w:r>
          </w:p>
        </w:tc>
        <w:tc>
          <w:tcPr>
            <w:tcW w:w="1160" w:type="dxa"/>
            <w:tcBorders>
              <w:top w:val="nil"/>
              <w:left w:val="nil"/>
              <w:bottom w:val="nil"/>
              <w:right w:val="nil"/>
            </w:tcBorders>
            <w:shd w:val="clear" w:color="auto" w:fill="auto"/>
            <w:vAlign w:val="center"/>
            <w:hideMark/>
          </w:tcPr>
          <w:p w14:paraId="0C5CEC1A" w14:textId="0CEB46BD" w:rsidR="00541039" w:rsidRPr="00342411" w:rsidRDefault="00944CDA" w:rsidP="00541039">
            <w:pPr>
              <w:jc w:val="right"/>
              <w:rPr>
                <w:rFonts w:ascii="Times New Roman" w:hAnsi="Times New Roman"/>
                <w:color w:val="000000"/>
                <w:sz w:val="20"/>
                <w:lang w:eastAsia="es-AR"/>
              </w:rPr>
            </w:pPr>
            <w:r w:rsidRPr="00342411">
              <w:rPr>
                <w:rFonts w:ascii="Times New Roman" w:hAnsi="Times New Roman"/>
                <w:color w:val="000000"/>
                <w:sz w:val="20"/>
                <w:lang w:eastAsia="es-AR"/>
              </w:rPr>
              <w:t>6.814</w:t>
            </w:r>
          </w:p>
        </w:tc>
        <w:tc>
          <w:tcPr>
            <w:tcW w:w="560" w:type="dxa"/>
            <w:tcBorders>
              <w:top w:val="nil"/>
              <w:left w:val="nil"/>
              <w:bottom w:val="nil"/>
              <w:right w:val="nil"/>
            </w:tcBorders>
            <w:shd w:val="clear" w:color="auto" w:fill="auto"/>
            <w:vAlign w:val="center"/>
            <w:hideMark/>
          </w:tcPr>
          <w:p w14:paraId="63DA4782" w14:textId="77777777" w:rsidR="00541039" w:rsidRPr="00342411" w:rsidRDefault="00541039" w:rsidP="00541039">
            <w:pPr>
              <w:jc w:val="right"/>
              <w:rPr>
                <w:rFonts w:ascii="Times New Roman" w:hAnsi="Times New Roman"/>
                <w:color w:val="000000"/>
                <w:sz w:val="20"/>
                <w:lang w:eastAsia="es-AR"/>
              </w:rPr>
            </w:pPr>
          </w:p>
        </w:tc>
        <w:tc>
          <w:tcPr>
            <w:tcW w:w="1115" w:type="dxa"/>
            <w:tcBorders>
              <w:top w:val="nil"/>
              <w:left w:val="nil"/>
              <w:bottom w:val="nil"/>
              <w:right w:val="nil"/>
            </w:tcBorders>
            <w:shd w:val="clear" w:color="auto" w:fill="auto"/>
            <w:vAlign w:val="center"/>
            <w:hideMark/>
          </w:tcPr>
          <w:p w14:paraId="47F62A8E" w14:textId="53523441" w:rsidR="00541039" w:rsidRPr="00342411" w:rsidRDefault="00944CDA" w:rsidP="00544C95">
            <w:pPr>
              <w:jc w:val="right"/>
              <w:rPr>
                <w:rFonts w:ascii="Times New Roman" w:hAnsi="Times New Roman"/>
                <w:color w:val="000000"/>
                <w:sz w:val="20"/>
                <w:lang w:eastAsia="es-AR"/>
              </w:rPr>
            </w:pPr>
            <w:r w:rsidRPr="00342411">
              <w:rPr>
                <w:rFonts w:ascii="Times New Roman" w:hAnsi="Times New Roman"/>
                <w:color w:val="000000"/>
                <w:sz w:val="20"/>
                <w:lang w:eastAsia="es-AR"/>
              </w:rPr>
              <w:t>7</w:t>
            </w:r>
            <w:r w:rsidR="00544C95" w:rsidRPr="00342411">
              <w:rPr>
                <w:rFonts w:ascii="Times New Roman" w:hAnsi="Times New Roman"/>
                <w:color w:val="000000"/>
                <w:sz w:val="20"/>
                <w:lang w:eastAsia="es-AR"/>
              </w:rPr>
              <w:t>23</w:t>
            </w:r>
          </w:p>
        </w:tc>
        <w:tc>
          <w:tcPr>
            <w:tcW w:w="1160" w:type="dxa"/>
            <w:tcBorders>
              <w:top w:val="nil"/>
              <w:left w:val="nil"/>
              <w:bottom w:val="nil"/>
              <w:right w:val="nil"/>
            </w:tcBorders>
            <w:shd w:val="clear" w:color="auto" w:fill="auto"/>
            <w:vAlign w:val="center"/>
            <w:hideMark/>
          </w:tcPr>
          <w:p w14:paraId="49CB6BBE" w14:textId="4F4FB316" w:rsidR="00541039" w:rsidRPr="00342411" w:rsidRDefault="00944CDA" w:rsidP="00541039">
            <w:pPr>
              <w:jc w:val="right"/>
              <w:rPr>
                <w:rFonts w:ascii="Times New Roman" w:hAnsi="Times New Roman"/>
                <w:color w:val="000000"/>
                <w:sz w:val="20"/>
                <w:lang w:eastAsia="es-AR"/>
              </w:rPr>
            </w:pPr>
            <w:r w:rsidRPr="00342411">
              <w:rPr>
                <w:rFonts w:ascii="Times New Roman" w:hAnsi="Times New Roman"/>
                <w:color w:val="000000"/>
                <w:sz w:val="20"/>
                <w:lang w:eastAsia="es-AR"/>
              </w:rPr>
              <w:t>942</w:t>
            </w:r>
          </w:p>
        </w:tc>
      </w:tr>
      <w:tr w:rsidR="00541039" w:rsidRPr="00342411" w14:paraId="354B516E" w14:textId="77777777" w:rsidTr="00342411">
        <w:trPr>
          <w:trHeight w:val="248"/>
        </w:trPr>
        <w:tc>
          <w:tcPr>
            <w:tcW w:w="2268" w:type="dxa"/>
            <w:tcBorders>
              <w:top w:val="nil"/>
              <w:left w:val="nil"/>
              <w:bottom w:val="nil"/>
              <w:right w:val="nil"/>
            </w:tcBorders>
            <w:shd w:val="clear" w:color="auto" w:fill="auto"/>
            <w:vAlign w:val="center"/>
            <w:hideMark/>
          </w:tcPr>
          <w:p w14:paraId="0EC80053" w14:textId="77777777" w:rsidR="00541039" w:rsidRPr="00342411" w:rsidRDefault="00541039" w:rsidP="00541039">
            <w:pPr>
              <w:ind w:firstLineChars="100" w:firstLine="200"/>
              <w:rPr>
                <w:rFonts w:ascii="Times New Roman" w:hAnsi="Times New Roman"/>
                <w:color w:val="000000"/>
                <w:sz w:val="20"/>
                <w:lang w:eastAsia="es-AR"/>
              </w:rPr>
            </w:pPr>
            <w:r w:rsidRPr="00342411">
              <w:rPr>
                <w:rFonts w:ascii="Times New Roman" w:hAnsi="Times New Roman"/>
                <w:color w:val="000000"/>
                <w:sz w:val="20"/>
                <w:lang w:eastAsia="es-AR"/>
              </w:rPr>
              <w:t>Adelantos</w:t>
            </w:r>
          </w:p>
        </w:tc>
        <w:tc>
          <w:tcPr>
            <w:tcW w:w="1276" w:type="dxa"/>
            <w:tcBorders>
              <w:top w:val="nil"/>
              <w:left w:val="nil"/>
              <w:bottom w:val="nil"/>
              <w:right w:val="nil"/>
            </w:tcBorders>
            <w:shd w:val="clear" w:color="auto" w:fill="auto"/>
            <w:vAlign w:val="center"/>
            <w:hideMark/>
          </w:tcPr>
          <w:p w14:paraId="29C11B3D" w14:textId="41263BEE" w:rsidR="00541039" w:rsidRPr="00342411" w:rsidRDefault="00283F65" w:rsidP="00541039">
            <w:pPr>
              <w:jc w:val="right"/>
              <w:rPr>
                <w:rFonts w:ascii="Times New Roman" w:hAnsi="Times New Roman"/>
                <w:color w:val="000000"/>
                <w:sz w:val="20"/>
                <w:lang w:eastAsia="es-AR"/>
              </w:rPr>
            </w:pPr>
            <w:r w:rsidRPr="00342411">
              <w:rPr>
                <w:rFonts w:ascii="Times New Roman" w:hAnsi="Times New Roman"/>
                <w:color w:val="000000"/>
                <w:sz w:val="20"/>
                <w:lang w:eastAsia="es-AR"/>
              </w:rPr>
              <w:t>-</w:t>
            </w:r>
          </w:p>
        </w:tc>
        <w:tc>
          <w:tcPr>
            <w:tcW w:w="1160" w:type="dxa"/>
            <w:tcBorders>
              <w:top w:val="nil"/>
              <w:left w:val="nil"/>
              <w:bottom w:val="nil"/>
              <w:right w:val="nil"/>
            </w:tcBorders>
            <w:shd w:val="clear" w:color="auto" w:fill="auto"/>
            <w:vAlign w:val="center"/>
            <w:hideMark/>
          </w:tcPr>
          <w:p w14:paraId="703EB7A4" w14:textId="7F53F845" w:rsidR="00541039" w:rsidRPr="00342411" w:rsidRDefault="00944CDA" w:rsidP="00741614">
            <w:pPr>
              <w:jc w:val="right"/>
              <w:rPr>
                <w:rFonts w:ascii="Times New Roman" w:hAnsi="Times New Roman"/>
                <w:color w:val="000000"/>
                <w:sz w:val="20"/>
                <w:lang w:eastAsia="es-AR"/>
              </w:rPr>
            </w:pPr>
            <w:r w:rsidRPr="00342411">
              <w:rPr>
                <w:rFonts w:ascii="Times New Roman" w:hAnsi="Times New Roman"/>
                <w:color w:val="000000"/>
                <w:sz w:val="20"/>
                <w:lang w:eastAsia="es-AR"/>
              </w:rPr>
              <w:t>41</w:t>
            </w:r>
          </w:p>
        </w:tc>
        <w:tc>
          <w:tcPr>
            <w:tcW w:w="560" w:type="dxa"/>
            <w:tcBorders>
              <w:top w:val="nil"/>
              <w:left w:val="nil"/>
              <w:bottom w:val="nil"/>
              <w:right w:val="nil"/>
            </w:tcBorders>
            <w:shd w:val="clear" w:color="auto" w:fill="auto"/>
            <w:vAlign w:val="center"/>
            <w:hideMark/>
          </w:tcPr>
          <w:p w14:paraId="31180F88" w14:textId="77777777" w:rsidR="00541039" w:rsidRPr="00342411" w:rsidRDefault="00541039" w:rsidP="00541039">
            <w:pPr>
              <w:jc w:val="right"/>
              <w:rPr>
                <w:rFonts w:ascii="Times New Roman" w:hAnsi="Times New Roman"/>
                <w:color w:val="000000"/>
                <w:sz w:val="20"/>
                <w:lang w:eastAsia="es-AR"/>
              </w:rPr>
            </w:pPr>
          </w:p>
        </w:tc>
        <w:tc>
          <w:tcPr>
            <w:tcW w:w="1115" w:type="dxa"/>
            <w:tcBorders>
              <w:top w:val="nil"/>
              <w:left w:val="nil"/>
              <w:bottom w:val="nil"/>
              <w:right w:val="nil"/>
            </w:tcBorders>
            <w:shd w:val="clear" w:color="auto" w:fill="auto"/>
            <w:vAlign w:val="center"/>
            <w:hideMark/>
          </w:tcPr>
          <w:p w14:paraId="03189F1D" w14:textId="0FE9D7E7" w:rsidR="00541039" w:rsidRPr="00342411" w:rsidRDefault="00283F65" w:rsidP="00283F65">
            <w:pPr>
              <w:jc w:val="right"/>
              <w:rPr>
                <w:rFonts w:ascii="Times New Roman" w:hAnsi="Times New Roman"/>
                <w:color w:val="000000"/>
                <w:sz w:val="20"/>
                <w:lang w:eastAsia="es-AR"/>
              </w:rPr>
            </w:pPr>
            <w:r w:rsidRPr="00342411">
              <w:rPr>
                <w:rFonts w:ascii="Times New Roman" w:hAnsi="Times New Roman"/>
                <w:color w:val="000000"/>
                <w:sz w:val="20"/>
                <w:lang w:eastAsia="es-AR"/>
              </w:rPr>
              <w:t>-</w:t>
            </w:r>
          </w:p>
        </w:tc>
        <w:tc>
          <w:tcPr>
            <w:tcW w:w="1160" w:type="dxa"/>
            <w:tcBorders>
              <w:top w:val="nil"/>
              <w:left w:val="nil"/>
              <w:bottom w:val="nil"/>
              <w:right w:val="nil"/>
            </w:tcBorders>
            <w:shd w:val="clear" w:color="auto" w:fill="auto"/>
            <w:vAlign w:val="center"/>
            <w:hideMark/>
          </w:tcPr>
          <w:p w14:paraId="629CD2AE" w14:textId="52EEB9A2" w:rsidR="00541039" w:rsidRPr="00342411" w:rsidRDefault="00283F65" w:rsidP="00283F65">
            <w:pPr>
              <w:jc w:val="right"/>
              <w:rPr>
                <w:rFonts w:ascii="Times New Roman" w:hAnsi="Times New Roman"/>
                <w:color w:val="000000"/>
                <w:sz w:val="20"/>
                <w:lang w:eastAsia="es-AR"/>
              </w:rPr>
            </w:pPr>
            <w:r w:rsidRPr="00342411">
              <w:rPr>
                <w:rFonts w:ascii="Times New Roman" w:hAnsi="Times New Roman"/>
                <w:color w:val="000000"/>
                <w:sz w:val="20"/>
                <w:lang w:eastAsia="es-AR"/>
              </w:rPr>
              <w:t>-</w:t>
            </w:r>
          </w:p>
        </w:tc>
      </w:tr>
      <w:tr w:rsidR="00541039" w:rsidRPr="00342411" w14:paraId="5A08E8D2" w14:textId="77777777" w:rsidTr="00342411">
        <w:trPr>
          <w:trHeight w:val="248"/>
        </w:trPr>
        <w:tc>
          <w:tcPr>
            <w:tcW w:w="2268" w:type="dxa"/>
            <w:tcBorders>
              <w:top w:val="nil"/>
              <w:left w:val="nil"/>
              <w:bottom w:val="nil"/>
              <w:right w:val="nil"/>
            </w:tcBorders>
            <w:shd w:val="clear" w:color="auto" w:fill="auto"/>
            <w:vAlign w:val="center"/>
            <w:hideMark/>
          </w:tcPr>
          <w:p w14:paraId="257FA8E0" w14:textId="77777777" w:rsidR="00541039" w:rsidRPr="00342411" w:rsidRDefault="00541039" w:rsidP="00541039">
            <w:pPr>
              <w:ind w:firstLineChars="100" w:firstLine="200"/>
              <w:rPr>
                <w:rFonts w:ascii="Times New Roman" w:hAnsi="Times New Roman"/>
                <w:color w:val="000000"/>
                <w:sz w:val="20"/>
                <w:lang w:eastAsia="es-AR"/>
              </w:rPr>
            </w:pPr>
            <w:r w:rsidRPr="00342411">
              <w:rPr>
                <w:rFonts w:ascii="Times New Roman" w:hAnsi="Times New Roman"/>
                <w:color w:val="000000"/>
                <w:sz w:val="20"/>
                <w:lang w:eastAsia="es-AR"/>
              </w:rPr>
              <w:t>Préstamos</w:t>
            </w:r>
          </w:p>
        </w:tc>
        <w:tc>
          <w:tcPr>
            <w:tcW w:w="1276" w:type="dxa"/>
            <w:tcBorders>
              <w:top w:val="nil"/>
              <w:left w:val="nil"/>
              <w:bottom w:val="nil"/>
              <w:right w:val="nil"/>
            </w:tcBorders>
            <w:shd w:val="clear" w:color="auto" w:fill="auto"/>
            <w:vAlign w:val="center"/>
            <w:hideMark/>
          </w:tcPr>
          <w:p w14:paraId="2D7E70E5" w14:textId="32C1DD87" w:rsidR="00541039" w:rsidRPr="00342411" w:rsidRDefault="00741614" w:rsidP="00944CDA">
            <w:pPr>
              <w:jc w:val="right"/>
              <w:rPr>
                <w:rFonts w:ascii="Times New Roman" w:hAnsi="Times New Roman"/>
                <w:color w:val="000000"/>
                <w:sz w:val="20"/>
                <w:lang w:eastAsia="es-AR"/>
              </w:rPr>
            </w:pPr>
            <w:r w:rsidRPr="00342411">
              <w:rPr>
                <w:rFonts w:ascii="Times New Roman" w:hAnsi="Times New Roman"/>
                <w:color w:val="000000"/>
                <w:sz w:val="20"/>
                <w:lang w:eastAsia="es-AR"/>
              </w:rPr>
              <w:t>1.1</w:t>
            </w:r>
            <w:r w:rsidR="00944CDA" w:rsidRPr="00342411">
              <w:rPr>
                <w:rFonts w:ascii="Times New Roman" w:hAnsi="Times New Roman"/>
                <w:color w:val="000000"/>
                <w:sz w:val="20"/>
                <w:lang w:eastAsia="es-AR"/>
              </w:rPr>
              <w:t>27</w:t>
            </w:r>
          </w:p>
        </w:tc>
        <w:tc>
          <w:tcPr>
            <w:tcW w:w="1160" w:type="dxa"/>
            <w:tcBorders>
              <w:top w:val="nil"/>
              <w:left w:val="nil"/>
              <w:bottom w:val="nil"/>
              <w:right w:val="nil"/>
            </w:tcBorders>
            <w:shd w:val="clear" w:color="auto" w:fill="auto"/>
            <w:vAlign w:val="center"/>
            <w:hideMark/>
          </w:tcPr>
          <w:p w14:paraId="66BDBAA9" w14:textId="6A7B650D" w:rsidR="00541039" w:rsidRPr="00342411" w:rsidRDefault="00944CDA" w:rsidP="00541039">
            <w:pPr>
              <w:jc w:val="right"/>
              <w:rPr>
                <w:rFonts w:ascii="Times New Roman" w:hAnsi="Times New Roman"/>
                <w:color w:val="000000"/>
                <w:sz w:val="20"/>
                <w:lang w:eastAsia="es-AR"/>
              </w:rPr>
            </w:pPr>
            <w:r w:rsidRPr="00342411">
              <w:rPr>
                <w:rFonts w:ascii="Times New Roman" w:hAnsi="Times New Roman"/>
                <w:color w:val="000000"/>
                <w:sz w:val="20"/>
                <w:lang w:eastAsia="es-AR"/>
              </w:rPr>
              <w:t>1.630</w:t>
            </w:r>
          </w:p>
        </w:tc>
        <w:tc>
          <w:tcPr>
            <w:tcW w:w="560" w:type="dxa"/>
            <w:tcBorders>
              <w:top w:val="nil"/>
              <w:left w:val="nil"/>
              <w:bottom w:val="nil"/>
              <w:right w:val="nil"/>
            </w:tcBorders>
            <w:shd w:val="clear" w:color="auto" w:fill="auto"/>
            <w:vAlign w:val="center"/>
            <w:hideMark/>
          </w:tcPr>
          <w:p w14:paraId="17AECB73" w14:textId="77777777" w:rsidR="00541039" w:rsidRPr="00342411" w:rsidRDefault="00541039" w:rsidP="00541039">
            <w:pPr>
              <w:jc w:val="right"/>
              <w:rPr>
                <w:rFonts w:ascii="Times New Roman" w:hAnsi="Times New Roman"/>
                <w:color w:val="000000"/>
                <w:sz w:val="20"/>
                <w:lang w:eastAsia="es-AR"/>
              </w:rPr>
            </w:pPr>
          </w:p>
        </w:tc>
        <w:tc>
          <w:tcPr>
            <w:tcW w:w="1115" w:type="dxa"/>
            <w:tcBorders>
              <w:top w:val="nil"/>
              <w:left w:val="nil"/>
              <w:bottom w:val="nil"/>
              <w:right w:val="nil"/>
            </w:tcBorders>
            <w:shd w:val="clear" w:color="auto" w:fill="auto"/>
            <w:vAlign w:val="center"/>
            <w:hideMark/>
          </w:tcPr>
          <w:p w14:paraId="27BFBD64" w14:textId="380A3C04" w:rsidR="00541039" w:rsidRPr="00342411" w:rsidRDefault="00944CDA" w:rsidP="00544C95">
            <w:pPr>
              <w:jc w:val="right"/>
              <w:rPr>
                <w:rFonts w:ascii="Times New Roman" w:hAnsi="Times New Roman"/>
                <w:color w:val="000000"/>
                <w:sz w:val="20"/>
                <w:lang w:eastAsia="es-AR"/>
              </w:rPr>
            </w:pPr>
            <w:r w:rsidRPr="00342411">
              <w:rPr>
                <w:rFonts w:ascii="Times New Roman" w:hAnsi="Times New Roman"/>
                <w:color w:val="000000"/>
                <w:sz w:val="20"/>
                <w:lang w:eastAsia="es-AR"/>
              </w:rPr>
              <w:t>16</w:t>
            </w:r>
            <w:r w:rsidR="00544C95" w:rsidRPr="00342411">
              <w:rPr>
                <w:rFonts w:ascii="Times New Roman" w:hAnsi="Times New Roman"/>
                <w:color w:val="000000"/>
                <w:sz w:val="20"/>
                <w:lang w:eastAsia="es-AR"/>
              </w:rPr>
              <w:t>6</w:t>
            </w:r>
          </w:p>
        </w:tc>
        <w:tc>
          <w:tcPr>
            <w:tcW w:w="1160" w:type="dxa"/>
            <w:tcBorders>
              <w:top w:val="nil"/>
              <w:left w:val="nil"/>
              <w:bottom w:val="nil"/>
              <w:right w:val="nil"/>
            </w:tcBorders>
            <w:shd w:val="clear" w:color="auto" w:fill="auto"/>
            <w:vAlign w:val="center"/>
            <w:hideMark/>
          </w:tcPr>
          <w:p w14:paraId="01D16B2A" w14:textId="31333BB0" w:rsidR="00541039" w:rsidRPr="00342411" w:rsidRDefault="00944CDA" w:rsidP="00541039">
            <w:pPr>
              <w:jc w:val="right"/>
              <w:rPr>
                <w:rFonts w:ascii="Times New Roman" w:hAnsi="Times New Roman"/>
                <w:color w:val="000000"/>
                <w:sz w:val="20"/>
                <w:lang w:eastAsia="es-AR"/>
              </w:rPr>
            </w:pPr>
            <w:r w:rsidRPr="00342411">
              <w:rPr>
                <w:rFonts w:ascii="Times New Roman" w:hAnsi="Times New Roman"/>
                <w:color w:val="000000"/>
                <w:sz w:val="20"/>
                <w:lang w:eastAsia="es-AR"/>
              </w:rPr>
              <w:t>2</w:t>
            </w:r>
            <w:r w:rsidR="00741614" w:rsidRPr="00342411">
              <w:rPr>
                <w:rFonts w:ascii="Times New Roman" w:hAnsi="Times New Roman"/>
                <w:color w:val="000000"/>
                <w:sz w:val="20"/>
                <w:lang w:eastAsia="es-AR"/>
              </w:rPr>
              <w:t>73</w:t>
            </w:r>
          </w:p>
        </w:tc>
      </w:tr>
      <w:tr w:rsidR="00541039" w:rsidRPr="00342411" w14:paraId="318B3F2C" w14:textId="77777777" w:rsidTr="00342411">
        <w:trPr>
          <w:trHeight w:val="248"/>
        </w:trPr>
        <w:tc>
          <w:tcPr>
            <w:tcW w:w="2268" w:type="dxa"/>
            <w:tcBorders>
              <w:top w:val="nil"/>
              <w:left w:val="nil"/>
              <w:bottom w:val="nil"/>
              <w:right w:val="nil"/>
            </w:tcBorders>
            <w:shd w:val="clear" w:color="auto" w:fill="auto"/>
            <w:vAlign w:val="center"/>
            <w:hideMark/>
          </w:tcPr>
          <w:p w14:paraId="22D8B3D5" w14:textId="77777777" w:rsidR="00541039" w:rsidRPr="00342411" w:rsidRDefault="00541039" w:rsidP="00541039">
            <w:pPr>
              <w:rPr>
                <w:rFonts w:ascii="Times New Roman" w:hAnsi="Times New Roman"/>
                <w:sz w:val="20"/>
                <w:lang w:eastAsia="es-AR"/>
              </w:rPr>
            </w:pPr>
          </w:p>
        </w:tc>
        <w:tc>
          <w:tcPr>
            <w:tcW w:w="1276" w:type="dxa"/>
            <w:tcBorders>
              <w:top w:val="nil"/>
              <w:left w:val="nil"/>
              <w:bottom w:val="nil"/>
              <w:right w:val="nil"/>
            </w:tcBorders>
            <w:shd w:val="clear" w:color="auto" w:fill="auto"/>
            <w:vAlign w:val="center"/>
            <w:hideMark/>
          </w:tcPr>
          <w:p w14:paraId="6E77C04D" w14:textId="77777777" w:rsidR="00541039" w:rsidRPr="00342411" w:rsidRDefault="00541039" w:rsidP="00541039">
            <w:pPr>
              <w:rPr>
                <w:rFonts w:ascii="Times New Roman" w:hAnsi="Times New Roman"/>
                <w:sz w:val="20"/>
                <w:lang w:eastAsia="es-AR"/>
              </w:rPr>
            </w:pPr>
          </w:p>
        </w:tc>
        <w:tc>
          <w:tcPr>
            <w:tcW w:w="1160" w:type="dxa"/>
            <w:tcBorders>
              <w:top w:val="nil"/>
              <w:left w:val="nil"/>
              <w:bottom w:val="nil"/>
              <w:right w:val="nil"/>
            </w:tcBorders>
            <w:shd w:val="clear" w:color="auto" w:fill="auto"/>
            <w:vAlign w:val="center"/>
            <w:hideMark/>
          </w:tcPr>
          <w:p w14:paraId="03194695" w14:textId="77777777" w:rsidR="00541039" w:rsidRPr="00342411" w:rsidRDefault="00541039" w:rsidP="00541039">
            <w:pPr>
              <w:jc w:val="right"/>
              <w:rPr>
                <w:rFonts w:ascii="Times New Roman" w:hAnsi="Times New Roman"/>
                <w:sz w:val="20"/>
                <w:lang w:eastAsia="es-AR"/>
              </w:rPr>
            </w:pPr>
          </w:p>
        </w:tc>
        <w:tc>
          <w:tcPr>
            <w:tcW w:w="560" w:type="dxa"/>
            <w:tcBorders>
              <w:top w:val="nil"/>
              <w:left w:val="nil"/>
              <w:bottom w:val="nil"/>
              <w:right w:val="nil"/>
            </w:tcBorders>
            <w:shd w:val="clear" w:color="auto" w:fill="auto"/>
            <w:vAlign w:val="center"/>
            <w:hideMark/>
          </w:tcPr>
          <w:p w14:paraId="7BB5784C" w14:textId="77777777" w:rsidR="00541039" w:rsidRPr="00342411" w:rsidRDefault="00541039" w:rsidP="00541039">
            <w:pPr>
              <w:rPr>
                <w:rFonts w:ascii="Times New Roman" w:hAnsi="Times New Roman"/>
                <w:sz w:val="20"/>
                <w:lang w:eastAsia="es-AR"/>
              </w:rPr>
            </w:pPr>
          </w:p>
        </w:tc>
        <w:tc>
          <w:tcPr>
            <w:tcW w:w="1115" w:type="dxa"/>
            <w:tcBorders>
              <w:top w:val="nil"/>
              <w:left w:val="nil"/>
              <w:bottom w:val="nil"/>
              <w:right w:val="nil"/>
            </w:tcBorders>
            <w:shd w:val="clear" w:color="auto" w:fill="auto"/>
            <w:vAlign w:val="center"/>
            <w:hideMark/>
          </w:tcPr>
          <w:p w14:paraId="7BD50853" w14:textId="77777777" w:rsidR="00541039" w:rsidRPr="00342411" w:rsidRDefault="00541039" w:rsidP="00541039">
            <w:pPr>
              <w:jc w:val="right"/>
              <w:rPr>
                <w:rFonts w:ascii="Times New Roman" w:hAnsi="Times New Roman"/>
                <w:sz w:val="20"/>
                <w:lang w:eastAsia="es-AR"/>
              </w:rPr>
            </w:pPr>
          </w:p>
        </w:tc>
        <w:tc>
          <w:tcPr>
            <w:tcW w:w="1160" w:type="dxa"/>
            <w:tcBorders>
              <w:top w:val="nil"/>
              <w:left w:val="nil"/>
              <w:bottom w:val="nil"/>
              <w:right w:val="nil"/>
            </w:tcBorders>
            <w:shd w:val="clear" w:color="auto" w:fill="auto"/>
            <w:vAlign w:val="center"/>
            <w:hideMark/>
          </w:tcPr>
          <w:p w14:paraId="36AD4DB7" w14:textId="77777777" w:rsidR="00541039" w:rsidRPr="00342411" w:rsidRDefault="00541039" w:rsidP="00541039">
            <w:pPr>
              <w:rPr>
                <w:rFonts w:ascii="Times New Roman" w:hAnsi="Times New Roman"/>
                <w:sz w:val="20"/>
                <w:lang w:eastAsia="es-AR"/>
              </w:rPr>
            </w:pPr>
          </w:p>
        </w:tc>
      </w:tr>
      <w:tr w:rsidR="00244FDC" w:rsidRPr="00342411" w14:paraId="551E0CCF" w14:textId="77777777" w:rsidTr="00342411">
        <w:trPr>
          <w:trHeight w:val="248"/>
        </w:trPr>
        <w:tc>
          <w:tcPr>
            <w:tcW w:w="2268" w:type="dxa"/>
            <w:tcBorders>
              <w:top w:val="nil"/>
              <w:left w:val="nil"/>
              <w:bottom w:val="nil"/>
              <w:right w:val="nil"/>
            </w:tcBorders>
            <w:shd w:val="clear" w:color="auto" w:fill="auto"/>
            <w:vAlign w:val="center"/>
          </w:tcPr>
          <w:p w14:paraId="1730CEEE" w14:textId="75BC7298" w:rsidR="00244FDC" w:rsidRPr="00342411" w:rsidRDefault="00244FDC" w:rsidP="00244FDC">
            <w:pPr>
              <w:ind w:firstLineChars="100" w:firstLine="201"/>
              <w:rPr>
                <w:rFonts w:ascii="Times New Roman" w:hAnsi="Times New Roman"/>
                <w:b/>
                <w:bCs/>
                <w:color w:val="000000"/>
                <w:sz w:val="20"/>
                <w:lang w:eastAsia="es-AR"/>
              </w:rPr>
            </w:pPr>
            <w:r w:rsidRPr="00342411">
              <w:rPr>
                <w:rFonts w:ascii="Times New Roman" w:hAnsi="Times New Roman"/>
                <w:b/>
                <w:bCs/>
                <w:color w:val="000000"/>
                <w:sz w:val="20"/>
                <w:lang w:eastAsia="es-AR"/>
              </w:rPr>
              <w:t>Depósitos</w:t>
            </w:r>
          </w:p>
        </w:tc>
        <w:tc>
          <w:tcPr>
            <w:tcW w:w="1276" w:type="dxa"/>
            <w:tcBorders>
              <w:top w:val="nil"/>
              <w:left w:val="nil"/>
              <w:bottom w:val="nil"/>
              <w:right w:val="nil"/>
            </w:tcBorders>
            <w:shd w:val="clear" w:color="auto" w:fill="auto"/>
            <w:vAlign w:val="center"/>
          </w:tcPr>
          <w:p w14:paraId="467F494B" w14:textId="77777777" w:rsidR="00244FDC" w:rsidRPr="00342411" w:rsidRDefault="00244FDC" w:rsidP="00541039">
            <w:pPr>
              <w:rPr>
                <w:rFonts w:ascii="Times New Roman" w:hAnsi="Times New Roman"/>
                <w:sz w:val="20"/>
                <w:lang w:eastAsia="es-AR"/>
              </w:rPr>
            </w:pPr>
          </w:p>
        </w:tc>
        <w:tc>
          <w:tcPr>
            <w:tcW w:w="1160" w:type="dxa"/>
            <w:tcBorders>
              <w:top w:val="nil"/>
              <w:left w:val="nil"/>
              <w:bottom w:val="nil"/>
              <w:right w:val="nil"/>
            </w:tcBorders>
            <w:shd w:val="clear" w:color="auto" w:fill="auto"/>
            <w:vAlign w:val="center"/>
          </w:tcPr>
          <w:p w14:paraId="1C2BA202" w14:textId="77777777" w:rsidR="00244FDC" w:rsidRPr="00342411" w:rsidRDefault="00244FDC" w:rsidP="00541039">
            <w:pPr>
              <w:jc w:val="right"/>
              <w:rPr>
                <w:rFonts w:ascii="Times New Roman" w:hAnsi="Times New Roman"/>
                <w:sz w:val="20"/>
                <w:lang w:eastAsia="es-AR"/>
              </w:rPr>
            </w:pPr>
          </w:p>
        </w:tc>
        <w:tc>
          <w:tcPr>
            <w:tcW w:w="560" w:type="dxa"/>
            <w:tcBorders>
              <w:top w:val="nil"/>
              <w:left w:val="nil"/>
              <w:bottom w:val="nil"/>
              <w:right w:val="nil"/>
            </w:tcBorders>
            <w:shd w:val="clear" w:color="auto" w:fill="auto"/>
            <w:vAlign w:val="center"/>
          </w:tcPr>
          <w:p w14:paraId="50F2DF72" w14:textId="77777777" w:rsidR="00244FDC" w:rsidRPr="00342411" w:rsidRDefault="00244FDC" w:rsidP="00541039">
            <w:pPr>
              <w:rPr>
                <w:rFonts w:ascii="Times New Roman" w:hAnsi="Times New Roman"/>
                <w:sz w:val="20"/>
                <w:lang w:eastAsia="es-AR"/>
              </w:rPr>
            </w:pPr>
          </w:p>
        </w:tc>
        <w:tc>
          <w:tcPr>
            <w:tcW w:w="1115" w:type="dxa"/>
            <w:tcBorders>
              <w:top w:val="nil"/>
              <w:left w:val="nil"/>
              <w:bottom w:val="nil"/>
              <w:right w:val="nil"/>
            </w:tcBorders>
            <w:shd w:val="clear" w:color="auto" w:fill="auto"/>
            <w:vAlign w:val="center"/>
          </w:tcPr>
          <w:p w14:paraId="10730583" w14:textId="77777777" w:rsidR="00244FDC" w:rsidRPr="00342411" w:rsidRDefault="00244FDC" w:rsidP="00541039">
            <w:pPr>
              <w:jc w:val="right"/>
              <w:rPr>
                <w:rFonts w:ascii="Times New Roman" w:hAnsi="Times New Roman"/>
                <w:sz w:val="20"/>
                <w:lang w:eastAsia="es-AR"/>
              </w:rPr>
            </w:pPr>
          </w:p>
        </w:tc>
        <w:tc>
          <w:tcPr>
            <w:tcW w:w="1160" w:type="dxa"/>
            <w:tcBorders>
              <w:top w:val="nil"/>
              <w:left w:val="nil"/>
              <w:bottom w:val="nil"/>
              <w:right w:val="nil"/>
            </w:tcBorders>
            <w:shd w:val="clear" w:color="auto" w:fill="auto"/>
            <w:vAlign w:val="center"/>
          </w:tcPr>
          <w:p w14:paraId="27A7380D" w14:textId="77777777" w:rsidR="00244FDC" w:rsidRPr="00342411" w:rsidRDefault="00244FDC" w:rsidP="00541039">
            <w:pPr>
              <w:rPr>
                <w:rFonts w:ascii="Times New Roman" w:hAnsi="Times New Roman"/>
                <w:sz w:val="20"/>
                <w:lang w:eastAsia="es-AR"/>
              </w:rPr>
            </w:pPr>
          </w:p>
        </w:tc>
      </w:tr>
      <w:tr w:rsidR="00541039" w:rsidRPr="00541039" w14:paraId="17C7534A" w14:textId="77777777" w:rsidTr="00342411">
        <w:trPr>
          <w:trHeight w:val="248"/>
        </w:trPr>
        <w:tc>
          <w:tcPr>
            <w:tcW w:w="2268" w:type="dxa"/>
            <w:tcBorders>
              <w:top w:val="nil"/>
              <w:left w:val="nil"/>
              <w:bottom w:val="nil"/>
              <w:right w:val="nil"/>
            </w:tcBorders>
            <w:shd w:val="clear" w:color="auto" w:fill="auto"/>
            <w:vAlign w:val="center"/>
            <w:hideMark/>
          </w:tcPr>
          <w:p w14:paraId="46033EB8" w14:textId="77777777" w:rsidR="00541039" w:rsidRPr="00342411" w:rsidRDefault="00541039" w:rsidP="00541039">
            <w:pPr>
              <w:ind w:firstLineChars="100" w:firstLine="200"/>
              <w:rPr>
                <w:rFonts w:ascii="Times New Roman" w:hAnsi="Times New Roman"/>
                <w:bCs/>
                <w:color w:val="000000"/>
                <w:sz w:val="20"/>
                <w:lang w:eastAsia="es-AR"/>
              </w:rPr>
            </w:pPr>
            <w:r w:rsidRPr="00342411">
              <w:rPr>
                <w:rFonts w:ascii="Times New Roman" w:hAnsi="Times New Roman"/>
                <w:bCs/>
                <w:color w:val="000000"/>
                <w:sz w:val="20"/>
                <w:lang w:eastAsia="es-AR"/>
              </w:rPr>
              <w:t>Depósitos</w:t>
            </w:r>
          </w:p>
        </w:tc>
        <w:tc>
          <w:tcPr>
            <w:tcW w:w="1276" w:type="dxa"/>
            <w:tcBorders>
              <w:top w:val="nil"/>
              <w:left w:val="nil"/>
              <w:bottom w:val="nil"/>
              <w:right w:val="nil"/>
            </w:tcBorders>
            <w:shd w:val="clear" w:color="auto" w:fill="auto"/>
            <w:vAlign w:val="center"/>
            <w:hideMark/>
          </w:tcPr>
          <w:p w14:paraId="0589FA7B" w14:textId="2261F82C" w:rsidR="00541039" w:rsidRPr="00342411" w:rsidRDefault="00741614" w:rsidP="00944CDA">
            <w:pPr>
              <w:jc w:val="right"/>
              <w:rPr>
                <w:rFonts w:ascii="Times New Roman" w:hAnsi="Times New Roman"/>
                <w:bCs/>
                <w:color w:val="000000"/>
                <w:sz w:val="20"/>
                <w:lang w:eastAsia="es-AR"/>
              </w:rPr>
            </w:pPr>
            <w:r w:rsidRPr="00342411">
              <w:rPr>
                <w:rFonts w:ascii="Times New Roman" w:hAnsi="Times New Roman"/>
                <w:bCs/>
                <w:color w:val="000000"/>
                <w:sz w:val="20"/>
                <w:lang w:eastAsia="es-AR"/>
              </w:rPr>
              <w:t>2</w:t>
            </w:r>
            <w:r w:rsidR="00944CDA" w:rsidRPr="00342411">
              <w:rPr>
                <w:rFonts w:ascii="Times New Roman" w:hAnsi="Times New Roman"/>
                <w:bCs/>
                <w:color w:val="000000"/>
                <w:sz w:val="20"/>
                <w:lang w:eastAsia="es-AR"/>
              </w:rPr>
              <w:t>5</w:t>
            </w:r>
            <w:r w:rsidRPr="00342411">
              <w:rPr>
                <w:rFonts w:ascii="Times New Roman" w:hAnsi="Times New Roman"/>
                <w:bCs/>
                <w:color w:val="000000"/>
                <w:sz w:val="20"/>
                <w:lang w:eastAsia="es-AR"/>
              </w:rPr>
              <w:t>.</w:t>
            </w:r>
            <w:r w:rsidR="00944CDA" w:rsidRPr="00342411">
              <w:rPr>
                <w:rFonts w:ascii="Times New Roman" w:hAnsi="Times New Roman"/>
                <w:bCs/>
                <w:color w:val="000000"/>
                <w:sz w:val="20"/>
                <w:lang w:eastAsia="es-AR"/>
              </w:rPr>
              <w:t>711</w:t>
            </w:r>
          </w:p>
        </w:tc>
        <w:tc>
          <w:tcPr>
            <w:tcW w:w="1160" w:type="dxa"/>
            <w:tcBorders>
              <w:top w:val="nil"/>
              <w:left w:val="nil"/>
              <w:bottom w:val="nil"/>
              <w:right w:val="nil"/>
            </w:tcBorders>
            <w:shd w:val="clear" w:color="auto" w:fill="auto"/>
            <w:vAlign w:val="center"/>
            <w:hideMark/>
          </w:tcPr>
          <w:p w14:paraId="195AE7CD" w14:textId="2A5D4AFF" w:rsidR="00541039" w:rsidRPr="00342411" w:rsidRDefault="00741614" w:rsidP="00944CDA">
            <w:pPr>
              <w:jc w:val="right"/>
              <w:rPr>
                <w:rFonts w:ascii="Times New Roman" w:hAnsi="Times New Roman"/>
                <w:bCs/>
                <w:color w:val="000000"/>
                <w:sz w:val="20"/>
                <w:lang w:eastAsia="es-AR"/>
              </w:rPr>
            </w:pPr>
            <w:r w:rsidRPr="00342411">
              <w:rPr>
                <w:rFonts w:ascii="Times New Roman" w:hAnsi="Times New Roman"/>
                <w:bCs/>
                <w:color w:val="000000"/>
                <w:sz w:val="20"/>
                <w:lang w:eastAsia="es-AR"/>
              </w:rPr>
              <w:t>4</w:t>
            </w:r>
            <w:r w:rsidR="00944CDA" w:rsidRPr="00342411">
              <w:rPr>
                <w:rFonts w:ascii="Times New Roman" w:hAnsi="Times New Roman"/>
                <w:bCs/>
                <w:color w:val="000000"/>
                <w:sz w:val="20"/>
                <w:lang w:eastAsia="es-AR"/>
              </w:rPr>
              <w:t>4.748</w:t>
            </w:r>
          </w:p>
        </w:tc>
        <w:tc>
          <w:tcPr>
            <w:tcW w:w="560" w:type="dxa"/>
            <w:tcBorders>
              <w:top w:val="nil"/>
              <w:left w:val="nil"/>
              <w:bottom w:val="nil"/>
              <w:right w:val="nil"/>
            </w:tcBorders>
            <w:shd w:val="clear" w:color="auto" w:fill="auto"/>
            <w:vAlign w:val="center"/>
            <w:hideMark/>
          </w:tcPr>
          <w:p w14:paraId="4F7B4FE8" w14:textId="77777777" w:rsidR="00541039" w:rsidRPr="00342411" w:rsidRDefault="00541039" w:rsidP="00541039">
            <w:pPr>
              <w:jc w:val="right"/>
              <w:rPr>
                <w:rFonts w:ascii="Times New Roman" w:hAnsi="Times New Roman"/>
                <w:bCs/>
                <w:color w:val="000000"/>
                <w:sz w:val="20"/>
                <w:lang w:eastAsia="es-AR"/>
              </w:rPr>
            </w:pPr>
          </w:p>
        </w:tc>
        <w:tc>
          <w:tcPr>
            <w:tcW w:w="1115" w:type="dxa"/>
            <w:tcBorders>
              <w:top w:val="nil"/>
              <w:left w:val="nil"/>
              <w:bottom w:val="nil"/>
              <w:right w:val="nil"/>
            </w:tcBorders>
            <w:shd w:val="clear" w:color="auto" w:fill="auto"/>
            <w:vAlign w:val="center"/>
            <w:hideMark/>
          </w:tcPr>
          <w:p w14:paraId="48B5461B" w14:textId="7AFC2719" w:rsidR="00541039" w:rsidRPr="00342411" w:rsidRDefault="00741614" w:rsidP="00544C95">
            <w:pPr>
              <w:jc w:val="right"/>
              <w:rPr>
                <w:rFonts w:ascii="Times New Roman" w:hAnsi="Times New Roman"/>
                <w:bCs/>
                <w:color w:val="000000"/>
                <w:sz w:val="20"/>
                <w:lang w:eastAsia="es-AR"/>
              </w:rPr>
            </w:pPr>
            <w:r w:rsidRPr="00342411">
              <w:rPr>
                <w:rFonts w:ascii="Times New Roman" w:hAnsi="Times New Roman"/>
                <w:bCs/>
                <w:color w:val="000000"/>
                <w:sz w:val="20"/>
                <w:lang w:eastAsia="es-AR"/>
              </w:rPr>
              <w:t>2</w:t>
            </w:r>
            <w:r w:rsidR="00544C95" w:rsidRPr="00342411">
              <w:rPr>
                <w:rFonts w:ascii="Times New Roman" w:hAnsi="Times New Roman"/>
                <w:bCs/>
                <w:color w:val="000000"/>
                <w:sz w:val="20"/>
                <w:lang w:eastAsia="es-AR"/>
              </w:rPr>
              <w:t>99</w:t>
            </w:r>
          </w:p>
        </w:tc>
        <w:tc>
          <w:tcPr>
            <w:tcW w:w="1160" w:type="dxa"/>
            <w:tcBorders>
              <w:top w:val="nil"/>
              <w:left w:val="nil"/>
              <w:bottom w:val="nil"/>
              <w:right w:val="nil"/>
            </w:tcBorders>
            <w:shd w:val="clear" w:color="auto" w:fill="auto"/>
            <w:vAlign w:val="center"/>
            <w:hideMark/>
          </w:tcPr>
          <w:p w14:paraId="6D4F56F1" w14:textId="15A80B2D" w:rsidR="00541039" w:rsidRPr="00244FDC" w:rsidRDefault="00944CDA" w:rsidP="00541039">
            <w:pPr>
              <w:jc w:val="right"/>
              <w:rPr>
                <w:rFonts w:ascii="Times New Roman" w:hAnsi="Times New Roman"/>
                <w:bCs/>
                <w:color w:val="000000"/>
                <w:sz w:val="20"/>
                <w:lang w:eastAsia="es-AR"/>
              </w:rPr>
            </w:pPr>
            <w:r w:rsidRPr="00342411">
              <w:rPr>
                <w:rFonts w:ascii="Times New Roman" w:hAnsi="Times New Roman"/>
                <w:bCs/>
                <w:color w:val="000000"/>
                <w:sz w:val="20"/>
                <w:lang w:eastAsia="es-AR"/>
              </w:rPr>
              <w:t>107</w:t>
            </w:r>
          </w:p>
        </w:tc>
      </w:tr>
    </w:tbl>
    <w:p w14:paraId="11A1604F" w14:textId="77777777" w:rsidR="00B91234" w:rsidRPr="00110E8B" w:rsidRDefault="00B91234" w:rsidP="00BE5484">
      <w:pPr>
        <w:spacing w:before="120" w:after="120" w:line="240" w:lineRule="exact"/>
        <w:ind w:firstLine="709"/>
        <w:rPr>
          <w:rFonts w:ascii="Times New Roman" w:hAnsi="Times New Roman"/>
          <w:sz w:val="20"/>
        </w:rPr>
      </w:pPr>
    </w:p>
    <w:p w14:paraId="08E7EE16" w14:textId="7B611DAA" w:rsidR="003429EA" w:rsidRDefault="00BD0EBA" w:rsidP="003429EA">
      <w:pPr>
        <w:spacing w:before="120" w:after="120" w:line="240" w:lineRule="exact"/>
        <w:ind w:left="851"/>
        <w:jc w:val="both"/>
        <w:rPr>
          <w:rFonts w:ascii="Times New Roman" w:hAnsi="Times New Roman"/>
          <w:sz w:val="20"/>
        </w:rPr>
      </w:pPr>
      <w:r w:rsidRPr="00110E8B">
        <w:rPr>
          <w:rFonts w:ascii="Times New Roman" w:hAnsi="Times New Roman"/>
          <w:sz w:val="20"/>
        </w:rPr>
        <w:t xml:space="preserve">Los préstamos </w:t>
      </w:r>
      <w:r w:rsidR="00B73589" w:rsidRPr="00110E8B">
        <w:rPr>
          <w:rFonts w:ascii="Times New Roman" w:hAnsi="Times New Roman"/>
          <w:sz w:val="20"/>
        </w:rPr>
        <w:t xml:space="preserve">son </w:t>
      </w:r>
      <w:r w:rsidRPr="00110E8B">
        <w:rPr>
          <w:rFonts w:ascii="Times New Roman" w:hAnsi="Times New Roman"/>
          <w:sz w:val="20"/>
        </w:rPr>
        <w:t>otorgado</w:t>
      </w:r>
      <w:r w:rsidR="00041179" w:rsidRPr="00110E8B">
        <w:rPr>
          <w:rFonts w:ascii="Times New Roman" w:hAnsi="Times New Roman"/>
          <w:sz w:val="20"/>
        </w:rPr>
        <w:t>s en</w:t>
      </w:r>
      <w:r w:rsidRPr="00110E8B">
        <w:rPr>
          <w:rFonts w:ascii="Times New Roman" w:hAnsi="Times New Roman"/>
          <w:sz w:val="20"/>
        </w:rPr>
        <w:t xml:space="preserve"> condiciones de mercado.</w:t>
      </w:r>
      <w:r w:rsidR="008D28C5" w:rsidRPr="00110E8B">
        <w:rPr>
          <w:rFonts w:ascii="Times New Roman" w:hAnsi="Times New Roman"/>
          <w:sz w:val="20"/>
        </w:rPr>
        <w:t xml:space="preserve"> Al 3</w:t>
      </w:r>
      <w:r w:rsidR="00280C17">
        <w:rPr>
          <w:rFonts w:ascii="Times New Roman" w:hAnsi="Times New Roman"/>
          <w:sz w:val="20"/>
        </w:rPr>
        <w:t>0</w:t>
      </w:r>
      <w:r w:rsidR="00D04238">
        <w:rPr>
          <w:rFonts w:ascii="Times New Roman" w:hAnsi="Times New Roman"/>
          <w:sz w:val="20"/>
        </w:rPr>
        <w:t xml:space="preserve"> de septiembre</w:t>
      </w:r>
      <w:r w:rsidR="00EB1FD9">
        <w:rPr>
          <w:rFonts w:ascii="Times New Roman" w:hAnsi="Times New Roman"/>
          <w:sz w:val="20"/>
        </w:rPr>
        <w:t xml:space="preserve"> </w:t>
      </w:r>
      <w:r w:rsidR="008D28C5" w:rsidRPr="00110E8B">
        <w:rPr>
          <w:rFonts w:ascii="Times New Roman" w:hAnsi="Times New Roman"/>
          <w:sz w:val="20"/>
        </w:rPr>
        <w:t>de 20</w:t>
      </w:r>
      <w:r w:rsidR="00551F8D" w:rsidRPr="00110E8B">
        <w:rPr>
          <w:rFonts w:ascii="Times New Roman" w:hAnsi="Times New Roman"/>
          <w:sz w:val="20"/>
        </w:rPr>
        <w:t>2</w:t>
      </w:r>
      <w:r w:rsidR="00B65A0E">
        <w:rPr>
          <w:rFonts w:ascii="Times New Roman" w:hAnsi="Times New Roman"/>
          <w:sz w:val="20"/>
        </w:rPr>
        <w:t>1</w:t>
      </w:r>
      <w:r w:rsidR="008D28C5" w:rsidRPr="00110E8B">
        <w:rPr>
          <w:rFonts w:ascii="Times New Roman" w:hAnsi="Times New Roman"/>
          <w:sz w:val="20"/>
        </w:rPr>
        <w:t xml:space="preserve"> y </w:t>
      </w:r>
      <w:r w:rsidR="00551F8D" w:rsidRPr="00110E8B">
        <w:rPr>
          <w:rFonts w:ascii="Times New Roman" w:hAnsi="Times New Roman"/>
          <w:sz w:val="20"/>
        </w:rPr>
        <w:t>al 31 de diciembre de 20</w:t>
      </w:r>
      <w:r w:rsidR="00DC4912">
        <w:rPr>
          <w:rFonts w:ascii="Times New Roman" w:hAnsi="Times New Roman"/>
          <w:sz w:val="20"/>
        </w:rPr>
        <w:t>20</w:t>
      </w:r>
      <w:r w:rsidR="008D28C5" w:rsidRPr="00110E8B">
        <w:rPr>
          <w:rFonts w:ascii="Times New Roman" w:hAnsi="Times New Roman"/>
          <w:sz w:val="20"/>
        </w:rPr>
        <w:t xml:space="preserve"> los saldos por </w:t>
      </w:r>
      <w:r w:rsidR="00C9060F" w:rsidRPr="00110E8B">
        <w:rPr>
          <w:rFonts w:ascii="Times New Roman" w:hAnsi="Times New Roman"/>
          <w:sz w:val="20"/>
        </w:rPr>
        <w:t>préstamos</w:t>
      </w:r>
      <w:r w:rsidR="008D28C5" w:rsidRPr="00110E8B">
        <w:rPr>
          <w:rFonts w:ascii="Times New Roman" w:hAnsi="Times New Roman"/>
          <w:sz w:val="20"/>
        </w:rPr>
        <w:t xml:space="preserve"> otorgados se encuentran clasificados en situación normal de acuerdo con las normas de clasificación de deudores del B.C.R.A</w:t>
      </w:r>
      <w:r w:rsidR="00A4647C" w:rsidRPr="00110E8B">
        <w:rPr>
          <w:rFonts w:ascii="Times New Roman" w:hAnsi="Times New Roman"/>
          <w:sz w:val="20"/>
        </w:rPr>
        <w:t>.</w:t>
      </w:r>
      <w:r w:rsidR="00C9060F" w:rsidRPr="00110E8B">
        <w:rPr>
          <w:rFonts w:ascii="Times New Roman" w:hAnsi="Times New Roman"/>
          <w:sz w:val="20"/>
        </w:rPr>
        <w:t xml:space="preserve"> </w:t>
      </w:r>
    </w:p>
    <w:p w14:paraId="213E370F" w14:textId="77777777" w:rsidR="00015FAB" w:rsidRPr="00110E8B" w:rsidRDefault="00015FAB" w:rsidP="003429EA">
      <w:pPr>
        <w:spacing w:before="120" w:after="120" w:line="240" w:lineRule="exact"/>
        <w:ind w:left="851"/>
        <w:jc w:val="both"/>
        <w:rPr>
          <w:rFonts w:ascii="Times New Roman" w:hAnsi="Times New Roman"/>
          <w:sz w:val="20"/>
        </w:rPr>
      </w:pPr>
    </w:p>
    <w:p w14:paraId="05E6F2DC" w14:textId="6DC9E79F" w:rsidR="004E3D66" w:rsidRDefault="00FB1CA2" w:rsidP="004E3D66">
      <w:pPr>
        <w:spacing w:before="120" w:after="120" w:line="240" w:lineRule="exact"/>
        <w:rPr>
          <w:rFonts w:ascii="Times New Roman" w:hAnsi="Times New Roman"/>
          <w:sz w:val="20"/>
        </w:rPr>
      </w:pPr>
      <w:r w:rsidRPr="00110E8B">
        <w:rPr>
          <w:rFonts w:ascii="Times New Roman" w:hAnsi="Times New Roman"/>
          <w:sz w:val="20"/>
        </w:rPr>
        <w:t xml:space="preserve">             </w:t>
      </w:r>
      <w:r w:rsidR="00904811" w:rsidRPr="00110E8B">
        <w:rPr>
          <w:rFonts w:ascii="Times New Roman" w:hAnsi="Times New Roman"/>
          <w:sz w:val="20"/>
        </w:rPr>
        <w:t xml:space="preserve"> </w:t>
      </w:r>
      <w:r w:rsidR="0098010C" w:rsidRPr="00110E8B">
        <w:rPr>
          <w:rFonts w:ascii="Times New Roman" w:hAnsi="Times New Roman"/>
          <w:sz w:val="20"/>
        </w:rPr>
        <w:t>b.3</w:t>
      </w:r>
      <w:r w:rsidR="004E3D66" w:rsidRPr="00110E8B">
        <w:rPr>
          <w:rFonts w:ascii="Times New Roman" w:hAnsi="Times New Roman"/>
          <w:sz w:val="20"/>
        </w:rPr>
        <w:t xml:space="preserve">) </w:t>
      </w:r>
      <w:r w:rsidR="00B463FA" w:rsidRPr="00110E8B">
        <w:rPr>
          <w:rFonts w:ascii="Times New Roman" w:hAnsi="Times New Roman"/>
          <w:sz w:val="20"/>
        </w:rPr>
        <w:t>Resultados</w:t>
      </w:r>
      <w:r w:rsidR="004E3D66" w:rsidRPr="00110E8B">
        <w:rPr>
          <w:rFonts w:ascii="Times New Roman" w:hAnsi="Times New Roman"/>
          <w:sz w:val="20"/>
        </w:rPr>
        <w:t xml:space="preserve"> y saldos con partes relacionadas (excepto personal clave de la Dirección)</w:t>
      </w:r>
    </w:p>
    <w:p w14:paraId="023408B2" w14:textId="77777777" w:rsidR="00015FAB" w:rsidRPr="00110E8B" w:rsidRDefault="00015FAB" w:rsidP="004E3D66">
      <w:pPr>
        <w:spacing w:before="120" w:after="120" w:line="240" w:lineRule="exact"/>
        <w:rPr>
          <w:rFonts w:ascii="Times New Roman" w:hAnsi="Times New Roman"/>
          <w:sz w:val="20"/>
        </w:rPr>
      </w:pPr>
    </w:p>
    <w:p w14:paraId="7AA63258" w14:textId="717FAC9A" w:rsidR="00595388" w:rsidRPr="00110E8B" w:rsidRDefault="00996BB8" w:rsidP="00F4709C">
      <w:pPr>
        <w:pStyle w:val="Prrafodelista"/>
        <w:tabs>
          <w:tab w:val="left" w:pos="567"/>
          <w:tab w:val="right" w:pos="10368"/>
        </w:tabs>
        <w:ind w:left="785" w:right="142"/>
        <w:jc w:val="center"/>
        <w:rPr>
          <w:sz w:val="20"/>
          <w:szCs w:val="20"/>
          <w:lang w:val="es-AR"/>
        </w:rPr>
      </w:pPr>
      <w:r w:rsidRPr="00996BB8">
        <w:rPr>
          <w:noProof/>
          <w:lang w:val="es-AR" w:eastAsia="es-AR"/>
        </w:rPr>
        <w:drawing>
          <wp:inline distT="0" distB="0" distL="0" distR="0" wp14:anchorId="52D3DE9B" wp14:editId="428EFC64">
            <wp:extent cx="6031230" cy="229417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1230" cy="2294176"/>
                    </a:xfrm>
                    <a:prstGeom prst="rect">
                      <a:avLst/>
                    </a:prstGeom>
                    <a:noFill/>
                    <a:ln>
                      <a:noFill/>
                    </a:ln>
                  </pic:spPr>
                </pic:pic>
              </a:graphicData>
            </a:graphic>
          </wp:inline>
        </w:drawing>
      </w:r>
    </w:p>
    <w:p w14:paraId="0DC6ACDE" w14:textId="62AB8281" w:rsidR="003D3D2E" w:rsidRPr="00110E8B" w:rsidRDefault="00996BB8" w:rsidP="00F4709C">
      <w:pPr>
        <w:pStyle w:val="Prrafodelista"/>
        <w:tabs>
          <w:tab w:val="left" w:pos="567"/>
          <w:tab w:val="right" w:pos="10368"/>
        </w:tabs>
        <w:ind w:left="785" w:right="142"/>
        <w:jc w:val="center"/>
        <w:rPr>
          <w:sz w:val="20"/>
          <w:szCs w:val="20"/>
          <w:lang w:val="es-AR"/>
        </w:rPr>
      </w:pPr>
      <w:r w:rsidRPr="00996BB8">
        <w:rPr>
          <w:noProof/>
          <w:lang w:val="es-AR" w:eastAsia="es-AR"/>
        </w:rPr>
        <w:lastRenderedPageBreak/>
        <w:drawing>
          <wp:inline distT="0" distB="0" distL="0" distR="0" wp14:anchorId="2A7C7AC4" wp14:editId="0E91F8CA">
            <wp:extent cx="6031230" cy="178916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1230" cy="1789169"/>
                    </a:xfrm>
                    <a:prstGeom prst="rect">
                      <a:avLst/>
                    </a:prstGeom>
                    <a:noFill/>
                    <a:ln>
                      <a:noFill/>
                    </a:ln>
                  </pic:spPr>
                </pic:pic>
              </a:graphicData>
            </a:graphic>
          </wp:inline>
        </w:drawing>
      </w:r>
    </w:p>
    <w:p w14:paraId="1AFB6E2C" w14:textId="77777777" w:rsidR="00E704A0" w:rsidRDefault="00595388" w:rsidP="00B35709">
      <w:pPr>
        <w:pStyle w:val="Prrafodelista"/>
        <w:tabs>
          <w:tab w:val="left" w:pos="567"/>
          <w:tab w:val="right" w:pos="8930"/>
        </w:tabs>
        <w:ind w:left="709" w:right="142"/>
        <w:rPr>
          <w:sz w:val="20"/>
          <w:szCs w:val="20"/>
          <w:lang w:val="es-AR"/>
        </w:rPr>
      </w:pPr>
      <w:r w:rsidRPr="00110E8B">
        <w:rPr>
          <w:sz w:val="20"/>
          <w:szCs w:val="20"/>
          <w:lang w:val="es-AR"/>
        </w:rPr>
        <w:t xml:space="preserve"> </w:t>
      </w:r>
    </w:p>
    <w:p w14:paraId="27C154E9" w14:textId="0E4AE84D" w:rsidR="00D86783" w:rsidRDefault="00595388" w:rsidP="00B35709">
      <w:pPr>
        <w:pStyle w:val="Prrafodelista"/>
        <w:tabs>
          <w:tab w:val="left" w:pos="567"/>
          <w:tab w:val="right" w:pos="8930"/>
        </w:tabs>
        <w:ind w:left="709" w:right="142"/>
        <w:rPr>
          <w:sz w:val="20"/>
          <w:szCs w:val="20"/>
          <w:lang w:val="es-AR"/>
        </w:rPr>
      </w:pPr>
      <w:r w:rsidRPr="00110E8B">
        <w:rPr>
          <w:sz w:val="20"/>
          <w:szCs w:val="20"/>
          <w:lang w:val="es-AR"/>
        </w:rPr>
        <w:t xml:space="preserve">     </w:t>
      </w:r>
      <w:r w:rsidR="003C4E20" w:rsidRPr="00110E8B">
        <w:rPr>
          <w:sz w:val="20"/>
          <w:szCs w:val="20"/>
          <w:lang w:val="es-AR"/>
        </w:rPr>
        <w:t xml:space="preserve">    </w:t>
      </w:r>
      <w:r w:rsidR="00996BB8" w:rsidRPr="00996BB8">
        <w:rPr>
          <w:noProof/>
          <w:lang w:val="es-AR" w:eastAsia="es-AR"/>
        </w:rPr>
        <w:drawing>
          <wp:inline distT="0" distB="0" distL="0" distR="0" wp14:anchorId="7DF1378B" wp14:editId="514253A5">
            <wp:extent cx="6031230" cy="243124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1230" cy="2431249"/>
                    </a:xfrm>
                    <a:prstGeom prst="rect">
                      <a:avLst/>
                    </a:prstGeom>
                    <a:noFill/>
                    <a:ln>
                      <a:noFill/>
                    </a:ln>
                  </pic:spPr>
                </pic:pic>
              </a:graphicData>
            </a:graphic>
          </wp:inline>
        </w:drawing>
      </w:r>
    </w:p>
    <w:p w14:paraId="6BABEF79" w14:textId="2E4956BF" w:rsidR="00FE0751" w:rsidRPr="00110E8B" w:rsidRDefault="003C4E20" w:rsidP="00B35709">
      <w:pPr>
        <w:pStyle w:val="Prrafodelista"/>
        <w:tabs>
          <w:tab w:val="left" w:pos="567"/>
          <w:tab w:val="right" w:pos="8930"/>
        </w:tabs>
        <w:ind w:left="709" w:right="142"/>
        <w:rPr>
          <w:sz w:val="20"/>
          <w:szCs w:val="20"/>
          <w:lang w:val="es-AR"/>
        </w:rPr>
      </w:pPr>
      <w:r w:rsidRPr="00110E8B">
        <w:rPr>
          <w:sz w:val="20"/>
          <w:szCs w:val="20"/>
          <w:lang w:val="es-AR"/>
        </w:rPr>
        <w:t xml:space="preserve">        </w:t>
      </w:r>
      <w:r w:rsidR="00595388" w:rsidRPr="00110E8B">
        <w:rPr>
          <w:sz w:val="20"/>
          <w:szCs w:val="20"/>
          <w:lang w:val="es-AR"/>
        </w:rPr>
        <w:t xml:space="preserve"> </w:t>
      </w:r>
    </w:p>
    <w:p w14:paraId="79B033C3" w14:textId="1FFCCDDB" w:rsidR="00C9060F" w:rsidRDefault="00595388" w:rsidP="00A41C2B">
      <w:pPr>
        <w:spacing w:before="120" w:after="120" w:line="240" w:lineRule="exact"/>
        <w:ind w:left="851"/>
        <w:jc w:val="both"/>
        <w:rPr>
          <w:rFonts w:ascii="Times New Roman" w:hAnsi="Times New Roman"/>
          <w:sz w:val="20"/>
        </w:rPr>
      </w:pPr>
      <w:r w:rsidRPr="00110E8B">
        <w:rPr>
          <w:rFonts w:ascii="Times New Roman" w:hAnsi="Times New Roman"/>
          <w:sz w:val="20"/>
          <w:lang w:eastAsia="en-US"/>
        </w:rPr>
        <w:t>Las transacciones son concertadas en condiciones de mercado.</w:t>
      </w:r>
      <w:r w:rsidR="00C9060F" w:rsidRPr="00110E8B">
        <w:rPr>
          <w:rFonts w:ascii="Times New Roman" w:hAnsi="Times New Roman"/>
          <w:sz w:val="20"/>
        </w:rPr>
        <w:t xml:space="preserve"> </w:t>
      </w:r>
      <w:r w:rsidR="00307624" w:rsidRPr="00110E8B">
        <w:rPr>
          <w:rFonts w:ascii="Times New Roman" w:hAnsi="Times New Roman"/>
          <w:sz w:val="20"/>
        </w:rPr>
        <w:t>Al 3</w:t>
      </w:r>
      <w:r w:rsidR="00674F31">
        <w:rPr>
          <w:rFonts w:ascii="Times New Roman" w:hAnsi="Times New Roman"/>
          <w:sz w:val="20"/>
        </w:rPr>
        <w:t>0</w:t>
      </w:r>
      <w:r w:rsidR="00C9060F" w:rsidRPr="00110E8B">
        <w:rPr>
          <w:rFonts w:ascii="Times New Roman" w:hAnsi="Times New Roman"/>
          <w:sz w:val="20"/>
        </w:rPr>
        <w:t xml:space="preserve"> de </w:t>
      </w:r>
      <w:r w:rsidR="00D04238">
        <w:rPr>
          <w:rFonts w:ascii="Times New Roman" w:hAnsi="Times New Roman"/>
          <w:sz w:val="20"/>
        </w:rPr>
        <w:t>septiembre</w:t>
      </w:r>
      <w:r w:rsidR="00551F8D" w:rsidRPr="00110E8B">
        <w:rPr>
          <w:rFonts w:ascii="Times New Roman" w:hAnsi="Times New Roman"/>
          <w:sz w:val="20"/>
        </w:rPr>
        <w:t xml:space="preserve"> </w:t>
      </w:r>
      <w:r w:rsidR="00C9060F" w:rsidRPr="00110E8B">
        <w:rPr>
          <w:rFonts w:ascii="Times New Roman" w:hAnsi="Times New Roman"/>
          <w:sz w:val="20"/>
        </w:rPr>
        <w:t>de 20</w:t>
      </w:r>
      <w:r w:rsidR="00551F8D" w:rsidRPr="00110E8B">
        <w:rPr>
          <w:rFonts w:ascii="Times New Roman" w:hAnsi="Times New Roman"/>
          <w:sz w:val="20"/>
        </w:rPr>
        <w:t>2</w:t>
      </w:r>
      <w:r w:rsidR="00DC4912">
        <w:rPr>
          <w:rFonts w:ascii="Times New Roman" w:hAnsi="Times New Roman"/>
          <w:sz w:val="20"/>
        </w:rPr>
        <w:t>1</w:t>
      </w:r>
      <w:r w:rsidR="00C9060F" w:rsidRPr="00110E8B">
        <w:rPr>
          <w:rFonts w:ascii="Times New Roman" w:hAnsi="Times New Roman"/>
          <w:sz w:val="20"/>
        </w:rPr>
        <w:t xml:space="preserve"> y</w:t>
      </w:r>
      <w:r w:rsidR="00DC4912">
        <w:rPr>
          <w:rFonts w:ascii="Times New Roman" w:hAnsi="Times New Roman"/>
          <w:sz w:val="20"/>
        </w:rPr>
        <w:t xml:space="preserve"> al 31 de diciembre</w:t>
      </w:r>
      <w:r w:rsidR="00C9060F" w:rsidRPr="00110E8B">
        <w:rPr>
          <w:rFonts w:ascii="Times New Roman" w:hAnsi="Times New Roman"/>
          <w:sz w:val="20"/>
        </w:rPr>
        <w:t xml:space="preserve"> </w:t>
      </w:r>
      <w:r w:rsidR="00551F8D" w:rsidRPr="00110E8B">
        <w:rPr>
          <w:rFonts w:ascii="Times New Roman" w:hAnsi="Times New Roman"/>
          <w:sz w:val="20"/>
        </w:rPr>
        <w:t>20</w:t>
      </w:r>
      <w:r w:rsidR="00DC4912">
        <w:rPr>
          <w:rFonts w:ascii="Times New Roman" w:hAnsi="Times New Roman"/>
          <w:sz w:val="20"/>
        </w:rPr>
        <w:t>20</w:t>
      </w:r>
      <w:r w:rsidR="00C9060F" w:rsidRPr="00110E8B">
        <w:rPr>
          <w:rFonts w:ascii="Times New Roman" w:hAnsi="Times New Roman"/>
          <w:sz w:val="20"/>
        </w:rPr>
        <w:t xml:space="preserve"> los saldos por préstamos otorgados se encuentran clasificados en situación normal de acuerdo con las normas de clasificación de deudores del B.C.R.A</w:t>
      </w:r>
      <w:r w:rsidR="003B5974" w:rsidRPr="00110E8B">
        <w:rPr>
          <w:rFonts w:ascii="Times New Roman" w:hAnsi="Times New Roman"/>
          <w:sz w:val="20"/>
        </w:rPr>
        <w:t>.</w:t>
      </w:r>
      <w:r w:rsidR="00E0337F" w:rsidRPr="00110E8B">
        <w:rPr>
          <w:rFonts w:ascii="Times New Roman" w:hAnsi="Times New Roman"/>
          <w:sz w:val="20"/>
        </w:rPr>
        <w:t xml:space="preserve"> </w:t>
      </w:r>
    </w:p>
    <w:p w14:paraId="18534CE1" w14:textId="77777777" w:rsidR="00852FD9" w:rsidRDefault="00852FD9" w:rsidP="00A41C2B">
      <w:pPr>
        <w:spacing w:before="120" w:after="120" w:line="240" w:lineRule="exact"/>
        <w:ind w:left="851"/>
        <w:jc w:val="both"/>
        <w:rPr>
          <w:rFonts w:ascii="Times New Roman" w:hAnsi="Times New Roman"/>
          <w:sz w:val="20"/>
        </w:rPr>
      </w:pPr>
    </w:p>
    <w:p w14:paraId="56761E94" w14:textId="77777777" w:rsidR="00046CEC" w:rsidRDefault="00046CEC" w:rsidP="00A41C2B">
      <w:pPr>
        <w:spacing w:before="120" w:after="120" w:line="240" w:lineRule="exact"/>
        <w:ind w:left="851"/>
        <w:jc w:val="both"/>
        <w:rPr>
          <w:rFonts w:ascii="Times New Roman" w:hAnsi="Times New Roman"/>
          <w:sz w:val="20"/>
        </w:rPr>
      </w:pPr>
    </w:p>
    <w:p w14:paraId="40AD725C" w14:textId="42EAC981" w:rsidR="00FE54C8" w:rsidRPr="00841363" w:rsidRDefault="001A7BA8" w:rsidP="00C60CC8">
      <w:pPr>
        <w:pStyle w:val="Prrafodelista"/>
        <w:numPr>
          <w:ilvl w:val="0"/>
          <w:numId w:val="11"/>
        </w:numPr>
        <w:ind w:right="141"/>
        <w:jc w:val="both"/>
        <w:rPr>
          <w:b/>
          <w:sz w:val="20"/>
          <w:szCs w:val="20"/>
          <w:lang w:val="es-AR"/>
        </w:rPr>
      </w:pPr>
      <w:r w:rsidRPr="00841363">
        <w:rPr>
          <w:b/>
          <w:sz w:val="20"/>
          <w:szCs w:val="20"/>
          <w:lang w:val="es-AR"/>
        </w:rPr>
        <w:t>Riesgo de instrumentos financieros</w:t>
      </w:r>
    </w:p>
    <w:p w14:paraId="24DAAB94" w14:textId="77777777" w:rsidR="00FE54C8" w:rsidRPr="00841363" w:rsidRDefault="00FE54C8" w:rsidP="00FE54C8">
      <w:pPr>
        <w:pStyle w:val="Prrafodelista"/>
        <w:ind w:left="785" w:right="141"/>
        <w:jc w:val="both"/>
        <w:rPr>
          <w:b/>
          <w:sz w:val="20"/>
          <w:szCs w:val="20"/>
          <w:lang w:val="es-AR"/>
        </w:rPr>
      </w:pPr>
    </w:p>
    <w:p w14:paraId="1FEBC0B7" w14:textId="77777777" w:rsidR="004572C2" w:rsidRPr="00841363" w:rsidRDefault="004572C2" w:rsidP="004C099E">
      <w:pPr>
        <w:tabs>
          <w:tab w:val="num" w:pos="709"/>
        </w:tabs>
        <w:ind w:left="709" w:right="142"/>
        <w:jc w:val="both"/>
        <w:rPr>
          <w:rFonts w:ascii="Times New Roman" w:hAnsi="Times New Roman"/>
          <w:b/>
          <w:sz w:val="20"/>
          <w:u w:val="single"/>
        </w:rPr>
      </w:pPr>
    </w:p>
    <w:p w14:paraId="324CF310" w14:textId="3CABD975" w:rsidR="004572C2" w:rsidRPr="00841363" w:rsidRDefault="004572C2" w:rsidP="004572C2">
      <w:pPr>
        <w:tabs>
          <w:tab w:val="num" w:pos="709"/>
        </w:tabs>
        <w:ind w:left="607" w:right="142"/>
        <w:jc w:val="both"/>
        <w:rPr>
          <w:rFonts w:ascii="Times New Roman" w:hAnsi="Times New Roman"/>
          <w:b/>
          <w:sz w:val="20"/>
          <w:u w:val="single"/>
        </w:rPr>
      </w:pPr>
      <w:r w:rsidRPr="00841363">
        <w:rPr>
          <w:rFonts w:ascii="Times New Roman" w:hAnsi="Times New Roman"/>
          <w:b/>
          <w:sz w:val="20"/>
        </w:rPr>
        <w:t>47.1  </w:t>
      </w:r>
      <w:r w:rsidRPr="00841363">
        <w:rPr>
          <w:rFonts w:ascii="Times New Roman" w:hAnsi="Times New Roman"/>
          <w:b/>
          <w:sz w:val="20"/>
          <w:u w:val="single"/>
        </w:rPr>
        <w:t>Políticas de riesgo de instrumentos financieros</w:t>
      </w:r>
    </w:p>
    <w:p w14:paraId="4D158AB2" w14:textId="77777777" w:rsidR="004572C2" w:rsidRPr="00841363" w:rsidRDefault="004572C2" w:rsidP="004C099E">
      <w:pPr>
        <w:tabs>
          <w:tab w:val="num" w:pos="709"/>
        </w:tabs>
        <w:ind w:left="709" w:right="142"/>
        <w:jc w:val="both"/>
        <w:rPr>
          <w:rFonts w:ascii="Times New Roman" w:hAnsi="Times New Roman"/>
          <w:b/>
          <w:sz w:val="20"/>
          <w:u w:val="single"/>
        </w:rPr>
      </w:pPr>
    </w:p>
    <w:p w14:paraId="51F7E68B" w14:textId="2052F7FC" w:rsidR="002B21B3" w:rsidRPr="00333BFD" w:rsidRDefault="002B21B3" w:rsidP="004C099E">
      <w:pPr>
        <w:tabs>
          <w:tab w:val="num" w:pos="709"/>
        </w:tabs>
        <w:ind w:left="709" w:right="142"/>
        <w:jc w:val="both"/>
        <w:rPr>
          <w:rFonts w:ascii="Times New Roman" w:hAnsi="Times New Roman"/>
          <w:color w:val="000000"/>
          <w:sz w:val="20"/>
        </w:rPr>
      </w:pPr>
      <w:r w:rsidRPr="00841363">
        <w:rPr>
          <w:rFonts w:ascii="Times New Roman" w:hAnsi="Times New Roman"/>
          <w:color w:val="000000"/>
          <w:sz w:val="20"/>
        </w:rPr>
        <w:t>En estos estados financieros</w:t>
      </w:r>
      <w:r w:rsidR="00677F07" w:rsidRPr="00841363">
        <w:rPr>
          <w:rFonts w:ascii="Times New Roman" w:hAnsi="Times New Roman"/>
          <w:color w:val="000000"/>
          <w:sz w:val="20"/>
        </w:rPr>
        <w:t xml:space="preserve"> intermedios</w:t>
      </w:r>
      <w:r w:rsidRPr="00841363">
        <w:rPr>
          <w:rFonts w:ascii="Times New Roman" w:hAnsi="Times New Roman"/>
          <w:color w:val="000000"/>
          <w:sz w:val="20"/>
        </w:rPr>
        <w:t xml:space="preserve"> consolidados condensados, la Entidad aplicó las mismas políticas </w:t>
      </w:r>
      <w:r w:rsidR="00BD7F9C" w:rsidRPr="00841363">
        <w:rPr>
          <w:rFonts w:ascii="Times New Roman" w:hAnsi="Times New Roman"/>
          <w:color w:val="000000"/>
          <w:sz w:val="20"/>
        </w:rPr>
        <w:t xml:space="preserve">de riesgo de instrumentos financieros </w:t>
      </w:r>
      <w:r w:rsidRPr="00841363">
        <w:rPr>
          <w:rFonts w:ascii="Times New Roman" w:hAnsi="Times New Roman"/>
          <w:color w:val="000000"/>
          <w:sz w:val="20"/>
        </w:rPr>
        <w:t>que en la preparación de sus estados financieros al 31 de diciembre de 20</w:t>
      </w:r>
      <w:r w:rsidR="00BD7F9C" w:rsidRPr="00841363">
        <w:rPr>
          <w:rFonts w:ascii="Times New Roman" w:hAnsi="Times New Roman"/>
          <w:color w:val="000000"/>
          <w:sz w:val="20"/>
        </w:rPr>
        <w:t>20.</w:t>
      </w:r>
    </w:p>
    <w:p w14:paraId="0B011E95" w14:textId="77777777" w:rsidR="002904F2" w:rsidRPr="00333BFD" w:rsidRDefault="002904F2" w:rsidP="003322E0">
      <w:pPr>
        <w:tabs>
          <w:tab w:val="num" w:pos="709"/>
        </w:tabs>
        <w:ind w:left="607" w:right="142"/>
        <w:jc w:val="both"/>
        <w:rPr>
          <w:sz w:val="20"/>
        </w:rPr>
      </w:pPr>
    </w:p>
    <w:p w14:paraId="0345C39F" w14:textId="77777777" w:rsidR="002904F2" w:rsidRDefault="002904F2" w:rsidP="003322E0">
      <w:pPr>
        <w:tabs>
          <w:tab w:val="num" w:pos="709"/>
        </w:tabs>
        <w:ind w:left="607" w:right="142"/>
        <w:jc w:val="both"/>
        <w:rPr>
          <w:sz w:val="20"/>
        </w:rPr>
      </w:pPr>
    </w:p>
    <w:p w14:paraId="30F33141" w14:textId="77777777" w:rsidR="00E704A0" w:rsidRPr="00333BFD" w:rsidRDefault="00E704A0" w:rsidP="003322E0">
      <w:pPr>
        <w:tabs>
          <w:tab w:val="num" w:pos="709"/>
        </w:tabs>
        <w:ind w:left="607" w:right="142"/>
        <w:jc w:val="both"/>
        <w:rPr>
          <w:sz w:val="20"/>
        </w:rPr>
      </w:pPr>
    </w:p>
    <w:p w14:paraId="05B2F2C8" w14:textId="23A00803" w:rsidR="004572C2" w:rsidRPr="00333BFD" w:rsidRDefault="004572C2" w:rsidP="004572C2">
      <w:pPr>
        <w:pStyle w:val="Prrafodelista"/>
        <w:ind w:left="607" w:right="141"/>
        <w:jc w:val="both"/>
        <w:rPr>
          <w:sz w:val="20"/>
          <w:szCs w:val="20"/>
          <w:lang w:val="es-AR"/>
        </w:rPr>
      </w:pPr>
      <w:r w:rsidRPr="00841363">
        <w:rPr>
          <w:b/>
          <w:bCs/>
          <w:sz w:val="20"/>
          <w:szCs w:val="20"/>
          <w:lang w:val="es-AR"/>
        </w:rPr>
        <w:t xml:space="preserve">47.2   </w:t>
      </w:r>
      <w:r w:rsidRPr="00841363">
        <w:rPr>
          <w:b/>
          <w:bCs/>
          <w:sz w:val="20"/>
          <w:szCs w:val="20"/>
          <w:u w:val="single"/>
          <w:lang w:val="es-AR"/>
        </w:rPr>
        <w:t>Exposición al riesgo crediticio</w:t>
      </w:r>
      <w:r w:rsidR="00F97AEA" w:rsidRPr="00841363">
        <w:rPr>
          <w:b/>
          <w:bCs/>
          <w:sz w:val="20"/>
          <w:szCs w:val="20"/>
          <w:u w:val="single"/>
          <w:lang w:val="es-AR"/>
        </w:rPr>
        <w:t xml:space="preserve"> y previsiones</w:t>
      </w:r>
    </w:p>
    <w:p w14:paraId="3D18A6D7" w14:textId="77777777" w:rsidR="004572C2" w:rsidRPr="00333BFD" w:rsidRDefault="004572C2" w:rsidP="00FE54C8">
      <w:pPr>
        <w:pStyle w:val="Prrafodelista"/>
        <w:ind w:left="785" w:right="141"/>
        <w:jc w:val="both"/>
        <w:rPr>
          <w:sz w:val="20"/>
          <w:szCs w:val="20"/>
          <w:lang w:val="es-AR"/>
        </w:rPr>
      </w:pPr>
    </w:p>
    <w:p w14:paraId="74A1C529" w14:textId="6E50D16D" w:rsidR="004A4FFB" w:rsidRPr="00333BFD" w:rsidRDefault="00F648CE" w:rsidP="004A4FFB">
      <w:pPr>
        <w:pStyle w:val="Prrafodelista"/>
        <w:ind w:left="785" w:right="141"/>
        <w:jc w:val="both"/>
        <w:rPr>
          <w:sz w:val="20"/>
          <w:szCs w:val="20"/>
          <w:lang w:val="es-AR"/>
        </w:rPr>
      </w:pPr>
      <w:r w:rsidRPr="00333BFD">
        <w:rPr>
          <w:sz w:val="20"/>
          <w:szCs w:val="20"/>
          <w:lang w:val="es-AR"/>
        </w:rPr>
        <w:t xml:space="preserve">La exposición al </w:t>
      </w:r>
      <w:r w:rsidR="001A7BA8" w:rsidRPr="00333BFD">
        <w:rPr>
          <w:sz w:val="20"/>
          <w:szCs w:val="20"/>
          <w:lang w:val="es-AR"/>
        </w:rPr>
        <w:t>riesgo de crédito</w:t>
      </w:r>
      <w:r w:rsidR="00B02D9A" w:rsidRPr="00333BFD">
        <w:rPr>
          <w:sz w:val="20"/>
          <w:szCs w:val="20"/>
          <w:lang w:val="es-AR"/>
        </w:rPr>
        <w:t xml:space="preserve"> y previsiones</w:t>
      </w:r>
      <w:r w:rsidR="001A7BA8" w:rsidRPr="00333BFD">
        <w:rPr>
          <w:sz w:val="20"/>
          <w:szCs w:val="20"/>
          <w:lang w:val="es-AR"/>
        </w:rPr>
        <w:t>, medidos de acuerdo con NIIF 9-B.C.R.A. (modelo de pérdidas esperadas, con la excepción de activos financieros de</w:t>
      </w:r>
      <w:r w:rsidR="00291E4B" w:rsidRPr="00333BFD">
        <w:rPr>
          <w:sz w:val="20"/>
          <w:szCs w:val="20"/>
          <w:lang w:val="es-AR"/>
        </w:rPr>
        <w:t>l sector público no financiero)</w:t>
      </w:r>
      <w:r w:rsidRPr="00333BFD">
        <w:rPr>
          <w:sz w:val="20"/>
          <w:szCs w:val="20"/>
          <w:lang w:val="es-AR"/>
        </w:rPr>
        <w:t xml:space="preserve"> al 3</w:t>
      </w:r>
      <w:r w:rsidR="00007B8C">
        <w:rPr>
          <w:sz w:val="20"/>
          <w:szCs w:val="20"/>
          <w:lang w:val="es-AR"/>
        </w:rPr>
        <w:t>0</w:t>
      </w:r>
      <w:r w:rsidRPr="00333BFD">
        <w:rPr>
          <w:sz w:val="20"/>
          <w:szCs w:val="20"/>
          <w:lang w:val="es-AR"/>
        </w:rPr>
        <w:t xml:space="preserve"> de </w:t>
      </w:r>
      <w:r w:rsidR="00D04238">
        <w:rPr>
          <w:sz w:val="20"/>
          <w:szCs w:val="20"/>
          <w:lang w:val="es-AR"/>
        </w:rPr>
        <w:t>septiembre</w:t>
      </w:r>
      <w:r w:rsidR="00007B8C">
        <w:rPr>
          <w:sz w:val="20"/>
          <w:szCs w:val="20"/>
          <w:lang w:val="es-AR"/>
        </w:rPr>
        <w:t xml:space="preserve"> </w:t>
      </w:r>
      <w:r w:rsidRPr="00333BFD">
        <w:rPr>
          <w:sz w:val="20"/>
          <w:szCs w:val="20"/>
          <w:lang w:val="es-AR"/>
        </w:rPr>
        <w:t>de 2021 y al 31 de diciembre de 2020, se proporciona a continuación</w:t>
      </w:r>
      <w:r w:rsidR="00291E4B" w:rsidRPr="00333BFD">
        <w:rPr>
          <w:sz w:val="20"/>
          <w:szCs w:val="20"/>
          <w:lang w:val="es-AR"/>
        </w:rPr>
        <w:t>:</w:t>
      </w:r>
    </w:p>
    <w:p w14:paraId="0E15710A" w14:textId="77777777" w:rsidR="000C4245" w:rsidRPr="00333BFD" w:rsidRDefault="000C4245" w:rsidP="004A4FFB">
      <w:pPr>
        <w:pStyle w:val="Prrafodelista"/>
        <w:ind w:left="785" w:right="141"/>
        <w:jc w:val="both"/>
        <w:rPr>
          <w:sz w:val="20"/>
          <w:szCs w:val="20"/>
          <w:lang w:val="es-AR"/>
        </w:rPr>
      </w:pPr>
    </w:p>
    <w:p w14:paraId="128BABE3" w14:textId="016D67B0" w:rsidR="00291E4B" w:rsidRPr="00F52D0E" w:rsidRDefault="002B0303" w:rsidP="00291E4B">
      <w:pPr>
        <w:pStyle w:val="Prrafodelista"/>
        <w:ind w:left="142" w:right="141"/>
        <w:jc w:val="both"/>
        <w:rPr>
          <w:sz w:val="20"/>
          <w:szCs w:val="20"/>
          <w:lang w:val="es-AR"/>
        </w:rPr>
      </w:pPr>
      <w:r w:rsidRPr="00F52D0E">
        <w:rPr>
          <w:noProof/>
          <w:lang w:val="es-AR" w:eastAsia="es-AR"/>
        </w:rPr>
        <w:drawing>
          <wp:inline distT="0" distB="0" distL="0" distR="0" wp14:anchorId="1BC4F07A" wp14:editId="49F60B8A">
            <wp:extent cx="6120000" cy="2191529"/>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000" cy="2191529"/>
                    </a:xfrm>
                    <a:prstGeom prst="rect">
                      <a:avLst/>
                    </a:prstGeom>
                    <a:noFill/>
                    <a:ln>
                      <a:noFill/>
                    </a:ln>
                  </pic:spPr>
                </pic:pic>
              </a:graphicData>
            </a:graphic>
          </wp:inline>
        </w:drawing>
      </w:r>
    </w:p>
    <w:p w14:paraId="0D3791E2" w14:textId="77777777" w:rsidR="009B6D5D" w:rsidRPr="00F52D0E" w:rsidRDefault="009B6D5D" w:rsidP="00291E4B">
      <w:pPr>
        <w:pStyle w:val="Prrafodelista"/>
        <w:ind w:left="142" w:right="141"/>
        <w:jc w:val="both"/>
        <w:rPr>
          <w:sz w:val="20"/>
          <w:szCs w:val="20"/>
          <w:lang w:val="es-AR"/>
        </w:rPr>
      </w:pPr>
    </w:p>
    <w:p w14:paraId="48A7DBD3" w14:textId="27B700DF" w:rsidR="009B6D5D" w:rsidRPr="00F52D0E" w:rsidRDefault="002B0303" w:rsidP="00291E4B">
      <w:pPr>
        <w:pStyle w:val="Prrafodelista"/>
        <w:ind w:left="142" w:right="141"/>
        <w:jc w:val="both"/>
        <w:rPr>
          <w:sz w:val="20"/>
          <w:szCs w:val="20"/>
          <w:lang w:val="es-AR"/>
        </w:rPr>
      </w:pPr>
      <w:r w:rsidRPr="00F52D0E">
        <w:rPr>
          <w:noProof/>
          <w:lang w:val="es-AR" w:eastAsia="es-AR"/>
        </w:rPr>
        <w:drawing>
          <wp:inline distT="0" distB="0" distL="0" distR="0" wp14:anchorId="4273C3E3" wp14:editId="7F258937">
            <wp:extent cx="6120000" cy="2191529"/>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000" cy="2191529"/>
                    </a:xfrm>
                    <a:prstGeom prst="rect">
                      <a:avLst/>
                    </a:prstGeom>
                    <a:noFill/>
                    <a:ln>
                      <a:noFill/>
                    </a:ln>
                  </pic:spPr>
                </pic:pic>
              </a:graphicData>
            </a:graphic>
          </wp:inline>
        </w:drawing>
      </w:r>
    </w:p>
    <w:p w14:paraId="3D0C0461" w14:textId="77777777" w:rsidR="009D1FDC" w:rsidRPr="00F52D0E" w:rsidRDefault="009D1FDC" w:rsidP="00291E4B">
      <w:pPr>
        <w:pStyle w:val="Prrafodelista"/>
        <w:ind w:left="142" w:right="141"/>
        <w:jc w:val="both"/>
        <w:rPr>
          <w:sz w:val="20"/>
          <w:szCs w:val="20"/>
          <w:lang w:val="es-AR"/>
        </w:rPr>
      </w:pPr>
    </w:p>
    <w:p w14:paraId="6B42C2C9" w14:textId="0FF697D5" w:rsidR="009B6D5D" w:rsidRPr="00F52D0E" w:rsidRDefault="002B0303" w:rsidP="00291E4B">
      <w:pPr>
        <w:pStyle w:val="Prrafodelista"/>
        <w:ind w:left="142" w:right="141"/>
        <w:jc w:val="both"/>
        <w:rPr>
          <w:sz w:val="20"/>
          <w:szCs w:val="20"/>
          <w:lang w:val="es-AR"/>
        </w:rPr>
      </w:pPr>
      <w:r w:rsidRPr="00F52D0E">
        <w:rPr>
          <w:noProof/>
          <w:lang w:val="es-AR" w:eastAsia="es-AR"/>
        </w:rPr>
        <w:lastRenderedPageBreak/>
        <w:drawing>
          <wp:inline distT="0" distB="0" distL="0" distR="0" wp14:anchorId="6D832297" wp14:editId="5E0E0C3F">
            <wp:extent cx="6120000" cy="2191529"/>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000" cy="2191529"/>
                    </a:xfrm>
                    <a:prstGeom prst="rect">
                      <a:avLst/>
                    </a:prstGeom>
                    <a:noFill/>
                    <a:ln>
                      <a:noFill/>
                    </a:ln>
                  </pic:spPr>
                </pic:pic>
              </a:graphicData>
            </a:graphic>
          </wp:inline>
        </w:drawing>
      </w:r>
    </w:p>
    <w:p w14:paraId="0D5B90B8" w14:textId="2F946823" w:rsidR="000A5CC8" w:rsidRPr="00F52D0E" w:rsidRDefault="002B0303" w:rsidP="00291E4B">
      <w:pPr>
        <w:pStyle w:val="Prrafodelista"/>
        <w:ind w:left="142" w:right="141"/>
        <w:jc w:val="both"/>
        <w:rPr>
          <w:sz w:val="20"/>
          <w:szCs w:val="20"/>
          <w:lang w:val="es-AR"/>
        </w:rPr>
      </w:pPr>
      <w:r w:rsidRPr="00F52D0E">
        <w:rPr>
          <w:noProof/>
          <w:lang w:val="es-AR" w:eastAsia="es-AR"/>
        </w:rPr>
        <w:drawing>
          <wp:inline distT="0" distB="0" distL="0" distR="0" wp14:anchorId="3619DB75" wp14:editId="5BF8C419">
            <wp:extent cx="6120000" cy="2191529"/>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000" cy="2191529"/>
                    </a:xfrm>
                    <a:prstGeom prst="rect">
                      <a:avLst/>
                    </a:prstGeom>
                    <a:noFill/>
                    <a:ln>
                      <a:noFill/>
                    </a:ln>
                  </pic:spPr>
                </pic:pic>
              </a:graphicData>
            </a:graphic>
          </wp:inline>
        </w:drawing>
      </w:r>
    </w:p>
    <w:p w14:paraId="0987B27E" w14:textId="77777777" w:rsidR="00726F2F" w:rsidRPr="00F52D0E" w:rsidRDefault="00726F2F" w:rsidP="00291E4B">
      <w:pPr>
        <w:pStyle w:val="Prrafodelista"/>
        <w:ind w:left="142" w:right="141"/>
        <w:jc w:val="both"/>
        <w:rPr>
          <w:sz w:val="20"/>
          <w:szCs w:val="20"/>
          <w:lang w:val="es-AR"/>
        </w:rPr>
      </w:pPr>
    </w:p>
    <w:p w14:paraId="6A80C66B" w14:textId="37D30626" w:rsidR="00726F2F" w:rsidRPr="00F52D0E" w:rsidRDefault="002B0303" w:rsidP="00291E4B">
      <w:pPr>
        <w:pStyle w:val="Prrafodelista"/>
        <w:ind w:left="142" w:right="141"/>
        <w:jc w:val="both"/>
        <w:rPr>
          <w:sz w:val="20"/>
          <w:szCs w:val="20"/>
          <w:lang w:val="es-AR"/>
        </w:rPr>
      </w:pPr>
      <w:r w:rsidRPr="00F52D0E">
        <w:rPr>
          <w:noProof/>
          <w:lang w:val="es-AR" w:eastAsia="es-AR"/>
        </w:rPr>
        <w:drawing>
          <wp:inline distT="0" distB="0" distL="0" distR="0" wp14:anchorId="09630995" wp14:editId="7187CC8B">
            <wp:extent cx="6120000" cy="2191529"/>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000" cy="2191529"/>
                    </a:xfrm>
                    <a:prstGeom prst="rect">
                      <a:avLst/>
                    </a:prstGeom>
                    <a:noFill/>
                    <a:ln>
                      <a:noFill/>
                    </a:ln>
                  </pic:spPr>
                </pic:pic>
              </a:graphicData>
            </a:graphic>
          </wp:inline>
        </w:drawing>
      </w:r>
    </w:p>
    <w:p w14:paraId="6E0C9C27" w14:textId="77777777" w:rsidR="002B0303" w:rsidRPr="00F52D0E" w:rsidRDefault="002B0303" w:rsidP="00291E4B">
      <w:pPr>
        <w:pStyle w:val="Prrafodelista"/>
        <w:ind w:left="142" w:right="141"/>
        <w:jc w:val="both"/>
        <w:rPr>
          <w:sz w:val="20"/>
          <w:szCs w:val="20"/>
          <w:lang w:val="es-AR"/>
        </w:rPr>
      </w:pPr>
    </w:p>
    <w:p w14:paraId="5F4B867E" w14:textId="667827FD" w:rsidR="00726F2F" w:rsidRPr="00F52D0E" w:rsidRDefault="00D3634E" w:rsidP="00291E4B">
      <w:pPr>
        <w:pStyle w:val="Prrafodelista"/>
        <w:ind w:left="142" w:right="141"/>
        <w:jc w:val="both"/>
        <w:rPr>
          <w:sz w:val="20"/>
          <w:szCs w:val="20"/>
          <w:lang w:val="es-AR"/>
        </w:rPr>
      </w:pPr>
      <w:r w:rsidRPr="00F52D0E">
        <w:rPr>
          <w:noProof/>
          <w:lang w:val="es-AR" w:eastAsia="es-AR"/>
        </w:rPr>
        <w:lastRenderedPageBreak/>
        <w:drawing>
          <wp:inline distT="0" distB="0" distL="0" distR="0" wp14:anchorId="7933237B" wp14:editId="01BEEC0F">
            <wp:extent cx="6120000" cy="2191529"/>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000" cy="2191529"/>
                    </a:xfrm>
                    <a:prstGeom prst="rect">
                      <a:avLst/>
                    </a:prstGeom>
                    <a:noFill/>
                    <a:ln>
                      <a:noFill/>
                    </a:ln>
                  </pic:spPr>
                </pic:pic>
              </a:graphicData>
            </a:graphic>
          </wp:inline>
        </w:drawing>
      </w:r>
    </w:p>
    <w:p w14:paraId="116FD66D" w14:textId="77777777" w:rsidR="00726F2F" w:rsidRPr="00F52D0E" w:rsidRDefault="00726F2F" w:rsidP="00291E4B">
      <w:pPr>
        <w:pStyle w:val="Prrafodelista"/>
        <w:ind w:left="142" w:right="141"/>
        <w:jc w:val="both"/>
        <w:rPr>
          <w:sz w:val="20"/>
          <w:szCs w:val="20"/>
          <w:lang w:val="es-AR"/>
        </w:rPr>
      </w:pPr>
    </w:p>
    <w:p w14:paraId="2810CA75" w14:textId="6EFC6C2A" w:rsidR="00726F2F" w:rsidRPr="00F52D0E" w:rsidRDefault="00D3634E" w:rsidP="00291E4B">
      <w:pPr>
        <w:pStyle w:val="Prrafodelista"/>
        <w:ind w:left="142" w:right="141"/>
        <w:jc w:val="both"/>
        <w:rPr>
          <w:sz w:val="20"/>
          <w:szCs w:val="20"/>
          <w:lang w:val="es-AR"/>
        </w:rPr>
      </w:pPr>
      <w:r w:rsidRPr="00F52D0E">
        <w:rPr>
          <w:noProof/>
          <w:lang w:val="es-AR" w:eastAsia="es-AR"/>
        </w:rPr>
        <w:drawing>
          <wp:inline distT="0" distB="0" distL="0" distR="0" wp14:anchorId="15A8B4D8" wp14:editId="14729CCC">
            <wp:extent cx="6120000" cy="2191529"/>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000" cy="2191529"/>
                    </a:xfrm>
                    <a:prstGeom prst="rect">
                      <a:avLst/>
                    </a:prstGeom>
                    <a:noFill/>
                    <a:ln>
                      <a:noFill/>
                    </a:ln>
                  </pic:spPr>
                </pic:pic>
              </a:graphicData>
            </a:graphic>
          </wp:inline>
        </w:drawing>
      </w:r>
    </w:p>
    <w:p w14:paraId="53E445A6" w14:textId="77777777" w:rsidR="00726F2F" w:rsidRPr="00F52D0E" w:rsidRDefault="00726F2F" w:rsidP="00291E4B">
      <w:pPr>
        <w:pStyle w:val="Prrafodelista"/>
        <w:ind w:left="142" w:right="141"/>
        <w:jc w:val="both"/>
        <w:rPr>
          <w:sz w:val="20"/>
          <w:szCs w:val="20"/>
          <w:lang w:val="es-AR"/>
        </w:rPr>
      </w:pPr>
    </w:p>
    <w:p w14:paraId="5C4AE8B5" w14:textId="07AA43BD" w:rsidR="00726F2F" w:rsidRPr="00F52D0E" w:rsidRDefault="00D3634E" w:rsidP="00291E4B">
      <w:pPr>
        <w:pStyle w:val="Prrafodelista"/>
        <w:ind w:left="142" w:right="141"/>
        <w:jc w:val="both"/>
        <w:rPr>
          <w:sz w:val="20"/>
          <w:szCs w:val="20"/>
          <w:lang w:val="es-AR"/>
        </w:rPr>
      </w:pPr>
      <w:r w:rsidRPr="00F52D0E">
        <w:rPr>
          <w:noProof/>
          <w:lang w:val="es-AR" w:eastAsia="es-AR"/>
        </w:rPr>
        <w:drawing>
          <wp:inline distT="0" distB="0" distL="0" distR="0" wp14:anchorId="6796CCDE" wp14:editId="0BF5EB12">
            <wp:extent cx="6120000" cy="2191530"/>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000" cy="2191530"/>
                    </a:xfrm>
                    <a:prstGeom prst="rect">
                      <a:avLst/>
                    </a:prstGeom>
                    <a:noFill/>
                    <a:ln>
                      <a:noFill/>
                    </a:ln>
                  </pic:spPr>
                </pic:pic>
              </a:graphicData>
            </a:graphic>
          </wp:inline>
        </w:drawing>
      </w:r>
    </w:p>
    <w:p w14:paraId="0B30FD19" w14:textId="77777777" w:rsidR="009D1FDC" w:rsidRPr="00F52D0E" w:rsidRDefault="009D1FDC" w:rsidP="00291E4B">
      <w:pPr>
        <w:pStyle w:val="Prrafodelista"/>
        <w:ind w:left="142" w:right="141"/>
        <w:jc w:val="both"/>
        <w:rPr>
          <w:sz w:val="20"/>
          <w:szCs w:val="20"/>
          <w:lang w:val="es-AR"/>
        </w:rPr>
      </w:pPr>
    </w:p>
    <w:p w14:paraId="556C0253" w14:textId="5E719DA7" w:rsidR="00750CAE" w:rsidRPr="000B181D" w:rsidRDefault="00750CAE" w:rsidP="00726F2F">
      <w:pPr>
        <w:tabs>
          <w:tab w:val="left" w:pos="851"/>
        </w:tabs>
        <w:spacing w:after="120"/>
        <w:ind w:left="851" w:right="-427"/>
        <w:rPr>
          <w:rFonts w:ascii="Times New Roman" w:hAnsi="Times New Roman"/>
          <w:b/>
          <w:bCs/>
          <w:sz w:val="20"/>
          <w:lang w:val="es"/>
        </w:rPr>
      </w:pPr>
      <w:r w:rsidRPr="000B181D">
        <w:rPr>
          <w:rFonts w:ascii="Times New Roman" w:hAnsi="Times New Roman"/>
          <w:b/>
          <w:bCs/>
          <w:sz w:val="20"/>
          <w:lang w:val="es"/>
        </w:rPr>
        <w:t>Medición de pérdidas crediticias esperadas</w:t>
      </w:r>
    </w:p>
    <w:p w14:paraId="45219B4F" w14:textId="77777777" w:rsidR="00D46F5E" w:rsidRPr="000B181D" w:rsidRDefault="00D46F5E" w:rsidP="00750CAE">
      <w:pPr>
        <w:tabs>
          <w:tab w:val="num" w:pos="-426"/>
        </w:tabs>
        <w:spacing w:after="160"/>
        <w:ind w:left="851" w:right="62"/>
        <w:jc w:val="both"/>
        <w:rPr>
          <w:rFonts w:ascii="Times New Roman" w:hAnsi="Times New Roman"/>
          <w:sz w:val="2"/>
          <w:szCs w:val="2"/>
          <w:lang w:val="es"/>
        </w:rPr>
      </w:pPr>
    </w:p>
    <w:p w14:paraId="2BA20079" w14:textId="77777777" w:rsidR="00750CAE" w:rsidRPr="000B181D" w:rsidRDefault="00750CAE" w:rsidP="00750CAE">
      <w:pPr>
        <w:tabs>
          <w:tab w:val="num" w:pos="-426"/>
        </w:tabs>
        <w:spacing w:after="160"/>
        <w:ind w:left="851" w:right="62"/>
        <w:jc w:val="both"/>
        <w:rPr>
          <w:rFonts w:ascii="Times New Roman" w:hAnsi="Times New Roman"/>
          <w:sz w:val="20"/>
          <w:lang w:val="es-419"/>
        </w:rPr>
      </w:pPr>
      <w:r w:rsidRPr="000B181D">
        <w:rPr>
          <w:rFonts w:ascii="Times New Roman" w:hAnsi="Times New Roman"/>
          <w:sz w:val="20"/>
          <w:lang w:val="es"/>
        </w:rPr>
        <w:t xml:space="preserve">De acuerdo con la NIIF 9, las pérdidas crediticias esperadas (PCE) de un instrumento financiero se deben calcular de un modo que refleje una estimación objetiva, el valor tiempo del dinero y una perspectiva a futuro (incluidas predicciones económicas). </w:t>
      </w:r>
    </w:p>
    <w:p w14:paraId="1CC8875A" w14:textId="77777777" w:rsidR="00643F93" w:rsidRPr="000B181D" w:rsidRDefault="00643F93" w:rsidP="00643F93">
      <w:pPr>
        <w:tabs>
          <w:tab w:val="num" w:pos="-426"/>
          <w:tab w:val="left" w:pos="709"/>
          <w:tab w:val="num" w:pos="851"/>
        </w:tabs>
        <w:spacing w:after="160"/>
        <w:ind w:left="851" w:right="62"/>
        <w:jc w:val="both"/>
        <w:rPr>
          <w:rFonts w:ascii="Times New Roman" w:hAnsi="Times New Roman"/>
          <w:sz w:val="20"/>
          <w:u w:val="single"/>
        </w:rPr>
      </w:pPr>
      <w:r w:rsidRPr="000B181D">
        <w:rPr>
          <w:rFonts w:ascii="Times New Roman" w:hAnsi="Times New Roman"/>
          <w:sz w:val="20"/>
          <w:u w:val="single"/>
        </w:rPr>
        <w:t>Impacto Covid-19</w:t>
      </w:r>
    </w:p>
    <w:p w14:paraId="53FD3CBE" w14:textId="0E66775D" w:rsidR="00643F93" w:rsidRPr="000B181D" w:rsidRDefault="00643F93" w:rsidP="00643F93">
      <w:pPr>
        <w:tabs>
          <w:tab w:val="num" w:pos="-426"/>
          <w:tab w:val="left" w:pos="709"/>
          <w:tab w:val="num" w:pos="851"/>
        </w:tabs>
        <w:spacing w:after="160"/>
        <w:ind w:left="851" w:right="62"/>
        <w:jc w:val="both"/>
        <w:rPr>
          <w:rFonts w:ascii="Times New Roman" w:hAnsi="Times New Roman"/>
          <w:sz w:val="20"/>
        </w:rPr>
      </w:pPr>
      <w:r w:rsidRPr="000B181D">
        <w:rPr>
          <w:rFonts w:ascii="Times New Roman" w:hAnsi="Times New Roman"/>
          <w:sz w:val="20"/>
        </w:rPr>
        <w:t xml:space="preserve">El regulador y el gobierno, durante el confinamiento, dictaron una serie de comunicaciones y decretos, por los cuales a toda la cartera de financiaciones no tarjetas  se le permitió diferir sus cuotas impagas desde abril 2020 llevando su vencimiento al final de la operación. </w:t>
      </w:r>
      <w:r w:rsidR="000B181D" w:rsidRPr="000B181D">
        <w:rPr>
          <w:rFonts w:ascii="Times New Roman" w:hAnsi="Times New Roman"/>
          <w:sz w:val="20"/>
        </w:rPr>
        <w:t>La medida quedó desafectada en marzo 2021 por lo que no se aplican más diferimientos.</w:t>
      </w:r>
    </w:p>
    <w:p w14:paraId="3AB9858B" w14:textId="63788E41" w:rsidR="00E72DB2" w:rsidRDefault="00E72DB2" w:rsidP="00643F93">
      <w:pPr>
        <w:tabs>
          <w:tab w:val="num" w:pos="-426"/>
          <w:tab w:val="left" w:pos="709"/>
          <w:tab w:val="num" w:pos="851"/>
        </w:tabs>
        <w:spacing w:after="160"/>
        <w:ind w:left="851" w:right="62"/>
        <w:jc w:val="both"/>
        <w:rPr>
          <w:rFonts w:ascii="Times New Roman" w:hAnsi="Times New Roman"/>
          <w:sz w:val="20"/>
        </w:rPr>
      </w:pPr>
      <w:r w:rsidRPr="000B181D">
        <w:rPr>
          <w:rFonts w:ascii="Times New Roman" w:hAnsi="Times New Roman"/>
          <w:sz w:val="20"/>
        </w:rPr>
        <w:t>A continuación se expone un cuadro detallando la cartera de préstamos afectada por las disposiciones antes mencionadas y el efecto sobre sus flujos contractuales:</w:t>
      </w:r>
    </w:p>
    <w:p w14:paraId="75AD7C8B" w14:textId="77777777" w:rsidR="00A06404" w:rsidRPr="008F47DD" w:rsidRDefault="00A06404" w:rsidP="00643F93">
      <w:pPr>
        <w:tabs>
          <w:tab w:val="num" w:pos="-426"/>
          <w:tab w:val="left" w:pos="709"/>
          <w:tab w:val="num" w:pos="851"/>
        </w:tabs>
        <w:spacing w:after="160"/>
        <w:ind w:left="851" w:right="62"/>
        <w:jc w:val="both"/>
        <w:rPr>
          <w:rFonts w:ascii="Times New Roman" w:hAnsi="Times New Roman"/>
          <w:sz w:val="20"/>
        </w:rPr>
      </w:pPr>
    </w:p>
    <w:p w14:paraId="2B25148D" w14:textId="26BED7E3" w:rsidR="000A44F8" w:rsidRDefault="00463704" w:rsidP="00303474">
      <w:pPr>
        <w:tabs>
          <w:tab w:val="num" w:pos="-426"/>
          <w:tab w:val="left" w:pos="709"/>
          <w:tab w:val="num" w:pos="851"/>
        </w:tabs>
        <w:spacing w:after="160"/>
        <w:ind w:left="851" w:right="62"/>
        <w:jc w:val="both"/>
        <w:rPr>
          <w:rFonts w:ascii="Times New Roman" w:hAnsi="Times New Roman"/>
          <w:sz w:val="20"/>
          <w:highlight w:val="yellow"/>
        </w:rPr>
      </w:pPr>
      <w:r w:rsidRPr="00463704">
        <w:rPr>
          <w:noProof/>
          <w:lang w:eastAsia="es-AR"/>
        </w:rPr>
        <w:drawing>
          <wp:inline distT="0" distB="0" distL="0" distR="0" wp14:anchorId="610CF6E6" wp14:editId="00139E9E">
            <wp:extent cx="5667375" cy="122364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67395" cy="1223649"/>
                    </a:xfrm>
                    <a:prstGeom prst="rect">
                      <a:avLst/>
                    </a:prstGeom>
                    <a:noFill/>
                    <a:ln>
                      <a:noFill/>
                    </a:ln>
                  </pic:spPr>
                </pic:pic>
              </a:graphicData>
            </a:graphic>
          </wp:inline>
        </w:drawing>
      </w:r>
    </w:p>
    <w:p w14:paraId="3EFC6595" w14:textId="77777777" w:rsidR="00E25B56" w:rsidRDefault="00E25B56" w:rsidP="00643F93">
      <w:pPr>
        <w:tabs>
          <w:tab w:val="num" w:pos="-426"/>
          <w:tab w:val="left" w:pos="709"/>
          <w:tab w:val="num" w:pos="851"/>
        </w:tabs>
        <w:spacing w:after="160"/>
        <w:ind w:left="851" w:right="62"/>
        <w:jc w:val="both"/>
        <w:rPr>
          <w:rFonts w:ascii="Times New Roman" w:hAnsi="Times New Roman"/>
          <w:sz w:val="20"/>
        </w:rPr>
      </w:pPr>
    </w:p>
    <w:p w14:paraId="60B87893" w14:textId="2DB89A50" w:rsidR="00643F93" w:rsidRPr="000B181D" w:rsidRDefault="00643F93" w:rsidP="00643F93">
      <w:pPr>
        <w:tabs>
          <w:tab w:val="num" w:pos="-426"/>
          <w:tab w:val="left" w:pos="709"/>
          <w:tab w:val="num" w:pos="851"/>
        </w:tabs>
        <w:spacing w:after="160"/>
        <w:ind w:left="851" w:right="62"/>
        <w:jc w:val="both"/>
        <w:rPr>
          <w:rFonts w:ascii="Times New Roman" w:hAnsi="Times New Roman"/>
          <w:sz w:val="20"/>
        </w:rPr>
      </w:pPr>
      <w:r w:rsidRPr="000B181D">
        <w:rPr>
          <w:rFonts w:ascii="Times New Roman" w:hAnsi="Times New Roman"/>
          <w:sz w:val="20"/>
        </w:rPr>
        <w:t xml:space="preserve">En el caso de tarjetas de crédito, estableció que las deudas impagas de abril 2020 y septiembre 2020, debían ser reprogramadas en nueve cuotas iguales y consecutivas, con tres meses de gracia. </w:t>
      </w:r>
      <w:r w:rsidR="008F47DD" w:rsidRPr="000B181D">
        <w:rPr>
          <w:rFonts w:ascii="Times New Roman" w:hAnsi="Times New Roman"/>
          <w:sz w:val="20"/>
        </w:rPr>
        <w:t xml:space="preserve">Las primeras han vencido en </w:t>
      </w:r>
      <w:r w:rsidR="000B181D" w:rsidRPr="000B181D">
        <w:rPr>
          <w:rFonts w:ascii="Times New Roman" w:hAnsi="Times New Roman"/>
          <w:sz w:val="20"/>
        </w:rPr>
        <w:t>abril</w:t>
      </w:r>
      <w:r w:rsidR="008F47DD" w:rsidRPr="000B181D">
        <w:rPr>
          <w:rFonts w:ascii="Times New Roman" w:hAnsi="Times New Roman"/>
          <w:sz w:val="20"/>
        </w:rPr>
        <w:t xml:space="preserve"> 2021, mientras que las segundas</w:t>
      </w:r>
      <w:r w:rsidR="000B181D" w:rsidRPr="000B181D">
        <w:rPr>
          <w:rFonts w:ascii="Times New Roman" w:hAnsi="Times New Roman"/>
          <w:sz w:val="20"/>
        </w:rPr>
        <w:t xml:space="preserve"> vencieron en septiembre 2021</w:t>
      </w:r>
      <w:r w:rsidRPr="000B181D">
        <w:rPr>
          <w:rFonts w:ascii="Times New Roman" w:hAnsi="Times New Roman"/>
          <w:sz w:val="20"/>
        </w:rPr>
        <w:t>.</w:t>
      </w:r>
      <w:r w:rsidR="00241FFD">
        <w:rPr>
          <w:rFonts w:ascii="Times New Roman" w:hAnsi="Times New Roman"/>
          <w:sz w:val="20"/>
        </w:rPr>
        <w:t xml:space="preserve"> </w:t>
      </w:r>
      <w:r w:rsidR="00241FFD" w:rsidRPr="00241FFD">
        <w:rPr>
          <w:rFonts w:ascii="Times New Roman" w:hAnsi="Times New Roman"/>
          <w:sz w:val="20"/>
        </w:rPr>
        <w:t>La prórroga del vencimiento en ningún caso representó una mejora de stage.</w:t>
      </w:r>
      <w:r w:rsidRPr="000B181D">
        <w:rPr>
          <w:rFonts w:ascii="Times New Roman" w:hAnsi="Times New Roman"/>
          <w:sz w:val="20"/>
        </w:rPr>
        <w:t xml:space="preserve"> </w:t>
      </w:r>
    </w:p>
    <w:p w14:paraId="6EC3BA94" w14:textId="0A4087EC" w:rsidR="00D06EB9" w:rsidRPr="00D06EB9" w:rsidRDefault="00D06EB9" w:rsidP="00DC29BF">
      <w:pPr>
        <w:pStyle w:val="Prrafodelista"/>
        <w:ind w:left="851"/>
        <w:jc w:val="both"/>
        <w:rPr>
          <w:sz w:val="20"/>
          <w:szCs w:val="20"/>
          <w:lang w:val="es-AR" w:eastAsia="es-ES"/>
        </w:rPr>
      </w:pPr>
      <w:r w:rsidRPr="000B181D">
        <w:rPr>
          <w:sz w:val="20"/>
          <w:szCs w:val="20"/>
          <w:lang w:val="es-AR" w:eastAsia="es-ES"/>
        </w:rPr>
        <w:t>Los parámetros del modelo de medición de PCE no se vieron afectados. Los ratios de calidad crediticia no mostraron deterioro como consecuencia de las medidas de ayuda impulsadas por las autoridades nacionales. Dada la situación de pandemia y cuarentena, no se registraron impactos relevantes en la PCE directamente relacionados con COVID 19.</w:t>
      </w:r>
    </w:p>
    <w:p w14:paraId="5BC3274B" w14:textId="77777777" w:rsidR="00816277" w:rsidRDefault="00816277" w:rsidP="00FE54C8">
      <w:pPr>
        <w:pStyle w:val="Prrafodelista"/>
        <w:ind w:left="785" w:right="141"/>
        <w:jc w:val="both"/>
        <w:rPr>
          <w:b/>
          <w:sz w:val="20"/>
          <w:szCs w:val="20"/>
          <w:lang w:val="es"/>
        </w:rPr>
      </w:pPr>
    </w:p>
    <w:p w14:paraId="1C6E8A17" w14:textId="77777777" w:rsidR="005A4775" w:rsidRDefault="005A4775" w:rsidP="00FE54C8">
      <w:pPr>
        <w:pStyle w:val="Prrafodelista"/>
        <w:ind w:left="785" w:right="141"/>
        <w:jc w:val="both"/>
        <w:rPr>
          <w:b/>
          <w:sz w:val="20"/>
          <w:szCs w:val="20"/>
          <w:lang w:val="es"/>
        </w:rPr>
      </w:pPr>
    </w:p>
    <w:p w14:paraId="314A841C" w14:textId="77777777" w:rsidR="00816277" w:rsidRDefault="00816277" w:rsidP="00FE54C8">
      <w:pPr>
        <w:pStyle w:val="Prrafodelista"/>
        <w:ind w:left="785" w:right="141"/>
        <w:jc w:val="both"/>
        <w:rPr>
          <w:b/>
          <w:sz w:val="20"/>
          <w:szCs w:val="20"/>
          <w:lang w:val="es"/>
        </w:rPr>
      </w:pPr>
    </w:p>
    <w:p w14:paraId="5E807AA4" w14:textId="79D608B9" w:rsidR="008A6371" w:rsidRPr="008A0C1A" w:rsidRDefault="008A6371" w:rsidP="00C60CC8">
      <w:pPr>
        <w:pStyle w:val="Prrafodelista"/>
        <w:numPr>
          <w:ilvl w:val="0"/>
          <w:numId w:val="11"/>
        </w:numPr>
        <w:ind w:right="141"/>
        <w:jc w:val="both"/>
        <w:rPr>
          <w:b/>
          <w:sz w:val="20"/>
          <w:szCs w:val="20"/>
          <w:lang w:val="es-AR"/>
        </w:rPr>
      </w:pPr>
      <w:r w:rsidRPr="008A0C1A">
        <w:rPr>
          <w:b/>
          <w:color w:val="000000"/>
          <w:sz w:val="20"/>
          <w:szCs w:val="20"/>
          <w:lang w:val="es-AR"/>
        </w:rPr>
        <w:t xml:space="preserve">Restricciones al pago de dividendos </w:t>
      </w:r>
    </w:p>
    <w:p w14:paraId="1B1CC34B" w14:textId="7ACD9327" w:rsidR="008A6371" w:rsidRPr="00110E8B" w:rsidRDefault="008A6371" w:rsidP="000F0955">
      <w:pPr>
        <w:pStyle w:val="Textoinfaud"/>
        <w:spacing w:before="120" w:after="120" w:line="240" w:lineRule="exact"/>
        <w:ind w:left="720"/>
        <w:rPr>
          <w:rFonts w:ascii="Times New Roman" w:hAnsi="Times New Roman"/>
          <w:lang w:val="es-AR"/>
        </w:rPr>
      </w:pPr>
      <w:r w:rsidRPr="00110E8B">
        <w:rPr>
          <w:rFonts w:ascii="Times New Roman" w:hAnsi="Times New Roman"/>
          <w:lang w:val="es-AR"/>
        </w:rPr>
        <w:t xml:space="preserve">De acuerdo con lo establecido por la normativa vigente del </w:t>
      </w:r>
      <w:r w:rsidR="0013679F" w:rsidRPr="00110E8B">
        <w:rPr>
          <w:rFonts w:ascii="Times New Roman" w:hAnsi="Times New Roman"/>
          <w:lang w:val="es-AR"/>
        </w:rPr>
        <w:t>B.C.R.A.</w:t>
      </w:r>
      <w:r w:rsidRPr="00110E8B">
        <w:rPr>
          <w:rFonts w:ascii="Times New Roman" w:hAnsi="Times New Roman"/>
          <w:lang w:val="es-AR"/>
        </w:rPr>
        <w:t>, anualmente las entidades financieras deben destinar el 20% de la utilidad del ejercicio para incrementar la reserva legal.</w:t>
      </w:r>
    </w:p>
    <w:p w14:paraId="397CCEB1" w14:textId="5132469F" w:rsidR="008A6371" w:rsidRPr="00110E8B" w:rsidRDefault="008A6371" w:rsidP="000F0955">
      <w:pPr>
        <w:pStyle w:val="Textoinfaud"/>
        <w:spacing w:before="120" w:after="120" w:line="240" w:lineRule="exact"/>
        <w:ind w:left="720"/>
        <w:rPr>
          <w:rFonts w:ascii="Times New Roman" w:hAnsi="Times New Roman"/>
          <w:lang w:val="es-AR"/>
        </w:rPr>
      </w:pPr>
      <w:r w:rsidRPr="00110E8B">
        <w:rPr>
          <w:rFonts w:ascii="Times New Roman" w:hAnsi="Times New Roman"/>
          <w:lang w:val="es-AR"/>
        </w:rPr>
        <w:t xml:space="preserve">Por otra parte, según lo requerido por la Resolución General N° 622 de la </w:t>
      </w:r>
      <w:r w:rsidR="00BE2D25" w:rsidRPr="00110E8B">
        <w:rPr>
          <w:rFonts w:ascii="Times New Roman" w:hAnsi="Times New Roman"/>
          <w:lang w:val="es-AR"/>
        </w:rPr>
        <w:t>C.N.V.</w:t>
      </w:r>
      <w:r w:rsidRPr="00110E8B">
        <w:rPr>
          <w:rFonts w:ascii="Times New Roman" w:hAnsi="Times New Roman"/>
          <w:lang w:val="es-AR"/>
        </w:rPr>
        <w:t xml:space="preserve">, la Asamblea de Accionistas que considere estados contables cuyos resultados acumulados resulten positivos, debe disponer específicamente </w:t>
      </w:r>
      <w:r w:rsidR="004B5B0F" w:rsidRPr="00110E8B">
        <w:rPr>
          <w:rFonts w:ascii="Times New Roman" w:hAnsi="Times New Roman"/>
          <w:lang w:val="es-AR"/>
        </w:rPr>
        <w:t>sobre el destino de los mismos.</w:t>
      </w:r>
    </w:p>
    <w:p w14:paraId="041240DC" w14:textId="6D2880D2" w:rsidR="008A6371" w:rsidRPr="00110E8B" w:rsidRDefault="008A6371" w:rsidP="000F0955">
      <w:pPr>
        <w:pStyle w:val="Textoinfaud"/>
        <w:spacing w:before="120" w:after="120" w:line="240" w:lineRule="exact"/>
        <w:ind w:left="720"/>
        <w:rPr>
          <w:rFonts w:ascii="Times New Roman" w:hAnsi="Times New Roman"/>
          <w:lang w:val="es-AR"/>
        </w:rPr>
      </w:pPr>
      <w:r w:rsidRPr="00110E8B">
        <w:rPr>
          <w:rFonts w:ascii="Times New Roman" w:hAnsi="Times New Roman"/>
          <w:lang w:val="es-AR"/>
        </w:rPr>
        <w:lastRenderedPageBreak/>
        <w:t xml:space="preserve">En particular, el mecanismo a seguir por las entidades financieras para la determinación de los saldos distribuibles es definido por el </w:t>
      </w:r>
      <w:r w:rsidR="0013679F" w:rsidRPr="00110E8B">
        <w:rPr>
          <w:rFonts w:ascii="Times New Roman" w:hAnsi="Times New Roman"/>
          <w:lang w:val="es-AR"/>
        </w:rPr>
        <w:t>B.C.R.A.</w:t>
      </w:r>
      <w:r w:rsidRPr="00110E8B">
        <w:rPr>
          <w:rFonts w:ascii="Times New Roman" w:hAnsi="Times New Roman"/>
          <w:lang w:val="es-AR"/>
        </w:rPr>
        <w:t xml:space="preserve"> a través de la normativa vigente sobre “Distribución de resultados” siempre que no se verifiquen ciertas situaciones, entre las que se destacan el registro de asistencias financieras por iliquidez otorgadas por ese organismo, deficiencias de integración de capital o efectivo mínimo y la existencia de cierto tipo de sanciones establecidas por distintos reguladores y que sean ponderadas como significativas y/o no se hayan implementado medidas correctivas, entre otras condiciones.</w:t>
      </w:r>
      <w:r w:rsidR="00E4555F" w:rsidRPr="00110E8B">
        <w:rPr>
          <w:rFonts w:ascii="Times New Roman" w:hAnsi="Times New Roman"/>
          <w:lang w:val="es-AR"/>
        </w:rPr>
        <w:t xml:space="preserve"> </w:t>
      </w:r>
    </w:p>
    <w:p w14:paraId="0D9FBA14" w14:textId="2C52A1A9" w:rsidR="007C7CBD" w:rsidRPr="00110E8B" w:rsidRDefault="00456B64" w:rsidP="000F0955">
      <w:pPr>
        <w:pStyle w:val="Textoinfaud"/>
        <w:spacing w:before="120" w:after="120" w:line="240" w:lineRule="exact"/>
        <w:ind w:left="720"/>
        <w:rPr>
          <w:rFonts w:ascii="Times New Roman" w:hAnsi="Times New Roman"/>
          <w:lang w:val="es-AR"/>
        </w:rPr>
      </w:pPr>
      <w:r w:rsidRPr="00110E8B">
        <w:rPr>
          <w:rFonts w:ascii="Times New Roman" w:hAnsi="Times New Roman"/>
          <w:lang w:val="es-AR"/>
        </w:rPr>
        <w:t>Cabe mencionar que, co</w:t>
      </w:r>
      <w:r w:rsidR="007C7CBD" w:rsidRPr="00110E8B">
        <w:rPr>
          <w:rFonts w:ascii="Times New Roman" w:hAnsi="Times New Roman"/>
          <w:lang w:val="es-AR"/>
        </w:rPr>
        <w:t xml:space="preserve">n fecha 20 de septiembre de 2017 el B.C.R.A. emitió la Comunicación “A” 6327, donde establece que las entidades financieras no podrán efectuar distribuciones de resultados con la ganancia que se origine por aplicación por primera vez de las </w:t>
      </w:r>
      <w:r w:rsidR="00945E4D" w:rsidRPr="00110E8B">
        <w:rPr>
          <w:rFonts w:ascii="Times New Roman" w:hAnsi="Times New Roman"/>
          <w:lang w:val="es-AR"/>
        </w:rPr>
        <w:t>NIIF</w:t>
      </w:r>
      <w:r w:rsidR="007C7CBD" w:rsidRPr="00110E8B">
        <w:rPr>
          <w:rFonts w:ascii="Times New Roman" w:hAnsi="Times New Roman"/>
          <w:lang w:val="es-AR"/>
        </w:rPr>
        <w:t>, debiendo constituir una reserva especial que sólo podrá desafectarse para su capitalización o para absorber eventuales saldos negativos de la partida “Resultados no asignados”.</w:t>
      </w:r>
    </w:p>
    <w:p w14:paraId="4B4EE242" w14:textId="4A4C5D26" w:rsidR="008A6371" w:rsidRPr="00110E8B" w:rsidRDefault="008A6371" w:rsidP="000F0955">
      <w:pPr>
        <w:pStyle w:val="Textoinfaud"/>
        <w:spacing w:before="120" w:after="120" w:line="240" w:lineRule="exact"/>
        <w:ind w:left="720"/>
        <w:rPr>
          <w:rFonts w:ascii="Times New Roman" w:hAnsi="Times New Roman"/>
          <w:lang w:val="es-AR"/>
        </w:rPr>
      </w:pPr>
      <w:r w:rsidRPr="00110E8B">
        <w:rPr>
          <w:rFonts w:ascii="Times New Roman" w:hAnsi="Times New Roman"/>
          <w:lang w:val="es-AR"/>
        </w:rPr>
        <w:t>Adicionalme</w:t>
      </w:r>
      <w:r w:rsidR="0068064E" w:rsidRPr="00110E8B">
        <w:rPr>
          <w:rFonts w:ascii="Times New Roman" w:hAnsi="Times New Roman"/>
          <w:lang w:val="es-AR"/>
        </w:rPr>
        <w:t>nte, el</w:t>
      </w:r>
      <w:r w:rsidR="00650407" w:rsidRPr="00110E8B">
        <w:rPr>
          <w:rFonts w:ascii="Times New Roman" w:hAnsi="Times New Roman"/>
          <w:lang w:val="es-AR"/>
        </w:rPr>
        <w:t xml:space="preserve"> Grupo</w:t>
      </w:r>
      <w:r w:rsidRPr="00110E8B">
        <w:rPr>
          <w:rFonts w:ascii="Times New Roman" w:hAnsi="Times New Roman"/>
          <w:lang w:val="es-AR"/>
        </w:rPr>
        <w:t xml:space="preserve"> debe verificar que, luego de efectuada la distribución de resultados propuesta, se mantenga un margen de conservación del capital mínimo.</w:t>
      </w:r>
    </w:p>
    <w:p w14:paraId="4807C54A" w14:textId="32D84FC1" w:rsidR="00E4555F" w:rsidRPr="000F46C7" w:rsidRDefault="00E4555F" w:rsidP="000F0955">
      <w:pPr>
        <w:pStyle w:val="Textoinfaud"/>
        <w:spacing w:before="120" w:after="120" w:line="240" w:lineRule="exact"/>
        <w:ind w:left="720"/>
        <w:rPr>
          <w:rFonts w:ascii="Times New Roman" w:hAnsi="Times New Roman"/>
          <w:lang w:val="es-AR"/>
        </w:rPr>
      </w:pPr>
      <w:r w:rsidRPr="00110E8B">
        <w:rPr>
          <w:rFonts w:ascii="Times New Roman" w:hAnsi="Times New Roman"/>
          <w:lang w:val="es-AR"/>
        </w:rPr>
        <w:t xml:space="preserve">Con fecha 30 </w:t>
      </w:r>
      <w:r w:rsidRPr="000F46C7">
        <w:rPr>
          <w:rFonts w:ascii="Times New Roman" w:hAnsi="Times New Roman"/>
          <w:lang w:val="es-AR"/>
        </w:rPr>
        <w:t>de agosto de 2019</w:t>
      </w:r>
      <w:r w:rsidR="00C800B6" w:rsidRPr="000F46C7">
        <w:rPr>
          <w:rFonts w:ascii="Times New Roman" w:hAnsi="Times New Roman"/>
          <w:lang w:val="es-AR"/>
        </w:rPr>
        <w:t xml:space="preserve"> y 31 de enero de 2020</w:t>
      </w:r>
      <w:r w:rsidRPr="000F46C7">
        <w:rPr>
          <w:rFonts w:ascii="Times New Roman" w:hAnsi="Times New Roman"/>
          <w:lang w:val="es-AR"/>
        </w:rPr>
        <w:t>, el B.C.R.A. emitió la</w:t>
      </w:r>
      <w:r w:rsidR="00C800B6" w:rsidRPr="000F46C7">
        <w:rPr>
          <w:rFonts w:ascii="Times New Roman" w:hAnsi="Times New Roman"/>
          <w:lang w:val="es-AR"/>
        </w:rPr>
        <w:t>s Comunicacio</w:t>
      </w:r>
      <w:r w:rsidRPr="000F46C7">
        <w:rPr>
          <w:rFonts w:ascii="Times New Roman" w:hAnsi="Times New Roman"/>
          <w:lang w:val="es-AR"/>
        </w:rPr>
        <w:t>n</w:t>
      </w:r>
      <w:r w:rsidR="00C800B6" w:rsidRPr="000F46C7">
        <w:rPr>
          <w:rFonts w:ascii="Times New Roman" w:hAnsi="Times New Roman"/>
          <w:lang w:val="es-AR"/>
        </w:rPr>
        <w:t>es</w:t>
      </w:r>
      <w:r w:rsidRPr="000F46C7">
        <w:rPr>
          <w:rFonts w:ascii="Times New Roman" w:hAnsi="Times New Roman"/>
          <w:lang w:val="es-AR"/>
        </w:rPr>
        <w:t xml:space="preserve"> “A” 6768</w:t>
      </w:r>
      <w:r w:rsidR="00A06A5B" w:rsidRPr="000F46C7">
        <w:rPr>
          <w:rFonts w:ascii="Times New Roman" w:hAnsi="Times New Roman"/>
          <w:lang w:val="es-AR"/>
        </w:rPr>
        <w:t xml:space="preserve"> y “</w:t>
      </w:r>
      <w:r w:rsidR="00C800B6" w:rsidRPr="000F46C7">
        <w:rPr>
          <w:rFonts w:ascii="Times New Roman" w:hAnsi="Times New Roman"/>
          <w:lang w:val="es-AR"/>
        </w:rPr>
        <w:t>A” 6886</w:t>
      </w:r>
      <w:r w:rsidRPr="000F46C7">
        <w:rPr>
          <w:rFonts w:ascii="Times New Roman" w:hAnsi="Times New Roman"/>
          <w:lang w:val="es-AR"/>
        </w:rPr>
        <w:t xml:space="preserve"> que determina que a partir de</w:t>
      </w:r>
      <w:r w:rsidR="00C800B6" w:rsidRPr="000F46C7">
        <w:rPr>
          <w:rFonts w:ascii="Times New Roman" w:hAnsi="Times New Roman"/>
          <w:lang w:val="es-AR"/>
        </w:rPr>
        <w:t>l 30 de agosto de 2019</w:t>
      </w:r>
      <w:r w:rsidRPr="000F46C7">
        <w:rPr>
          <w:rFonts w:ascii="Times New Roman" w:hAnsi="Times New Roman"/>
          <w:lang w:val="es-AR"/>
        </w:rPr>
        <w:t xml:space="preserve"> las entidades financieras deberán contar con la autorización del Regulador</w:t>
      </w:r>
      <w:r w:rsidR="00E83498" w:rsidRPr="000F46C7">
        <w:rPr>
          <w:rFonts w:ascii="Times New Roman" w:hAnsi="Times New Roman"/>
          <w:lang w:val="es-AR"/>
        </w:rPr>
        <w:t xml:space="preserve"> para la</w:t>
      </w:r>
      <w:r w:rsidR="001C7EED" w:rsidRPr="000F46C7">
        <w:rPr>
          <w:rFonts w:ascii="Times New Roman" w:hAnsi="Times New Roman"/>
          <w:lang w:val="es-AR"/>
        </w:rPr>
        <w:t xml:space="preserve"> distribución de sus resultados</w:t>
      </w:r>
      <w:r w:rsidR="000F46C7" w:rsidRPr="000F46C7">
        <w:rPr>
          <w:rFonts w:ascii="Times New Roman" w:hAnsi="Times New Roman"/>
          <w:color w:val="000000"/>
          <w:sz w:val="21"/>
          <w:szCs w:val="21"/>
          <w:lang w:val="es-AR"/>
        </w:rPr>
        <w:t>,</w:t>
      </w:r>
      <w:r w:rsidR="001C7EED" w:rsidRPr="000F46C7">
        <w:rPr>
          <w:rFonts w:ascii="Times New Roman" w:hAnsi="Times New Roman"/>
          <w:lang w:val="es-AR"/>
        </w:rPr>
        <w:t xml:space="preserve"> que aplican al pago de dividendos.</w:t>
      </w:r>
    </w:p>
    <w:p w14:paraId="59D24C68" w14:textId="03211E9D" w:rsidR="007B2762" w:rsidRDefault="00A54EB0" w:rsidP="000F0955">
      <w:pPr>
        <w:pStyle w:val="Textoinfaud"/>
        <w:spacing w:before="120" w:after="120" w:line="240" w:lineRule="exact"/>
        <w:ind w:left="720"/>
        <w:rPr>
          <w:rFonts w:ascii="Times New Roman" w:hAnsi="Times New Roman"/>
          <w:lang w:val="es-AR"/>
        </w:rPr>
      </w:pPr>
      <w:r w:rsidRPr="000F46C7">
        <w:rPr>
          <w:rFonts w:ascii="Times New Roman" w:hAnsi="Times New Roman"/>
          <w:lang w:val="es-AR"/>
        </w:rPr>
        <w:t>Por último, m</w:t>
      </w:r>
      <w:r w:rsidRPr="00110E8B">
        <w:rPr>
          <w:rFonts w:ascii="Times New Roman" w:hAnsi="Times New Roman"/>
          <w:lang w:val="es-AR"/>
        </w:rPr>
        <w:t xml:space="preserve">encionar que </w:t>
      </w:r>
      <w:r w:rsidR="006462E6">
        <w:rPr>
          <w:rFonts w:ascii="Times New Roman" w:hAnsi="Times New Roman"/>
          <w:lang w:val="es-AR"/>
        </w:rPr>
        <w:t xml:space="preserve">desde </w:t>
      </w:r>
      <w:r w:rsidR="00A06A5B" w:rsidRPr="00110E8B">
        <w:rPr>
          <w:rFonts w:ascii="Times New Roman" w:hAnsi="Times New Roman"/>
          <w:lang w:val="es-AR"/>
        </w:rPr>
        <w:t>el 19 de marzo de 2020, mediante</w:t>
      </w:r>
      <w:r w:rsidR="006462E6">
        <w:rPr>
          <w:rFonts w:ascii="Times New Roman" w:hAnsi="Times New Roman"/>
          <w:lang w:val="es-AR"/>
        </w:rPr>
        <w:t xml:space="preserve"> sucesivas prórrogas, </w:t>
      </w:r>
      <w:r w:rsidR="00A06A5B" w:rsidRPr="00110E8B">
        <w:rPr>
          <w:rFonts w:ascii="Times New Roman" w:hAnsi="Times New Roman"/>
          <w:lang w:val="es-AR"/>
        </w:rPr>
        <w:t>el B.C.R.A. dispuso la suspensión de la distribución de resultados de las entidades financieras hasta el 3</w:t>
      </w:r>
      <w:r w:rsidR="000F46C7">
        <w:rPr>
          <w:rFonts w:ascii="Times New Roman" w:hAnsi="Times New Roman"/>
          <w:lang w:val="es-AR"/>
        </w:rPr>
        <w:t>1</w:t>
      </w:r>
      <w:r w:rsidR="00A06A5B" w:rsidRPr="00110E8B">
        <w:rPr>
          <w:rFonts w:ascii="Times New Roman" w:hAnsi="Times New Roman"/>
          <w:lang w:val="es-AR"/>
        </w:rPr>
        <w:t xml:space="preserve"> de </w:t>
      </w:r>
      <w:r w:rsidR="000F46C7">
        <w:rPr>
          <w:rFonts w:ascii="Times New Roman" w:hAnsi="Times New Roman"/>
          <w:lang w:val="es-AR"/>
        </w:rPr>
        <w:t>diciembre</w:t>
      </w:r>
      <w:r w:rsidR="00A06A5B" w:rsidRPr="00110E8B">
        <w:rPr>
          <w:rFonts w:ascii="Times New Roman" w:hAnsi="Times New Roman"/>
          <w:lang w:val="es-AR"/>
        </w:rPr>
        <w:t xml:space="preserve"> de 202</w:t>
      </w:r>
      <w:r w:rsidR="006462E6">
        <w:rPr>
          <w:rFonts w:ascii="Times New Roman" w:hAnsi="Times New Roman"/>
          <w:lang w:val="es-AR"/>
        </w:rPr>
        <w:t>1 (C</w:t>
      </w:r>
      <w:r w:rsidR="0044164F" w:rsidRPr="00110E8B">
        <w:rPr>
          <w:rFonts w:ascii="Times New Roman" w:hAnsi="Times New Roman"/>
          <w:lang w:val="es-AR"/>
        </w:rPr>
        <w:t>omunicació</w:t>
      </w:r>
      <w:r w:rsidR="000A73E4" w:rsidRPr="00110E8B">
        <w:rPr>
          <w:rFonts w:ascii="Times New Roman" w:hAnsi="Times New Roman"/>
          <w:lang w:val="es-AR"/>
        </w:rPr>
        <w:t xml:space="preserve">n "A" </w:t>
      </w:r>
      <w:r w:rsidR="001C7EED" w:rsidRPr="001C7EED">
        <w:rPr>
          <w:rFonts w:ascii="Times New Roman" w:hAnsi="Times New Roman"/>
          <w:lang w:val="es-AR"/>
        </w:rPr>
        <w:t>7</w:t>
      </w:r>
      <w:r w:rsidR="000F46C7">
        <w:rPr>
          <w:rFonts w:ascii="Times New Roman" w:hAnsi="Times New Roman"/>
          <w:lang w:val="es-AR"/>
        </w:rPr>
        <w:t>312</w:t>
      </w:r>
      <w:r w:rsidR="006462E6">
        <w:rPr>
          <w:rFonts w:ascii="Times New Roman" w:hAnsi="Times New Roman"/>
          <w:lang w:val="es-AR"/>
        </w:rPr>
        <w:t>).</w:t>
      </w:r>
      <w:r w:rsidR="001C7EED" w:rsidRPr="001C7EED">
        <w:rPr>
          <w:rFonts w:ascii="Times New Roman" w:hAnsi="Times New Roman"/>
          <w:lang w:val="es-AR"/>
        </w:rPr>
        <w:t xml:space="preserve"> El pago de dividendos se efectivizará una vez que quede sin efecto la suspensión antes mencionada y </w:t>
      </w:r>
      <w:r w:rsidR="001C7EED" w:rsidRPr="00A42B60">
        <w:rPr>
          <w:rFonts w:ascii="Times New Roman" w:hAnsi="Times New Roman"/>
          <w:lang w:val="es-AR"/>
        </w:rPr>
        <w:t>el B.C.R.A. apruebe formalmente su pago.</w:t>
      </w:r>
    </w:p>
    <w:p w14:paraId="30149411" w14:textId="77777777" w:rsidR="003B4F16" w:rsidRPr="00A42B60" w:rsidRDefault="003B4F16" w:rsidP="000F0955">
      <w:pPr>
        <w:pStyle w:val="Textoinfaud"/>
        <w:spacing w:before="120" w:after="120" w:line="240" w:lineRule="exact"/>
        <w:ind w:left="720"/>
        <w:rPr>
          <w:rFonts w:ascii="Times New Roman" w:hAnsi="Times New Roman"/>
          <w:lang w:val="es-AR"/>
        </w:rPr>
      </w:pPr>
    </w:p>
    <w:p w14:paraId="4C21374C" w14:textId="3F53BC2A" w:rsidR="008A6371" w:rsidRPr="00F129E0" w:rsidRDefault="000F0955" w:rsidP="004C318E">
      <w:pPr>
        <w:pStyle w:val="Prrafodelista"/>
        <w:numPr>
          <w:ilvl w:val="0"/>
          <w:numId w:val="11"/>
        </w:numPr>
        <w:tabs>
          <w:tab w:val="num" w:pos="-1843"/>
        </w:tabs>
        <w:spacing w:before="240" w:after="120"/>
        <w:ind w:right="-427"/>
        <w:rPr>
          <w:b/>
          <w:color w:val="000000"/>
          <w:sz w:val="20"/>
          <w:szCs w:val="20"/>
          <w:lang w:val="es-AR"/>
        </w:rPr>
      </w:pPr>
      <w:r w:rsidRPr="00F129E0">
        <w:rPr>
          <w:b/>
          <w:color w:val="000000"/>
          <w:sz w:val="20"/>
          <w:szCs w:val="20"/>
          <w:lang w:val="es-AR"/>
        </w:rPr>
        <w:t>Activos de disponibilidad restringida</w:t>
      </w:r>
      <w:r w:rsidR="008A6371" w:rsidRPr="00F129E0">
        <w:rPr>
          <w:b/>
          <w:color w:val="000000"/>
          <w:sz w:val="20"/>
          <w:szCs w:val="20"/>
          <w:lang w:val="es-AR"/>
        </w:rPr>
        <w:t xml:space="preserve"> </w:t>
      </w:r>
    </w:p>
    <w:p w14:paraId="285A606E" w14:textId="03E53ECF" w:rsidR="004B5B0F" w:rsidRPr="00A42B60" w:rsidRDefault="004B5B0F" w:rsidP="000F0955">
      <w:pPr>
        <w:spacing w:after="120"/>
        <w:ind w:left="567" w:right="142"/>
        <w:jc w:val="both"/>
        <w:rPr>
          <w:rFonts w:ascii="Times New Roman" w:hAnsi="Times New Roman"/>
          <w:sz w:val="20"/>
        </w:rPr>
      </w:pPr>
      <w:r w:rsidRPr="00A42B60">
        <w:rPr>
          <w:rFonts w:ascii="Times New Roman" w:hAnsi="Times New Roman"/>
          <w:sz w:val="20"/>
          <w:lang w:val="es-ES_tradnl"/>
        </w:rPr>
        <w:t xml:space="preserve">Al </w:t>
      </w:r>
      <w:r w:rsidR="0027225D" w:rsidRPr="00A42B60">
        <w:rPr>
          <w:rFonts w:ascii="Times New Roman" w:hAnsi="Times New Roman"/>
          <w:sz w:val="20"/>
        </w:rPr>
        <w:t>3</w:t>
      </w:r>
      <w:r w:rsidR="00007B8C" w:rsidRPr="00A42B60">
        <w:rPr>
          <w:rFonts w:ascii="Times New Roman" w:hAnsi="Times New Roman"/>
          <w:sz w:val="20"/>
        </w:rPr>
        <w:t>0</w:t>
      </w:r>
      <w:r w:rsidRPr="00A42B60">
        <w:rPr>
          <w:rFonts w:ascii="Times New Roman" w:hAnsi="Times New Roman"/>
          <w:sz w:val="20"/>
        </w:rPr>
        <w:t xml:space="preserve"> de </w:t>
      </w:r>
      <w:r w:rsidR="00D04238">
        <w:rPr>
          <w:rFonts w:ascii="Times New Roman" w:hAnsi="Times New Roman"/>
          <w:sz w:val="20"/>
        </w:rPr>
        <w:t>septiembre</w:t>
      </w:r>
      <w:r w:rsidR="00916824" w:rsidRPr="00A42B60">
        <w:rPr>
          <w:rFonts w:ascii="Times New Roman" w:hAnsi="Times New Roman"/>
          <w:sz w:val="20"/>
        </w:rPr>
        <w:t xml:space="preserve"> </w:t>
      </w:r>
      <w:r w:rsidR="00EA16F7" w:rsidRPr="00A42B60">
        <w:rPr>
          <w:rFonts w:ascii="Times New Roman" w:hAnsi="Times New Roman"/>
          <w:sz w:val="20"/>
        </w:rPr>
        <w:t xml:space="preserve">de </w:t>
      </w:r>
      <w:r w:rsidR="00505C29" w:rsidRPr="00A42B60">
        <w:rPr>
          <w:rFonts w:ascii="Times New Roman" w:hAnsi="Times New Roman"/>
          <w:sz w:val="20"/>
        </w:rPr>
        <w:t>202</w:t>
      </w:r>
      <w:r w:rsidR="00DC4912" w:rsidRPr="00A42B60">
        <w:rPr>
          <w:rFonts w:ascii="Times New Roman" w:hAnsi="Times New Roman"/>
          <w:sz w:val="20"/>
        </w:rPr>
        <w:t xml:space="preserve">1 </w:t>
      </w:r>
      <w:r w:rsidR="00852FD9" w:rsidRPr="00A42B60">
        <w:rPr>
          <w:rFonts w:ascii="Times New Roman" w:hAnsi="Times New Roman"/>
          <w:sz w:val="20"/>
        </w:rPr>
        <w:t xml:space="preserve">y </w:t>
      </w:r>
      <w:r w:rsidR="00DC4912" w:rsidRPr="00A42B60">
        <w:rPr>
          <w:rFonts w:ascii="Times New Roman" w:hAnsi="Times New Roman"/>
          <w:sz w:val="20"/>
        </w:rPr>
        <w:t>al 31 de diciembre</w:t>
      </w:r>
      <w:r w:rsidR="00382EDC" w:rsidRPr="00A42B60">
        <w:rPr>
          <w:rFonts w:ascii="Times New Roman" w:hAnsi="Times New Roman"/>
          <w:sz w:val="20"/>
        </w:rPr>
        <w:t xml:space="preserve"> 20</w:t>
      </w:r>
      <w:r w:rsidR="00DC4912" w:rsidRPr="00A42B60">
        <w:rPr>
          <w:rFonts w:ascii="Times New Roman" w:hAnsi="Times New Roman"/>
          <w:sz w:val="20"/>
        </w:rPr>
        <w:t>20</w:t>
      </w:r>
      <w:r w:rsidR="00894DD2" w:rsidRPr="00A42B60">
        <w:rPr>
          <w:rFonts w:ascii="Times New Roman" w:hAnsi="Times New Roman"/>
          <w:sz w:val="20"/>
        </w:rPr>
        <w:t>,</w:t>
      </w:r>
      <w:r w:rsidRPr="00A42B60">
        <w:rPr>
          <w:rFonts w:ascii="Times New Roman" w:hAnsi="Times New Roman"/>
          <w:sz w:val="20"/>
        </w:rPr>
        <w:t xml:space="preserve"> existen activos de</w:t>
      </w:r>
      <w:r w:rsidR="00302413" w:rsidRPr="00A42B60">
        <w:rPr>
          <w:rFonts w:ascii="Times New Roman" w:hAnsi="Times New Roman"/>
          <w:sz w:val="20"/>
        </w:rPr>
        <w:t>l Grupo</w:t>
      </w:r>
      <w:r w:rsidRPr="00A42B60">
        <w:rPr>
          <w:rFonts w:ascii="Times New Roman" w:hAnsi="Times New Roman"/>
          <w:sz w:val="20"/>
        </w:rPr>
        <w:t xml:space="preserve"> que se encuentran restringidos de acuerdo con el siguiente detalle: </w:t>
      </w:r>
    </w:p>
    <w:p w14:paraId="1E4BFE89" w14:textId="734616A2" w:rsidR="00626400" w:rsidRDefault="00626400" w:rsidP="004721BF">
      <w:pPr>
        <w:pStyle w:val="Prrafodelista"/>
        <w:numPr>
          <w:ilvl w:val="0"/>
          <w:numId w:val="37"/>
        </w:numPr>
        <w:spacing w:after="120"/>
        <w:ind w:right="142"/>
        <w:jc w:val="both"/>
        <w:rPr>
          <w:sz w:val="20"/>
          <w:szCs w:val="20"/>
          <w:lang w:val="es-ES_tradnl"/>
        </w:rPr>
      </w:pPr>
      <w:r w:rsidRPr="00A42B60">
        <w:rPr>
          <w:sz w:val="20"/>
          <w:szCs w:val="20"/>
          <w:lang w:val="es-ES_tradnl"/>
        </w:rPr>
        <w:t xml:space="preserve">La Entidad afectó </w:t>
      </w:r>
      <w:r w:rsidR="00133857" w:rsidRPr="00A42B60">
        <w:rPr>
          <w:sz w:val="20"/>
          <w:szCs w:val="20"/>
          <w:lang w:val="es-ES_tradnl"/>
        </w:rPr>
        <w:t xml:space="preserve">los siguientes activos </w:t>
      </w:r>
      <w:r w:rsidRPr="00A42B60">
        <w:rPr>
          <w:sz w:val="20"/>
          <w:szCs w:val="20"/>
          <w:lang w:val="es-ES_tradnl"/>
        </w:rPr>
        <w:t>en garantía de préstamos acordados bajo el Programa Global de Crédito a micro, pequeña</w:t>
      </w:r>
      <w:r w:rsidR="00463704">
        <w:rPr>
          <w:sz w:val="20"/>
          <w:szCs w:val="20"/>
          <w:lang w:val="es-ES_tradnl"/>
        </w:rPr>
        <w:t>s</w:t>
      </w:r>
      <w:r w:rsidRPr="00A42B60">
        <w:rPr>
          <w:sz w:val="20"/>
          <w:szCs w:val="20"/>
          <w:lang w:val="es-ES_tradnl"/>
        </w:rPr>
        <w:t xml:space="preserve"> y mediana</w:t>
      </w:r>
      <w:r w:rsidR="00463704">
        <w:rPr>
          <w:sz w:val="20"/>
          <w:szCs w:val="20"/>
          <w:lang w:val="es-ES_tradnl"/>
        </w:rPr>
        <w:t>s</w:t>
      </w:r>
      <w:r w:rsidRPr="00A42B60">
        <w:rPr>
          <w:sz w:val="20"/>
          <w:szCs w:val="20"/>
          <w:lang w:val="es-ES_tradnl"/>
        </w:rPr>
        <w:t xml:space="preserve"> empresas otorgados por el Banco Interamericano de Desarrollo (B.I.D.).</w:t>
      </w:r>
    </w:p>
    <w:p w14:paraId="01BCA276" w14:textId="7BA91CE8" w:rsidR="00B25174" w:rsidRPr="00F129E0" w:rsidRDefault="001E5A33" w:rsidP="00B25174">
      <w:pPr>
        <w:pStyle w:val="Prrafodelista"/>
        <w:spacing w:after="120"/>
        <w:ind w:left="1125" w:right="142"/>
        <w:jc w:val="both"/>
        <w:rPr>
          <w:sz w:val="20"/>
          <w:szCs w:val="20"/>
          <w:lang w:val="es-ES_tradnl"/>
        </w:rPr>
      </w:pPr>
      <w:r w:rsidRPr="00F129E0">
        <w:rPr>
          <w:noProof/>
          <w:lang w:val="es-AR" w:eastAsia="es-AR"/>
        </w:rPr>
        <w:drawing>
          <wp:inline distT="0" distB="0" distL="0" distR="0" wp14:anchorId="13AAB2C1" wp14:editId="03B97576">
            <wp:extent cx="4813300" cy="116459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13300" cy="1164590"/>
                    </a:xfrm>
                    <a:prstGeom prst="rect">
                      <a:avLst/>
                    </a:prstGeom>
                    <a:noFill/>
                    <a:ln>
                      <a:noFill/>
                    </a:ln>
                  </pic:spPr>
                </pic:pic>
              </a:graphicData>
            </a:graphic>
          </wp:inline>
        </w:drawing>
      </w:r>
    </w:p>
    <w:p w14:paraId="429D4A79" w14:textId="6245F93B" w:rsidR="00333B57" w:rsidRPr="00F129E0" w:rsidRDefault="004B5B0F" w:rsidP="004721BF">
      <w:pPr>
        <w:pStyle w:val="Prrafodelista"/>
        <w:numPr>
          <w:ilvl w:val="0"/>
          <w:numId w:val="37"/>
        </w:numPr>
        <w:spacing w:after="120"/>
        <w:ind w:right="142"/>
        <w:jc w:val="both"/>
        <w:rPr>
          <w:sz w:val="20"/>
          <w:szCs w:val="20"/>
          <w:lang w:val="es-AR"/>
        </w:rPr>
      </w:pPr>
      <w:r w:rsidRPr="00F129E0">
        <w:rPr>
          <w:sz w:val="20"/>
          <w:szCs w:val="20"/>
          <w:lang w:val="es-ES_tradnl"/>
        </w:rPr>
        <w:t>La Entidad posee además cuentas, depósitos y fideicomisos afectados en garantía por actividades vinculadas a la operatoria de tarjetas de crédito, con cámaras electrónicas de compensaciones, operaciones compensadas a término,</w:t>
      </w:r>
      <w:r w:rsidR="00714201" w:rsidRPr="00F129E0">
        <w:rPr>
          <w:sz w:val="20"/>
          <w:szCs w:val="20"/>
          <w:lang w:val="es-ES_tradnl"/>
        </w:rPr>
        <w:t xml:space="preserve"> futuros de moneda extranjera</w:t>
      </w:r>
      <w:r w:rsidR="001B792E" w:rsidRPr="00F129E0">
        <w:rPr>
          <w:sz w:val="20"/>
          <w:szCs w:val="20"/>
          <w:lang w:val="es-ES_tradnl"/>
        </w:rPr>
        <w:t xml:space="preserve"> y alquileres </w:t>
      </w:r>
      <w:r w:rsidR="00C865FD" w:rsidRPr="00F129E0">
        <w:rPr>
          <w:sz w:val="20"/>
          <w:szCs w:val="20"/>
          <w:lang w:val="es-ES_tradnl"/>
        </w:rPr>
        <w:t xml:space="preserve">por </w:t>
      </w:r>
      <w:r w:rsidR="00573F42" w:rsidRPr="00F129E0">
        <w:rPr>
          <w:sz w:val="20"/>
          <w:szCs w:val="20"/>
          <w:lang w:val="es-ES_tradnl"/>
        </w:rPr>
        <w:t>16.011.464</w:t>
      </w:r>
      <w:r w:rsidR="00C76360" w:rsidRPr="00F129E0">
        <w:rPr>
          <w:sz w:val="20"/>
          <w:szCs w:val="20"/>
          <w:lang w:val="es-ES_tradnl"/>
        </w:rPr>
        <w:t xml:space="preserve"> y </w:t>
      </w:r>
      <w:r w:rsidR="00573F42" w:rsidRPr="00F129E0">
        <w:rPr>
          <w:sz w:val="20"/>
          <w:szCs w:val="20"/>
          <w:lang w:val="es-ES_tradnl"/>
        </w:rPr>
        <w:t>24.533.071</w:t>
      </w:r>
      <w:r w:rsidR="00505C29" w:rsidRPr="00F129E0">
        <w:rPr>
          <w:sz w:val="20"/>
          <w:szCs w:val="20"/>
          <w:lang w:val="es-ES_tradnl"/>
        </w:rPr>
        <w:t xml:space="preserve"> </w:t>
      </w:r>
      <w:r w:rsidR="00933EAA" w:rsidRPr="00F129E0">
        <w:rPr>
          <w:sz w:val="20"/>
          <w:szCs w:val="20"/>
          <w:lang w:val="es-ES_tradnl"/>
        </w:rPr>
        <w:t xml:space="preserve">al </w:t>
      </w:r>
      <w:r w:rsidR="0027225D" w:rsidRPr="00F129E0">
        <w:rPr>
          <w:sz w:val="20"/>
          <w:szCs w:val="20"/>
          <w:lang w:val="es-ES_tradnl"/>
        </w:rPr>
        <w:t>3</w:t>
      </w:r>
      <w:r w:rsidR="00007B8C" w:rsidRPr="00F129E0">
        <w:rPr>
          <w:sz w:val="20"/>
          <w:szCs w:val="20"/>
          <w:lang w:val="es-ES_tradnl"/>
        </w:rPr>
        <w:t>0</w:t>
      </w:r>
      <w:r w:rsidR="003C4E20" w:rsidRPr="00F129E0">
        <w:rPr>
          <w:sz w:val="20"/>
          <w:szCs w:val="20"/>
          <w:lang w:val="es-ES_tradnl"/>
        </w:rPr>
        <w:t xml:space="preserve"> de </w:t>
      </w:r>
      <w:r w:rsidR="00D04238" w:rsidRPr="00F129E0">
        <w:rPr>
          <w:sz w:val="20"/>
          <w:szCs w:val="20"/>
          <w:lang w:val="es-ES_tradnl"/>
        </w:rPr>
        <w:t>septiembre</w:t>
      </w:r>
      <w:r w:rsidR="00DC4912" w:rsidRPr="00F129E0">
        <w:rPr>
          <w:sz w:val="20"/>
          <w:szCs w:val="20"/>
          <w:lang w:val="es-ES_tradnl"/>
        </w:rPr>
        <w:t xml:space="preserve"> </w:t>
      </w:r>
      <w:r w:rsidR="00933EAA" w:rsidRPr="00F129E0">
        <w:rPr>
          <w:sz w:val="20"/>
          <w:szCs w:val="20"/>
          <w:lang w:val="es-ES_tradnl"/>
        </w:rPr>
        <w:t>de 20</w:t>
      </w:r>
      <w:r w:rsidR="00505C29" w:rsidRPr="00F129E0">
        <w:rPr>
          <w:sz w:val="20"/>
          <w:szCs w:val="20"/>
          <w:lang w:val="es-ES_tradnl"/>
        </w:rPr>
        <w:t>2</w:t>
      </w:r>
      <w:r w:rsidR="00DC4912" w:rsidRPr="00F129E0">
        <w:rPr>
          <w:sz w:val="20"/>
          <w:szCs w:val="20"/>
          <w:lang w:val="es-ES_tradnl"/>
        </w:rPr>
        <w:t>1 y al 31 de diciembre</w:t>
      </w:r>
      <w:r w:rsidR="00EA16F7" w:rsidRPr="00F129E0">
        <w:rPr>
          <w:sz w:val="20"/>
          <w:szCs w:val="20"/>
          <w:lang w:val="es-ES_tradnl"/>
        </w:rPr>
        <w:t xml:space="preserve"> </w:t>
      </w:r>
      <w:r w:rsidR="00505C29" w:rsidRPr="00F129E0">
        <w:rPr>
          <w:sz w:val="20"/>
          <w:szCs w:val="20"/>
          <w:lang w:val="es-ES_tradnl"/>
        </w:rPr>
        <w:t>20</w:t>
      </w:r>
      <w:r w:rsidR="00DC4912" w:rsidRPr="00F129E0">
        <w:rPr>
          <w:sz w:val="20"/>
          <w:szCs w:val="20"/>
          <w:lang w:val="es-ES_tradnl"/>
        </w:rPr>
        <w:t>20</w:t>
      </w:r>
      <w:r w:rsidRPr="00F129E0">
        <w:rPr>
          <w:sz w:val="20"/>
          <w:szCs w:val="20"/>
          <w:lang w:val="es-ES_tradnl"/>
        </w:rPr>
        <w:t>, respectivamente</w:t>
      </w:r>
      <w:r w:rsidR="001C7EED" w:rsidRPr="00F129E0">
        <w:rPr>
          <w:sz w:val="20"/>
          <w:szCs w:val="20"/>
          <w:lang w:val="es-ES_tradnl"/>
        </w:rPr>
        <w:t xml:space="preserve"> (ver Nota 14)</w:t>
      </w:r>
      <w:r w:rsidRPr="00F129E0">
        <w:rPr>
          <w:sz w:val="20"/>
          <w:szCs w:val="20"/>
          <w:lang w:val="es-ES_tradnl"/>
        </w:rPr>
        <w:t xml:space="preserve">. </w:t>
      </w:r>
    </w:p>
    <w:p w14:paraId="3522836D" w14:textId="77777777" w:rsidR="00E51858" w:rsidRDefault="00E51858" w:rsidP="00AC5D6D">
      <w:pPr>
        <w:pStyle w:val="Prrafodelista"/>
        <w:spacing w:after="120"/>
        <w:ind w:left="1125" w:right="142"/>
        <w:jc w:val="both"/>
        <w:rPr>
          <w:sz w:val="20"/>
          <w:szCs w:val="20"/>
          <w:lang w:val="es-AR"/>
        </w:rPr>
      </w:pPr>
    </w:p>
    <w:p w14:paraId="57B4632E" w14:textId="77777777" w:rsidR="005A4775" w:rsidRDefault="005A4775" w:rsidP="00AC5D6D">
      <w:pPr>
        <w:pStyle w:val="Prrafodelista"/>
        <w:spacing w:after="120"/>
        <w:ind w:left="1125" w:right="142"/>
        <w:jc w:val="both"/>
        <w:rPr>
          <w:sz w:val="20"/>
          <w:szCs w:val="20"/>
          <w:lang w:val="es-AR"/>
        </w:rPr>
      </w:pPr>
    </w:p>
    <w:p w14:paraId="57BC7884" w14:textId="2F93973B" w:rsidR="008A6371" w:rsidRPr="0051347B" w:rsidRDefault="000F0955" w:rsidP="004C318E">
      <w:pPr>
        <w:pStyle w:val="Prrafodelista"/>
        <w:numPr>
          <w:ilvl w:val="0"/>
          <w:numId w:val="11"/>
        </w:numPr>
        <w:spacing w:before="240" w:after="120"/>
        <w:rPr>
          <w:b/>
          <w:color w:val="000000"/>
          <w:sz w:val="20"/>
          <w:szCs w:val="20"/>
          <w:lang w:val="es-AR"/>
        </w:rPr>
      </w:pPr>
      <w:r w:rsidRPr="0051347B">
        <w:rPr>
          <w:b/>
          <w:color w:val="000000"/>
          <w:sz w:val="20"/>
          <w:szCs w:val="20"/>
          <w:lang w:val="es-AR"/>
        </w:rPr>
        <w:t>Régimen de garantía de los depósitos</w:t>
      </w:r>
      <w:r w:rsidR="008A6371" w:rsidRPr="0051347B">
        <w:rPr>
          <w:b/>
          <w:color w:val="000000"/>
          <w:sz w:val="20"/>
          <w:szCs w:val="20"/>
          <w:lang w:val="es-AR"/>
        </w:rPr>
        <w:t xml:space="preserve"> </w:t>
      </w:r>
    </w:p>
    <w:p w14:paraId="4B7D8757" w14:textId="77777777" w:rsidR="000A3D75" w:rsidRPr="00110E8B" w:rsidRDefault="000A3D75" w:rsidP="001707FA">
      <w:pPr>
        <w:pStyle w:val="Prrafodelista"/>
        <w:tabs>
          <w:tab w:val="left" w:pos="567"/>
          <w:tab w:val="right" w:pos="10368"/>
        </w:tabs>
        <w:spacing w:after="120"/>
        <w:ind w:left="785" w:right="142"/>
        <w:jc w:val="both"/>
        <w:rPr>
          <w:sz w:val="20"/>
          <w:szCs w:val="20"/>
          <w:lang w:val="es-AR"/>
        </w:rPr>
      </w:pPr>
      <w:r w:rsidRPr="00110E8B">
        <w:rPr>
          <w:sz w:val="20"/>
          <w:szCs w:val="20"/>
          <w:lang w:val="es-AR"/>
        </w:rPr>
        <w:t>La Entidad se encuentra incluida en el Sistema de Seguro de Garantía de los Depósitos de la Ley Nº 24.485, Decretos Reglamentarios Nº 540/95, Nº 1292/96, N° 1127/98 y N° 30/18 y Comunicación “A” 5943 del B.C.R.A.</w:t>
      </w:r>
    </w:p>
    <w:p w14:paraId="6B7AFD24" w14:textId="29BDFF61" w:rsidR="004B5B0F" w:rsidRPr="00110E8B" w:rsidRDefault="004B5B0F" w:rsidP="001707FA">
      <w:pPr>
        <w:pStyle w:val="Prrafodelista"/>
        <w:tabs>
          <w:tab w:val="left" w:pos="567"/>
          <w:tab w:val="right" w:pos="10368"/>
        </w:tabs>
        <w:spacing w:after="120"/>
        <w:ind w:left="785" w:right="142"/>
        <w:jc w:val="both"/>
        <w:rPr>
          <w:sz w:val="20"/>
          <w:szCs w:val="20"/>
          <w:lang w:val="es-AR"/>
        </w:rPr>
      </w:pPr>
      <w:r w:rsidRPr="00110E8B">
        <w:rPr>
          <w:sz w:val="20"/>
          <w:szCs w:val="20"/>
          <w:lang w:val="es-AR"/>
        </w:rPr>
        <w:t>Dicha ley dispuso la constitución de la sociedad “Seguros de Depósitos Sociedad Anónima” (SEDESA) con el objeto de administrar el Fondo de Garantía de los Depósitos (FGD), cuyos accionistas, de conformidad con las modificaciones introducidas por el Decreto Nº 1292/96, serán el B.C.R.A. con una acción como mínimo y los fiduciarios del contrato de fideicomiso constituido por las entidades financieras en la proporción que para cada una determine el B.C.R.A., en función de sus aportes al FGD.</w:t>
      </w:r>
    </w:p>
    <w:p w14:paraId="684E3ACC" w14:textId="05F821E2" w:rsidR="004B5B0F" w:rsidRPr="00110E8B" w:rsidRDefault="004B5B0F" w:rsidP="000F0955">
      <w:pPr>
        <w:pStyle w:val="Prrafodelista"/>
        <w:tabs>
          <w:tab w:val="left" w:pos="567"/>
          <w:tab w:val="left" w:pos="2260"/>
        </w:tabs>
        <w:ind w:left="785" w:right="142"/>
        <w:jc w:val="both"/>
        <w:rPr>
          <w:sz w:val="20"/>
          <w:szCs w:val="20"/>
          <w:lang w:val="es-AR"/>
        </w:rPr>
      </w:pPr>
      <w:r w:rsidRPr="00110E8B">
        <w:rPr>
          <w:sz w:val="20"/>
          <w:szCs w:val="20"/>
          <w:lang w:val="es-AR"/>
        </w:rPr>
        <w:t>En agosto de 1995 se constituyó dicha sociedad, en la que l</w:t>
      </w:r>
      <w:r w:rsidR="0068064E" w:rsidRPr="00110E8B">
        <w:rPr>
          <w:sz w:val="20"/>
          <w:szCs w:val="20"/>
          <w:lang w:val="es-AR"/>
        </w:rPr>
        <w:t xml:space="preserve">a Entidad participa en el </w:t>
      </w:r>
      <w:r w:rsidR="00D5241C">
        <w:rPr>
          <w:sz w:val="20"/>
          <w:szCs w:val="20"/>
          <w:lang w:val="es-AR"/>
        </w:rPr>
        <w:t>8,1960</w:t>
      </w:r>
      <w:r w:rsidRPr="00110E8B">
        <w:rPr>
          <w:sz w:val="20"/>
          <w:szCs w:val="20"/>
          <w:lang w:val="es-AR"/>
        </w:rPr>
        <w:t>% del capital social</w:t>
      </w:r>
      <w:r w:rsidR="00D5241C">
        <w:rPr>
          <w:sz w:val="20"/>
          <w:szCs w:val="20"/>
          <w:lang w:val="es-AR"/>
        </w:rPr>
        <w:t xml:space="preserve"> al 31 de diciembre de 2020 (</w:t>
      </w:r>
      <w:r w:rsidR="006235C6">
        <w:rPr>
          <w:sz w:val="20"/>
          <w:szCs w:val="20"/>
          <w:lang w:val="es-AR"/>
        </w:rPr>
        <w:t xml:space="preserve">Comunicación </w:t>
      </w:r>
      <w:r w:rsidR="00D5241C">
        <w:rPr>
          <w:sz w:val="20"/>
          <w:szCs w:val="20"/>
          <w:lang w:val="es-AR"/>
        </w:rPr>
        <w:t>“B” 12152</w:t>
      </w:r>
      <w:r w:rsidR="006235C6">
        <w:rPr>
          <w:sz w:val="20"/>
          <w:szCs w:val="20"/>
          <w:lang w:val="es-AR"/>
        </w:rPr>
        <w:t xml:space="preserve"> del B.C.R.A.</w:t>
      </w:r>
      <w:r w:rsidR="00D5241C">
        <w:rPr>
          <w:sz w:val="20"/>
          <w:szCs w:val="20"/>
          <w:lang w:val="es-AR"/>
        </w:rPr>
        <w:t>)</w:t>
      </w:r>
      <w:r w:rsidRPr="00110E8B">
        <w:rPr>
          <w:sz w:val="20"/>
          <w:szCs w:val="20"/>
          <w:lang w:val="es-AR"/>
        </w:rPr>
        <w:t xml:space="preserve">.  </w:t>
      </w:r>
    </w:p>
    <w:p w14:paraId="1C329388" w14:textId="77777777" w:rsidR="004B5B0F" w:rsidRPr="00110E8B" w:rsidRDefault="004B5B0F" w:rsidP="000F0955">
      <w:pPr>
        <w:pStyle w:val="Prrafodelista"/>
        <w:tabs>
          <w:tab w:val="left" w:pos="567"/>
          <w:tab w:val="right" w:pos="10368"/>
        </w:tabs>
        <w:ind w:left="785" w:right="142"/>
        <w:jc w:val="both"/>
        <w:rPr>
          <w:sz w:val="20"/>
          <w:szCs w:val="20"/>
          <w:lang w:val="es-AR"/>
        </w:rPr>
      </w:pPr>
    </w:p>
    <w:p w14:paraId="5B527FB4" w14:textId="77777777" w:rsidR="004B5B0F" w:rsidRPr="00110E8B" w:rsidRDefault="004B5B0F" w:rsidP="000F0955">
      <w:pPr>
        <w:pStyle w:val="Prrafodelista"/>
        <w:tabs>
          <w:tab w:val="left" w:pos="567"/>
          <w:tab w:val="right" w:pos="10368"/>
        </w:tabs>
        <w:ind w:left="785" w:right="142"/>
        <w:jc w:val="both"/>
        <w:rPr>
          <w:sz w:val="20"/>
          <w:szCs w:val="20"/>
          <w:lang w:val="es-AR"/>
        </w:rPr>
      </w:pPr>
      <w:r w:rsidRPr="00110E8B">
        <w:rPr>
          <w:sz w:val="20"/>
          <w:szCs w:val="20"/>
          <w:lang w:val="es-AR"/>
        </w:rPr>
        <w:t>El Sistema de Seguro de Garantía de los Depósitos, el cual es limitado, obligatorio y oneroso, se ha creado con el objeto de cubrir los riesgos de los depósitos bancarios, en forma subsidiaria y complementaria al sistema de privilegios y protección de depósitos establecidos por la Ley de Entidades Financieras.</w:t>
      </w:r>
    </w:p>
    <w:p w14:paraId="258BD6A8" w14:textId="77777777" w:rsidR="000F0D5C" w:rsidRPr="00110E8B" w:rsidRDefault="000F0D5C" w:rsidP="000F0955">
      <w:pPr>
        <w:pStyle w:val="Prrafodelista"/>
        <w:tabs>
          <w:tab w:val="left" w:pos="567"/>
          <w:tab w:val="right" w:pos="10368"/>
        </w:tabs>
        <w:ind w:left="785" w:right="142"/>
        <w:jc w:val="both"/>
        <w:rPr>
          <w:sz w:val="20"/>
          <w:szCs w:val="20"/>
          <w:lang w:val="es-AR"/>
        </w:rPr>
      </w:pPr>
    </w:p>
    <w:p w14:paraId="3EB2C3BE" w14:textId="77777777" w:rsidR="004B5B0F" w:rsidRPr="00110E8B" w:rsidRDefault="004B5B0F" w:rsidP="0012366F">
      <w:pPr>
        <w:pStyle w:val="Prrafodelista"/>
        <w:tabs>
          <w:tab w:val="left" w:pos="567"/>
          <w:tab w:val="left" w:pos="993"/>
          <w:tab w:val="left" w:pos="2260"/>
        </w:tabs>
        <w:ind w:left="785" w:right="142"/>
        <w:jc w:val="both"/>
        <w:rPr>
          <w:sz w:val="20"/>
          <w:szCs w:val="20"/>
          <w:lang w:val="es-AR"/>
        </w:rPr>
      </w:pPr>
      <w:r w:rsidRPr="00110E8B">
        <w:rPr>
          <w:sz w:val="20"/>
          <w:szCs w:val="20"/>
          <w:lang w:val="es-AR"/>
        </w:rPr>
        <w:t xml:space="preserve">La garantía cubre la devolución del capital desembolsado y de sus intereses devengados hasta la fecha de revocación de la autorización para funcionar o hasta la fecha de suspensión de la entidad por aplicación del artículo 49 de la Carta Orgánica del B.C.R.A., si esta medida hubiera sido adoptada en forma previa a aquella, sin exceder los pesos cuatrocientos cincuenta mil. En las operaciones a nombre de dos o más personas, la garantía se prorrateará entre sus titulares. En ningún caso, el total de la garantía por persona podrá exceder la suma mencionada anteriormente, cualquiera sea el número de cuentas y/o depósitos. </w:t>
      </w:r>
    </w:p>
    <w:p w14:paraId="6B0C315A" w14:textId="77777777" w:rsidR="004B5B0F" w:rsidRPr="00110E8B" w:rsidRDefault="004B5B0F" w:rsidP="0012366F">
      <w:pPr>
        <w:pStyle w:val="Prrafodelista"/>
        <w:tabs>
          <w:tab w:val="left" w:pos="567"/>
          <w:tab w:val="left" w:pos="993"/>
          <w:tab w:val="left" w:pos="2260"/>
        </w:tabs>
        <w:ind w:left="785" w:right="142"/>
        <w:jc w:val="both"/>
        <w:rPr>
          <w:sz w:val="20"/>
          <w:szCs w:val="20"/>
          <w:lang w:val="es-AR"/>
        </w:rPr>
      </w:pPr>
    </w:p>
    <w:p w14:paraId="4DCE4806" w14:textId="77777777" w:rsidR="004B5B0F" w:rsidRPr="00BF01CF" w:rsidRDefault="004B5B0F" w:rsidP="0012366F">
      <w:pPr>
        <w:pStyle w:val="Prrafodelista"/>
        <w:tabs>
          <w:tab w:val="left" w:pos="567"/>
          <w:tab w:val="right" w:pos="10368"/>
        </w:tabs>
        <w:ind w:left="785" w:right="142"/>
        <w:jc w:val="both"/>
        <w:rPr>
          <w:sz w:val="20"/>
          <w:szCs w:val="20"/>
          <w:lang w:val="es-AR"/>
        </w:rPr>
      </w:pPr>
      <w:r w:rsidRPr="00110E8B">
        <w:rPr>
          <w:sz w:val="20"/>
          <w:szCs w:val="20"/>
          <w:lang w:val="es-AR"/>
        </w:rPr>
        <w:t xml:space="preserve">Adicionalmente, se establece que las entidades financieras deben destinar mensualmente al FGD un aporte normal equivalente al 0,015% de su promedio mensual de saldos diarios de las partidas enumeradas en la normativa </w:t>
      </w:r>
      <w:r w:rsidRPr="00BF01CF">
        <w:rPr>
          <w:sz w:val="20"/>
          <w:szCs w:val="20"/>
          <w:lang w:val="es-AR"/>
        </w:rPr>
        <w:t xml:space="preserve">correspondiente. </w:t>
      </w:r>
    </w:p>
    <w:p w14:paraId="28FB1983" w14:textId="77777777" w:rsidR="004B5B0F" w:rsidRPr="00BF01CF" w:rsidRDefault="004B5B0F" w:rsidP="0012366F">
      <w:pPr>
        <w:pStyle w:val="Prrafodelista"/>
        <w:tabs>
          <w:tab w:val="left" w:pos="567"/>
          <w:tab w:val="right" w:pos="10368"/>
        </w:tabs>
        <w:ind w:left="1144" w:right="142"/>
        <w:jc w:val="both"/>
        <w:rPr>
          <w:sz w:val="20"/>
          <w:szCs w:val="20"/>
          <w:lang w:val="es-AR"/>
        </w:rPr>
      </w:pPr>
    </w:p>
    <w:p w14:paraId="4C8330C8" w14:textId="02E86289" w:rsidR="004276B2" w:rsidRPr="00BF2CDC" w:rsidRDefault="00733A27" w:rsidP="004516E6">
      <w:pPr>
        <w:spacing w:after="120" w:line="240" w:lineRule="exact"/>
        <w:ind w:left="784" w:right="140"/>
        <w:jc w:val="both"/>
        <w:rPr>
          <w:rFonts w:ascii="Times New Roman" w:hAnsi="Times New Roman"/>
          <w:sz w:val="20"/>
        </w:rPr>
      </w:pPr>
      <w:r w:rsidRPr="00110E8B">
        <w:rPr>
          <w:rFonts w:ascii="Times New Roman" w:hAnsi="Times New Roman"/>
          <w:sz w:val="20"/>
        </w:rPr>
        <w:t>Al 30 de septiembre de 202</w:t>
      </w:r>
      <w:r>
        <w:rPr>
          <w:rFonts w:ascii="Times New Roman" w:hAnsi="Times New Roman"/>
          <w:sz w:val="20"/>
        </w:rPr>
        <w:t>1</w:t>
      </w:r>
      <w:r w:rsidRPr="00110E8B">
        <w:rPr>
          <w:rFonts w:ascii="Times New Roman" w:hAnsi="Times New Roman"/>
          <w:sz w:val="20"/>
        </w:rPr>
        <w:t xml:space="preserve"> y 20</w:t>
      </w:r>
      <w:r>
        <w:rPr>
          <w:rFonts w:ascii="Times New Roman" w:hAnsi="Times New Roman"/>
          <w:sz w:val="20"/>
        </w:rPr>
        <w:t xml:space="preserve">20 </w:t>
      </w:r>
      <w:r w:rsidR="008A6371" w:rsidRPr="00BF01CF">
        <w:rPr>
          <w:rFonts w:ascii="Times New Roman" w:hAnsi="Times New Roman"/>
          <w:sz w:val="20"/>
        </w:rPr>
        <w:t xml:space="preserve">los aportes realizados al Fondo han </w:t>
      </w:r>
      <w:r w:rsidR="008A6371" w:rsidRPr="0051347B">
        <w:rPr>
          <w:rFonts w:ascii="Times New Roman" w:hAnsi="Times New Roman"/>
          <w:sz w:val="20"/>
        </w:rPr>
        <w:t>sido registrados en el rubro “Otros gastos operativos - Aportes al fondo de garant</w:t>
      </w:r>
      <w:r w:rsidR="004B5B0F" w:rsidRPr="0051347B">
        <w:rPr>
          <w:rFonts w:ascii="Times New Roman" w:hAnsi="Times New Roman"/>
          <w:sz w:val="20"/>
        </w:rPr>
        <w:t>ía de los depósitos” por</w:t>
      </w:r>
      <w:r w:rsidR="006453C4" w:rsidRPr="0051347B">
        <w:rPr>
          <w:rFonts w:ascii="Times New Roman" w:hAnsi="Times New Roman"/>
          <w:sz w:val="20"/>
        </w:rPr>
        <w:t xml:space="preserve"> </w:t>
      </w:r>
      <w:r w:rsidRPr="0051347B">
        <w:rPr>
          <w:rFonts w:ascii="Times New Roman" w:hAnsi="Times New Roman"/>
          <w:sz w:val="20"/>
        </w:rPr>
        <w:t>762.272</w:t>
      </w:r>
      <w:r w:rsidR="006453C4" w:rsidRPr="0051347B">
        <w:rPr>
          <w:rFonts w:ascii="Times New Roman" w:hAnsi="Times New Roman"/>
          <w:sz w:val="20"/>
        </w:rPr>
        <w:t xml:space="preserve"> y </w:t>
      </w:r>
      <w:r w:rsidRPr="0051347B">
        <w:rPr>
          <w:rFonts w:ascii="Times New Roman" w:hAnsi="Times New Roman"/>
          <w:sz w:val="20"/>
        </w:rPr>
        <w:t>701.34</w:t>
      </w:r>
      <w:r w:rsidR="0051347B" w:rsidRPr="0051347B">
        <w:rPr>
          <w:rFonts w:ascii="Times New Roman" w:hAnsi="Times New Roman"/>
          <w:sz w:val="20"/>
        </w:rPr>
        <w:t>7</w:t>
      </w:r>
      <w:r w:rsidR="008A6371" w:rsidRPr="0051347B">
        <w:rPr>
          <w:rFonts w:ascii="Times New Roman" w:hAnsi="Times New Roman"/>
          <w:sz w:val="20"/>
        </w:rPr>
        <w:t xml:space="preserve">, </w:t>
      </w:r>
      <w:r w:rsidR="00A03C19" w:rsidRPr="0051347B">
        <w:rPr>
          <w:rFonts w:ascii="Times New Roman" w:hAnsi="Times New Roman"/>
          <w:sz w:val="20"/>
        </w:rPr>
        <w:t>r</w:t>
      </w:r>
      <w:r w:rsidR="008A6371" w:rsidRPr="0051347B">
        <w:rPr>
          <w:rFonts w:ascii="Times New Roman" w:hAnsi="Times New Roman"/>
          <w:sz w:val="20"/>
        </w:rPr>
        <w:t>espectivamente.</w:t>
      </w:r>
    </w:p>
    <w:p w14:paraId="6EDF715C" w14:textId="0A09CF48" w:rsidR="002712CF" w:rsidRPr="003376CC" w:rsidRDefault="002712CF" w:rsidP="002712CF">
      <w:pPr>
        <w:pStyle w:val="Prrafodelista"/>
        <w:tabs>
          <w:tab w:val="left" w:pos="567"/>
          <w:tab w:val="left" w:pos="993"/>
          <w:tab w:val="left" w:pos="2260"/>
        </w:tabs>
        <w:ind w:left="785" w:right="142"/>
        <w:jc w:val="both"/>
        <w:rPr>
          <w:sz w:val="20"/>
          <w:szCs w:val="20"/>
          <w:lang w:val="es-AR"/>
        </w:rPr>
      </w:pPr>
      <w:r w:rsidRPr="00BF2CDC">
        <w:rPr>
          <w:sz w:val="20"/>
          <w:szCs w:val="20"/>
          <w:lang w:val="es-AR"/>
        </w:rPr>
        <w:t>El B</w:t>
      </w:r>
      <w:r w:rsidR="003B1637" w:rsidRPr="00BF2CDC">
        <w:rPr>
          <w:sz w:val="20"/>
          <w:szCs w:val="20"/>
          <w:lang w:val="es-AR"/>
        </w:rPr>
        <w:t>.</w:t>
      </w:r>
      <w:r w:rsidRPr="00BF2CDC">
        <w:rPr>
          <w:sz w:val="20"/>
          <w:szCs w:val="20"/>
          <w:lang w:val="es-AR"/>
        </w:rPr>
        <w:t>C</w:t>
      </w:r>
      <w:r w:rsidR="003B1637" w:rsidRPr="00BF2CDC">
        <w:rPr>
          <w:sz w:val="20"/>
          <w:szCs w:val="20"/>
          <w:lang w:val="es-AR"/>
        </w:rPr>
        <w:t>.</w:t>
      </w:r>
      <w:r w:rsidRPr="00BF2CDC">
        <w:rPr>
          <w:sz w:val="20"/>
          <w:szCs w:val="20"/>
          <w:lang w:val="es-AR"/>
        </w:rPr>
        <w:t>R</w:t>
      </w:r>
      <w:r w:rsidR="003B1637" w:rsidRPr="00BF2CDC">
        <w:rPr>
          <w:sz w:val="20"/>
          <w:szCs w:val="20"/>
          <w:lang w:val="es-AR"/>
        </w:rPr>
        <w:t>.</w:t>
      </w:r>
      <w:r w:rsidRPr="00BF2CDC">
        <w:rPr>
          <w:sz w:val="20"/>
          <w:szCs w:val="20"/>
          <w:lang w:val="es-AR"/>
        </w:rPr>
        <w:t>A</w:t>
      </w:r>
      <w:r w:rsidR="003B1637" w:rsidRPr="00BF2CDC">
        <w:rPr>
          <w:sz w:val="20"/>
          <w:szCs w:val="20"/>
          <w:lang w:val="es-AR"/>
        </w:rPr>
        <w:t>.</w:t>
      </w:r>
      <w:r w:rsidRPr="00BF2CDC">
        <w:rPr>
          <w:sz w:val="20"/>
          <w:szCs w:val="20"/>
          <w:lang w:val="es-AR"/>
        </w:rPr>
        <w:t xml:space="preserve"> emitió</w:t>
      </w:r>
      <w:r w:rsidRPr="00110E8B">
        <w:rPr>
          <w:sz w:val="20"/>
          <w:szCs w:val="20"/>
          <w:lang w:val="es-AR"/>
        </w:rPr>
        <w:t xml:space="preserve">, con fecha 28 de febrero de 2019, la Comunicación “A” 6654 donde dispuso el incremento de la garantía pasando de </w:t>
      </w:r>
      <w:r w:rsidR="00001E1A" w:rsidRPr="00110E8B">
        <w:rPr>
          <w:sz w:val="20"/>
          <w:szCs w:val="20"/>
          <w:lang w:val="es-AR"/>
        </w:rPr>
        <w:t xml:space="preserve">450.000 </w:t>
      </w:r>
      <w:r w:rsidRPr="00110E8B">
        <w:rPr>
          <w:sz w:val="20"/>
          <w:szCs w:val="20"/>
          <w:lang w:val="es-AR"/>
        </w:rPr>
        <w:t xml:space="preserve">pesos a </w:t>
      </w:r>
      <w:r w:rsidR="00001E1A" w:rsidRPr="00110E8B">
        <w:rPr>
          <w:sz w:val="20"/>
          <w:szCs w:val="20"/>
          <w:lang w:val="es-AR"/>
        </w:rPr>
        <w:t xml:space="preserve">1.000.000 </w:t>
      </w:r>
      <w:r w:rsidRPr="00110E8B">
        <w:rPr>
          <w:sz w:val="20"/>
          <w:szCs w:val="20"/>
          <w:lang w:val="es-AR"/>
        </w:rPr>
        <w:t>pesos con vigencia a partir del 1 de marzo de 2019.</w:t>
      </w:r>
      <w:r w:rsidR="00284E0F" w:rsidRPr="00110E8B">
        <w:rPr>
          <w:sz w:val="20"/>
          <w:szCs w:val="20"/>
          <w:lang w:val="es-AR"/>
        </w:rPr>
        <w:t xml:space="preserve"> Asimismo, con fecha 16 de abril de 2020 el B.C.R.A. emitió la Comunicación "A" 6973 </w:t>
      </w:r>
      <w:r w:rsidR="00284E0F" w:rsidRPr="003376CC">
        <w:rPr>
          <w:sz w:val="20"/>
          <w:szCs w:val="20"/>
          <w:lang w:val="es-AR"/>
        </w:rPr>
        <w:t>mediante la cual elevó dicho importe a 1.500.000 pesos, con vigencia a partir del 1 de mayo de 2020.</w:t>
      </w:r>
    </w:p>
    <w:p w14:paraId="0AFC6432" w14:textId="77777777" w:rsidR="00B21A48" w:rsidRDefault="00B21A48" w:rsidP="00FD5199">
      <w:pPr>
        <w:spacing w:after="120" w:line="240" w:lineRule="exact"/>
        <w:ind w:left="784"/>
        <w:jc w:val="both"/>
        <w:rPr>
          <w:rFonts w:ascii="Times New Roman" w:hAnsi="Times New Roman"/>
          <w:sz w:val="20"/>
        </w:rPr>
      </w:pPr>
    </w:p>
    <w:p w14:paraId="3E4DB8D9" w14:textId="77777777" w:rsidR="005A4775" w:rsidRDefault="005A4775" w:rsidP="00FD5199">
      <w:pPr>
        <w:spacing w:after="120" w:line="240" w:lineRule="exact"/>
        <w:ind w:left="784"/>
        <w:jc w:val="both"/>
        <w:rPr>
          <w:rFonts w:ascii="Times New Roman" w:hAnsi="Times New Roman"/>
          <w:sz w:val="20"/>
        </w:rPr>
      </w:pPr>
    </w:p>
    <w:p w14:paraId="46B92E34" w14:textId="77777777" w:rsidR="005A4775" w:rsidRDefault="005A4775" w:rsidP="00FD5199">
      <w:pPr>
        <w:spacing w:after="120" w:line="240" w:lineRule="exact"/>
        <w:ind w:left="784"/>
        <w:jc w:val="both"/>
        <w:rPr>
          <w:rFonts w:ascii="Times New Roman" w:hAnsi="Times New Roman"/>
          <w:sz w:val="20"/>
        </w:rPr>
      </w:pPr>
    </w:p>
    <w:p w14:paraId="492E64C5" w14:textId="77777777" w:rsidR="005A4775" w:rsidRDefault="005A4775" w:rsidP="00FD5199">
      <w:pPr>
        <w:spacing w:after="120" w:line="240" w:lineRule="exact"/>
        <w:ind w:left="784"/>
        <w:jc w:val="both"/>
        <w:rPr>
          <w:rFonts w:ascii="Times New Roman" w:hAnsi="Times New Roman"/>
          <w:sz w:val="20"/>
        </w:rPr>
      </w:pPr>
    </w:p>
    <w:p w14:paraId="13DCB847" w14:textId="77777777" w:rsidR="005A4775" w:rsidRDefault="005A4775" w:rsidP="00FD5199">
      <w:pPr>
        <w:spacing w:after="120" w:line="240" w:lineRule="exact"/>
        <w:ind w:left="784"/>
        <w:jc w:val="both"/>
        <w:rPr>
          <w:rFonts w:ascii="Times New Roman" w:hAnsi="Times New Roman"/>
          <w:sz w:val="20"/>
        </w:rPr>
      </w:pPr>
    </w:p>
    <w:p w14:paraId="1596460D" w14:textId="77777777" w:rsidR="005A4775" w:rsidRDefault="005A4775" w:rsidP="00FD5199">
      <w:pPr>
        <w:spacing w:after="120" w:line="240" w:lineRule="exact"/>
        <w:ind w:left="784"/>
        <w:jc w:val="both"/>
        <w:rPr>
          <w:rFonts w:ascii="Times New Roman" w:hAnsi="Times New Roman"/>
          <w:sz w:val="20"/>
        </w:rPr>
      </w:pPr>
    </w:p>
    <w:p w14:paraId="410A146C" w14:textId="77777777" w:rsidR="005A4775" w:rsidRDefault="005A4775" w:rsidP="00FD5199">
      <w:pPr>
        <w:spacing w:after="120" w:line="240" w:lineRule="exact"/>
        <w:ind w:left="784"/>
        <w:jc w:val="both"/>
        <w:rPr>
          <w:rFonts w:ascii="Times New Roman" w:hAnsi="Times New Roman"/>
          <w:sz w:val="20"/>
        </w:rPr>
      </w:pPr>
    </w:p>
    <w:p w14:paraId="68988FD6" w14:textId="1A81D62F" w:rsidR="008A6371" w:rsidRPr="003F4582" w:rsidRDefault="000F0955" w:rsidP="004C318E">
      <w:pPr>
        <w:pStyle w:val="Prrafodelista"/>
        <w:numPr>
          <w:ilvl w:val="0"/>
          <w:numId w:val="11"/>
        </w:numPr>
        <w:spacing w:before="240" w:after="120"/>
        <w:rPr>
          <w:b/>
          <w:color w:val="000000"/>
          <w:sz w:val="20"/>
          <w:szCs w:val="20"/>
          <w:lang w:val="es-AR"/>
        </w:rPr>
      </w:pPr>
      <w:r w:rsidRPr="003F4582">
        <w:rPr>
          <w:b/>
          <w:color w:val="000000"/>
          <w:sz w:val="20"/>
          <w:szCs w:val="20"/>
          <w:lang w:val="es-AR"/>
        </w:rPr>
        <w:t>Efectivo mínimo y capitales mínimos</w:t>
      </w:r>
    </w:p>
    <w:p w14:paraId="3FD2E327" w14:textId="3236D478" w:rsidR="008A6371" w:rsidRPr="003F4582" w:rsidRDefault="008A6371" w:rsidP="001707FA">
      <w:pPr>
        <w:spacing w:before="120" w:after="120" w:line="240" w:lineRule="exact"/>
        <w:ind w:left="851"/>
        <w:rPr>
          <w:rFonts w:ascii="Times New Roman" w:hAnsi="Times New Roman"/>
          <w:b/>
          <w:color w:val="000000"/>
          <w:sz w:val="20"/>
        </w:rPr>
      </w:pPr>
      <w:r w:rsidRPr="003F4582">
        <w:rPr>
          <w:rFonts w:ascii="Times New Roman" w:hAnsi="Times New Roman"/>
          <w:b/>
          <w:color w:val="000000"/>
          <w:sz w:val="20"/>
        </w:rPr>
        <w:t>5</w:t>
      </w:r>
      <w:r w:rsidR="00001E1A" w:rsidRPr="003F4582">
        <w:rPr>
          <w:rFonts w:ascii="Times New Roman" w:hAnsi="Times New Roman"/>
          <w:b/>
          <w:color w:val="000000"/>
          <w:sz w:val="20"/>
        </w:rPr>
        <w:t>1</w:t>
      </w:r>
      <w:r w:rsidRPr="003F4582">
        <w:rPr>
          <w:rFonts w:ascii="Times New Roman" w:hAnsi="Times New Roman"/>
          <w:b/>
          <w:color w:val="000000"/>
          <w:sz w:val="20"/>
        </w:rPr>
        <w:t>.1 Efectivo mínimo</w:t>
      </w:r>
    </w:p>
    <w:p w14:paraId="1AB5BEB3" w14:textId="710B9ADE" w:rsidR="000D0836" w:rsidRPr="003F4582" w:rsidRDefault="000D0836" w:rsidP="004C318E">
      <w:pPr>
        <w:spacing w:before="240" w:after="120" w:line="240" w:lineRule="exact"/>
        <w:ind w:left="851"/>
        <w:jc w:val="both"/>
        <w:rPr>
          <w:rFonts w:ascii="Times New Roman" w:hAnsi="Times New Roman"/>
          <w:color w:val="000000"/>
          <w:sz w:val="20"/>
        </w:rPr>
      </w:pPr>
      <w:r w:rsidRPr="003F4582">
        <w:rPr>
          <w:rFonts w:ascii="Times New Roman" w:hAnsi="Times New Roman"/>
          <w:color w:val="000000"/>
          <w:sz w:val="20"/>
        </w:rPr>
        <w:t>El B.C.R.A. establece diferentes regulaciones prudenciales a ser observadas por las entidades financieras con respecto, principalmente, a los niveles de solvencia, liquidez y niveles de asistencia crediticia.</w:t>
      </w:r>
    </w:p>
    <w:p w14:paraId="2EF17580" w14:textId="4D5D3272" w:rsidR="0066780A" w:rsidRPr="003F4582" w:rsidRDefault="000D0836" w:rsidP="00716216">
      <w:pPr>
        <w:spacing w:after="120" w:line="240" w:lineRule="exact"/>
        <w:ind w:left="851"/>
        <w:jc w:val="both"/>
        <w:rPr>
          <w:rFonts w:ascii="Times New Roman" w:hAnsi="Times New Roman"/>
          <w:color w:val="000000"/>
          <w:sz w:val="20"/>
        </w:rPr>
      </w:pPr>
      <w:r w:rsidRPr="003F4582">
        <w:rPr>
          <w:rFonts w:ascii="Times New Roman" w:hAnsi="Times New Roman"/>
          <w:color w:val="000000"/>
          <w:sz w:val="20"/>
        </w:rPr>
        <w:t>Las normas de efectivo mínimo establecen la exigencia de mantener activos líquidos en relación con los depósitos y otras obligaciones registradas en cada período. Los conceptos computados a efectos de integrar esa exige</w:t>
      </w:r>
      <w:r w:rsidR="003E6E83" w:rsidRPr="003F4582">
        <w:rPr>
          <w:rFonts w:ascii="Times New Roman" w:hAnsi="Times New Roman"/>
          <w:color w:val="000000"/>
          <w:sz w:val="20"/>
        </w:rPr>
        <w:t>ncia se detallan a continuación:</w:t>
      </w:r>
    </w:p>
    <w:p w14:paraId="4A3BB491" w14:textId="402BB25D" w:rsidR="0066780A" w:rsidRDefault="001E34FC" w:rsidP="0066780A">
      <w:pPr>
        <w:pStyle w:val="Prrafodelista"/>
        <w:spacing w:after="120"/>
        <w:ind w:left="851" w:right="142"/>
        <w:jc w:val="both"/>
        <w:rPr>
          <w:sz w:val="20"/>
          <w:szCs w:val="20"/>
          <w:lang w:val="es-AR"/>
        </w:rPr>
      </w:pPr>
      <w:r w:rsidRPr="001E34FC">
        <w:rPr>
          <w:noProof/>
          <w:lang w:val="es-AR" w:eastAsia="es-AR"/>
        </w:rPr>
        <w:drawing>
          <wp:inline distT="0" distB="0" distL="0" distR="0" wp14:anchorId="44C8FEA8" wp14:editId="4E3421BE">
            <wp:extent cx="6031230" cy="237380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31230" cy="2373808"/>
                    </a:xfrm>
                    <a:prstGeom prst="rect">
                      <a:avLst/>
                    </a:prstGeom>
                    <a:noFill/>
                    <a:ln>
                      <a:noFill/>
                    </a:ln>
                  </pic:spPr>
                </pic:pic>
              </a:graphicData>
            </a:graphic>
          </wp:inline>
        </w:drawing>
      </w:r>
    </w:p>
    <w:p w14:paraId="5819CB79" w14:textId="77777777" w:rsidR="003F4582" w:rsidRDefault="003F4582" w:rsidP="0066780A">
      <w:pPr>
        <w:pStyle w:val="Prrafodelista"/>
        <w:spacing w:after="120"/>
        <w:ind w:left="851" w:right="142"/>
        <w:jc w:val="both"/>
        <w:rPr>
          <w:sz w:val="20"/>
          <w:szCs w:val="20"/>
          <w:lang w:val="es-AR"/>
        </w:rPr>
      </w:pPr>
    </w:p>
    <w:p w14:paraId="0F5DCA9A" w14:textId="26AB2C0B" w:rsidR="00625340" w:rsidRPr="003F4582" w:rsidRDefault="00284E0F" w:rsidP="004C318E">
      <w:pPr>
        <w:spacing w:before="120" w:after="120" w:line="240" w:lineRule="exact"/>
        <w:ind w:left="851"/>
        <w:rPr>
          <w:rFonts w:ascii="Times New Roman" w:hAnsi="Times New Roman"/>
          <w:color w:val="000000"/>
          <w:sz w:val="20"/>
        </w:rPr>
      </w:pPr>
      <w:r w:rsidRPr="003F4582">
        <w:rPr>
          <w:rFonts w:ascii="Times New Roman" w:hAnsi="Times New Roman"/>
          <w:color w:val="000000"/>
          <w:sz w:val="20"/>
        </w:rPr>
        <w:t>Cabe aclarar que los saldos expuestos corresponden a los informados por el Banco.</w:t>
      </w:r>
    </w:p>
    <w:p w14:paraId="50BDA0A9" w14:textId="77777777" w:rsidR="003F4582" w:rsidRDefault="003F4582" w:rsidP="001707FA">
      <w:pPr>
        <w:spacing w:before="120" w:after="120" w:line="240" w:lineRule="exact"/>
        <w:ind w:left="851"/>
        <w:rPr>
          <w:rFonts w:ascii="Times New Roman" w:hAnsi="Times New Roman"/>
          <w:b/>
          <w:color w:val="000000"/>
          <w:sz w:val="20"/>
        </w:rPr>
      </w:pPr>
    </w:p>
    <w:p w14:paraId="371D6CE6" w14:textId="4CD7E919" w:rsidR="008A6371" w:rsidRPr="003F4582" w:rsidRDefault="008A6371" w:rsidP="001707FA">
      <w:pPr>
        <w:spacing w:before="120" w:after="120" w:line="240" w:lineRule="exact"/>
        <w:ind w:left="851"/>
        <w:rPr>
          <w:rFonts w:ascii="Times New Roman" w:hAnsi="Times New Roman"/>
          <w:b/>
          <w:color w:val="000000"/>
          <w:sz w:val="20"/>
        </w:rPr>
      </w:pPr>
      <w:r w:rsidRPr="003F4582">
        <w:rPr>
          <w:rFonts w:ascii="Times New Roman" w:hAnsi="Times New Roman"/>
          <w:b/>
          <w:color w:val="000000"/>
          <w:sz w:val="20"/>
        </w:rPr>
        <w:t>5</w:t>
      </w:r>
      <w:r w:rsidR="00194226" w:rsidRPr="003F4582">
        <w:rPr>
          <w:rFonts w:ascii="Times New Roman" w:hAnsi="Times New Roman"/>
          <w:b/>
          <w:color w:val="000000"/>
          <w:sz w:val="20"/>
        </w:rPr>
        <w:t>1</w:t>
      </w:r>
      <w:r w:rsidRPr="003F4582">
        <w:rPr>
          <w:rFonts w:ascii="Times New Roman" w:hAnsi="Times New Roman"/>
          <w:b/>
          <w:color w:val="000000"/>
          <w:sz w:val="20"/>
        </w:rPr>
        <w:t>.2 Capitales mínimos</w:t>
      </w:r>
    </w:p>
    <w:p w14:paraId="27288ADB" w14:textId="77777777" w:rsidR="000D0836" w:rsidRDefault="000D0836" w:rsidP="000D0836">
      <w:pPr>
        <w:spacing w:after="120" w:line="240" w:lineRule="exact"/>
        <w:ind w:left="851"/>
        <w:rPr>
          <w:rFonts w:ascii="Times New Roman" w:hAnsi="Times New Roman"/>
          <w:color w:val="000000"/>
          <w:sz w:val="20"/>
        </w:rPr>
      </w:pPr>
      <w:r w:rsidRPr="003F4582">
        <w:rPr>
          <w:rFonts w:ascii="Times New Roman" w:hAnsi="Times New Roman"/>
          <w:color w:val="000000"/>
          <w:sz w:val="20"/>
        </w:rPr>
        <w:t>La composición regulatoria de capitales mínimos es la siguiente a cada fecha mencionada:</w:t>
      </w:r>
    </w:p>
    <w:p w14:paraId="2F4136A3" w14:textId="77777777" w:rsidR="00F766A2" w:rsidRPr="003F4582" w:rsidRDefault="00F766A2" w:rsidP="000D0836">
      <w:pPr>
        <w:spacing w:after="120" w:line="240" w:lineRule="exact"/>
        <w:ind w:left="851"/>
        <w:rPr>
          <w:rFonts w:ascii="Times New Roman" w:hAnsi="Times New Roman"/>
          <w:color w:val="000000"/>
          <w:sz w:val="20"/>
        </w:rPr>
      </w:pPr>
    </w:p>
    <w:p w14:paraId="095A7C56" w14:textId="7C2B0156" w:rsidR="0066780A" w:rsidRDefault="00F766A2" w:rsidP="0066780A">
      <w:pPr>
        <w:pStyle w:val="Prrafodelista"/>
        <w:spacing w:after="120"/>
        <w:ind w:left="851" w:right="142"/>
        <w:jc w:val="both"/>
        <w:rPr>
          <w:sz w:val="20"/>
          <w:szCs w:val="20"/>
          <w:lang w:val="es-AR"/>
        </w:rPr>
      </w:pPr>
      <w:r w:rsidRPr="00F766A2">
        <w:rPr>
          <w:noProof/>
          <w:lang w:val="es-AR" w:eastAsia="es-AR"/>
        </w:rPr>
        <w:drawing>
          <wp:inline distT="0" distB="0" distL="0" distR="0" wp14:anchorId="742078DD" wp14:editId="1E2A5A22">
            <wp:extent cx="6031230" cy="12220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31230" cy="1222071"/>
                    </a:xfrm>
                    <a:prstGeom prst="rect">
                      <a:avLst/>
                    </a:prstGeom>
                    <a:noFill/>
                    <a:ln>
                      <a:noFill/>
                    </a:ln>
                  </pic:spPr>
                </pic:pic>
              </a:graphicData>
            </a:graphic>
          </wp:inline>
        </w:drawing>
      </w:r>
    </w:p>
    <w:p w14:paraId="781A4F5D" w14:textId="77777777" w:rsidR="00E25B56" w:rsidRDefault="00E25B56" w:rsidP="0066780A">
      <w:pPr>
        <w:pStyle w:val="Prrafodelista"/>
        <w:spacing w:after="120"/>
        <w:ind w:left="851" w:right="142"/>
        <w:jc w:val="both"/>
        <w:rPr>
          <w:sz w:val="20"/>
          <w:szCs w:val="20"/>
          <w:lang w:val="es-AR"/>
        </w:rPr>
      </w:pPr>
    </w:p>
    <w:p w14:paraId="0F156935" w14:textId="77777777" w:rsidR="005A4775" w:rsidRDefault="005A4775" w:rsidP="0066780A">
      <w:pPr>
        <w:pStyle w:val="Prrafodelista"/>
        <w:spacing w:after="120"/>
        <w:ind w:left="851" w:right="142"/>
        <w:jc w:val="both"/>
        <w:rPr>
          <w:sz w:val="20"/>
          <w:szCs w:val="20"/>
          <w:lang w:val="es-AR"/>
        </w:rPr>
      </w:pPr>
    </w:p>
    <w:p w14:paraId="73579ECF" w14:textId="77777777" w:rsidR="006F7F2D" w:rsidRDefault="006F7F2D" w:rsidP="0066780A">
      <w:pPr>
        <w:pStyle w:val="Prrafodelista"/>
        <w:spacing w:after="120"/>
        <w:ind w:left="851" w:right="142"/>
        <w:jc w:val="both"/>
        <w:rPr>
          <w:sz w:val="20"/>
          <w:szCs w:val="20"/>
          <w:lang w:val="es-AR"/>
        </w:rPr>
      </w:pPr>
    </w:p>
    <w:p w14:paraId="26E8823F" w14:textId="713CCE28" w:rsidR="008A6371" w:rsidRPr="00104524" w:rsidRDefault="000F0955" w:rsidP="00C60CC8">
      <w:pPr>
        <w:pStyle w:val="Prrafodelista"/>
        <w:numPr>
          <w:ilvl w:val="0"/>
          <w:numId w:val="11"/>
        </w:numPr>
        <w:spacing w:after="120"/>
        <w:rPr>
          <w:b/>
          <w:color w:val="000000"/>
          <w:sz w:val="20"/>
          <w:szCs w:val="20"/>
          <w:lang w:val="es-AR"/>
        </w:rPr>
      </w:pPr>
      <w:r w:rsidRPr="00104524">
        <w:rPr>
          <w:b/>
          <w:color w:val="000000"/>
          <w:sz w:val="20"/>
          <w:szCs w:val="20"/>
          <w:lang w:val="es-AR"/>
        </w:rPr>
        <w:t xml:space="preserve">Cumplimiento de las disposiciones de la Comisión Nacional de Valores – patrimonio neto mínimo </w:t>
      </w:r>
      <w:r w:rsidR="000A18E7" w:rsidRPr="00104524">
        <w:rPr>
          <w:b/>
          <w:color w:val="000000"/>
          <w:sz w:val="20"/>
          <w:szCs w:val="20"/>
          <w:lang w:val="es-AR"/>
        </w:rPr>
        <w:t>y contrapartida líquida</w:t>
      </w:r>
    </w:p>
    <w:p w14:paraId="24B804F3" w14:textId="28C798A6" w:rsidR="00233933" w:rsidRPr="00104524" w:rsidRDefault="009872E6" w:rsidP="00233933">
      <w:pPr>
        <w:tabs>
          <w:tab w:val="left" w:pos="0"/>
          <w:tab w:val="left" w:pos="9900"/>
        </w:tabs>
        <w:ind w:left="851" w:right="49"/>
        <w:jc w:val="both"/>
        <w:rPr>
          <w:rFonts w:ascii="Times New Roman" w:hAnsi="Times New Roman"/>
          <w:sz w:val="20"/>
        </w:rPr>
      </w:pPr>
      <w:r w:rsidRPr="00104524">
        <w:rPr>
          <w:rFonts w:ascii="Times New Roman" w:hAnsi="Times New Roman"/>
          <w:sz w:val="20"/>
        </w:rPr>
        <w:t>En cumplimiento de lo establecido por la Resolución General N° 622/13</w:t>
      </w:r>
      <w:r w:rsidR="000F0955" w:rsidRPr="00104524">
        <w:rPr>
          <w:rFonts w:ascii="Times New Roman" w:hAnsi="Times New Roman"/>
          <w:sz w:val="20"/>
        </w:rPr>
        <w:t xml:space="preserve"> de la </w:t>
      </w:r>
      <w:r w:rsidR="00BE2D25" w:rsidRPr="00104524">
        <w:rPr>
          <w:rFonts w:ascii="Times New Roman" w:hAnsi="Times New Roman"/>
          <w:sz w:val="20"/>
        </w:rPr>
        <w:t>C.N.V.</w:t>
      </w:r>
      <w:r w:rsidR="008520AC" w:rsidRPr="00104524">
        <w:rPr>
          <w:rFonts w:ascii="Times New Roman" w:hAnsi="Times New Roman"/>
          <w:sz w:val="20"/>
        </w:rPr>
        <w:t xml:space="preserve"> modificada por la Resolución General </w:t>
      </w:r>
      <w:r w:rsidR="00233933" w:rsidRPr="00104524">
        <w:rPr>
          <w:rFonts w:ascii="Times New Roman" w:hAnsi="Times New Roman"/>
          <w:sz w:val="20"/>
        </w:rPr>
        <w:t>N° 821/19</w:t>
      </w:r>
      <w:r w:rsidR="008520AC" w:rsidRPr="00104524">
        <w:rPr>
          <w:rFonts w:ascii="Times New Roman" w:hAnsi="Times New Roman"/>
          <w:sz w:val="20"/>
        </w:rPr>
        <w:t xml:space="preserve"> de la C.N.V.</w:t>
      </w:r>
      <w:r w:rsidRPr="00104524">
        <w:rPr>
          <w:rFonts w:ascii="Times New Roman" w:hAnsi="Times New Roman"/>
          <w:sz w:val="20"/>
        </w:rPr>
        <w:t xml:space="preserve">, el </w:t>
      </w:r>
      <w:r w:rsidR="004F4281" w:rsidRPr="00104524">
        <w:rPr>
          <w:rFonts w:ascii="Times New Roman" w:hAnsi="Times New Roman"/>
          <w:sz w:val="20"/>
        </w:rPr>
        <w:t>p</w:t>
      </w:r>
      <w:r w:rsidRPr="00104524">
        <w:rPr>
          <w:rFonts w:ascii="Times New Roman" w:hAnsi="Times New Roman"/>
          <w:sz w:val="20"/>
        </w:rPr>
        <w:t xml:space="preserve">atrimonio </w:t>
      </w:r>
      <w:r w:rsidR="004F4281" w:rsidRPr="00104524">
        <w:rPr>
          <w:rFonts w:ascii="Times New Roman" w:hAnsi="Times New Roman"/>
          <w:sz w:val="20"/>
        </w:rPr>
        <w:t>n</w:t>
      </w:r>
      <w:r w:rsidRPr="00104524">
        <w:rPr>
          <w:rFonts w:ascii="Times New Roman" w:hAnsi="Times New Roman"/>
          <w:sz w:val="20"/>
        </w:rPr>
        <w:t xml:space="preserve">eto </w:t>
      </w:r>
      <w:r w:rsidR="004F4281" w:rsidRPr="00104524">
        <w:rPr>
          <w:rFonts w:ascii="Times New Roman" w:hAnsi="Times New Roman"/>
          <w:sz w:val="20"/>
        </w:rPr>
        <w:t>m</w:t>
      </w:r>
      <w:r w:rsidRPr="00104524">
        <w:rPr>
          <w:rFonts w:ascii="Times New Roman" w:hAnsi="Times New Roman"/>
          <w:sz w:val="20"/>
        </w:rPr>
        <w:t>ínimo requerido para actuar como Agente de Liqu</w:t>
      </w:r>
      <w:r w:rsidR="00DA6AAE" w:rsidRPr="00104524">
        <w:rPr>
          <w:rFonts w:ascii="Times New Roman" w:hAnsi="Times New Roman"/>
          <w:sz w:val="20"/>
        </w:rPr>
        <w:t>idación y Compensación Integral</w:t>
      </w:r>
      <w:r w:rsidR="00233933" w:rsidRPr="00104524">
        <w:rPr>
          <w:rFonts w:ascii="Times New Roman" w:hAnsi="Times New Roman"/>
          <w:sz w:val="20"/>
        </w:rPr>
        <w:t xml:space="preserve"> será equivalente a 470.350 Unidades de Valor Adquisitivo (UVA) actualizables por el Coeficiente de Estabilización de Ref</w:t>
      </w:r>
      <w:r w:rsidR="004F4281" w:rsidRPr="00104524">
        <w:rPr>
          <w:rFonts w:ascii="Times New Roman" w:hAnsi="Times New Roman"/>
          <w:sz w:val="20"/>
        </w:rPr>
        <w:t>erencia (CER),</w:t>
      </w:r>
      <w:r w:rsidR="004A02C0" w:rsidRPr="00104524">
        <w:rPr>
          <w:rFonts w:ascii="Times New Roman" w:hAnsi="Times New Roman"/>
          <w:sz w:val="20"/>
        </w:rPr>
        <w:t xml:space="preserve"> Ley N° 25.827. En cuanto a la contrapartida l</w:t>
      </w:r>
      <w:r w:rsidR="004F4281" w:rsidRPr="00104524">
        <w:rPr>
          <w:rFonts w:ascii="Times New Roman" w:hAnsi="Times New Roman"/>
          <w:sz w:val="20"/>
        </w:rPr>
        <w:t xml:space="preserve">íquida, el monto a integrar será de un mínimo del cincuenta por ciento (50%) del importe del patrimonio neto mínimo. </w:t>
      </w:r>
    </w:p>
    <w:p w14:paraId="75592145" w14:textId="77777777" w:rsidR="00233933" w:rsidRPr="00104524" w:rsidRDefault="00233933" w:rsidP="001707FA">
      <w:pPr>
        <w:tabs>
          <w:tab w:val="left" w:pos="0"/>
          <w:tab w:val="left" w:pos="9900"/>
        </w:tabs>
        <w:ind w:left="851" w:right="49"/>
        <w:jc w:val="both"/>
        <w:rPr>
          <w:rFonts w:ascii="Times New Roman" w:hAnsi="Times New Roman"/>
          <w:sz w:val="20"/>
        </w:rPr>
      </w:pPr>
    </w:p>
    <w:p w14:paraId="3E6B2B88" w14:textId="41423F60" w:rsidR="009872E6" w:rsidRPr="00104524" w:rsidRDefault="004A02C0" w:rsidP="001707FA">
      <w:pPr>
        <w:tabs>
          <w:tab w:val="left" w:pos="0"/>
          <w:tab w:val="left" w:pos="9900"/>
        </w:tabs>
        <w:ind w:left="851" w:right="49"/>
        <w:jc w:val="both"/>
        <w:rPr>
          <w:rFonts w:ascii="Times New Roman" w:hAnsi="Times New Roman"/>
          <w:sz w:val="20"/>
        </w:rPr>
      </w:pPr>
      <w:r w:rsidRPr="00104524">
        <w:rPr>
          <w:rFonts w:ascii="Times New Roman" w:hAnsi="Times New Roman"/>
          <w:sz w:val="20"/>
        </w:rPr>
        <w:t xml:space="preserve">El importe mencionado referente a la contrapartida líquida, </w:t>
      </w:r>
      <w:r w:rsidR="009872E6" w:rsidRPr="00104524">
        <w:rPr>
          <w:rFonts w:ascii="Times New Roman" w:hAnsi="Times New Roman"/>
          <w:sz w:val="20"/>
        </w:rPr>
        <w:t>se encuentra constituido por Bonos del Tesoro Nacional en pesos con ajuste por CER con vencimiento en 202</w:t>
      </w:r>
      <w:r w:rsidR="00012524" w:rsidRPr="00104524">
        <w:rPr>
          <w:rFonts w:ascii="Times New Roman" w:hAnsi="Times New Roman"/>
          <w:sz w:val="20"/>
        </w:rPr>
        <w:t>4</w:t>
      </w:r>
      <w:r w:rsidR="00D4093B" w:rsidRPr="00104524">
        <w:rPr>
          <w:rFonts w:ascii="Times New Roman" w:hAnsi="Times New Roman"/>
          <w:sz w:val="20"/>
        </w:rPr>
        <w:t xml:space="preserve"> al 3</w:t>
      </w:r>
      <w:r w:rsidR="00622FB4" w:rsidRPr="00104524">
        <w:rPr>
          <w:rFonts w:ascii="Times New Roman" w:hAnsi="Times New Roman"/>
          <w:sz w:val="20"/>
        </w:rPr>
        <w:t>0</w:t>
      </w:r>
      <w:r w:rsidR="00D4093B" w:rsidRPr="00104524">
        <w:rPr>
          <w:rFonts w:ascii="Times New Roman" w:hAnsi="Times New Roman"/>
          <w:sz w:val="20"/>
        </w:rPr>
        <w:t xml:space="preserve"> de </w:t>
      </w:r>
      <w:r w:rsidR="000024F8" w:rsidRPr="00104524">
        <w:rPr>
          <w:rFonts w:ascii="Times New Roman" w:hAnsi="Times New Roman"/>
          <w:sz w:val="20"/>
        </w:rPr>
        <w:t>septiembre</w:t>
      </w:r>
      <w:r w:rsidR="00D4093B" w:rsidRPr="00104524">
        <w:rPr>
          <w:rFonts w:ascii="Times New Roman" w:hAnsi="Times New Roman"/>
          <w:sz w:val="20"/>
        </w:rPr>
        <w:t xml:space="preserve"> de 202</w:t>
      </w:r>
      <w:r w:rsidR="00DA5591" w:rsidRPr="00104524">
        <w:rPr>
          <w:rFonts w:ascii="Times New Roman" w:hAnsi="Times New Roman"/>
          <w:sz w:val="20"/>
        </w:rPr>
        <w:t>1</w:t>
      </w:r>
      <w:r w:rsidR="009872E6" w:rsidRPr="00104524">
        <w:rPr>
          <w:rFonts w:ascii="Times New Roman" w:hAnsi="Times New Roman"/>
          <w:sz w:val="20"/>
        </w:rPr>
        <w:t xml:space="preserve">, depositados en la cuenta abierta en Caja de Valores S.A. denominada “Depositante 1647 Comitente 5446483 BBVA Banco Francés Contrapartida mínima”. Al </w:t>
      </w:r>
      <w:r w:rsidR="005A4ECE" w:rsidRPr="00104524">
        <w:rPr>
          <w:rFonts w:ascii="Times New Roman" w:hAnsi="Times New Roman"/>
          <w:sz w:val="20"/>
        </w:rPr>
        <w:t>3</w:t>
      </w:r>
      <w:r w:rsidR="00007B8C" w:rsidRPr="00104524">
        <w:rPr>
          <w:rFonts w:ascii="Times New Roman" w:hAnsi="Times New Roman"/>
          <w:sz w:val="20"/>
        </w:rPr>
        <w:t>0</w:t>
      </w:r>
      <w:r w:rsidR="000409D9" w:rsidRPr="00104524">
        <w:rPr>
          <w:rFonts w:ascii="Times New Roman" w:hAnsi="Times New Roman"/>
          <w:sz w:val="20"/>
        </w:rPr>
        <w:t xml:space="preserve"> de </w:t>
      </w:r>
      <w:r w:rsidR="000024F8" w:rsidRPr="00104524">
        <w:rPr>
          <w:rFonts w:ascii="Times New Roman" w:hAnsi="Times New Roman"/>
          <w:sz w:val="20"/>
        </w:rPr>
        <w:t>septiembre</w:t>
      </w:r>
      <w:r w:rsidR="00C92CD6" w:rsidRPr="00104524">
        <w:rPr>
          <w:rFonts w:ascii="Times New Roman" w:hAnsi="Times New Roman"/>
          <w:sz w:val="20"/>
        </w:rPr>
        <w:t xml:space="preserve"> </w:t>
      </w:r>
      <w:r w:rsidR="009872E6" w:rsidRPr="00104524">
        <w:rPr>
          <w:rFonts w:ascii="Times New Roman" w:hAnsi="Times New Roman"/>
          <w:sz w:val="20"/>
          <w:lang w:val="es-ES_tradnl"/>
        </w:rPr>
        <w:t xml:space="preserve">de </w:t>
      </w:r>
      <w:r w:rsidR="00DF4295" w:rsidRPr="00104524">
        <w:rPr>
          <w:rFonts w:ascii="Times New Roman" w:hAnsi="Times New Roman"/>
          <w:sz w:val="20"/>
          <w:lang w:val="es-ES_tradnl"/>
        </w:rPr>
        <w:t>202</w:t>
      </w:r>
      <w:r w:rsidR="00B948FD" w:rsidRPr="00104524">
        <w:rPr>
          <w:rFonts w:ascii="Times New Roman" w:hAnsi="Times New Roman"/>
          <w:sz w:val="20"/>
          <w:lang w:val="es-ES_tradnl"/>
        </w:rPr>
        <w:t>1 y al 31 de diciembre</w:t>
      </w:r>
      <w:r w:rsidR="008D1714" w:rsidRPr="00104524">
        <w:rPr>
          <w:rFonts w:ascii="Times New Roman" w:hAnsi="Times New Roman"/>
          <w:sz w:val="20"/>
          <w:lang w:val="es-ES_tradnl"/>
        </w:rPr>
        <w:t xml:space="preserve"> </w:t>
      </w:r>
      <w:r w:rsidR="00DF4295" w:rsidRPr="00104524">
        <w:rPr>
          <w:rFonts w:ascii="Times New Roman" w:hAnsi="Times New Roman"/>
          <w:sz w:val="20"/>
          <w:lang w:val="es-ES_tradnl"/>
        </w:rPr>
        <w:t>20</w:t>
      </w:r>
      <w:r w:rsidR="00B948FD" w:rsidRPr="00104524">
        <w:rPr>
          <w:rFonts w:ascii="Times New Roman" w:hAnsi="Times New Roman"/>
          <w:sz w:val="20"/>
          <w:lang w:val="es-ES_tradnl"/>
        </w:rPr>
        <w:t>20,</w:t>
      </w:r>
      <w:r w:rsidR="009872E6" w:rsidRPr="00104524">
        <w:rPr>
          <w:rFonts w:ascii="Times New Roman" w:hAnsi="Times New Roman"/>
          <w:sz w:val="20"/>
        </w:rPr>
        <w:t xml:space="preserve"> el Patrimonio Neto de la Entidad supera el mínimo requerido por el organismo de contralor.</w:t>
      </w:r>
    </w:p>
    <w:p w14:paraId="322F2EF3" w14:textId="77777777" w:rsidR="00104524" w:rsidRPr="00104524" w:rsidRDefault="00104524" w:rsidP="001707FA">
      <w:pPr>
        <w:tabs>
          <w:tab w:val="left" w:pos="0"/>
          <w:tab w:val="left" w:pos="9900"/>
        </w:tabs>
        <w:ind w:left="851" w:right="49"/>
        <w:jc w:val="both"/>
        <w:rPr>
          <w:rFonts w:ascii="Times New Roman" w:hAnsi="Times New Roman"/>
          <w:sz w:val="20"/>
        </w:rPr>
      </w:pPr>
    </w:p>
    <w:p w14:paraId="2F74318D" w14:textId="794D77A5" w:rsidR="00381068" w:rsidRPr="00104524" w:rsidRDefault="007C19C6" w:rsidP="00381068">
      <w:pPr>
        <w:tabs>
          <w:tab w:val="left" w:pos="0"/>
          <w:tab w:val="left" w:pos="9900"/>
        </w:tabs>
        <w:ind w:left="851" w:right="49"/>
        <w:jc w:val="both"/>
        <w:rPr>
          <w:rFonts w:ascii="Times New Roman" w:hAnsi="Times New Roman"/>
          <w:sz w:val="20"/>
        </w:rPr>
      </w:pPr>
      <w:r w:rsidRPr="00104524">
        <w:rPr>
          <w:rFonts w:ascii="Times New Roman" w:hAnsi="Times New Roman"/>
          <w:sz w:val="20"/>
        </w:rPr>
        <w:t>Asimismo, mediante la RG</w:t>
      </w:r>
      <w:r w:rsidR="008D4488" w:rsidRPr="00104524">
        <w:rPr>
          <w:rFonts w:ascii="Times New Roman" w:hAnsi="Times New Roman"/>
          <w:sz w:val="20"/>
        </w:rPr>
        <w:t xml:space="preserve"> N°</w:t>
      </w:r>
      <w:r w:rsidRPr="00104524">
        <w:rPr>
          <w:rFonts w:ascii="Times New Roman" w:hAnsi="Times New Roman"/>
          <w:sz w:val="20"/>
        </w:rPr>
        <w:t xml:space="preserve"> 792 de la C</w:t>
      </w:r>
      <w:r w:rsidR="008D4488" w:rsidRPr="00104524">
        <w:rPr>
          <w:rFonts w:ascii="Times New Roman" w:hAnsi="Times New Roman"/>
          <w:sz w:val="20"/>
        </w:rPr>
        <w:t>.</w:t>
      </w:r>
      <w:r w:rsidRPr="00104524">
        <w:rPr>
          <w:rFonts w:ascii="Times New Roman" w:hAnsi="Times New Roman"/>
          <w:sz w:val="20"/>
        </w:rPr>
        <w:t>N</w:t>
      </w:r>
      <w:r w:rsidR="008D4488" w:rsidRPr="00104524">
        <w:rPr>
          <w:rFonts w:ascii="Times New Roman" w:hAnsi="Times New Roman"/>
          <w:sz w:val="20"/>
        </w:rPr>
        <w:t>.</w:t>
      </w:r>
      <w:r w:rsidRPr="00104524">
        <w:rPr>
          <w:rFonts w:ascii="Times New Roman" w:hAnsi="Times New Roman"/>
          <w:sz w:val="20"/>
        </w:rPr>
        <w:t>V</w:t>
      </w:r>
      <w:r w:rsidR="008D4488" w:rsidRPr="00104524">
        <w:rPr>
          <w:rFonts w:ascii="Times New Roman" w:hAnsi="Times New Roman"/>
          <w:sz w:val="20"/>
        </w:rPr>
        <w:t>.</w:t>
      </w:r>
      <w:r w:rsidRPr="00104524">
        <w:rPr>
          <w:rFonts w:ascii="Times New Roman" w:hAnsi="Times New Roman"/>
          <w:sz w:val="20"/>
        </w:rPr>
        <w:t xml:space="preserve"> de fecha 30 de abril de 2019, y con vigencia al cierre del ejercicio finalizado el 31 de diciembre de 2019, el patrimonio neto mínimo exigible a las sociedades gerentes se constituirá con 150.000 unidades de valor adquisitivo (UVA) más 20.000 unidades de poder adquisitivo (UVA), por cada fondo común de inversión adicional que administre.</w:t>
      </w:r>
      <w:r w:rsidR="00381068" w:rsidRPr="00104524">
        <w:rPr>
          <w:rFonts w:ascii="Times New Roman" w:hAnsi="Times New Roman"/>
          <w:sz w:val="20"/>
        </w:rPr>
        <w:t xml:space="preserve"> En cuanto a la contrapartida líquida, el monto a integrar será de un mínimo del cincuenta por ciento (50%) del importe del patrimonio neto mínimo. </w:t>
      </w:r>
    </w:p>
    <w:p w14:paraId="5FC4C8BE" w14:textId="77777777" w:rsidR="00852FD9" w:rsidRPr="00104524" w:rsidRDefault="00852FD9" w:rsidP="00381068">
      <w:pPr>
        <w:tabs>
          <w:tab w:val="left" w:pos="0"/>
          <w:tab w:val="left" w:pos="9900"/>
        </w:tabs>
        <w:ind w:left="851" w:right="49"/>
        <w:jc w:val="both"/>
        <w:rPr>
          <w:rFonts w:ascii="Times New Roman" w:hAnsi="Times New Roman"/>
          <w:sz w:val="20"/>
        </w:rPr>
      </w:pPr>
    </w:p>
    <w:p w14:paraId="51346C07" w14:textId="07871906" w:rsidR="00852FD9" w:rsidRDefault="00852FD9" w:rsidP="00852FD9">
      <w:pPr>
        <w:tabs>
          <w:tab w:val="left" w:pos="0"/>
          <w:tab w:val="left" w:pos="9900"/>
        </w:tabs>
        <w:ind w:left="851" w:right="49"/>
        <w:jc w:val="both"/>
        <w:rPr>
          <w:rFonts w:ascii="Times New Roman" w:hAnsi="Times New Roman"/>
          <w:sz w:val="20"/>
        </w:rPr>
      </w:pPr>
      <w:r w:rsidRPr="00104524">
        <w:rPr>
          <w:rFonts w:ascii="Times New Roman" w:hAnsi="Times New Roman"/>
          <w:sz w:val="20"/>
        </w:rPr>
        <w:t xml:space="preserve">La subsidiaria BBVA Asset Management Argentina S.A. Sociedad Gerente de Fondos Comunes de Inversión, en su función de Agente de Administración de Productos de Inversión Colectiva, integró la contrapartida líquida mínima exigida por la C.N.V., con 2.792.293 cuotapartes de FBA Renta Pesos Fondo Común de Inversión, por un saldo de </w:t>
      </w:r>
      <w:r w:rsidR="00622FB4" w:rsidRPr="00104524">
        <w:rPr>
          <w:rFonts w:ascii="Times New Roman" w:hAnsi="Times New Roman"/>
          <w:sz w:val="20"/>
        </w:rPr>
        <w:t>5</w:t>
      </w:r>
      <w:r w:rsidR="00573F42" w:rsidRPr="00104524">
        <w:rPr>
          <w:rFonts w:ascii="Times New Roman" w:hAnsi="Times New Roman"/>
          <w:sz w:val="20"/>
        </w:rPr>
        <w:t>7</w:t>
      </w:r>
      <w:r w:rsidR="00622FB4" w:rsidRPr="00104524">
        <w:rPr>
          <w:rFonts w:ascii="Times New Roman" w:hAnsi="Times New Roman"/>
          <w:sz w:val="20"/>
        </w:rPr>
        <w:t>.</w:t>
      </w:r>
      <w:r w:rsidR="00573F42" w:rsidRPr="00104524">
        <w:rPr>
          <w:rFonts w:ascii="Times New Roman" w:hAnsi="Times New Roman"/>
          <w:sz w:val="20"/>
        </w:rPr>
        <w:t>196</w:t>
      </w:r>
      <w:r w:rsidRPr="00104524">
        <w:rPr>
          <w:rFonts w:ascii="Times New Roman" w:hAnsi="Times New Roman"/>
          <w:sz w:val="20"/>
        </w:rPr>
        <w:t xml:space="preserve">, a través de la cuenta de custodia N° 493-0005459481 en el </w:t>
      </w:r>
      <w:r w:rsidR="005A0F97" w:rsidRPr="00104524">
        <w:rPr>
          <w:rFonts w:ascii="Times New Roman" w:hAnsi="Times New Roman"/>
          <w:sz w:val="20"/>
        </w:rPr>
        <w:t xml:space="preserve">Banco </w:t>
      </w:r>
      <w:r w:rsidRPr="00104524">
        <w:rPr>
          <w:rFonts w:ascii="Times New Roman" w:hAnsi="Times New Roman"/>
          <w:sz w:val="20"/>
        </w:rPr>
        <w:t xml:space="preserve">BBVA </w:t>
      </w:r>
      <w:r w:rsidR="005A0F97" w:rsidRPr="00104524">
        <w:rPr>
          <w:rFonts w:ascii="Times New Roman" w:hAnsi="Times New Roman"/>
          <w:sz w:val="20"/>
        </w:rPr>
        <w:t>Argentina</w:t>
      </w:r>
      <w:r w:rsidRPr="00104524">
        <w:rPr>
          <w:rFonts w:ascii="Times New Roman" w:hAnsi="Times New Roman"/>
          <w:sz w:val="20"/>
        </w:rPr>
        <w:t xml:space="preserve"> S.A. Al 3</w:t>
      </w:r>
      <w:r w:rsidR="00007B8C" w:rsidRPr="00104524">
        <w:rPr>
          <w:rFonts w:ascii="Times New Roman" w:hAnsi="Times New Roman"/>
          <w:sz w:val="20"/>
        </w:rPr>
        <w:t>0</w:t>
      </w:r>
      <w:r w:rsidRPr="00104524">
        <w:rPr>
          <w:rFonts w:ascii="Times New Roman" w:hAnsi="Times New Roman"/>
          <w:sz w:val="20"/>
        </w:rPr>
        <w:t xml:space="preserve"> de </w:t>
      </w:r>
      <w:r w:rsidR="000024F8" w:rsidRPr="00104524">
        <w:rPr>
          <w:rFonts w:ascii="Times New Roman" w:hAnsi="Times New Roman"/>
          <w:sz w:val="20"/>
        </w:rPr>
        <w:t>septiembre</w:t>
      </w:r>
      <w:r w:rsidRPr="00104524">
        <w:rPr>
          <w:rFonts w:ascii="Times New Roman" w:hAnsi="Times New Roman"/>
          <w:sz w:val="20"/>
          <w:lang w:val="es-ES_tradnl"/>
        </w:rPr>
        <w:t xml:space="preserve"> de 2021 y al 31 de diciembre 2020,</w:t>
      </w:r>
      <w:r w:rsidRPr="00104524">
        <w:rPr>
          <w:rFonts w:ascii="Times New Roman" w:hAnsi="Times New Roman"/>
          <w:sz w:val="20"/>
        </w:rPr>
        <w:t xml:space="preserve"> el Patrimonio Neto de la sociedad supera el mínimo requerido por el organismo de contralor.</w:t>
      </w:r>
      <w:r w:rsidRPr="007563BA">
        <w:rPr>
          <w:rFonts w:ascii="Times New Roman" w:hAnsi="Times New Roman"/>
          <w:sz w:val="20"/>
        </w:rPr>
        <w:t xml:space="preserve"> </w:t>
      </w:r>
    </w:p>
    <w:p w14:paraId="63A8FDED" w14:textId="77777777" w:rsidR="00CD66BA" w:rsidRDefault="00CD66BA" w:rsidP="00852FD9">
      <w:pPr>
        <w:tabs>
          <w:tab w:val="left" w:pos="0"/>
          <w:tab w:val="left" w:pos="9900"/>
        </w:tabs>
        <w:ind w:left="851" w:right="49"/>
        <w:jc w:val="both"/>
        <w:rPr>
          <w:rFonts w:ascii="Times New Roman" w:hAnsi="Times New Roman"/>
          <w:sz w:val="20"/>
        </w:rPr>
      </w:pPr>
    </w:p>
    <w:p w14:paraId="3DC8B274" w14:textId="77777777" w:rsidR="00E177BD" w:rsidRPr="007563BA" w:rsidRDefault="00E177BD" w:rsidP="001707FA">
      <w:pPr>
        <w:tabs>
          <w:tab w:val="left" w:pos="0"/>
          <w:tab w:val="left" w:pos="9900"/>
        </w:tabs>
        <w:ind w:left="851" w:right="49"/>
        <w:jc w:val="both"/>
        <w:rPr>
          <w:rFonts w:ascii="Times New Roman" w:hAnsi="Times New Roman"/>
          <w:sz w:val="20"/>
        </w:rPr>
      </w:pPr>
    </w:p>
    <w:p w14:paraId="022EDA49" w14:textId="69F482DC" w:rsidR="000A18E7" w:rsidRPr="008A0C1A" w:rsidRDefault="000F0955" w:rsidP="00C60CC8">
      <w:pPr>
        <w:pStyle w:val="Prrafodelista"/>
        <w:numPr>
          <w:ilvl w:val="0"/>
          <w:numId w:val="11"/>
        </w:numPr>
        <w:spacing w:after="120"/>
        <w:jc w:val="both"/>
        <w:rPr>
          <w:b/>
          <w:color w:val="000000"/>
          <w:sz w:val="20"/>
          <w:szCs w:val="20"/>
          <w:lang w:val="es-AR"/>
        </w:rPr>
      </w:pPr>
      <w:r w:rsidRPr="008A0C1A">
        <w:rPr>
          <w:b/>
          <w:color w:val="000000"/>
          <w:sz w:val="20"/>
          <w:szCs w:val="20"/>
          <w:lang w:val="es-AR"/>
        </w:rPr>
        <w:t xml:space="preserve">Cumplimiento de las disposiciones de la Comisión Nacional de Valores – guarda de documentación </w:t>
      </w:r>
    </w:p>
    <w:p w14:paraId="6252FFE4" w14:textId="77777777" w:rsidR="00CA5209" w:rsidRPr="00110E8B" w:rsidRDefault="00CA5209" w:rsidP="001707FA">
      <w:pPr>
        <w:ind w:left="851" w:right="142"/>
        <w:jc w:val="both"/>
        <w:rPr>
          <w:rFonts w:ascii="Times New Roman" w:hAnsi="Times New Roman"/>
          <w:sz w:val="20"/>
        </w:rPr>
      </w:pPr>
      <w:r w:rsidRPr="00110E8B">
        <w:rPr>
          <w:rFonts w:ascii="Times New Roman" w:hAnsi="Times New Roman"/>
          <w:sz w:val="20"/>
        </w:rPr>
        <w:t>Con fecha 14 de agosto de 2014, la C.N.V. emitió la Resolución General N° 629 mediante la cual establece modificaciones a sus normas en materia de guarda y conservación de libros societarios, libros contables y documentación comercial. En tal sentido, se informa que la Entidad ha enviado para su guarda documentación respaldatoria de sus operaciones por los períodos no prescriptos a Administradora de Archivos S.A. (AdeA), con domicilio en Ruta 36 Km. 31,5 de la localidad de Florencio Varela en la Provincia de Buenos Aires.</w:t>
      </w:r>
    </w:p>
    <w:p w14:paraId="252FAE30" w14:textId="77777777" w:rsidR="00CA5209" w:rsidRPr="00110E8B" w:rsidRDefault="00CA5209" w:rsidP="001707FA">
      <w:pPr>
        <w:ind w:left="851" w:right="142"/>
        <w:jc w:val="both"/>
        <w:rPr>
          <w:rFonts w:ascii="Times New Roman" w:hAnsi="Times New Roman"/>
          <w:sz w:val="20"/>
        </w:rPr>
      </w:pPr>
    </w:p>
    <w:p w14:paraId="313A318B" w14:textId="77777777" w:rsidR="00CA5209" w:rsidRDefault="00CA5209" w:rsidP="001707FA">
      <w:pPr>
        <w:ind w:left="851" w:right="142"/>
        <w:jc w:val="both"/>
        <w:rPr>
          <w:rFonts w:ascii="Times New Roman" w:hAnsi="Times New Roman"/>
          <w:sz w:val="20"/>
        </w:rPr>
      </w:pPr>
      <w:r w:rsidRPr="00110E8B">
        <w:rPr>
          <w:rFonts w:ascii="Times New Roman" w:hAnsi="Times New Roman"/>
          <w:sz w:val="20"/>
        </w:rPr>
        <w:t>Asimismo, se deja constancia que se encuentra a disposición en la sede inscripta, el detalle de la documentación dada en guarda, como así también la documentación referida en el artículo 5º inciso a.3) Sección I del Capítulo V del Título II de las normas de la C.N.V. (N.T. 2013 y mod.).</w:t>
      </w:r>
    </w:p>
    <w:p w14:paraId="6522594B" w14:textId="77777777" w:rsidR="00CD66BA" w:rsidRDefault="00CD66BA" w:rsidP="001707FA">
      <w:pPr>
        <w:ind w:left="851" w:right="142"/>
        <w:jc w:val="both"/>
        <w:rPr>
          <w:rFonts w:ascii="Times New Roman" w:hAnsi="Times New Roman"/>
          <w:sz w:val="20"/>
        </w:rPr>
      </w:pPr>
    </w:p>
    <w:p w14:paraId="4371D771" w14:textId="77777777" w:rsidR="005A4775" w:rsidRDefault="005A4775" w:rsidP="001707FA">
      <w:pPr>
        <w:ind w:left="851" w:right="142"/>
        <w:jc w:val="both"/>
        <w:rPr>
          <w:rFonts w:ascii="Times New Roman" w:hAnsi="Times New Roman"/>
          <w:sz w:val="20"/>
        </w:rPr>
      </w:pPr>
    </w:p>
    <w:p w14:paraId="0162E4F1" w14:textId="77777777" w:rsidR="005A4775" w:rsidRDefault="005A4775" w:rsidP="001707FA">
      <w:pPr>
        <w:ind w:left="851" w:right="142"/>
        <w:jc w:val="both"/>
        <w:rPr>
          <w:rFonts w:ascii="Times New Roman" w:hAnsi="Times New Roman"/>
          <w:sz w:val="20"/>
        </w:rPr>
      </w:pPr>
    </w:p>
    <w:p w14:paraId="49F5B1B0" w14:textId="77777777" w:rsidR="005A4775" w:rsidRPr="00110E8B" w:rsidRDefault="005A4775" w:rsidP="001707FA">
      <w:pPr>
        <w:ind w:left="851" w:right="142"/>
        <w:jc w:val="both"/>
        <w:rPr>
          <w:rFonts w:ascii="Times New Roman" w:hAnsi="Times New Roman"/>
          <w:sz w:val="20"/>
        </w:rPr>
      </w:pPr>
    </w:p>
    <w:p w14:paraId="0F46867A" w14:textId="77777777" w:rsidR="0041599F" w:rsidRDefault="0041599F" w:rsidP="00CA5209">
      <w:pPr>
        <w:ind w:right="142"/>
        <w:jc w:val="both"/>
        <w:rPr>
          <w:rFonts w:ascii="Times New Roman" w:hAnsi="Times New Roman"/>
          <w:sz w:val="20"/>
        </w:rPr>
      </w:pPr>
    </w:p>
    <w:p w14:paraId="22211D96" w14:textId="7B1E3496" w:rsidR="008A6371" w:rsidRPr="000E6F1E" w:rsidRDefault="000F0955" w:rsidP="00C60CC8">
      <w:pPr>
        <w:pStyle w:val="Prrafodelista"/>
        <w:numPr>
          <w:ilvl w:val="0"/>
          <w:numId w:val="11"/>
        </w:numPr>
        <w:spacing w:after="120"/>
        <w:rPr>
          <w:b/>
          <w:color w:val="000000"/>
          <w:sz w:val="20"/>
          <w:szCs w:val="20"/>
          <w:lang w:val="es-AR"/>
        </w:rPr>
      </w:pPr>
      <w:r w:rsidRPr="000E6F1E">
        <w:rPr>
          <w:b/>
          <w:color w:val="000000"/>
          <w:sz w:val="20"/>
          <w:szCs w:val="20"/>
          <w:lang w:val="es-AR"/>
        </w:rPr>
        <w:t>Actividades fiduciarias</w:t>
      </w:r>
      <w:r w:rsidR="008A6371" w:rsidRPr="000E6F1E">
        <w:rPr>
          <w:b/>
          <w:color w:val="000000"/>
          <w:sz w:val="20"/>
          <w:szCs w:val="20"/>
          <w:lang w:val="es-AR"/>
        </w:rPr>
        <w:t xml:space="preserve"> </w:t>
      </w:r>
    </w:p>
    <w:p w14:paraId="04566BE1" w14:textId="2B3190A9" w:rsidR="00256841" w:rsidRPr="000E6F1E" w:rsidRDefault="00256841" w:rsidP="001707FA">
      <w:pPr>
        <w:ind w:left="851" w:right="142"/>
        <w:jc w:val="both"/>
        <w:rPr>
          <w:rFonts w:ascii="Times New Roman" w:hAnsi="Times New Roman"/>
          <w:sz w:val="20"/>
        </w:rPr>
      </w:pPr>
      <w:r w:rsidRPr="000E6F1E">
        <w:rPr>
          <w:rFonts w:ascii="Times New Roman" w:hAnsi="Times New Roman"/>
          <w:sz w:val="20"/>
        </w:rPr>
        <w:t xml:space="preserve">Con fecha 5 de enero de 2001, el Directorio del B.C.R.A. emitió la Resolución Nº 19/2001, disponiendo la exclusión de los pasivos privilegiados de Mercobank S.A. en los términos del artículo 35 bis de la Ley de Entidades Financieras, la autorización para la transferencia de los activos excluidos a favor de la Entidad en su carácter de Fiduciario del Fideicomiso Diagonal y la autorización para la transferencia de los pasivos excluidos a favor de los bancos beneficiarios. En dicha fecha, se celebró el contrato de constitución del denominado Fideicomiso Diagonal, entre Mercobank S.A. como Fiduciante y la Entidad como Fiduciario, en relación con la exclusión de activos dispuestos por la resolución citada. Al </w:t>
      </w:r>
      <w:r w:rsidR="00E1658D" w:rsidRPr="000E6F1E">
        <w:rPr>
          <w:rFonts w:ascii="Times New Roman" w:hAnsi="Times New Roman"/>
          <w:sz w:val="20"/>
        </w:rPr>
        <w:t>3</w:t>
      </w:r>
      <w:r w:rsidR="00E51D3E" w:rsidRPr="000E6F1E">
        <w:rPr>
          <w:rFonts w:ascii="Times New Roman" w:hAnsi="Times New Roman"/>
          <w:sz w:val="20"/>
        </w:rPr>
        <w:t>0</w:t>
      </w:r>
      <w:r w:rsidR="00AA6C8E" w:rsidRPr="000E6F1E">
        <w:rPr>
          <w:rFonts w:ascii="Times New Roman" w:hAnsi="Times New Roman"/>
          <w:sz w:val="20"/>
        </w:rPr>
        <w:t xml:space="preserve"> de </w:t>
      </w:r>
      <w:r w:rsidR="000024F8" w:rsidRPr="000E6F1E">
        <w:rPr>
          <w:rFonts w:ascii="Times New Roman" w:hAnsi="Times New Roman"/>
          <w:sz w:val="20"/>
        </w:rPr>
        <w:t>septiembre</w:t>
      </w:r>
      <w:r w:rsidR="00995417" w:rsidRPr="000E6F1E">
        <w:rPr>
          <w:rFonts w:ascii="Times New Roman" w:hAnsi="Times New Roman"/>
          <w:sz w:val="20"/>
        </w:rPr>
        <w:t xml:space="preserve"> </w:t>
      </w:r>
      <w:r w:rsidR="00EA16F7" w:rsidRPr="000E6F1E">
        <w:rPr>
          <w:rFonts w:ascii="Times New Roman" w:hAnsi="Times New Roman"/>
          <w:sz w:val="20"/>
        </w:rPr>
        <w:t>de 20</w:t>
      </w:r>
      <w:r w:rsidR="00F0597D" w:rsidRPr="000E6F1E">
        <w:rPr>
          <w:rFonts w:ascii="Times New Roman" w:hAnsi="Times New Roman"/>
          <w:sz w:val="20"/>
        </w:rPr>
        <w:t>21 y al 31 de diciembre</w:t>
      </w:r>
      <w:r w:rsidR="00203AE7" w:rsidRPr="000E6F1E">
        <w:rPr>
          <w:rFonts w:ascii="Times New Roman" w:hAnsi="Times New Roman"/>
          <w:sz w:val="20"/>
        </w:rPr>
        <w:t xml:space="preserve"> </w:t>
      </w:r>
      <w:r w:rsidR="00DF4295" w:rsidRPr="000E6F1E">
        <w:rPr>
          <w:rFonts w:ascii="Times New Roman" w:hAnsi="Times New Roman"/>
          <w:sz w:val="20"/>
        </w:rPr>
        <w:t>20</w:t>
      </w:r>
      <w:r w:rsidR="00F0597D" w:rsidRPr="000E6F1E">
        <w:rPr>
          <w:rFonts w:ascii="Times New Roman" w:hAnsi="Times New Roman"/>
          <w:sz w:val="20"/>
        </w:rPr>
        <w:t>20</w:t>
      </w:r>
      <w:r w:rsidRPr="000E6F1E">
        <w:rPr>
          <w:rFonts w:ascii="Times New Roman" w:hAnsi="Times New Roman"/>
          <w:sz w:val="20"/>
        </w:rPr>
        <w:t xml:space="preserve"> los activos de Fideicomiso Diagonal ascienden a 2.427</w:t>
      </w:r>
      <w:r w:rsidR="000021D0" w:rsidRPr="000E6F1E">
        <w:rPr>
          <w:rFonts w:ascii="Times New Roman" w:hAnsi="Times New Roman"/>
          <w:sz w:val="20"/>
        </w:rPr>
        <w:t xml:space="preserve"> </w:t>
      </w:r>
      <w:r w:rsidR="00203AE7" w:rsidRPr="000E6F1E">
        <w:rPr>
          <w:rFonts w:ascii="Times New Roman" w:hAnsi="Times New Roman"/>
          <w:sz w:val="20"/>
        </w:rPr>
        <w:t xml:space="preserve">y </w:t>
      </w:r>
      <w:r w:rsidR="003272DB" w:rsidRPr="000E6F1E">
        <w:rPr>
          <w:rFonts w:ascii="Times New Roman" w:hAnsi="Times New Roman"/>
          <w:sz w:val="20"/>
        </w:rPr>
        <w:t>3.324</w:t>
      </w:r>
      <w:r w:rsidR="00203AE7" w:rsidRPr="000E6F1E">
        <w:rPr>
          <w:rFonts w:ascii="Times New Roman" w:hAnsi="Times New Roman"/>
          <w:sz w:val="20"/>
        </w:rPr>
        <w:t xml:space="preserve"> </w:t>
      </w:r>
      <w:r w:rsidR="000021D0" w:rsidRPr="000E6F1E">
        <w:rPr>
          <w:rFonts w:ascii="Times New Roman" w:hAnsi="Times New Roman"/>
          <w:sz w:val="20"/>
        </w:rPr>
        <w:t>respectivamente</w:t>
      </w:r>
      <w:r w:rsidRPr="000E6F1E">
        <w:rPr>
          <w:rFonts w:ascii="Times New Roman" w:hAnsi="Times New Roman"/>
          <w:sz w:val="20"/>
        </w:rPr>
        <w:t xml:space="preserve">, considerando sus valores recuperables. </w:t>
      </w:r>
    </w:p>
    <w:p w14:paraId="6B5C85EF" w14:textId="77777777" w:rsidR="00800B2A" w:rsidRPr="000E6F1E" w:rsidRDefault="00800B2A" w:rsidP="001707FA">
      <w:pPr>
        <w:ind w:left="851" w:right="142"/>
        <w:jc w:val="both"/>
        <w:rPr>
          <w:rFonts w:ascii="Times New Roman" w:hAnsi="Times New Roman"/>
          <w:sz w:val="20"/>
        </w:rPr>
      </w:pPr>
    </w:p>
    <w:p w14:paraId="592A70F3" w14:textId="443C6AC3" w:rsidR="00256841" w:rsidRDefault="00256841" w:rsidP="001707FA">
      <w:pPr>
        <w:ind w:left="851" w:right="142"/>
        <w:jc w:val="both"/>
        <w:rPr>
          <w:rFonts w:ascii="Times New Roman" w:hAnsi="Times New Roman"/>
          <w:sz w:val="20"/>
        </w:rPr>
      </w:pPr>
      <w:r w:rsidRPr="000E6F1E">
        <w:rPr>
          <w:rFonts w:ascii="Times New Roman" w:hAnsi="Times New Roman"/>
          <w:sz w:val="20"/>
        </w:rPr>
        <w:t>Por otra parte, la Entidad en su carácter de Fiduciario del Fideicomiso Corp Banca registró los activos seleccionados con motivo del rescate en especie de certificados de participación por 4.177</w:t>
      </w:r>
      <w:r w:rsidR="00296324" w:rsidRPr="000E6F1E">
        <w:rPr>
          <w:rFonts w:ascii="Times New Roman" w:hAnsi="Times New Roman"/>
          <w:sz w:val="20"/>
        </w:rPr>
        <w:t xml:space="preserve"> y</w:t>
      </w:r>
      <w:r w:rsidR="00E41E0E" w:rsidRPr="000E6F1E">
        <w:rPr>
          <w:rFonts w:ascii="Times New Roman" w:hAnsi="Times New Roman"/>
          <w:sz w:val="20"/>
        </w:rPr>
        <w:t xml:space="preserve"> </w:t>
      </w:r>
      <w:r w:rsidR="003272DB" w:rsidRPr="000E6F1E">
        <w:rPr>
          <w:rFonts w:ascii="Times New Roman" w:hAnsi="Times New Roman"/>
          <w:sz w:val="20"/>
        </w:rPr>
        <w:t>5.721</w:t>
      </w:r>
      <w:r w:rsidR="00FE7E9A" w:rsidRPr="000E6F1E">
        <w:rPr>
          <w:rFonts w:ascii="Times New Roman" w:hAnsi="Times New Roman"/>
          <w:sz w:val="20"/>
        </w:rPr>
        <w:t xml:space="preserve"> </w:t>
      </w:r>
      <w:r w:rsidRPr="000E6F1E">
        <w:rPr>
          <w:rFonts w:ascii="Times New Roman" w:hAnsi="Times New Roman"/>
          <w:sz w:val="20"/>
        </w:rPr>
        <w:t>a</w:t>
      </w:r>
      <w:r w:rsidRPr="000E6F1E">
        <w:rPr>
          <w:rFonts w:ascii="Times New Roman" w:hAnsi="Times New Roman"/>
          <w:sz w:val="20"/>
          <w:lang w:val="es-ES_tradnl"/>
        </w:rPr>
        <w:t xml:space="preserve">l </w:t>
      </w:r>
      <w:r w:rsidR="00E1658D" w:rsidRPr="000E6F1E">
        <w:rPr>
          <w:rFonts w:ascii="Times New Roman" w:hAnsi="Times New Roman"/>
          <w:sz w:val="20"/>
        </w:rPr>
        <w:t>3</w:t>
      </w:r>
      <w:r w:rsidR="00007B8C" w:rsidRPr="000E6F1E">
        <w:rPr>
          <w:rFonts w:ascii="Times New Roman" w:hAnsi="Times New Roman"/>
          <w:sz w:val="20"/>
        </w:rPr>
        <w:t>0</w:t>
      </w:r>
      <w:r w:rsidR="00AA6C8E" w:rsidRPr="000E6F1E">
        <w:rPr>
          <w:rFonts w:ascii="Times New Roman" w:hAnsi="Times New Roman"/>
          <w:sz w:val="20"/>
        </w:rPr>
        <w:t xml:space="preserve"> </w:t>
      </w:r>
      <w:r w:rsidR="00EA16F7" w:rsidRPr="000E6F1E">
        <w:rPr>
          <w:rFonts w:ascii="Times New Roman" w:hAnsi="Times New Roman"/>
          <w:sz w:val="20"/>
        </w:rPr>
        <w:t xml:space="preserve">de </w:t>
      </w:r>
      <w:r w:rsidR="000024F8" w:rsidRPr="000E6F1E">
        <w:rPr>
          <w:rFonts w:ascii="Times New Roman" w:hAnsi="Times New Roman"/>
          <w:sz w:val="20"/>
        </w:rPr>
        <w:t>septiembre</w:t>
      </w:r>
      <w:r w:rsidR="00DF4295" w:rsidRPr="000E6F1E">
        <w:rPr>
          <w:rFonts w:ascii="Times New Roman" w:hAnsi="Times New Roman"/>
          <w:sz w:val="20"/>
        </w:rPr>
        <w:t xml:space="preserve"> </w:t>
      </w:r>
      <w:r w:rsidR="00EA16F7" w:rsidRPr="000E6F1E">
        <w:rPr>
          <w:rFonts w:ascii="Times New Roman" w:hAnsi="Times New Roman"/>
          <w:sz w:val="20"/>
        </w:rPr>
        <w:t>de 20</w:t>
      </w:r>
      <w:r w:rsidR="00DF4295" w:rsidRPr="000E6F1E">
        <w:rPr>
          <w:rFonts w:ascii="Times New Roman" w:hAnsi="Times New Roman"/>
          <w:sz w:val="20"/>
        </w:rPr>
        <w:t>2</w:t>
      </w:r>
      <w:r w:rsidR="00296324" w:rsidRPr="000E6F1E">
        <w:rPr>
          <w:rFonts w:ascii="Times New Roman" w:hAnsi="Times New Roman"/>
          <w:sz w:val="20"/>
        </w:rPr>
        <w:t xml:space="preserve">1 y al 31 de diciembre </w:t>
      </w:r>
      <w:r w:rsidR="00DF4295" w:rsidRPr="000E6F1E">
        <w:rPr>
          <w:rFonts w:ascii="Times New Roman" w:hAnsi="Times New Roman"/>
          <w:sz w:val="20"/>
        </w:rPr>
        <w:t>20</w:t>
      </w:r>
      <w:r w:rsidR="00296324" w:rsidRPr="000E6F1E">
        <w:rPr>
          <w:rFonts w:ascii="Times New Roman" w:hAnsi="Times New Roman"/>
          <w:sz w:val="20"/>
        </w:rPr>
        <w:t>20,</w:t>
      </w:r>
      <w:r w:rsidR="00E41E0E" w:rsidRPr="000E6F1E">
        <w:rPr>
          <w:rFonts w:ascii="Times New Roman" w:hAnsi="Times New Roman"/>
          <w:sz w:val="20"/>
        </w:rPr>
        <w:t xml:space="preserve"> respectivamente.</w:t>
      </w:r>
    </w:p>
    <w:p w14:paraId="2E6D6009" w14:textId="77777777" w:rsidR="000E6F1E" w:rsidRPr="000E6F1E" w:rsidRDefault="000E6F1E" w:rsidP="001707FA">
      <w:pPr>
        <w:ind w:left="851" w:right="142"/>
        <w:jc w:val="both"/>
        <w:rPr>
          <w:rFonts w:ascii="Times New Roman" w:hAnsi="Times New Roman"/>
          <w:sz w:val="20"/>
        </w:rPr>
      </w:pPr>
    </w:p>
    <w:p w14:paraId="4C3BF28B" w14:textId="350A150F" w:rsidR="00256841" w:rsidRDefault="00256841" w:rsidP="001707FA">
      <w:pPr>
        <w:ind w:left="851" w:right="142"/>
        <w:jc w:val="both"/>
        <w:rPr>
          <w:rFonts w:ascii="Times New Roman" w:hAnsi="Times New Roman"/>
          <w:sz w:val="20"/>
        </w:rPr>
      </w:pPr>
      <w:r w:rsidRPr="000E6F1E">
        <w:rPr>
          <w:rFonts w:ascii="Times New Roman" w:hAnsi="Times New Roman"/>
          <w:sz w:val="20"/>
        </w:rPr>
        <w:t>Asimismo</w:t>
      </w:r>
      <w:r w:rsidR="000E6F1E">
        <w:rPr>
          <w:rFonts w:ascii="Times New Roman" w:hAnsi="Times New Roman"/>
          <w:sz w:val="20"/>
        </w:rPr>
        <w:t>,</w:t>
      </w:r>
      <w:r w:rsidRPr="000E6F1E">
        <w:rPr>
          <w:rFonts w:ascii="Times New Roman" w:hAnsi="Times New Roman"/>
          <w:sz w:val="20"/>
        </w:rPr>
        <w:t xml:space="preserve"> la Ent</w:t>
      </w:r>
      <w:r w:rsidR="0099210E" w:rsidRPr="000E6F1E">
        <w:rPr>
          <w:rFonts w:ascii="Times New Roman" w:hAnsi="Times New Roman"/>
          <w:sz w:val="20"/>
        </w:rPr>
        <w:t>idad actúa como Fiduciario en 1</w:t>
      </w:r>
      <w:r w:rsidR="003C345D" w:rsidRPr="000E6F1E">
        <w:rPr>
          <w:rFonts w:ascii="Times New Roman" w:hAnsi="Times New Roman"/>
          <w:sz w:val="20"/>
        </w:rPr>
        <w:t>2</w:t>
      </w:r>
      <w:r w:rsidRPr="000E6F1E">
        <w:rPr>
          <w:rFonts w:ascii="Times New Roman" w:hAnsi="Times New Roman"/>
          <w:sz w:val="20"/>
        </w:rPr>
        <w:t xml:space="preserve"> fideicomisos no financieros, no respondiendo en ningún caso con los bienes propios por las obligaciones</w:t>
      </w:r>
      <w:r w:rsidRPr="00CC5A59">
        <w:rPr>
          <w:rFonts w:ascii="Times New Roman" w:hAnsi="Times New Roman"/>
          <w:sz w:val="20"/>
        </w:rPr>
        <w:t xml:space="preserve"> contraídas en la ejecución de sus obligaciones contractuales; éstas solo serán satisfechas con y hasta la concurrencia de los bienes fideicomitidos y el producido de los mismos. Los fideicomisos no financieros en cuestión fueron constituidos a fin de administrar activos y/o garantizar diversas obligaciones de terceros, debiendo el fiduciario administrar, conservar y custodiar los bienes fideicomitidos hasta tanto (i) se acredite el incumplimiento de las obligaciones del deudor (fiduciante) frente a los acreedores (beneficiarios), oportunidad en la que deberán realizarse los mismos, distribuir su producido (neto de gastos) entre todos los beneficiarios y (en caso de existir) entregar el remanente al </w:t>
      </w:r>
      <w:r w:rsidRPr="000E6F1E">
        <w:rPr>
          <w:rFonts w:ascii="Times New Roman" w:hAnsi="Times New Roman"/>
          <w:sz w:val="20"/>
        </w:rPr>
        <w:t xml:space="preserve">fiduciante, o (ii) se hayan cumplido los términos del contrato, caso en el cual se reintegrarán los bienes fideicomitidos al fiduciante, o a quien éste indique. Los bienes fideicomitidos que representan </w:t>
      </w:r>
      <w:r w:rsidR="003272DB" w:rsidRPr="000E6F1E">
        <w:rPr>
          <w:rFonts w:ascii="Times New Roman" w:hAnsi="Times New Roman"/>
          <w:sz w:val="20"/>
        </w:rPr>
        <w:t>389.668</w:t>
      </w:r>
      <w:r w:rsidR="00296324" w:rsidRPr="000E6F1E">
        <w:rPr>
          <w:rFonts w:ascii="Times New Roman" w:hAnsi="Times New Roman"/>
          <w:sz w:val="20"/>
        </w:rPr>
        <w:t xml:space="preserve"> y</w:t>
      </w:r>
      <w:r w:rsidR="00CD2D6A" w:rsidRPr="000E6F1E">
        <w:rPr>
          <w:rFonts w:ascii="Times New Roman" w:hAnsi="Times New Roman"/>
          <w:sz w:val="20"/>
        </w:rPr>
        <w:t xml:space="preserve"> </w:t>
      </w:r>
      <w:r w:rsidR="003272DB" w:rsidRPr="000E6F1E">
        <w:rPr>
          <w:rFonts w:ascii="Times New Roman" w:hAnsi="Times New Roman"/>
          <w:sz w:val="20"/>
        </w:rPr>
        <w:t>488.718</w:t>
      </w:r>
      <w:r w:rsidR="00717335" w:rsidRPr="000E6F1E">
        <w:rPr>
          <w:rFonts w:ascii="Times New Roman" w:hAnsi="Times New Roman"/>
          <w:sz w:val="20"/>
        </w:rPr>
        <w:t xml:space="preserve"> </w:t>
      </w:r>
      <w:r w:rsidRPr="000E6F1E">
        <w:rPr>
          <w:rFonts w:ascii="Times New Roman" w:hAnsi="Times New Roman"/>
          <w:sz w:val="20"/>
          <w:lang w:val="es-ES_tradnl"/>
        </w:rPr>
        <w:t xml:space="preserve">al </w:t>
      </w:r>
      <w:r w:rsidR="00E1658D" w:rsidRPr="000E6F1E">
        <w:rPr>
          <w:rFonts w:ascii="Times New Roman" w:hAnsi="Times New Roman"/>
          <w:sz w:val="20"/>
        </w:rPr>
        <w:t>3</w:t>
      </w:r>
      <w:r w:rsidR="00007B8C" w:rsidRPr="000E6F1E">
        <w:rPr>
          <w:rFonts w:ascii="Times New Roman" w:hAnsi="Times New Roman"/>
          <w:sz w:val="20"/>
        </w:rPr>
        <w:t>0</w:t>
      </w:r>
      <w:r w:rsidR="00717335" w:rsidRPr="000E6F1E">
        <w:rPr>
          <w:rFonts w:ascii="Times New Roman" w:hAnsi="Times New Roman"/>
          <w:sz w:val="20"/>
        </w:rPr>
        <w:t xml:space="preserve"> de </w:t>
      </w:r>
      <w:r w:rsidR="000024F8" w:rsidRPr="000E6F1E">
        <w:rPr>
          <w:rFonts w:ascii="Times New Roman" w:hAnsi="Times New Roman"/>
          <w:sz w:val="20"/>
        </w:rPr>
        <w:t>septiembre</w:t>
      </w:r>
      <w:r w:rsidR="00DF4295" w:rsidRPr="000E6F1E">
        <w:rPr>
          <w:rFonts w:ascii="Times New Roman" w:hAnsi="Times New Roman"/>
          <w:sz w:val="20"/>
        </w:rPr>
        <w:t xml:space="preserve"> </w:t>
      </w:r>
      <w:r w:rsidRPr="000E6F1E">
        <w:rPr>
          <w:rFonts w:ascii="Times New Roman" w:hAnsi="Times New Roman"/>
          <w:sz w:val="20"/>
        </w:rPr>
        <w:t>de 20</w:t>
      </w:r>
      <w:r w:rsidR="00DF4295" w:rsidRPr="000E6F1E">
        <w:rPr>
          <w:rFonts w:ascii="Times New Roman" w:hAnsi="Times New Roman"/>
          <w:sz w:val="20"/>
        </w:rPr>
        <w:t>2</w:t>
      </w:r>
      <w:r w:rsidR="00296324" w:rsidRPr="000E6F1E">
        <w:rPr>
          <w:rFonts w:ascii="Times New Roman" w:hAnsi="Times New Roman"/>
          <w:sz w:val="20"/>
        </w:rPr>
        <w:t>1 y al 31 de diciembre</w:t>
      </w:r>
      <w:r w:rsidR="00BC31CB" w:rsidRPr="000E6F1E">
        <w:rPr>
          <w:rFonts w:ascii="Times New Roman" w:hAnsi="Times New Roman"/>
          <w:sz w:val="20"/>
        </w:rPr>
        <w:t xml:space="preserve"> </w:t>
      </w:r>
      <w:r w:rsidR="00995417" w:rsidRPr="000E6F1E">
        <w:rPr>
          <w:rFonts w:ascii="Times New Roman" w:hAnsi="Times New Roman"/>
          <w:sz w:val="20"/>
        </w:rPr>
        <w:t>2</w:t>
      </w:r>
      <w:r w:rsidR="00296324" w:rsidRPr="000E6F1E">
        <w:rPr>
          <w:rFonts w:ascii="Times New Roman" w:hAnsi="Times New Roman"/>
          <w:sz w:val="20"/>
        </w:rPr>
        <w:t>020</w:t>
      </w:r>
      <w:r w:rsidRPr="000E6F1E">
        <w:rPr>
          <w:rFonts w:ascii="Times New Roman" w:hAnsi="Times New Roman"/>
          <w:sz w:val="20"/>
        </w:rPr>
        <w:t>, respectivamente, están compuestos por efectivo, derechos creditorios, inmuebles y acciones.</w:t>
      </w:r>
      <w:r w:rsidRPr="00110E8B">
        <w:rPr>
          <w:rFonts w:ascii="Times New Roman" w:hAnsi="Times New Roman"/>
          <w:sz w:val="20"/>
        </w:rPr>
        <w:t xml:space="preserve">  </w:t>
      </w:r>
    </w:p>
    <w:p w14:paraId="71C8772C" w14:textId="77777777" w:rsidR="00CD66BA" w:rsidRPr="00110E8B" w:rsidRDefault="00CD66BA" w:rsidP="001707FA">
      <w:pPr>
        <w:ind w:left="851" w:right="142"/>
        <w:jc w:val="both"/>
        <w:rPr>
          <w:rFonts w:ascii="Times New Roman" w:hAnsi="Times New Roman"/>
          <w:sz w:val="20"/>
        </w:rPr>
      </w:pPr>
    </w:p>
    <w:p w14:paraId="1B629919" w14:textId="77777777" w:rsidR="00D8644B" w:rsidRDefault="00D8644B" w:rsidP="00256841">
      <w:pPr>
        <w:ind w:right="142"/>
        <w:jc w:val="both"/>
        <w:rPr>
          <w:rFonts w:ascii="Times New Roman" w:hAnsi="Times New Roman"/>
          <w:sz w:val="20"/>
        </w:rPr>
      </w:pPr>
    </w:p>
    <w:p w14:paraId="71AE995B" w14:textId="77777777" w:rsidR="005A4775" w:rsidRPr="00110E8B" w:rsidRDefault="005A4775" w:rsidP="00256841">
      <w:pPr>
        <w:ind w:right="142"/>
        <w:jc w:val="both"/>
        <w:rPr>
          <w:rFonts w:ascii="Times New Roman" w:hAnsi="Times New Roman"/>
          <w:sz w:val="20"/>
        </w:rPr>
      </w:pPr>
    </w:p>
    <w:p w14:paraId="31BA867B" w14:textId="57EA56A2" w:rsidR="008A6371" w:rsidRPr="00E25B56" w:rsidRDefault="005D5540" w:rsidP="00C60CC8">
      <w:pPr>
        <w:pStyle w:val="Prrafodelista"/>
        <w:numPr>
          <w:ilvl w:val="0"/>
          <w:numId w:val="11"/>
        </w:numPr>
        <w:spacing w:after="120"/>
        <w:rPr>
          <w:b/>
          <w:color w:val="000000"/>
          <w:sz w:val="20"/>
          <w:szCs w:val="20"/>
          <w:lang w:val="es-AR"/>
        </w:rPr>
      </w:pPr>
      <w:r w:rsidRPr="00AD3565">
        <w:rPr>
          <w:b/>
          <w:color w:val="000000"/>
          <w:sz w:val="20"/>
          <w:szCs w:val="20"/>
          <w:lang w:val="es-AR"/>
        </w:rPr>
        <w:t xml:space="preserve"> </w:t>
      </w:r>
      <w:r w:rsidR="00D8644B" w:rsidRPr="00E25B56">
        <w:rPr>
          <w:b/>
          <w:color w:val="000000"/>
          <w:sz w:val="20"/>
          <w:szCs w:val="20"/>
          <w:lang w:val="es-AR"/>
        </w:rPr>
        <w:t>Fondos comunes de inversión</w:t>
      </w:r>
      <w:r w:rsidR="008A6371" w:rsidRPr="00E25B56">
        <w:rPr>
          <w:b/>
          <w:color w:val="000000"/>
          <w:sz w:val="20"/>
          <w:szCs w:val="20"/>
          <w:lang w:val="es-AR"/>
        </w:rPr>
        <w:t xml:space="preserve"> </w:t>
      </w:r>
    </w:p>
    <w:p w14:paraId="35FB064A" w14:textId="4E72A016" w:rsidR="00A379EC" w:rsidRPr="00E25B56" w:rsidRDefault="005D5540" w:rsidP="00A379EC">
      <w:pPr>
        <w:tabs>
          <w:tab w:val="left" w:pos="2260"/>
        </w:tabs>
        <w:ind w:left="851" w:right="142"/>
        <w:jc w:val="both"/>
        <w:rPr>
          <w:rFonts w:ascii="Times New Roman" w:hAnsi="Times New Roman"/>
          <w:sz w:val="20"/>
        </w:rPr>
      </w:pPr>
      <w:r w:rsidRPr="00E25B56">
        <w:rPr>
          <w:rFonts w:ascii="Times New Roman" w:hAnsi="Times New Roman"/>
          <w:sz w:val="20"/>
        </w:rPr>
        <w:t xml:space="preserve">Al </w:t>
      </w:r>
      <w:r w:rsidR="00311437" w:rsidRPr="00E25B56">
        <w:rPr>
          <w:rFonts w:ascii="Times New Roman" w:hAnsi="Times New Roman"/>
          <w:sz w:val="20"/>
        </w:rPr>
        <w:t>3</w:t>
      </w:r>
      <w:r w:rsidR="00007B8C" w:rsidRPr="00E25B56">
        <w:rPr>
          <w:rFonts w:ascii="Times New Roman" w:hAnsi="Times New Roman"/>
          <w:sz w:val="20"/>
        </w:rPr>
        <w:t>0</w:t>
      </w:r>
      <w:r w:rsidR="00066CBB" w:rsidRPr="00E25B56">
        <w:rPr>
          <w:rFonts w:ascii="Times New Roman" w:hAnsi="Times New Roman"/>
          <w:sz w:val="20"/>
        </w:rPr>
        <w:t xml:space="preserve"> de</w:t>
      </w:r>
      <w:r w:rsidR="00E83A1D" w:rsidRPr="00E25B56">
        <w:rPr>
          <w:rFonts w:ascii="Times New Roman" w:hAnsi="Times New Roman"/>
          <w:sz w:val="20"/>
        </w:rPr>
        <w:t xml:space="preserve"> </w:t>
      </w:r>
      <w:r w:rsidR="000024F8" w:rsidRPr="00E25B56">
        <w:rPr>
          <w:rFonts w:ascii="Times New Roman" w:hAnsi="Times New Roman"/>
          <w:sz w:val="20"/>
        </w:rPr>
        <w:t>septiembre</w:t>
      </w:r>
      <w:r w:rsidR="00995417" w:rsidRPr="00E25B56">
        <w:rPr>
          <w:rFonts w:ascii="Times New Roman" w:hAnsi="Times New Roman"/>
          <w:sz w:val="20"/>
        </w:rPr>
        <w:t xml:space="preserve"> </w:t>
      </w:r>
      <w:r w:rsidR="00066CBB" w:rsidRPr="00E25B56">
        <w:rPr>
          <w:rFonts w:ascii="Times New Roman" w:hAnsi="Times New Roman"/>
          <w:sz w:val="20"/>
          <w:lang w:val="es-ES_tradnl"/>
        </w:rPr>
        <w:t>d</w:t>
      </w:r>
      <w:r w:rsidR="00E83A1D" w:rsidRPr="00E25B56">
        <w:rPr>
          <w:rFonts w:ascii="Times New Roman" w:hAnsi="Times New Roman"/>
          <w:sz w:val="20"/>
          <w:lang w:val="es-ES_tradnl"/>
        </w:rPr>
        <w:t xml:space="preserve">e </w:t>
      </w:r>
      <w:r w:rsidR="00DF4295" w:rsidRPr="00E25B56">
        <w:rPr>
          <w:rFonts w:ascii="Times New Roman" w:hAnsi="Times New Roman"/>
          <w:sz w:val="20"/>
          <w:lang w:val="es-ES_tradnl"/>
        </w:rPr>
        <w:t>202</w:t>
      </w:r>
      <w:r w:rsidR="00296324" w:rsidRPr="00E25B56">
        <w:rPr>
          <w:rFonts w:ascii="Times New Roman" w:hAnsi="Times New Roman"/>
          <w:sz w:val="20"/>
          <w:lang w:val="es-ES_tradnl"/>
        </w:rPr>
        <w:t>1 y al 31 de diciembre</w:t>
      </w:r>
      <w:r w:rsidR="00155443" w:rsidRPr="00E25B56">
        <w:rPr>
          <w:rFonts w:ascii="Times New Roman" w:hAnsi="Times New Roman"/>
          <w:sz w:val="20"/>
          <w:lang w:val="es-ES_tradnl"/>
        </w:rPr>
        <w:t xml:space="preserve"> </w:t>
      </w:r>
      <w:r w:rsidR="00DF4295" w:rsidRPr="00E25B56">
        <w:rPr>
          <w:rFonts w:ascii="Times New Roman" w:hAnsi="Times New Roman"/>
          <w:sz w:val="20"/>
          <w:lang w:val="es-ES_tradnl"/>
        </w:rPr>
        <w:t>20</w:t>
      </w:r>
      <w:r w:rsidR="00296324" w:rsidRPr="00E25B56">
        <w:rPr>
          <w:rFonts w:ascii="Times New Roman" w:hAnsi="Times New Roman"/>
          <w:sz w:val="20"/>
          <w:lang w:val="es-ES_tradnl"/>
        </w:rPr>
        <w:t>20</w:t>
      </w:r>
      <w:r w:rsidR="00E83A1D" w:rsidRPr="00E25B56">
        <w:rPr>
          <w:rFonts w:ascii="Times New Roman" w:hAnsi="Times New Roman"/>
          <w:sz w:val="20"/>
          <w:lang w:val="es-ES_tradnl"/>
        </w:rPr>
        <w:t>,</w:t>
      </w:r>
      <w:r w:rsidRPr="00E25B56">
        <w:rPr>
          <w:rFonts w:ascii="Times New Roman" w:hAnsi="Times New Roman"/>
          <w:sz w:val="20"/>
        </w:rPr>
        <w:t xml:space="preserve"> la Entidad mantiene en custodia en su carácter de Agente de Custodia de los Fondos Comunes de Inversión (F.C.I.) administrados por </w:t>
      </w:r>
      <w:r w:rsidR="00544D75" w:rsidRPr="00E25B56">
        <w:rPr>
          <w:rFonts w:ascii="Times New Roman" w:hAnsi="Times New Roman"/>
          <w:sz w:val="20"/>
        </w:rPr>
        <w:t xml:space="preserve">BBVA Asset Management Argentina S.A. </w:t>
      </w:r>
      <w:r w:rsidRPr="00E25B56">
        <w:rPr>
          <w:rFonts w:ascii="Times New Roman" w:hAnsi="Times New Roman"/>
          <w:sz w:val="20"/>
        </w:rPr>
        <w:t xml:space="preserve">Sociedad Gerente de Fondos Comunes de Inversión, certificados de depósitos a plazo fijo, acciones, obligaciones negociables, títulos públicos, inversiones colectivas, cheques de pago diferido, instrumentos emitidos por el B.C.R.A., Letras del Tesoro emitidas por el Gobierno de la Ciudad de Buenos Aires, ADRS, Letras del Tesoro de la Provincia de Buenos Aires y pases por </w:t>
      </w:r>
      <w:r w:rsidR="00AD3565" w:rsidRPr="00E25B56">
        <w:rPr>
          <w:rFonts w:ascii="Times New Roman" w:hAnsi="Times New Roman"/>
          <w:sz w:val="20"/>
        </w:rPr>
        <w:t>86.363.802</w:t>
      </w:r>
      <w:r w:rsidR="00296324" w:rsidRPr="00E25B56">
        <w:rPr>
          <w:rFonts w:ascii="Times New Roman" w:hAnsi="Times New Roman"/>
          <w:sz w:val="20"/>
        </w:rPr>
        <w:t xml:space="preserve"> y</w:t>
      </w:r>
      <w:r w:rsidR="00155443" w:rsidRPr="00E25B56">
        <w:rPr>
          <w:rFonts w:ascii="Times New Roman" w:hAnsi="Times New Roman"/>
          <w:sz w:val="20"/>
        </w:rPr>
        <w:t xml:space="preserve"> </w:t>
      </w:r>
      <w:r w:rsidR="00AD3565" w:rsidRPr="00E25B56">
        <w:rPr>
          <w:rFonts w:ascii="Times New Roman" w:hAnsi="Times New Roman"/>
          <w:sz w:val="20"/>
        </w:rPr>
        <w:t>38.682.659</w:t>
      </w:r>
      <w:r w:rsidR="00BC31CB" w:rsidRPr="00E25B56">
        <w:rPr>
          <w:rFonts w:ascii="Times New Roman" w:hAnsi="Times New Roman"/>
          <w:sz w:val="20"/>
        </w:rPr>
        <w:t xml:space="preserve">, </w:t>
      </w:r>
      <w:r w:rsidRPr="00E25B56">
        <w:rPr>
          <w:rFonts w:ascii="Times New Roman" w:hAnsi="Times New Roman"/>
          <w:sz w:val="20"/>
        </w:rPr>
        <w:t xml:space="preserve">que conforman la cartera de los Fondos y se encuentran registrados en cuentas de orden deudoras “De Control – Otras”. </w:t>
      </w:r>
    </w:p>
    <w:p w14:paraId="25E13FE6" w14:textId="386AEA58" w:rsidR="003B4F16" w:rsidRPr="00E25B56" w:rsidRDefault="003B4F16" w:rsidP="00DC003B">
      <w:pPr>
        <w:tabs>
          <w:tab w:val="left" w:pos="9900"/>
        </w:tabs>
        <w:ind w:left="851" w:right="142"/>
        <w:jc w:val="both"/>
        <w:rPr>
          <w:rFonts w:ascii="Times New Roman" w:hAnsi="Times New Roman"/>
          <w:sz w:val="20"/>
        </w:rPr>
      </w:pPr>
    </w:p>
    <w:p w14:paraId="555232CD" w14:textId="1DCCE0F9" w:rsidR="005D5540" w:rsidRDefault="005D5540" w:rsidP="00DC003B">
      <w:pPr>
        <w:tabs>
          <w:tab w:val="left" w:pos="9900"/>
        </w:tabs>
        <w:ind w:left="851" w:right="142"/>
        <w:jc w:val="both"/>
        <w:rPr>
          <w:rFonts w:ascii="Times New Roman" w:hAnsi="Times New Roman"/>
          <w:sz w:val="20"/>
        </w:rPr>
      </w:pPr>
      <w:r w:rsidRPr="00E25B56">
        <w:rPr>
          <w:rFonts w:ascii="Times New Roman" w:hAnsi="Times New Roman"/>
          <w:sz w:val="20"/>
        </w:rPr>
        <w:t>A continuación se detallan los patrimonios de los F.C.I.:</w:t>
      </w:r>
    </w:p>
    <w:p w14:paraId="31146477" w14:textId="0706D9C1" w:rsidR="00A379EC" w:rsidRDefault="00760717" w:rsidP="00DC003B">
      <w:pPr>
        <w:tabs>
          <w:tab w:val="left" w:pos="9900"/>
        </w:tabs>
        <w:ind w:left="851" w:right="142"/>
        <w:jc w:val="both"/>
        <w:rPr>
          <w:rFonts w:ascii="Times New Roman" w:hAnsi="Times New Roman"/>
          <w:sz w:val="20"/>
        </w:rPr>
      </w:pPr>
      <w:r w:rsidRPr="00760717">
        <w:rPr>
          <w:noProof/>
          <w:lang w:eastAsia="es-AR"/>
        </w:rPr>
        <w:lastRenderedPageBreak/>
        <w:drawing>
          <wp:inline distT="0" distB="0" distL="0" distR="0" wp14:anchorId="0DFDB118" wp14:editId="37E92A41">
            <wp:extent cx="4552950" cy="342900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52950" cy="3429000"/>
                    </a:xfrm>
                    <a:prstGeom prst="rect">
                      <a:avLst/>
                    </a:prstGeom>
                    <a:noFill/>
                    <a:ln>
                      <a:noFill/>
                    </a:ln>
                  </pic:spPr>
                </pic:pic>
              </a:graphicData>
            </a:graphic>
          </wp:inline>
        </w:drawing>
      </w:r>
    </w:p>
    <w:p w14:paraId="791A654E" w14:textId="73AFE296" w:rsidR="00BA54DA" w:rsidRPr="00BA54DA" w:rsidRDefault="00FA38B0" w:rsidP="00760717">
      <w:pPr>
        <w:spacing w:before="240" w:after="120" w:line="260" w:lineRule="exact"/>
        <w:ind w:left="851"/>
        <w:jc w:val="both"/>
        <w:rPr>
          <w:rFonts w:ascii="Times New Roman" w:hAnsi="Times New Roman"/>
          <w:sz w:val="16"/>
        </w:rPr>
      </w:pPr>
      <w:r w:rsidRPr="00760717">
        <w:rPr>
          <w:rFonts w:ascii="Times New Roman" w:hAnsi="Times New Roman"/>
          <w:b/>
          <w:sz w:val="16"/>
          <w:vertAlign w:val="superscript"/>
        </w:rPr>
        <w:t>(</w:t>
      </w:r>
      <w:r w:rsidR="00BA54DA" w:rsidRPr="00760717">
        <w:rPr>
          <w:rFonts w:ascii="Times New Roman" w:hAnsi="Times New Roman"/>
          <w:b/>
          <w:sz w:val="16"/>
          <w:vertAlign w:val="superscript"/>
        </w:rPr>
        <w:t>1)</w:t>
      </w:r>
      <w:r w:rsidR="00BA54DA" w:rsidRPr="00BA54DA">
        <w:rPr>
          <w:rFonts w:ascii="Times New Roman" w:hAnsi="Times New Roman"/>
          <w:sz w:val="16"/>
        </w:rPr>
        <w:t xml:space="preserve"> No sujetos a revisión trimestral según Resolución N° 873/2020 de CNV.</w:t>
      </w:r>
    </w:p>
    <w:p w14:paraId="523E3D5B" w14:textId="77777777" w:rsidR="005A4775" w:rsidRDefault="005A4775" w:rsidP="001707FA">
      <w:pPr>
        <w:spacing w:after="120" w:line="260" w:lineRule="exact"/>
        <w:ind w:left="851"/>
        <w:jc w:val="both"/>
        <w:rPr>
          <w:rFonts w:ascii="Times New Roman" w:hAnsi="Times New Roman"/>
          <w:sz w:val="20"/>
        </w:rPr>
      </w:pPr>
    </w:p>
    <w:p w14:paraId="0CD12E80" w14:textId="666D85FB" w:rsidR="005D5540" w:rsidRPr="00110E8B" w:rsidRDefault="001C736E" w:rsidP="001707FA">
      <w:pPr>
        <w:spacing w:after="120" w:line="260" w:lineRule="exact"/>
        <w:ind w:left="851"/>
        <w:jc w:val="both"/>
        <w:rPr>
          <w:rFonts w:ascii="Times New Roman" w:hAnsi="Times New Roman"/>
          <w:sz w:val="20"/>
        </w:rPr>
      </w:pPr>
      <w:r w:rsidRPr="00F0390C">
        <w:rPr>
          <w:rFonts w:ascii="Times New Roman" w:hAnsi="Times New Roman"/>
          <w:sz w:val="20"/>
        </w:rPr>
        <w:t>L</w:t>
      </w:r>
      <w:r w:rsidR="00B94DA7" w:rsidRPr="00F0390C">
        <w:rPr>
          <w:rFonts w:ascii="Times New Roman" w:hAnsi="Times New Roman"/>
          <w:sz w:val="20"/>
        </w:rPr>
        <w:t>a subsidiaria</w:t>
      </w:r>
      <w:r w:rsidR="005D5540" w:rsidRPr="00F0390C">
        <w:rPr>
          <w:rFonts w:ascii="Times New Roman" w:hAnsi="Times New Roman"/>
          <w:sz w:val="20"/>
        </w:rPr>
        <w:t xml:space="preserve"> </w:t>
      </w:r>
      <w:r w:rsidR="00544D75" w:rsidRPr="00F0390C">
        <w:rPr>
          <w:rFonts w:ascii="Times New Roman" w:hAnsi="Times New Roman"/>
          <w:sz w:val="20"/>
          <w:lang w:val="es-ES"/>
        </w:rPr>
        <w:t xml:space="preserve">BBVA Asset Management Argentina S.A. </w:t>
      </w:r>
      <w:r w:rsidR="005D5540" w:rsidRPr="00F0390C">
        <w:rPr>
          <w:rFonts w:ascii="Times New Roman" w:hAnsi="Times New Roman"/>
          <w:sz w:val="20"/>
        </w:rPr>
        <w:t>actúa como administrador</w:t>
      </w:r>
      <w:r w:rsidR="007A0BF2" w:rsidRPr="00F0390C">
        <w:rPr>
          <w:rFonts w:ascii="Times New Roman" w:hAnsi="Times New Roman"/>
          <w:sz w:val="20"/>
        </w:rPr>
        <w:t>a</w:t>
      </w:r>
      <w:r w:rsidR="005D5540" w:rsidRPr="00F0390C">
        <w:rPr>
          <w:rFonts w:ascii="Times New Roman" w:hAnsi="Times New Roman"/>
          <w:sz w:val="20"/>
        </w:rPr>
        <w:t xml:space="preserve"> de fondos comunes de inversión según autorización emitida por la </w:t>
      </w:r>
      <w:r w:rsidR="00BE2D25" w:rsidRPr="00F0390C">
        <w:rPr>
          <w:rFonts w:ascii="Times New Roman" w:hAnsi="Times New Roman"/>
          <w:sz w:val="20"/>
        </w:rPr>
        <w:t>C.N.V.</w:t>
      </w:r>
      <w:r w:rsidR="005D5540" w:rsidRPr="00F0390C">
        <w:rPr>
          <w:rFonts w:ascii="Times New Roman" w:hAnsi="Times New Roman"/>
          <w:sz w:val="20"/>
        </w:rPr>
        <w:t xml:space="preserve"> que registró a esta sociedad como agente de administración de productos de inversión colectiva bajo el N°</w:t>
      </w:r>
      <w:r w:rsidR="007E31EB" w:rsidRPr="00F0390C">
        <w:rPr>
          <w:rFonts w:ascii="Times New Roman" w:hAnsi="Times New Roman"/>
          <w:sz w:val="20"/>
        </w:rPr>
        <w:t xml:space="preserve"> 3 por Disposición 2002 de la </w:t>
      </w:r>
      <w:r w:rsidR="00BE2D25" w:rsidRPr="00F0390C">
        <w:rPr>
          <w:rFonts w:ascii="Times New Roman" w:hAnsi="Times New Roman"/>
          <w:sz w:val="20"/>
        </w:rPr>
        <w:t>C.N.V.</w:t>
      </w:r>
      <w:r w:rsidR="00CD77E4" w:rsidRPr="00F0390C">
        <w:rPr>
          <w:rFonts w:ascii="Times New Roman" w:hAnsi="Times New Roman"/>
          <w:sz w:val="20"/>
        </w:rPr>
        <w:t xml:space="preserve"> del 7 de agosto de </w:t>
      </w:r>
      <w:r w:rsidR="007E31EB" w:rsidRPr="00F0390C">
        <w:rPr>
          <w:rFonts w:ascii="Times New Roman" w:hAnsi="Times New Roman"/>
          <w:sz w:val="20"/>
        </w:rPr>
        <w:t>2014.</w:t>
      </w:r>
    </w:p>
    <w:p w14:paraId="1689067D" w14:textId="77777777" w:rsidR="005A4775" w:rsidRDefault="005A4775" w:rsidP="001707FA">
      <w:pPr>
        <w:spacing w:after="120" w:line="260" w:lineRule="exact"/>
        <w:ind w:left="851"/>
        <w:jc w:val="both"/>
        <w:rPr>
          <w:rFonts w:ascii="Times New Roman" w:hAnsi="Times New Roman"/>
          <w:sz w:val="20"/>
        </w:rPr>
      </w:pPr>
    </w:p>
    <w:p w14:paraId="78C7DEA4" w14:textId="1DC1F77B" w:rsidR="008A6371" w:rsidRPr="008A0C1A" w:rsidRDefault="00D8644B" w:rsidP="00C60CC8">
      <w:pPr>
        <w:pStyle w:val="Prrafodelista"/>
        <w:numPr>
          <w:ilvl w:val="0"/>
          <w:numId w:val="11"/>
        </w:numPr>
        <w:spacing w:after="120"/>
        <w:ind w:left="851" w:hanging="425"/>
        <w:rPr>
          <w:b/>
          <w:color w:val="000000"/>
          <w:sz w:val="20"/>
          <w:szCs w:val="20"/>
          <w:lang w:val="es-AR"/>
        </w:rPr>
      </w:pPr>
      <w:r w:rsidRPr="008A0C1A">
        <w:rPr>
          <w:b/>
          <w:color w:val="000000"/>
          <w:sz w:val="20"/>
          <w:szCs w:val="20"/>
          <w:lang w:val="es-AR"/>
        </w:rPr>
        <w:t xml:space="preserve">Sanciones y sumarios iniciados por el </w:t>
      </w:r>
      <w:r w:rsidR="0013679F" w:rsidRPr="008A0C1A">
        <w:rPr>
          <w:b/>
          <w:color w:val="000000"/>
          <w:sz w:val="20"/>
          <w:szCs w:val="20"/>
          <w:lang w:val="es-AR"/>
        </w:rPr>
        <w:t>B.C.R.A.</w:t>
      </w:r>
    </w:p>
    <w:p w14:paraId="6B1ED4F2" w14:textId="77777777" w:rsidR="00705EFA" w:rsidRPr="00CC2509" w:rsidRDefault="00705EFA" w:rsidP="00705EFA">
      <w:pPr>
        <w:ind w:left="851" w:right="49"/>
        <w:jc w:val="both"/>
        <w:rPr>
          <w:rFonts w:ascii="Times New Roman" w:hAnsi="Times New Roman"/>
          <w:sz w:val="20"/>
        </w:rPr>
      </w:pPr>
      <w:r w:rsidRPr="00CC2509">
        <w:rPr>
          <w:rFonts w:ascii="Times New Roman" w:hAnsi="Times New Roman"/>
          <w:sz w:val="20"/>
        </w:rPr>
        <w:t>De acuerdo con lo requerido por la Comunicación “A” 5689 y modificatorias del B.C.R.A., a continuación se detallan las sanciones administrativas y/o disciplinarias, y las penales con sentencia judicial de primera instancia, aplicadas o iniciadas por el B.C.R.A. y notificadas a la Entidad:</w:t>
      </w:r>
    </w:p>
    <w:p w14:paraId="5E223DF3" w14:textId="77777777" w:rsidR="00D228D8" w:rsidRPr="00CC2509" w:rsidRDefault="00D228D8" w:rsidP="001707FA">
      <w:pPr>
        <w:ind w:left="851" w:right="49"/>
        <w:jc w:val="both"/>
        <w:rPr>
          <w:rFonts w:ascii="Times New Roman" w:hAnsi="Times New Roman"/>
          <w:b/>
          <w:sz w:val="20"/>
        </w:rPr>
      </w:pPr>
    </w:p>
    <w:p w14:paraId="6EF6B219" w14:textId="77777777" w:rsidR="00CC2509" w:rsidRDefault="00CC2509" w:rsidP="001707FA">
      <w:pPr>
        <w:ind w:left="851" w:right="49"/>
        <w:jc w:val="both"/>
        <w:rPr>
          <w:rFonts w:ascii="Times New Roman" w:hAnsi="Times New Roman"/>
          <w:b/>
          <w:sz w:val="20"/>
        </w:rPr>
      </w:pPr>
    </w:p>
    <w:p w14:paraId="4113C47B" w14:textId="77777777" w:rsidR="004B5B0F" w:rsidRPr="00CC2509" w:rsidRDefault="004B5B0F" w:rsidP="001707FA">
      <w:pPr>
        <w:ind w:left="851" w:right="49"/>
        <w:jc w:val="both"/>
        <w:rPr>
          <w:rFonts w:ascii="Times New Roman" w:hAnsi="Times New Roman"/>
          <w:b/>
          <w:sz w:val="20"/>
        </w:rPr>
      </w:pPr>
      <w:r w:rsidRPr="00CC2509">
        <w:rPr>
          <w:rFonts w:ascii="Times New Roman" w:hAnsi="Times New Roman"/>
          <w:b/>
          <w:sz w:val="20"/>
        </w:rPr>
        <w:t>Sumarios iniciados por el B.C.R.A.</w:t>
      </w:r>
    </w:p>
    <w:p w14:paraId="45197160" w14:textId="77777777" w:rsidR="002F7F2A" w:rsidRDefault="002F7F2A" w:rsidP="001707FA">
      <w:pPr>
        <w:ind w:left="851" w:right="49"/>
        <w:jc w:val="both"/>
        <w:rPr>
          <w:rFonts w:ascii="Times New Roman" w:hAnsi="Times New Roman"/>
          <w:b/>
          <w:sz w:val="20"/>
          <w:highlight w:val="yellow"/>
          <w:lang w:val="es-ES"/>
        </w:rPr>
      </w:pPr>
    </w:p>
    <w:p w14:paraId="072D4973" w14:textId="77777777" w:rsidR="002F7F2A" w:rsidRPr="00110E8B" w:rsidRDefault="002F7F2A" w:rsidP="002F7F2A">
      <w:pPr>
        <w:numPr>
          <w:ilvl w:val="0"/>
          <w:numId w:val="19"/>
        </w:numPr>
        <w:tabs>
          <w:tab w:val="left" w:pos="284"/>
        </w:tabs>
        <w:ind w:left="851" w:right="49" w:firstLine="0"/>
        <w:contextualSpacing/>
        <w:jc w:val="both"/>
        <w:rPr>
          <w:rFonts w:ascii="Times New Roman" w:hAnsi="Times New Roman"/>
          <w:sz w:val="20"/>
          <w:lang w:val="es-ES_tradnl" w:eastAsia="en-US"/>
        </w:rPr>
      </w:pPr>
      <w:r w:rsidRPr="00110E8B">
        <w:rPr>
          <w:rFonts w:ascii="Times New Roman" w:hAnsi="Times New Roman"/>
          <w:b/>
          <w:sz w:val="20"/>
          <w:lang w:val="es-ES_tradnl" w:eastAsia="en-US"/>
        </w:rPr>
        <w:t xml:space="preserve">“Banco Francés S.A. s/ infracción a la Ley 19.359”. </w:t>
      </w:r>
      <w:r w:rsidRPr="00110E8B">
        <w:rPr>
          <w:rFonts w:ascii="Times New Roman" w:hAnsi="Times New Roman"/>
          <w:sz w:val="20"/>
          <w:lang w:val="es-ES_tradnl" w:eastAsia="en-US"/>
        </w:rPr>
        <w:t xml:space="preserve">Sumario penal cambiario instruido por el B.C.R.A. notificado con fecha 22 de febrero de 2008 e identificado bajo el N° 3511, expediente 100.194/05, por el delito de infracción al Régimen Penal Cambiario de moneda extranjera por compra-venta de dólares por cuenta y orden del B.C.R.A. en exceso de los montos autorizados. Se trata de un total </w:t>
      </w:r>
      <w:r w:rsidRPr="00110E8B">
        <w:rPr>
          <w:rFonts w:ascii="Times New Roman" w:hAnsi="Times New Roman"/>
          <w:sz w:val="20"/>
          <w:lang w:val="es-ES_tradnl" w:eastAsia="en-US"/>
        </w:rPr>
        <w:lastRenderedPageBreak/>
        <w:t xml:space="preserve">de 44 operaciones que involucraban a las sucursales 099, 342, 999 y 320. Los sumariados son </w:t>
      </w:r>
      <w:r w:rsidRPr="00110E8B">
        <w:rPr>
          <w:rFonts w:ascii="Times New Roman" w:hAnsi="Times New Roman"/>
          <w:color w:val="000000"/>
          <w:sz w:val="20"/>
          <w:lang w:eastAsia="en-US"/>
        </w:rPr>
        <w:t xml:space="preserve">Banco BBVA Argentina S.A. </w:t>
      </w:r>
      <w:r w:rsidRPr="00110E8B">
        <w:rPr>
          <w:rFonts w:ascii="Times New Roman" w:hAnsi="Times New Roman"/>
          <w:sz w:val="20"/>
          <w:lang w:val="es-ES" w:eastAsia="en-US"/>
        </w:rPr>
        <w:t xml:space="preserve">y los siguientes funcionarios de la Entidad que desempeñaban los cargos descriptos a continuación a la fecha de los hechos imputados: (i) dos Gerentes Territoriales, (ii) cuatro Gerentes de Sucursal, (iii) cuatro Jefes de Gestión Administrativa y (iv) doce cajeros. Con fecha de 21 de agosto de 2014, el Juzgado absolvió de culpa y cargo a todos los imputados. La Fiscalía apeló y la Sala A de la Cámara en lo Penal Económico confirmó la absolución de la Entidad y de los funcionarios involucrados. La Fiscalía de Cámara interpuso recurso Extraordinario, el cual le fue concedido. A la fecha, se encuentra radicado en la </w:t>
      </w:r>
      <w:r>
        <w:rPr>
          <w:rFonts w:ascii="Times New Roman" w:hAnsi="Times New Roman"/>
          <w:sz w:val="20"/>
          <w:lang w:val="es-ES" w:eastAsia="en-US"/>
        </w:rPr>
        <w:t>Corte Suprema de Justicia de la Nación (</w:t>
      </w:r>
      <w:r w:rsidRPr="00110E8B">
        <w:rPr>
          <w:rFonts w:ascii="Times New Roman" w:hAnsi="Times New Roman"/>
          <w:sz w:val="20"/>
          <w:lang w:val="es-ES" w:eastAsia="en-US"/>
        </w:rPr>
        <w:t>C.S.J.N.</w:t>
      </w:r>
      <w:r>
        <w:rPr>
          <w:rFonts w:ascii="Times New Roman" w:hAnsi="Times New Roman"/>
          <w:sz w:val="20"/>
          <w:lang w:val="es-ES" w:eastAsia="en-US"/>
        </w:rPr>
        <w:t>)</w:t>
      </w:r>
      <w:r w:rsidRPr="00110E8B">
        <w:rPr>
          <w:rFonts w:ascii="Times New Roman" w:hAnsi="Times New Roman"/>
          <w:sz w:val="20"/>
          <w:lang w:val="es-ES" w:eastAsia="en-US"/>
        </w:rPr>
        <w:t xml:space="preserve"> Se ha llamado a autos para resolver.</w:t>
      </w:r>
    </w:p>
    <w:p w14:paraId="6F67712E" w14:textId="77777777" w:rsidR="002F7F2A" w:rsidRPr="00110E8B" w:rsidRDefault="002F7F2A" w:rsidP="002F7F2A">
      <w:pPr>
        <w:pStyle w:val="Prrafodelista"/>
        <w:tabs>
          <w:tab w:val="left" w:pos="284"/>
        </w:tabs>
        <w:ind w:left="851" w:right="49"/>
        <w:contextualSpacing/>
        <w:jc w:val="both"/>
        <w:rPr>
          <w:sz w:val="20"/>
          <w:szCs w:val="20"/>
          <w:lang w:val="es-ES_tradnl"/>
        </w:rPr>
      </w:pPr>
    </w:p>
    <w:p w14:paraId="6E64EEA7" w14:textId="429D11BF" w:rsidR="002F7F2A" w:rsidRPr="002F7F2A" w:rsidRDefault="002F7F2A" w:rsidP="002F7F2A">
      <w:pPr>
        <w:numPr>
          <w:ilvl w:val="0"/>
          <w:numId w:val="19"/>
        </w:numPr>
        <w:tabs>
          <w:tab w:val="left" w:pos="284"/>
        </w:tabs>
        <w:ind w:left="851" w:right="49" w:firstLine="0"/>
        <w:contextualSpacing/>
        <w:jc w:val="both"/>
        <w:rPr>
          <w:rFonts w:ascii="Times New Roman" w:hAnsi="Times New Roman"/>
          <w:sz w:val="20"/>
          <w:lang w:val="es-ES_tradnl"/>
        </w:rPr>
      </w:pPr>
      <w:r w:rsidRPr="002F7F2A">
        <w:rPr>
          <w:rFonts w:ascii="Times New Roman" w:hAnsi="Times New Roman"/>
          <w:b/>
          <w:sz w:val="20"/>
          <w:lang w:val="es-ES" w:eastAsia="en-US"/>
        </w:rPr>
        <w:t>“</w:t>
      </w:r>
      <w:r w:rsidRPr="002F7F2A">
        <w:rPr>
          <w:rFonts w:ascii="Times New Roman" w:hAnsi="Times New Roman"/>
          <w:b/>
          <w:sz w:val="20"/>
          <w:lang w:val="es-ES_tradnl" w:eastAsia="en-US"/>
        </w:rPr>
        <w:t xml:space="preserve">Banco Francés S.A. s/ infracción a la Ley 19.359”. </w:t>
      </w:r>
      <w:r w:rsidRPr="002F7F2A">
        <w:rPr>
          <w:rFonts w:ascii="Times New Roman" w:hAnsi="Times New Roman"/>
          <w:sz w:val="20"/>
          <w:lang w:val="es-ES_tradnl" w:eastAsia="en-US"/>
        </w:rPr>
        <w:t xml:space="preserve">Sumario penal cambiario instruido por el B.C.R.A. notificado con fecha 1 de diciembre de 2010 e identificado bajo el N° 4539, expediente N° 18.398/05 en el que las imputaciones se centran en operaciones de cambio simuladas, mediante falsas declaraciones en su tramitación, incurridas por personal de cinco sucursales de la localidad de Mar del Plata, que implicaría el incumplimiento del requisito de identificación de los clientes exigido por la normativa cambiaria a través de la Comunicación “A” 3471, punto 6. Los sumariados son </w:t>
      </w:r>
      <w:r w:rsidRPr="002F7F2A">
        <w:rPr>
          <w:rFonts w:ascii="Times New Roman" w:hAnsi="Times New Roman"/>
          <w:color w:val="000000"/>
          <w:sz w:val="20"/>
          <w:lang w:eastAsia="en-US"/>
        </w:rPr>
        <w:t>Banco BBVA Argentina S.A.</w:t>
      </w:r>
      <w:r w:rsidRPr="002F7F2A">
        <w:rPr>
          <w:rFonts w:ascii="Times New Roman" w:hAnsi="Times New Roman"/>
          <w:sz w:val="20"/>
          <w:lang w:val="es-ES_tradnl" w:eastAsia="en-US"/>
        </w:rPr>
        <w:t xml:space="preserve">, los cinco miembros titulares del Directorio </w:t>
      </w:r>
      <w:r w:rsidRPr="002F7F2A">
        <w:rPr>
          <w:rFonts w:ascii="Times New Roman" w:hAnsi="Times New Roman"/>
          <w:sz w:val="20"/>
          <w:lang w:val="es-ES" w:eastAsia="en-US"/>
        </w:rPr>
        <w:t>y los siguientes funcionarios de la Entidad que desempeñaban los cargos descriptos a continuación a la fecha de los hechos imputados: (i) el</w:t>
      </w:r>
      <w:r w:rsidRPr="002F7F2A">
        <w:rPr>
          <w:rFonts w:ascii="Times New Roman" w:hAnsi="Times New Roman"/>
          <w:sz w:val="20"/>
          <w:lang w:val="es-ES_tradnl" w:eastAsia="en-US"/>
        </w:rPr>
        <w:t xml:space="preserve"> Gerente de Banca Minorista, (ii) el Gerente Territorial, (iii) el Gerente Zonal, (iv) un asistente comercial del Gerente Zonal, (v) cinco Gerentes de Sucursal, (vi) cuatro jefes de Gestión Administrativa, (vii) cinco Cajeros Principales y (viii) un cajero</w:t>
      </w:r>
      <w:r w:rsidRPr="002F7F2A">
        <w:rPr>
          <w:rFonts w:ascii="Times New Roman" w:hAnsi="Times New Roman"/>
          <w:sz w:val="20"/>
          <w:lang w:val="es-ES" w:eastAsia="en-US"/>
        </w:rPr>
        <w:t xml:space="preserve">. A la fecha la causa se ha radicado en el </w:t>
      </w:r>
      <w:r w:rsidRPr="002F7F2A">
        <w:rPr>
          <w:rFonts w:ascii="Times New Roman" w:hAnsi="Times New Roman"/>
          <w:sz w:val="20"/>
          <w:lang w:val="es-ES_tradnl" w:eastAsia="en-US"/>
        </w:rPr>
        <w:t xml:space="preserve">Juzgado Federal N° 3, Secretaría Penal, de la Ciudad de Mar del Plata, bajo el Expediente N° 16.377/2016. El 21 de junio de 2017 el Tribunal, como medida para mejor proveer, liberó oficio al B.C.R.A., solicitando se informe si la normativa aplicable al comportamiento imputado en autos referido al expediente Nº 18.398/05 Sumario Nº 4539, ha resultado alcanzado por alguna modificación. El B.C.R.A. respondió al pedido del Juzgado indicando que el incumplimiento de la Comunicación “A” 3471 no configuraría actualmente un supuesto de aplicación de ley penal más benigna. Con fecha 30 de septiembre de 2019 se dictó Sentencia en Primera Instancia condenando al Banco por su participación en la maniobra en la suma de U$S 592.000, en tanto aplicó multas a las personas físicas involucradas por la suma global de U$S 518.766 y Euros 48.500. </w:t>
      </w:r>
      <w:r w:rsidRPr="002F7F2A">
        <w:rPr>
          <w:rFonts w:ascii="Times New Roman" w:hAnsi="Times New Roman"/>
          <w:sz w:val="20"/>
          <w:lang w:val="es-ES_tradnl"/>
        </w:rPr>
        <w:t>El Banco se encuentra condenado en forma solidaria por las multas precedentemente detalladas. Se ha dispuesto la absolución para los Directores del Banco (Jorge Carlos Bledel, Javier D. Ornella, Marcelo Canestri y Oscar Castro), así como para los Gerentes Territoriales (Oscar Fantacone, y Jorge Allen). Se ha presentado escrito de apelación en representación del Banco BBVA Argentina S.A. y los empleados que asumió la defensa, con argumentos de revocatoria de esas condenas o de sensible reducción de los montos de condena. El 24</w:t>
      </w:r>
      <w:r>
        <w:rPr>
          <w:rFonts w:ascii="Times New Roman" w:hAnsi="Times New Roman"/>
          <w:sz w:val="20"/>
          <w:lang w:val="es-ES_tradnl"/>
        </w:rPr>
        <w:t xml:space="preserve"> de agosto de 2021,</w:t>
      </w:r>
      <w:r w:rsidRPr="002F7F2A">
        <w:rPr>
          <w:rFonts w:ascii="Times New Roman" w:hAnsi="Times New Roman"/>
          <w:sz w:val="20"/>
          <w:lang w:val="es-ES_tradnl"/>
        </w:rPr>
        <w:t xml:space="preserve"> la Cámara Federal de Apelaciones de Mar del Plata, resolvió declarar extinguida la acción con fundamento en la violación del plazo razonable y en consecuencia </w:t>
      </w:r>
      <w:r>
        <w:rPr>
          <w:rFonts w:ascii="Times New Roman" w:hAnsi="Times New Roman"/>
          <w:sz w:val="20"/>
          <w:lang w:val="es-ES_tradnl"/>
        </w:rPr>
        <w:t xml:space="preserve">absolver </w:t>
      </w:r>
      <w:r w:rsidR="000831BD">
        <w:rPr>
          <w:rFonts w:ascii="Times New Roman" w:hAnsi="Times New Roman"/>
          <w:sz w:val="20"/>
          <w:lang w:val="es-ES_tradnl"/>
        </w:rPr>
        <w:t>al Banco BBVA</w:t>
      </w:r>
      <w:r w:rsidRPr="002F7F2A">
        <w:rPr>
          <w:rFonts w:ascii="Times New Roman" w:hAnsi="Times New Roman"/>
          <w:sz w:val="20"/>
          <w:lang w:val="es-ES_tradnl"/>
        </w:rPr>
        <w:t xml:space="preserve"> </w:t>
      </w:r>
      <w:r w:rsidR="00241FFD">
        <w:rPr>
          <w:rFonts w:ascii="Times New Roman" w:hAnsi="Times New Roman"/>
          <w:sz w:val="20"/>
          <w:lang w:val="es-ES_tradnl"/>
        </w:rPr>
        <w:t>Argentina</w:t>
      </w:r>
      <w:r w:rsidRPr="002F7F2A">
        <w:rPr>
          <w:rFonts w:ascii="Times New Roman" w:hAnsi="Times New Roman"/>
          <w:sz w:val="20"/>
          <w:lang w:val="es-ES_tradnl"/>
        </w:rPr>
        <w:t xml:space="preserve"> S.A</w:t>
      </w:r>
      <w:r>
        <w:rPr>
          <w:rFonts w:ascii="Times New Roman" w:hAnsi="Times New Roman"/>
          <w:sz w:val="20"/>
          <w:lang w:val="es-ES_tradnl"/>
        </w:rPr>
        <w:t>.</w:t>
      </w:r>
      <w:r w:rsidRPr="002F7F2A">
        <w:rPr>
          <w:rFonts w:ascii="Times New Roman" w:hAnsi="Times New Roman"/>
          <w:sz w:val="20"/>
          <w:lang w:val="es-ES_tradnl"/>
        </w:rPr>
        <w:t>, Pablo Bistacco, Graciela Alonso, Néstor O. Baquer, Hugo Benzan, Mariela Espinosa, Jorge Fioritti, Liliana Paz, Alberto Giménez, Jorge Elizalde, Elizabeth Mosquera, Carlos Barcellini, Carlos O. Alfonzo, Samuel Alanis, Julián Gabriel Burgos, por los hechos que fueran condenados en el presente e</w:t>
      </w:r>
      <w:r w:rsidR="000831BD">
        <w:rPr>
          <w:rFonts w:ascii="Times New Roman" w:hAnsi="Times New Roman"/>
          <w:sz w:val="20"/>
          <w:lang w:val="es-ES_tradnl"/>
        </w:rPr>
        <w:t>xpediente por violación a la Ley N°</w:t>
      </w:r>
      <w:r w:rsidRPr="002F7F2A">
        <w:rPr>
          <w:rFonts w:ascii="Times New Roman" w:hAnsi="Times New Roman"/>
          <w:sz w:val="20"/>
          <w:lang w:val="es-ES_tradnl"/>
        </w:rPr>
        <w:t xml:space="preserve"> 19.359 y normativa correspondiente. Ante ese fallo el Fiscal Federal interpuso </w:t>
      </w:r>
      <w:r w:rsidR="00FC5CE6">
        <w:rPr>
          <w:rFonts w:ascii="Times New Roman" w:hAnsi="Times New Roman"/>
          <w:sz w:val="20"/>
          <w:lang w:val="es-ES_tradnl"/>
        </w:rPr>
        <w:t>un recurso extraordinario federal.</w:t>
      </w:r>
    </w:p>
    <w:p w14:paraId="31245E00" w14:textId="77777777" w:rsidR="002F7F2A" w:rsidRPr="002F7F2A" w:rsidRDefault="002F7F2A" w:rsidP="002F7F2A">
      <w:pPr>
        <w:pStyle w:val="Prrafodelista"/>
        <w:tabs>
          <w:tab w:val="left" w:pos="284"/>
        </w:tabs>
        <w:ind w:left="851" w:right="49"/>
        <w:contextualSpacing/>
        <w:jc w:val="both"/>
        <w:rPr>
          <w:sz w:val="20"/>
          <w:szCs w:val="20"/>
          <w:lang w:val="es-ES_tradnl" w:eastAsia="es-ES"/>
        </w:rPr>
      </w:pPr>
    </w:p>
    <w:p w14:paraId="5B36FE0A" w14:textId="77777777" w:rsidR="002F7F2A" w:rsidRPr="00110E8B" w:rsidRDefault="002F7F2A" w:rsidP="002F7F2A">
      <w:pPr>
        <w:numPr>
          <w:ilvl w:val="0"/>
          <w:numId w:val="19"/>
        </w:numPr>
        <w:tabs>
          <w:tab w:val="left" w:pos="284"/>
        </w:tabs>
        <w:ind w:left="851" w:right="49" w:firstLine="0"/>
        <w:contextualSpacing/>
        <w:jc w:val="both"/>
        <w:rPr>
          <w:rFonts w:ascii="Times New Roman" w:hAnsi="Times New Roman"/>
          <w:color w:val="3333FF"/>
          <w:sz w:val="20"/>
          <w:lang w:val="es-ES_tradnl" w:eastAsia="en-US"/>
        </w:rPr>
      </w:pPr>
      <w:r w:rsidRPr="00110E8B">
        <w:rPr>
          <w:rFonts w:ascii="Times New Roman" w:hAnsi="Times New Roman"/>
          <w:b/>
          <w:sz w:val="20"/>
          <w:lang w:val="es-ES_tradnl" w:eastAsia="en-US"/>
        </w:rPr>
        <w:t xml:space="preserve">“BBVA Banco Francés S.A. s/ infracción a la Ley 19.359". </w:t>
      </w:r>
      <w:r w:rsidRPr="00110E8B">
        <w:rPr>
          <w:rFonts w:ascii="Times New Roman" w:hAnsi="Times New Roman"/>
          <w:sz w:val="20"/>
          <w:lang w:val="es-ES_tradnl" w:eastAsia="en-US"/>
        </w:rPr>
        <w:t xml:space="preserve">Sumario penal cambiario instruido por el B.C.R.A. notificado con fecha 26 de julio de 2013 e identificado bajo el N° 5406, expediente N° 100.443/12 en el que las imputaciones se centran en operaciones de cambio simuladas, mediante falsas declaraciones en su tramitación, incurridas por personal de la sucursal 087 - Salta -, que implicaría el incumplimiento del requisito de identificación de los clientes exigido por la normativa cambiaria a través de la Comunicación “A” 3471, punto 6. Los sumariados son </w:t>
      </w:r>
      <w:r w:rsidRPr="00110E8B">
        <w:rPr>
          <w:rFonts w:ascii="Times New Roman" w:hAnsi="Times New Roman"/>
          <w:color w:val="000000"/>
          <w:sz w:val="20"/>
          <w:lang w:eastAsia="en-US"/>
        </w:rPr>
        <w:t>Banco BBVA Argentina S.A.</w:t>
      </w:r>
      <w:r w:rsidRPr="00110E8B">
        <w:rPr>
          <w:rFonts w:ascii="Times New Roman" w:hAnsi="Times New Roman"/>
          <w:sz w:val="20"/>
          <w:lang w:val="es-ES_tradnl" w:eastAsia="en-US"/>
        </w:rPr>
        <w:t xml:space="preserve"> </w:t>
      </w:r>
      <w:r w:rsidRPr="00110E8B">
        <w:rPr>
          <w:rFonts w:ascii="Times New Roman" w:hAnsi="Times New Roman"/>
          <w:sz w:val="20"/>
          <w:lang w:val="es-ES" w:eastAsia="en-US"/>
        </w:rPr>
        <w:t xml:space="preserve">y los siguientes </w:t>
      </w:r>
      <w:r w:rsidRPr="00110E8B">
        <w:rPr>
          <w:rFonts w:ascii="Times New Roman" w:hAnsi="Times New Roman"/>
          <w:sz w:val="20"/>
          <w:lang w:val="es-ES" w:eastAsia="en-US"/>
        </w:rPr>
        <w:lastRenderedPageBreak/>
        <w:t>funcionarios de la Entidad que desempeñaban los cargos descriptos a continuación a la fecha de los hechos imputados: (i) el</w:t>
      </w:r>
      <w:r w:rsidRPr="00110E8B">
        <w:rPr>
          <w:rFonts w:ascii="Times New Roman" w:hAnsi="Times New Roman"/>
          <w:sz w:val="20"/>
          <w:lang w:val="es-ES_tradnl" w:eastAsia="en-US"/>
        </w:rPr>
        <w:t xml:space="preserve"> Gerente de Sucursal, (ii) el Jefe de Gestión Administrativa, (iii) el Cajero Principal y (iv) dos cajeros. Se cerró el período de prueba y el B.C.R.A. deberá remitir el expediente al Juzgado Federal de Salta. A la fecha no se ha remitido el expediente a la sede judicial.</w:t>
      </w:r>
    </w:p>
    <w:p w14:paraId="67BCAFE1" w14:textId="77777777" w:rsidR="002F7F2A" w:rsidRPr="00110E8B" w:rsidRDefault="002F7F2A" w:rsidP="002F7F2A">
      <w:pPr>
        <w:tabs>
          <w:tab w:val="left" w:pos="284"/>
        </w:tabs>
        <w:ind w:left="851" w:right="49"/>
        <w:contextualSpacing/>
        <w:jc w:val="both"/>
        <w:rPr>
          <w:rFonts w:ascii="Times New Roman" w:hAnsi="Times New Roman"/>
          <w:sz w:val="20"/>
          <w:lang w:val="es-ES_tradnl"/>
        </w:rPr>
      </w:pPr>
    </w:p>
    <w:p w14:paraId="4CB43A4E" w14:textId="77777777" w:rsidR="002F7F2A" w:rsidRPr="00110E8B" w:rsidRDefault="002F7F2A" w:rsidP="002F7F2A">
      <w:pPr>
        <w:numPr>
          <w:ilvl w:val="0"/>
          <w:numId w:val="19"/>
        </w:numPr>
        <w:tabs>
          <w:tab w:val="left" w:pos="284"/>
        </w:tabs>
        <w:ind w:left="851" w:right="49" w:firstLine="0"/>
        <w:contextualSpacing/>
        <w:jc w:val="both"/>
        <w:rPr>
          <w:rFonts w:ascii="Times New Roman" w:hAnsi="Times New Roman"/>
          <w:sz w:val="20"/>
          <w:lang w:val="es-ES_tradnl" w:eastAsia="en-US"/>
        </w:rPr>
      </w:pPr>
      <w:r w:rsidRPr="00110E8B">
        <w:rPr>
          <w:rFonts w:ascii="Times New Roman" w:hAnsi="Times New Roman"/>
          <w:b/>
          <w:sz w:val="20"/>
          <w:lang w:val="es-ES_tradnl" w:eastAsia="en-US"/>
        </w:rPr>
        <w:t xml:space="preserve">“BBVA Banco Francés S.A. s/ infracción a la Ley 19.359". </w:t>
      </w:r>
      <w:r w:rsidRPr="00110E8B">
        <w:rPr>
          <w:rFonts w:ascii="Times New Roman" w:hAnsi="Times New Roman"/>
          <w:sz w:val="20"/>
          <w:lang w:val="es-ES_tradnl" w:eastAsia="en-US"/>
        </w:rPr>
        <w:t xml:space="preserve">Sumario penal cambiario instruido por el B.C.R.A. notificado con fecha 23 de diciembre de 2015 e identificado bajo el N° 6684, expediente N° 100.068/13. La imputación consiste en haber presuntamente cursado operaciones bajo código 631 “Servicios empresariales profesionales y técnicos” de la firma ROCA ARGENTINA S.A. contrarios a la normativa cambiaria aplicable, incumpliendo las Comunicaciones “A” 3471, “A” 3826 y “A” 5264 en atención a haberse acreditado en forma incompleta la prestación de los servicios. Los sumariados son </w:t>
      </w:r>
      <w:r w:rsidRPr="00110E8B">
        <w:rPr>
          <w:rFonts w:ascii="Times New Roman" w:hAnsi="Times New Roman"/>
          <w:color w:val="000000"/>
          <w:sz w:val="20"/>
          <w:lang w:eastAsia="en-US"/>
        </w:rPr>
        <w:t>Banco BBVA Argentina S.A.</w:t>
      </w:r>
      <w:r w:rsidRPr="00110E8B">
        <w:rPr>
          <w:rFonts w:ascii="Times New Roman" w:hAnsi="Times New Roman"/>
          <w:sz w:val="20"/>
          <w:lang w:val="es-ES_tradnl" w:eastAsia="en-US"/>
        </w:rPr>
        <w:t xml:space="preserve"> y dos funcionarios de la Entidad que desempeñaban los cargos descriptos a continuación a la fecha de los hechos imputados: (i) el Gerente de Comercio Exterior y (ii) un funcionario del Área. El B.C.R.A. ha declarado la clausura del período de prueba. La causa tramita ante el Juzgado Federal Nro. 2, de Lomas de Zamora, Provincia de Buenos Aires, Secretaría Penal, y lleva el Nro. 39.130/2017. Con fecha 26 de octubre de 2017, la Entidad efectuó una presentación requiriendo la aplicación retroactiva de la ley penal más benigna, ya que con la Comunicación “A” 5264, conocida como de “levantamiento del cepo cambiario”, se liberó el pago de servicios al extranjero.</w:t>
      </w:r>
    </w:p>
    <w:p w14:paraId="392DADEF" w14:textId="77777777" w:rsidR="002F7F2A" w:rsidRDefault="002F7F2A" w:rsidP="002F7F2A">
      <w:pPr>
        <w:ind w:left="851" w:right="49"/>
        <w:jc w:val="both"/>
        <w:rPr>
          <w:rFonts w:ascii="Times New Roman" w:hAnsi="Times New Roman"/>
          <w:sz w:val="20"/>
        </w:rPr>
      </w:pPr>
    </w:p>
    <w:p w14:paraId="28767D5F" w14:textId="77777777" w:rsidR="002F7F2A" w:rsidRDefault="002F7F2A" w:rsidP="002F7F2A">
      <w:pPr>
        <w:numPr>
          <w:ilvl w:val="0"/>
          <w:numId w:val="19"/>
        </w:numPr>
        <w:tabs>
          <w:tab w:val="left" w:pos="284"/>
        </w:tabs>
        <w:ind w:left="851" w:right="49" w:firstLine="0"/>
        <w:contextualSpacing/>
        <w:jc w:val="both"/>
        <w:rPr>
          <w:rFonts w:ascii="Times New Roman" w:hAnsi="Times New Roman"/>
          <w:sz w:val="20"/>
          <w:lang w:val="es-ES_tradnl" w:eastAsia="en-US"/>
        </w:rPr>
      </w:pPr>
      <w:r w:rsidRPr="007653C5">
        <w:rPr>
          <w:rFonts w:ascii="Times New Roman" w:hAnsi="Times New Roman"/>
          <w:b/>
          <w:sz w:val="20"/>
          <w:lang w:val="es-ES_tradnl" w:eastAsia="en-US"/>
        </w:rPr>
        <w:t xml:space="preserve">“BBVA Banco Francés S.A. s/ infracción a la Ley 19.359". </w:t>
      </w:r>
      <w:r w:rsidRPr="007653C5">
        <w:rPr>
          <w:rFonts w:ascii="Times New Roman" w:hAnsi="Times New Roman"/>
          <w:sz w:val="20"/>
          <w:lang w:val="es-ES_tradnl" w:eastAsia="en-US"/>
        </w:rPr>
        <w:t>Sumario penal cambiario instruido por el B.C.R</w:t>
      </w:r>
      <w:r>
        <w:rPr>
          <w:rFonts w:ascii="Times New Roman" w:hAnsi="Times New Roman"/>
          <w:sz w:val="20"/>
          <w:lang w:val="es-ES_tradnl" w:eastAsia="en-US"/>
        </w:rPr>
        <w:t>.A. notificado con fecha 15 de m</w:t>
      </w:r>
      <w:r w:rsidRPr="007653C5">
        <w:rPr>
          <w:rFonts w:ascii="Times New Roman" w:hAnsi="Times New Roman"/>
          <w:sz w:val="20"/>
          <w:lang w:val="es-ES_tradnl" w:eastAsia="en-US"/>
        </w:rPr>
        <w:t xml:space="preserve">arzo de 2021 e identificado bajo el N° 7545, expediente N° </w:t>
      </w:r>
      <w:r w:rsidRPr="007653C5">
        <w:rPr>
          <w:rFonts w:ascii="Times New Roman" w:hAnsi="Times New Roman"/>
          <w:sz w:val="20"/>
        </w:rPr>
        <w:t>381/22/21</w:t>
      </w:r>
      <w:r w:rsidRPr="007653C5">
        <w:rPr>
          <w:rFonts w:ascii="Times New Roman" w:hAnsi="Times New Roman"/>
          <w:sz w:val="20"/>
          <w:lang w:val="es-ES_tradnl" w:eastAsia="en-US"/>
        </w:rPr>
        <w:t xml:space="preserve">. La imputación consiste en el </w:t>
      </w:r>
      <w:r w:rsidRPr="007653C5">
        <w:rPr>
          <w:rFonts w:ascii="Times New Roman" w:hAnsi="Times New Roman"/>
          <w:sz w:val="20"/>
        </w:rPr>
        <w:t>supuesto incumplimiento de la Comunicación “A” 6770</w:t>
      </w:r>
      <w:r w:rsidRPr="007653C5">
        <w:rPr>
          <w:rFonts w:ascii="Times New Roman" w:hAnsi="Times New Roman"/>
          <w:sz w:val="20"/>
          <w:lang w:eastAsia="en-US"/>
        </w:rPr>
        <w:t xml:space="preserve">, correspondiente a </w:t>
      </w:r>
      <w:r w:rsidRPr="007653C5">
        <w:rPr>
          <w:rFonts w:ascii="Times New Roman" w:hAnsi="Times New Roman"/>
          <w:sz w:val="20"/>
        </w:rPr>
        <w:t>operaciones realizadas por la firma MULTIPOINT S.A. y TELECENTRO S.A. (i) Multipoint S.A. cuestiona operaciones por un total de U$</w:t>
      </w:r>
      <w:r>
        <w:rPr>
          <w:rFonts w:ascii="Times New Roman" w:hAnsi="Times New Roman"/>
          <w:sz w:val="20"/>
        </w:rPr>
        <w:t>S</w:t>
      </w:r>
      <w:r w:rsidRPr="007653C5">
        <w:rPr>
          <w:rFonts w:ascii="Times New Roman" w:hAnsi="Times New Roman"/>
          <w:sz w:val="20"/>
        </w:rPr>
        <w:t xml:space="preserve"> 800.000, imputando supuesto incumplimiento de la Comunicación “A” 6770 punto 11, al dar curso a tres operaciones de cambio bajo el código de concepto P8 (Otros préstamos financieros) con el objeto de precancelar préstamo financiero provenientes de un mutuo celebrado el </w:t>
      </w:r>
      <w:r>
        <w:rPr>
          <w:rFonts w:ascii="Times New Roman" w:hAnsi="Times New Roman"/>
          <w:sz w:val="20"/>
        </w:rPr>
        <w:t>5 de abril de 2019</w:t>
      </w:r>
      <w:r w:rsidRPr="007653C5">
        <w:rPr>
          <w:rFonts w:ascii="Times New Roman" w:hAnsi="Times New Roman"/>
          <w:sz w:val="20"/>
        </w:rPr>
        <w:t xml:space="preserve"> cuyo vencimiento original operaba el </w:t>
      </w:r>
      <w:r>
        <w:rPr>
          <w:rFonts w:ascii="Times New Roman" w:hAnsi="Times New Roman"/>
          <w:sz w:val="20"/>
        </w:rPr>
        <w:t>5 de abril de 2021</w:t>
      </w:r>
      <w:r w:rsidRPr="007653C5">
        <w:rPr>
          <w:rFonts w:ascii="Times New Roman" w:hAnsi="Times New Roman"/>
          <w:sz w:val="20"/>
        </w:rPr>
        <w:t>. El mismo estaba integrado por una adenda suscripta el 18</w:t>
      </w:r>
      <w:r>
        <w:rPr>
          <w:rFonts w:ascii="Times New Roman" w:hAnsi="Times New Roman"/>
          <w:sz w:val="20"/>
        </w:rPr>
        <w:t xml:space="preserve"> de octubre de 2019</w:t>
      </w:r>
      <w:r w:rsidRPr="007653C5">
        <w:rPr>
          <w:rFonts w:ascii="Times New Roman" w:hAnsi="Times New Roman"/>
          <w:sz w:val="20"/>
        </w:rPr>
        <w:t xml:space="preserve"> modificatoria de la cláusula tercera del contrato de mutuo antes mencionado y que fijaba fecha de pago del capital el día 18</w:t>
      </w:r>
      <w:r>
        <w:rPr>
          <w:rFonts w:ascii="Times New Roman" w:hAnsi="Times New Roman"/>
          <w:sz w:val="20"/>
        </w:rPr>
        <w:t xml:space="preserve"> de octubre de 2019</w:t>
      </w:r>
      <w:r w:rsidRPr="007653C5">
        <w:rPr>
          <w:rFonts w:ascii="Times New Roman" w:hAnsi="Times New Roman"/>
          <w:sz w:val="20"/>
        </w:rPr>
        <w:t>. Al entender del B.C.R.A. se estaría realizando una cancelación anticipada incumpliendo la norma indicada. (ii) TELECENTRO S.A. cuestiona una operación por la suma de U$</w:t>
      </w:r>
      <w:r>
        <w:rPr>
          <w:rFonts w:ascii="Times New Roman" w:hAnsi="Times New Roman"/>
          <w:sz w:val="20"/>
        </w:rPr>
        <w:t>S</w:t>
      </w:r>
      <w:r w:rsidRPr="007653C5">
        <w:rPr>
          <w:rFonts w:ascii="Times New Roman" w:hAnsi="Times New Roman"/>
          <w:sz w:val="20"/>
        </w:rPr>
        <w:t xml:space="preserve"> 185.724, imputando supuesto incumplimiento de la Comunicación “A” 6770 punto 12, al dar curso a una operación bajo el código de concepto B07 (pagos vista de importaciones de bienes) la cual pre cancelaba con fecha 24</w:t>
      </w:r>
      <w:r>
        <w:rPr>
          <w:rFonts w:ascii="Times New Roman" w:hAnsi="Times New Roman"/>
          <w:sz w:val="20"/>
        </w:rPr>
        <w:t xml:space="preserve"> de octubre de 2</w:t>
      </w:r>
      <w:r w:rsidRPr="007653C5">
        <w:rPr>
          <w:rFonts w:ascii="Times New Roman" w:hAnsi="Times New Roman"/>
          <w:sz w:val="20"/>
        </w:rPr>
        <w:t>019 deuda comercial obrante en de dos facturas que tenían fecha de pago el día 29</w:t>
      </w:r>
      <w:r>
        <w:rPr>
          <w:rFonts w:ascii="Times New Roman" w:hAnsi="Times New Roman"/>
          <w:sz w:val="20"/>
        </w:rPr>
        <w:t xml:space="preserve"> de octubre de </w:t>
      </w:r>
      <w:r w:rsidRPr="007653C5">
        <w:rPr>
          <w:rFonts w:ascii="Times New Roman" w:hAnsi="Times New Roman"/>
          <w:sz w:val="20"/>
        </w:rPr>
        <w:t>2019.</w:t>
      </w:r>
      <w:r w:rsidRPr="007653C5">
        <w:rPr>
          <w:rFonts w:ascii="Times New Roman" w:hAnsi="Times New Roman"/>
          <w:sz w:val="20"/>
          <w:lang w:val="es-ES_tradnl" w:eastAsia="en-US"/>
        </w:rPr>
        <w:t xml:space="preserve"> Los sumariados son </w:t>
      </w:r>
      <w:r w:rsidRPr="007653C5">
        <w:rPr>
          <w:rFonts w:ascii="Times New Roman" w:hAnsi="Times New Roman"/>
          <w:sz w:val="20"/>
          <w:lang w:eastAsia="en-US"/>
        </w:rPr>
        <w:t>Banco BBVA Argentina S.A.</w:t>
      </w:r>
      <w:r w:rsidRPr="007653C5">
        <w:rPr>
          <w:rFonts w:ascii="Times New Roman" w:hAnsi="Times New Roman"/>
          <w:sz w:val="20"/>
          <w:lang w:val="es-ES_tradnl" w:eastAsia="en-US"/>
        </w:rPr>
        <w:t xml:space="preserve"> y dos funcionarios de la Entidad que desempeñaban los cargos descriptos a continuación a la fecha de los hechos imputados: (i) el Gerente de Comercio Exterior y (ii) un funcionario del Área.</w:t>
      </w:r>
      <w:r>
        <w:rPr>
          <w:rFonts w:ascii="Times New Roman" w:hAnsi="Times New Roman"/>
          <w:sz w:val="20"/>
          <w:lang w:val="es-ES_tradnl" w:eastAsia="en-US"/>
        </w:rPr>
        <w:t xml:space="preserve"> </w:t>
      </w:r>
      <w:r w:rsidRPr="007653C5">
        <w:rPr>
          <w:rFonts w:ascii="Times New Roman" w:hAnsi="Times New Roman"/>
          <w:sz w:val="20"/>
          <w:lang w:val="es-ES_tradnl" w:eastAsia="en-US"/>
        </w:rPr>
        <w:t>Se asumió la defensa de los imputados y se está trabajando en la presentación de descargos.</w:t>
      </w:r>
    </w:p>
    <w:p w14:paraId="64B46D4B" w14:textId="77777777" w:rsidR="002F7F2A" w:rsidRDefault="002F7F2A" w:rsidP="002F7F2A">
      <w:pPr>
        <w:tabs>
          <w:tab w:val="left" w:pos="284"/>
        </w:tabs>
        <w:ind w:left="851" w:right="49"/>
        <w:contextualSpacing/>
        <w:jc w:val="both"/>
        <w:rPr>
          <w:rFonts w:ascii="Times New Roman" w:hAnsi="Times New Roman"/>
          <w:sz w:val="20"/>
          <w:lang w:val="es-ES_tradnl" w:eastAsia="en-US"/>
        </w:rPr>
      </w:pPr>
    </w:p>
    <w:p w14:paraId="78D1B088" w14:textId="07E5F607" w:rsidR="002F7F2A" w:rsidRPr="00CF2C73" w:rsidRDefault="002F7F2A" w:rsidP="002F7F2A">
      <w:pPr>
        <w:pStyle w:val="Prrafodelista"/>
        <w:numPr>
          <w:ilvl w:val="0"/>
          <w:numId w:val="19"/>
        </w:numPr>
        <w:tabs>
          <w:tab w:val="left" w:pos="284"/>
        </w:tabs>
        <w:ind w:left="851" w:right="49" w:firstLine="0"/>
        <w:contextualSpacing/>
        <w:jc w:val="both"/>
        <w:rPr>
          <w:sz w:val="20"/>
          <w:lang w:val="es-ES_tradnl"/>
        </w:rPr>
      </w:pPr>
      <w:r w:rsidRPr="00CF2C73">
        <w:rPr>
          <w:b/>
          <w:sz w:val="20"/>
          <w:szCs w:val="20"/>
          <w:lang w:val="es-ES_tradnl"/>
        </w:rPr>
        <w:t>Banco BBVA ARGENTINA S.A. Sumario financiero instruido por el B.C.R.A.</w:t>
      </w:r>
      <w:r w:rsidRPr="00CF2C73">
        <w:rPr>
          <w:sz w:val="20"/>
          <w:szCs w:val="20"/>
          <w:lang w:val="es-ES_tradnl"/>
        </w:rPr>
        <w:t xml:space="preserve"> Notificado con fecha 24 de junio de 2021 e identificado bajo el N° 1587, expediente N° 188/55/21. La imputación consiste en el presunto incumplimiento del Pto. 7.2 de la Comunicación "A" 6981 al asistir (sin previa conformidad del B.C.R.A.) a la empresa Cargill S.A. mediante un descubierto en cuenta corriente por $ 167 millones desde el 29 de abril de 2020 hasta el 3 de mayo de 2020, dado que al tener cauciones tomadas al 22 de abril de 2020 debió haber esperado 90 días corridos de no realización de operaciones de pases y/o cauciones bursátiles, antes de ser asistida. Asimismo durante los meses de mayo y junio de 2020, la firma Cargill presentó saldos acreedores en su cuenta corriente, los cuales eran generalmente cubiertos al finalizar la </w:t>
      </w:r>
      <w:r w:rsidRPr="00CF2C73">
        <w:rPr>
          <w:sz w:val="20"/>
          <w:szCs w:val="20"/>
          <w:lang w:val="es-ES_tradnl"/>
        </w:rPr>
        <w:lastRenderedPageBreak/>
        <w:t>jornada. En este sentido, cabe señalar que Banco BBVA Argentina S.A. infringió el punto 7.2 de TO de las normas sobre "Política de Crédito" el cual incluye taxativamente la restricción al otorgamiento de las asistencias intradiarias (dentro del mismo día). Están sumariados Banco BBVA Argentina S.A. (30-50000319-3); María Isabel G</w:t>
      </w:r>
      <w:r>
        <w:rPr>
          <w:sz w:val="20"/>
          <w:szCs w:val="20"/>
          <w:lang w:val="es-ES_tradnl"/>
        </w:rPr>
        <w:t>oiri</w:t>
      </w:r>
      <w:r w:rsidRPr="00CF2C73">
        <w:rPr>
          <w:sz w:val="20"/>
          <w:szCs w:val="20"/>
          <w:lang w:val="es-ES_tradnl"/>
        </w:rPr>
        <w:t xml:space="preserve"> L</w:t>
      </w:r>
      <w:r>
        <w:rPr>
          <w:sz w:val="20"/>
          <w:szCs w:val="20"/>
          <w:lang w:val="es-ES_tradnl"/>
        </w:rPr>
        <w:t>artitegui</w:t>
      </w:r>
      <w:r w:rsidRPr="00CF2C73">
        <w:rPr>
          <w:sz w:val="20"/>
          <w:szCs w:val="20"/>
          <w:lang w:val="es-ES_tradnl"/>
        </w:rPr>
        <w:t>; Jorge Delfín Luna; Alfredo Castillo Triguero; Juan Manuel Ballesteros Castellano; Oscar Miguel Castro; Gabriel Eugenio Milstein; Adriana María Fernandez De Melero; José Santiago Fornieles; Darío Javier Be</w:t>
      </w:r>
      <w:r w:rsidR="00760717">
        <w:rPr>
          <w:sz w:val="20"/>
          <w:szCs w:val="20"/>
          <w:lang w:val="es-ES_tradnl"/>
        </w:rPr>
        <w:t>rkman; Carlos Eduardo Elizalde y</w:t>
      </w:r>
      <w:r w:rsidRPr="00CF2C73">
        <w:rPr>
          <w:sz w:val="20"/>
          <w:szCs w:val="20"/>
          <w:lang w:val="es-ES_tradnl"/>
        </w:rPr>
        <w:t xml:space="preserve"> Nicolás Herbert Bohtligk.</w:t>
      </w:r>
      <w:r>
        <w:rPr>
          <w:sz w:val="20"/>
          <w:szCs w:val="20"/>
          <w:lang w:val="es-ES_tradnl"/>
        </w:rPr>
        <w:t xml:space="preserve"> Se presentaron descargos con fecha 4 de agosto de 2021.</w:t>
      </w:r>
    </w:p>
    <w:p w14:paraId="1F6E4CE4" w14:textId="77777777" w:rsidR="002F7F2A" w:rsidRPr="002773C2" w:rsidRDefault="002F7F2A" w:rsidP="002F7F2A">
      <w:pPr>
        <w:ind w:left="851" w:right="49"/>
        <w:jc w:val="both"/>
        <w:rPr>
          <w:rFonts w:ascii="Times New Roman" w:hAnsi="Times New Roman"/>
          <w:sz w:val="20"/>
          <w:lang w:val="es-ES_tradnl"/>
        </w:rPr>
      </w:pPr>
    </w:p>
    <w:p w14:paraId="6588877D" w14:textId="77777777" w:rsidR="002F7F2A" w:rsidRDefault="002F7F2A" w:rsidP="002F7F2A">
      <w:pPr>
        <w:ind w:left="851" w:right="49"/>
        <w:jc w:val="both"/>
        <w:rPr>
          <w:rFonts w:ascii="Times New Roman" w:hAnsi="Times New Roman"/>
          <w:sz w:val="20"/>
        </w:rPr>
      </w:pPr>
      <w:r w:rsidRPr="00110E8B">
        <w:rPr>
          <w:rFonts w:ascii="Times New Roman" w:hAnsi="Times New Roman"/>
          <w:sz w:val="20"/>
        </w:rPr>
        <w:t>El Grupo y sus asesores legales estiman que se efectuó una razonable interpretación de la normativa vigente aplicable y no esperan efectos patrimoniales adversos en estos sentidos.</w:t>
      </w:r>
    </w:p>
    <w:p w14:paraId="7C1F3960" w14:textId="77777777" w:rsidR="002F7F2A" w:rsidRPr="002F7F2A" w:rsidRDefault="002F7F2A" w:rsidP="001707FA">
      <w:pPr>
        <w:ind w:left="851" w:right="49"/>
        <w:jc w:val="both"/>
        <w:rPr>
          <w:rFonts w:ascii="Times New Roman" w:hAnsi="Times New Roman"/>
          <w:b/>
          <w:sz w:val="20"/>
          <w:highlight w:val="yellow"/>
        </w:rPr>
      </w:pPr>
    </w:p>
    <w:p w14:paraId="54E91F58" w14:textId="77777777" w:rsidR="002F7F2A" w:rsidRDefault="002F7F2A" w:rsidP="001707FA">
      <w:pPr>
        <w:ind w:left="851" w:right="49"/>
        <w:jc w:val="both"/>
        <w:rPr>
          <w:rFonts w:ascii="Times New Roman" w:hAnsi="Times New Roman"/>
          <w:b/>
          <w:sz w:val="20"/>
          <w:highlight w:val="yellow"/>
          <w:lang w:val="es-ES"/>
        </w:rPr>
      </w:pPr>
    </w:p>
    <w:p w14:paraId="56458956" w14:textId="77777777" w:rsidR="002904F2" w:rsidRPr="00110E8B" w:rsidRDefault="002904F2" w:rsidP="001707FA">
      <w:pPr>
        <w:ind w:left="851" w:right="49"/>
        <w:jc w:val="both"/>
        <w:rPr>
          <w:rFonts w:ascii="Times New Roman" w:hAnsi="Times New Roman"/>
          <w:sz w:val="20"/>
        </w:rPr>
      </w:pPr>
    </w:p>
    <w:p w14:paraId="5515BC28" w14:textId="5C785B5C" w:rsidR="00E615F2" w:rsidRPr="0001522E" w:rsidRDefault="00E615F2" w:rsidP="00E615F2">
      <w:pPr>
        <w:pStyle w:val="Prrafodelista"/>
        <w:numPr>
          <w:ilvl w:val="0"/>
          <w:numId w:val="11"/>
        </w:numPr>
        <w:autoSpaceDE w:val="0"/>
        <w:autoSpaceDN w:val="0"/>
        <w:adjustRightInd w:val="0"/>
        <w:spacing w:after="120"/>
        <w:ind w:left="851" w:hanging="425"/>
        <w:jc w:val="both"/>
        <w:rPr>
          <w:b/>
          <w:sz w:val="20"/>
          <w:szCs w:val="20"/>
          <w:lang w:val="es-AR" w:eastAsia="es-ES"/>
        </w:rPr>
      </w:pPr>
      <w:r w:rsidRPr="0001522E">
        <w:rPr>
          <w:b/>
          <w:sz w:val="20"/>
          <w:szCs w:val="20"/>
          <w:lang w:val="es-AR"/>
        </w:rPr>
        <w:t>Registros contables</w:t>
      </w:r>
    </w:p>
    <w:p w14:paraId="193F619C" w14:textId="01843E9A" w:rsidR="00E615F2" w:rsidRPr="00110E8B" w:rsidRDefault="005F11DB" w:rsidP="00E615F2">
      <w:pPr>
        <w:ind w:left="851"/>
        <w:jc w:val="both"/>
        <w:rPr>
          <w:rFonts w:ascii="Times New Roman" w:hAnsi="Times New Roman"/>
          <w:color w:val="000000"/>
          <w:sz w:val="20"/>
          <w:lang w:eastAsia="es-AR"/>
        </w:rPr>
      </w:pPr>
      <w:r w:rsidRPr="0001522E">
        <w:rPr>
          <w:rFonts w:ascii="Times New Roman" w:hAnsi="Times New Roman"/>
          <w:color w:val="000000"/>
          <w:sz w:val="20"/>
          <w:lang w:eastAsia="es-AR"/>
        </w:rPr>
        <w:t>A la fecha de emisión de los presentes estados financieros consolidados</w:t>
      </w:r>
      <w:r w:rsidR="00971CD9" w:rsidRPr="0001522E">
        <w:rPr>
          <w:rFonts w:ascii="Times New Roman" w:hAnsi="Times New Roman"/>
          <w:color w:val="000000"/>
          <w:sz w:val="20"/>
          <w:lang w:eastAsia="es-AR"/>
        </w:rPr>
        <w:t xml:space="preserve"> </w:t>
      </w:r>
      <w:r w:rsidR="009B437F" w:rsidRPr="0001522E">
        <w:rPr>
          <w:rFonts w:ascii="Times New Roman" w:hAnsi="Times New Roman"/>
          <w:color w:val="000000"/>
          <w:sz w:val="20"/>
          <w:lang w:eastAsia="es-AR"/>
        </w:rPr>
        <w:t>y como resultado</w:t>
      </w:r>
      <w:r w:rsidRPr="0001522E">
        <w:rPr>
          <w:rFonts w:ascii="Times New Roman" w:hAnsi="Times New Roman"/>
          <w:color w:val="000000"/>
          <w:sz w:val="20"/>
          <w:lang w:eastAsia="es-AR"/>
        </w:rPr>
        <w:t xml:space="preserve"> de las sucesivas medidas restrictivas de aislamiento </w:t>
      </w:r>
      <w:r w:rsidR="005B2096" w:rsidRPr="0001522E">
        <w:rPr>
          <w:rFonts w:ascii="Times New Roman" w:hAnsi="Times New Roman"/>
          <w:color w:val="000000"/>
          <w:sz w:val="20"/>
          <w:lang w:eastAsia="es-AR"/>
        </w:rPr>
        <w:t xml:space="preserve">y distanciamiento </w:t>
      </w:r>
      <w:r w:rsidRPr="0001522E">
        <w:rPr>
          <w:rFonts w:ascii="Times New Roman" w:hAnsi="Times New Roman"/>
          <w:color w:val="000000"/>
          <w:sz w:val="20"/>
          <w:lang w:eastAsia="es-AR"/>
        </w:rPr>
        <w:t>social, preventivo y obligatorio, dictadas por el</w:t>
      </w:r>
      <w:r w:rsidRPr="00290C16">
        <w:rPr>
          <w:rFonts w:ascii="Times New Roman" w:hAnsi="Times New Roman"/>
          <w:color w:val="000000"/>
          <w:sz w:val="20"/>
          <w:lang w:eastAsia="es-AR"/>
        </w:rPr>
        <w:t xml:space="preserve"> Gobierno a partir del 19 de marzo de 2020 como consecuencia de la pandemia mundial desatada por el COVID-19 descriptas en la Nota 1.3., se </w:t>
      </w:r>
      <w:r w:rsidRPr="0001522E">
        <w:rPr>
          <w:rFonts w:ascii="Times New Roman" w:hAnsi="Times New Roman"/>
          <w:color w:val="000000"/>
          <w:sz w:val="20"/>
          <w:lang w:eastAsia="es-AR"/>
        </w:rPr>
        <w:t xml:space="preserve">encuentran pendientes de transcripción los presentes estados financieros </w:t>
      </w:r>
      <w:r w:rsidR="005B2096" w:rsidRPr="0001522E">
        <w:rPr>
          <w:rFonts w:ascii="Times New Roman" w:hAnsi="Times New Roman"/>
          <w:color w:val="000000"/>
          <w:sz w:val="20"/>
          <w:lang w:eastAsia="es-AR"/>
        </w:rPr>
        <w:t xml:space="preserve">intermedios </w:t>
      </w:r>
      <w:r w:rsidRPr="0001522E">
        <w:rPr>
          <w:rFonts w:ascii="Times New Roman" w:hAnsi="Times New Roman"/>
          <w:color w:val="000000"/>
          <w:sz w:val="20"/>
          <w:lang w:eastAsia="es-AR"/>
        </w:rPr>
        <w:t>consolidados</w:t>
      </w:r>
      <w:r w:rsidR="005B2096" w:rsidRPr="0001522E">
        <w:rPr>
          <w:rFonts w:ascii="Times New Roman" w:hAnsi="Times New Roman"/>
          <w:color w:val="000000"/>
          <w:sz w:val="20"/>
          <w:lang w:eastAsia="es-AR"/>
        </w:rPr>
        <w:t xml:space="preserve"> condensado</w:t>
      </w:r>
      <w:r w:rsidR="005B1B6A" w:rsidRPr="0001522E">
        <w:rPr>
          <w:rFonts w:ascii="Times New Roman" w:hAnsi="Times New Roman"/>
          <w:color w:val="000000"/>
          <w:sz w:val="20"/>
          <w:lang w:eastAsia="es-AR"/>
        </w:rPr>
        <w:t>s</w:t>
      </w:r>
      <w:r w:rsidRPr="0001522E">
        <w:rPr>
          <w:rFonts w:ascii="Times New Roman" w:hAnsi="Times New Roman"/>
          <w:color w:val="000000"/>
          <w:sz w:val="20"/>
          <w:lang w:eastAsia="es-AR"/>
        </w:rPr>
        <w:t xml:space="preserve"> en el libro Balances Generales de Publicación y</w:t>
      </w:r>
      <w:r w:rsidR="009B437F" w:rsidRPr="0001522E">
        <w:rPr>
          <w:rFonts w:ascii="Times New Roman" w:hAnsi="Times New Roman"/>
          <w:color w:val="000000"/>
          <w:sz w:val="20"/>
          <w:lang w:eastAsia="es-AR"/>
        </w:rPr>
        <w:t>,</w:t>
      </w:r>
      <w:r w:rsidRPr="0001522E">
        <w:rPr>
          <w:rFonts w:ascii="Times New Roman" w:hAnsi="Times New Roman"/>
          <w:color w:val="000000"/>
          <w:sz w:val="20"/>
          <w:lang w:eastAsia="es-AR"/>
        </w:rPr>
        <w:t xml:space="preserve"> en proceso de transcripción los asientos del Libro Diario de los meses de enero</w:t>
      </w:r>
      <w:r w:rsidR="001E3E8D" w:rsidRPr="0001522E">
        <w:rPr>
          <w:rFonts w:ascii="Times New Roman" w:hAnsi="Times New Roman"/>
          <w:color w:val="000000"/>
          <w:sz w:val="20"/>
          <w:lang w:eastAsia="es-AR"/>
        </w:rPr>
        <w:t xml:space="preserve"> a </w:t>
      </w:r>
      <w:r w:rsidR="00F862A5" w:rsidRPr="0001522E">
        <w:rPr>
          <w:rFonts w:ascii="Times New Roman" w:hAnsi="Times New Roman"/>
          <w:color w:val="000000"/>
          <w:sz w:val="20"/>
          <w:lang w:eastAsia="es-AR"/>
        </w:rPr>
        <w:t>diciembre</w:t>
      </w:r>
      <w:r w:rsidRPr="0001522E">
        <w:rPr>
          <w:rFonts w:ascii="Times New Roman" w:hAnsi="Times New Roman"/>
          <w:color w:val="000000"/>
          <w:sz w:val="20"/>
          <w:lang w:eastAsia="es-AR"/>
        </w:rPr>
        <w:t xml:space="preserve"> de 2020</w:t>
      </w:r>
      <w:r w:rsidR="00290C16" w:rsidRPr="0001522E">
        <w:rPr>
          <w:rFonts w:ascii="Times New Roman" w:hAnsi="Times New Roman"/>
          <w:color w:val="000000"/>
          <w:sz w:val="20"/>
          <w:lang w:eastAsia="es-AR"/>
        </w:rPr>
        <w:t xml:space="preserve"> y enero a </w:t>
      </w:r>
      <w:r w:rsidR="005A4775">
        <w:rPr>
          <w:rFonts w:ascii="Times New Roman" w:hAnsi="Times New Roman"/>
          <w:color w:val="000000"/>
          <w:sz w:val="20"/>
          <w:lang w:eastAsia="es-AR"/>
        </w:rPr>
        <w:t>septiembre</w:t>
      </w:r>
      <w:r w:rsidR="00290C16" w:rsidRPr="0001522E">
        <w:rPr>
          <w:rFonts w:ascii="Times New Roman" w:hAnsi="Times New Roman"/>
          <w:color w:val="000000"/>
          <w:sz w:val="20"/>
          <w:lang w:eastAsia="es-AR"/>
        </w:rPr>
        <w:t xml:space="preserve"> de 2021</w:t>
      </w:r>
      <w:r w:rsidRPr="0001522E">
        <w:rPr>
          <w:rFonts w:ascii="Times New Roman" w:hAnsi="Times New Roman"/>
          <w:color w:val="000000"/>
          <w:sz w:val="20"/>
          <w:lang w:eastAsia="es-AR"/>
        </w:rPr>
        <w:t>.</w:t>
      </w:r>
    </w:p>
    <w:p w14:paraId="08121849" w14:textId="77777777" w:rsidR="00F05D7F" w:rsidRDefault="00F05D7F" w:rsidP="00E615F2">
      <w:pPr>
        <w:ind w:left="851"/>
        <w:jc w:val="both"/>
        <w:rPr>
          <w:rFonts w:ascii="Times New Roman" w:hAnsi="Times New Roman"/>
          <w:color w:val="000000"/>
          <w:sz w:val="20"/>
          <w:lang w:eastAsia="es-AR"/>
        </w:rPr>
      </w:pPr>
    </w:p>
    <w:p w14:paraId="1C77C1DB" w14:textId="77777777" w:rsidR="00F27A33" w:rsidRDefault="00F27A33" w:rsidP="00E615F2">
      <w:pPr>
        <w:ind w:left="851"/>
        <w:jc w:val="both"/>
        <w:rPr>
          <w:rFonts w:ascii="Times New Roman" w:hAnsi="Times New Roman"/>
          <w:color w:val="000000"/>
          <w:sz w:val="20"/>
          <w:lang w:eastAsia="es-AR"/>
        </w:rPr>
      </w:pPr>
    </w:p>
    <w:p w14:paraId="39549FDD" w14:textId="77777777" w:rsidR="00F27A33" w:rsidRPr="00110E8B" w:rsidRDefault="00F27A33" w:rsidP="00E615F2">
      <w:pPr>
        <w:ind w:left="851"/>
        <w:jc w:val="both"/>
        <w:rPr>
          <w:rFonts w:ascii="Times New Roman" w:hAnsi="Times New Roman"/>
          <w:color w:val="000000"/>
          <w:sz w:val="20"/>
          <w:lang w:eastAsia="es-AR"/>
        </w:rPr>
      </w:pPr>
    </w:p>
    <w:p w14:paraId="7D1D4DAE" w14:textId="46B51732" w:rsidR="00E615F2" w:rsidRPr="00F47201" w:rsidRDefault="00E615F2" w:rsidP="00E615F2">
      <w:pPr>
        <w:pStyle w:val="Prrafodelista"/>
        <w:numPr>
          <w:ilvl w:val="0"/>
          <w:numId w:val="11"/>
        </w:numPr>
        <w:autoSpaceDE w:val="0"/>
        <w:autoSpaceDN w:val="0"/>
        <w:adjustRightInd w:val="0"/>
        <w:spacing w:after="120"/>
        <w:ind w:left="851" w:hanging="425"/>
        <w:jc w:val="both"/>
        <w:rPr>
          <w:b/>
          <w:sz w:val="20"/>
          <w:szCs w:val="20"/>
          <w:lang w:val="es-AR" w:eastAsia="es-ES"/>
        </w:rPr>
      </w:pPr>
      <w:r w:rsidRPr="00F47201">
        <w:rPr>
          <w:b/>
          <w:sz w:val="20"/>
          <w:szCs w:val="20"/>
          <w:lang w:val="es-AR"/>
        </w:rPr>
        <w:t xml:space="preserve">Hechos posteriores al cierre del </w:t>
      </w:r>
      <w:r w:rsidR="00B72836" w:rsidRPr="00F47201">
        <w:rPr>
          <w:b/>
          <w:sz w:val="20"/>
          <w:szCs w:val="20"/>
          <w:lang w:val="es-AR"/>
        </w:rPr>
        <w:t>perí</w:t>
      </w:r>
      <w:r w:rsidR="00764F2B" w:rsidRPr="00F47201">
        <w:rPr>
          <w:b/>
          <w:sz w:val="20"/>
          <w:szCs w:val="20"/>
          <w:lang w:val="es-AR"/>
        </w:rPr>
        <w:t>odo</w:t>
      </w:r>
    </w:p>
    <w:p w14:paraId="46B6FCB2" w14:textId="77777777" w:rsidR="009A0FBE" w:rsidRPr="00F47201" w:rsidRDefault="009A0FBE" w:rsidP="009A0FBE">
      <w:pPr>
        <w:ind w:left="851"/>
        <w:jc w:val="both"/>
        <w:rPr>
          <w:rFonts w:ascii="Times New Roman" w:hAnsi="Times New Roman"/>
          <w:color w:val="000000"/>
          <w:sz w:val="20"/>
          <w:lang w:eastAsia="es-AR"/>
        </w:rPr>
      </w:pPr>
    </w:p>
    <w:p w14:paraId="154D3F52" w14:textId="4F2A13B8" w:rsidR="0051245D" w:rsidRPr="00F47201" w:rsidRDefault="0051245D" w:rsidP="0051245D">
      <w:pPr>
        <w:ind w:left="851"/>
        <w:jc w:val="both"/>
        <w:rPr>
          <w:rFonts w:ascii="Times New Roman" w:hAnsi="Times New Roman"/>
          <w:color w:val="000000"/>
          <w:sz w:val="20"/>
          <w:u w:val="single"/>
          <w:lang w:eastAsia="es-AR"/>
        </w:rPr>
      </w:pPr>
      <w:r w:rsidRPr="00F47201">
        <w:rPr>
          <w:rFonts w:ascii="Times New Roman" w:hAnsi="Times New Roman"/>
          <w:color w:val="000000"/>
          <w:sz w:val="20"/>
          <w:u w:val="single"/>
          <w:lang w:eastAsia="es-AR"/>
        </w:rPr>
        <w:t>Asamblea General Extraordinaria del 3 de noviembre de 2021</w:t>
      </w:r>
    </w:p>
    <w:p w14:paraId="4F82F82B" w14:textId="77777777" w:rsidR="0051245D" w:rsidRPr="00F47201" w:rsidRDefault="0051245D" w:rsidP="0051245D">
      <w:pPr>
        <w:ind w:left="851"/>
        <w:jc w:val="both"/>
        <w:rPr>
          <w:rFonts w:ascii="Times New Roman" w:hAnsi="Times New Roman"/>
          <w:b/>
          <w:color w:val="000000"/>
          <w:sz w:val="20"/>
          <w:lang w:eastAsia="es-AR"/>
        </w:rPr>
      </w:pPr>
    </w:p>
    <w:p w14:paraId="4714AD9C" w14:textId="750BEB4A" w:rsidR="0051245D" w:rsidRPr="00397EED" w:rsidRDefault="0051245D" w:rsidP="008F2AD9">
      <w:pPr>
        <w:tabs>
          <w:tab w:val="left" w:pos="1233"/>
        </w:tabs>
        <w:ind w:left="851"/>
        <w:jc w:val="both"/>
        <w:rPr>
          <w:rFonts w:ascii="Times New Roman" w:hAnsi="Times New Roman"/>
          <w:color w:val="000000"/>
          <w:sz w:val="20"/>
          <w:lang w:eastAsia="es-AR"/>
        </w:rPr>
      </w:pPr>
      <w:r w:rsidRPr="00397EED">
        <w:rPr>
          <w:rFonts w:ascii="Times New Roman" w:hAnsi="Times New Roman"/>
          <w:color w:val="000000"/>
          <w:sz w:val="20"/>
          <w:lang w:eastAsia="es-AR"/>
        </w:rPr>
        <w:t>En la fecha mencionada se celebró la Asamblea General Extraordinaria de acci</w:t>
      </w:r>
      <w:r w:rsidR="008F2AD9" w:rsidRPr="00397EED">
        <w:rPr>
          <w:rFonts w:ascii="Times New Roman" w:hAnsi="Times New Roman"/>
          <w:color w:val="000000"/>
          <w:sz w:val="20"/>
          <w:lang w:eastAsia="es-AR"/>
        </w:rPr>
        <w:t>onistas en la que se decidió la d</w:t>
      </w:r>
      <w:r w:rsidRPr="00397EED">
        <w:rPr>
          <w:rFonts w:ascii="Times New Roman" w:hAnsi="Times New Roman"/>
          <w:color w:val="000000"/>
          <w:sz w:val="20"/>
          <w:lang w:eastAsia="es-AR"/>
        </w:rPr>
        <w:t xml:space="preserve">esafectación parcial de la reserva facultativa para futuras distribuciones de resultados en la suma de 6.500.000 y consideración de un dividendo complementario por igual importe, a fin de incrementar el monto del dividendo en efectivo aprobado por la Asamblea General Ordinaria y Extraordinaria del </w:t>
      </w:r>
      <w:r w:rsidR="00D55277" w:rsidRPr="00397EED">
        <w:rPr>
          <w:rFonts w:ascii="Times New Roman" w:hAnsi="Times New Roman"/>
          <w:color w:val="000000"/>
          <w:sz w:val="20"/>
          <w:lang w:eastAsia="es-AR"/>
        </w:rPr>
        <w:t>20 de abril d</w:t>
      </w:r>
      <w:r w:rsidRPr="00397EED">
        <w:rPr>
          <w:rFonts w:ascii="Times New Roman" w:hAnsi="Times New Roman"/>
          <w:color w:val="000000"/>
          <w:sz w:val="20"/>
          <w:lang w:eastAsia="es-AR"/>
        </w:rPr>
        <w:t>e 202</w:t>
      </w:r>
      <w:r w:rsidR="00D55277" w:rsidRPr="00397EED">
        <w:rPr>
          <w:rFonts w:ascii="Times New Roman" w:hAnsi="Times New Roman"/>
          <w:color w:val="000000"/>
          <w:sz w:val="20"/>
          <w:lang w:eastAsia="es-AR"/>
        </w:rPr>
        <w:t>1</w:t>
      </w:r>
      <w:r w:rsidRPr="00397EED">
        <w:rPr>
          <w:rFonts w:ascii="Times New Roman" w:hAnsi="Times New Roman"/>
          <w:color w:val="000000"/>
          <w:sz w:val="20"/>
          <w:lang w:eastAsia="es-AR"/>
        </w:rPr>
        <w:t xml:space="preserve"> de </w:t>
      </w:r>
      <w:r w:rsidR="00D55277" w:rsidRPr="00397EED">
        <w:rPr>
          <w:rFonts w:ascii="Times New Roman" w:hAnsi="Times New Roman"/>
          <w:color w:val="000000"/>
          <w:sz w:val="20"/>
          <w:lang w:eastAsia="es-AR"/>
        </w:rPr>
        <w:t>7.000</w:t>
      </w:r>
      <w:r w:rsidRPr="00397EED">
        <w:rPr>
          <w:rFonts w:ascii="Times New Roman" w:hAnsi="Times New Roman"/>
          <w:color w:val="000000"/>
          <w:sz w:val="20"/>
          <w:lang w:eastAsia="es-AR"/>
        </w:rPr>
        <w:t>.000, todo ello sujeto a la previa autorización del Banco Central de la República Argentina.</w:t>
      </w:r>
      <w:r w:rsidR="00D55277" w:rsidRPr="00397EED">
        <w:rPr>
          <w:rFonts w:ascii="Times New Roman" w:hAnsi="Times New Roman"/>
        </w:rPr>
        <w:t xml:space="preserve"> </w:t>
      </w:r>
      <w:r w:rsidR="00D55277" w:rsidRPr="00397EED">
        <w:rPr>
          <w:rFonts w:ascii="Times New Roman" w:hAnsi="Times New Roman"/>
          <w:color w:val="000000"/>
          <w:sz w:val="20"/>
          <w:lang w:eastAsia="es-AR"/>
        </w:rPr>
        <w:t>Asimismo, cabe mencionar que el B.C.R.A. dispuso la suspensión de la distribución de resultados de las entidades financieras hasta el 31 de diciembre de 2021.</w:t>
      </w:r>
    </w:p>
    <w:p w14:paraId="3D8AE754" w14:textId="77777777" w:rsidR="0051245D" w:rsidRPr="00397EED" w:rsidRDefault="0051245D" w:rsidP="00D55277">
      <w:pPr>
        <w:ind w:left="851"/>
        <w:jc w:val="both"/>
        <w:rPr>
          <w:rFonts w:ascii="Times New Roman" w:hAnsi="Times New Roman"/>
          <w:color w:val="000000"/>
          <w:sz w:val="20"/>
          <w:u w:val="single"/>
          <w:lang w:eastAsia="es-AR"/>
        </w:rPr>
      </w:pPr>
    </w:p>
    <w:p w14:paraId="56D030C4" w14:textId="77777777" w:rsidR="00F47201" w:rsidRPr="00397EED" w:rsidRDefault="00F47201" w:rsidP="00541C59">
      <w:pPr>
        <w:ind w:left="851"/>
        <w:jc w:val="both"/>
        <w:rPr>
          <w:rFonts w:ascii="Times New Roman" w:hAnsi="Times New Roman"/>
          <w:color w:val="000000"/>
          <w:sz w:val="20"/>
          <w:lang w:eastAsia="es-AR"/>
        </w:rPr>
      </w:pPr>
    </w:p>
    <w:p w14:paraId="4E2861BA" w14:textId="59BF1137" w:rsidR="004240EA" w:rsidRPr="00397EED" w:rsidRDefault="00153A3B" w:rsidP="00703583">
      <w:pPr>
        <w:ind w:left="851"/>
        <w:jc w:val="both"/>
        <w:rPr>
          <w:rFonts w:ascii="Times New Roman" w:hAnsi="Times New Roman"/>
          <w:color w:val="000000"/>
          <w:sz w:val="20"/>
          <w:u w:val="single"/>
          <w:lang w:eastAsia="es-AR"/>
        </w:rPr>
      </w:pPr>
      <w:r w:rsidRPr="00397EED">
        <w:rPr>
          <w:rFonts w:ascii="Times New Roman" w:hAnsi="Times New Roman"/>
          <w:color w:val="000000"/>
          <w:sz w:val="20"/>
          <w:u w:val="single"/>
          <w:lang w:eastAsia="es-AR"/>
        </w:rPr>
        <w:t>P</w:t>
      </w:r>
      <w:r w:rsidR="007952AA" w:rsidRPr="00397EED">
        <w:rPr>
          <w:rFonts w:ascii="Times New Roman" w:hAnsi="Times New Roman"/>
          <w:color w:val="000000"/>
          <w:sz w:val="20"/>
          <w:u w:val="single"/>
          <w:lang w:eastAsia="es-AR"/>
        </w:rPr>
        <w:t>risma Medios de Pago S.A. – Inicio del proceso para la transferencia de acciones</w:t>
      </w:r>
    </w:p>
    <w:p w14:paraId="618A6EEC" w14:textId="77777777" w:rsidR="00153A3B" w:rsidRPr="00397EED" w:rsidRDefault="00153A3B" w:rsidP="00703583">
      <w:pPr>
        <w:ind w:left="851"/>
        <w:jc w:val="both"/>
        <w:rPr>
          <w:rFonts w:ascii="Times New Roman" w:hAnsi="Times New Roman"/>
          <w:color w:val="000000"/>
          <w:sz w:val="20"/>
          <w:lang w:eastAsia="es-AR"/>
        </w:rPr>
      </w:pPr>
    </w:p>
    <w:p w14:paraId="728C21B4" w14:textId="49A2D485" w:rsidR="00153A3B" w:rsidRPr="00F47201" w:rsidRDefault="007952AA" w:rsidP="00153A3B">
      <w:pPr>
        <w:ind w:left="851"/>
        <w:jc w:val="both"/>
        <w:rPr>
          <w:rFonts w:ascii="Times New Roman" w:hAnsi="Times New Roman"/>
          <w:color w:val="000000"/>
          <w:sz w:val="20"/>
          <w:lang w:eastAsia="es-AR"/>
        </w:rPr>
      </w:pPr>
      <w:r w:rsidRPr="00397EED">
        <w:rPr>
          <w:rFonts w:ascii="Times New Roman" w:hAnsi="Times New Roman"/>
          <w:color w:val="000000"/>
          <w:sz w:val="20"/>
          <w:lang w:eastAsia="es-AR"/>
        </w:rPr>
        <w:t xml:space="preserve">Con </w:t>
      </w:r>
      <w:r w:rsidR="00153A3B" w:rsidRPr="00397EED">
        <w:rPr>
          <w:rFonts w:ascii="Times New Roman" w:hAnsi="Times New Roman"/>
          <w:color w:val="000000"/>
          <w:sz w:val="20"/>
          <w:lang w:eastAsia="es-AR"/>
        </w:rPr>
        <w:t>fecha 1° de octubre de 2021, en el marco del Compromiso de Desinversión asumido por Prisma Medios de Pag</w:t>
      </w:r>
      <w:r w:rsidR="00153A3B" w:rsidRPr="00F47201">
        <w:rPr>
          <w:rFonts w:ascii="Times New Roman" w:hAnsi="Times New Roman"/>
          <w:color w:val="000000"/>
          <w:sz w:val="20"/>
          <w:lang w:eastAsia="es-AR"/>
        </w:rPr>
        <w:t>o S.A. (“Prisma”) y sus accionistas clase B frente a la Comisión Nacional de Defensa de la Competencia, el Banco, junto a los demás accionistas clase B de Prisma, han enviado la notificación correspondiente al ejercicio de la opción de venta e iniciado de tal forma el procedimiento de venta del 49% del capital social y los votos de Prisma representado por 97.157.290 acciones ordinarias escriturales clase B de valor nominal $1 cada una y un voto por acción a AI ZENITH (Netherlands) B.V. (sociedad vinculada a Advent International Global Private Equity).</w:t>
      </w:r>
    </w:p>
    <w:p w14:paraId="04F5E07E" w14:textId="77777777" w:rsidR="00153A3B" w:rsidRPr="00F47201" w:rsidRDefault="00153A3B" w:rsidP="00153A3B">
      <w:pPr>
        <w:ind w:left="851"/>
        <w:jc w:val="both"/>
        <w:rPr>
          <w:rFonts w:ascii="Times New Roman" w:hAnsi="Times New Roman"/>
          <w:color w:val="000000"/>
          <w:sz w:val="20"/>
          <w:lang w:eastAsia="es-AR"/>
        </w:rPr>
      </w:pPr>
    </w:p>
    <w:p w14:paraId="67B1FD0A" w14:textId="45BEF812" w:rsidR="00153A3B" w:rsidRPr="00F47201" w:rsidRDefault="00153A3B" w:rsidP="00153A3B">
      <w:pPr>
        <w:ind w:left="851"/>
        <w:jc w:val="both"/>
        <w:rPr>
          <w:rFonts w:ascii="Times New Roman" w:hAnsi="Times New Roman"/>
          <w:color w:val="000000"/>
          <w:sz w:val="20"/>
          <w:lang w:eastAsia="es-AR"/>
        </w:rPr>
      </w:pPr>
      <w:r w:rsidRPr="00F47201">
        <w:rPr>
          <w:rFonts w:ascii="Times New Roman" w:hAnsi="Times New Roman"/>
          <w:color w:val="000000"/>
          <w:sz w:val="20"/>
          <w:lang w:eastAsia="es-AR"/>
        </w:rPr>
        <w:t>El precio que deberá abonarse por dichas acciones se determinará de acuerdo a un procedimiento de cálculo acordado entre las partes.</w:t>
      </w:r>
    </w:p>
    <w:p w14:paraId="32455C79" w14:textId="77777777" w:rsidR="00153A3B" w:rsidRPr="00F47201" w:rsidRDefault="00153A3B" w:rsidP="00153A3B">
      <w:pPr>
        <w:ind w:left="851"/>
        <w:jc w:val="both"/>
        <w:rPr>
          <w:rFonts w:ascii="Times New Roman" w:hAnsi="Times New Roman"/>
          <w:color w:val="000000"/>
          <w:sz w:val="20"/>
          <w:lang w:eastAsia="es-AR"/>
        </w:rPr>
      </w:pPr>
    </w:p>
    <w:p w14:paraId="0354716F" w14:textId="77777777" w:rsidR="007952AA" w:rsidRPr="00F47201" w:rsidRDefault="007952AA" w:rsidP="0021479B">
      <w:pPr>
        <w:ind w:left="851"/>
        <w:jc w:val="both"/>
        <w:rPr>
          <w:rFonts w:ascii="Times New Roman" w:hAnsi="Times New Roman"/>
          <w:color w:val="000000"/>
          <w:sz w:val="20"/>
          <w:lang w:eastAsia="es-AR"/>
        </w:rPr>
      </w:pPr>
    </w:p>
    <w:p w14:paraId="77DF9E39" w14:textId="5A025952" w:rsidR="00085FC9" w:rsidRPr="00110E8B" w:rsidRDefault="00F72B72" w:rsidP="0021479B">
      <w:pPr>
        <w:ind w:left="851"/>
        <w:jc w:val="both"/>
        <w:rPr>
          <w:rFonts w:ascii="Times New Roman" w:hAnsi="Times New Roman"/>
          <w:color w:val="000000"/>
          <w:sz w:val="20"/>
          <w:lang w:eastAsia="es-AR"/>
        </w:rPr>
      </w:pPr>
      <w:r w:rsidRPr="00F47201">
        <w:rPr>
          <w:rFonts w:ascii="Times New Roman" w:hAnsi="Times New Roman"/>
          <w:color w:val="000000"/>
          <w:sz w:val="20"/>
          <w:lang w:eastAsia="es-AR"/>
        </w:rPr>
        <w:t>N</w:t>
      </w:r>
      <w:r w:rsidR="007A31FE" w:rsidRPr="00F47201">
        <w:rPr>
          <w:rFonts w:ascii="Times New Roman" w:hAnsi="Times New Roman"/>
          <w:color w:val="000000"/>
          <w:sz w:val="20"/>
          <w:lang w:eastAsia="es-AR"/>
        </w:rPr>
        <w:t>o</w:t>
      </w:r>
      <w:r w:rsidR="00085FC9" w:rsidRPr="00F47201">
        <w:rPr>
          <w:rFonts w:ascii="Times New Roman" w:hAnsi="Times New Roman"/>
          <w:color w:val="000000"/>
          <w:sz w:val="20"/>
          <w:lang w:eastAsia="es-AR"/>
        </w:rPr>
        <w:t xml:space="preserve"> existen </w:t>
      </w:r>
      <w:r w:rsidR="009F4DE6" w:rsidRPr="00F47201">
        <w:rPr>
          <w:rFonts w:ascii="Times New Roman" w:hAnsi="Times New Roman"/>
          <w:color w:val="000000"/>
          <w:sz w:val="20"/>
          <w:lang w:eastAsia="es-AR"/>
        </w:rPr>
        <w:t xml:space="preserve">otros </w:t>
      </w:r>
      <w:r w:rsidR="00085FC9" w:rsidRPr="00F47201">
        <w:rPr>
          <w:rFonts w:ascii="Times New Roman" w:hAnsi="Times New Roman"/>
          <w:color w:val="000000"/>
          <w:sz w:val="20"/>
          <w:lang w:eastAsia="es-AR"/>
        </w:rPr>
        <w:t xml:space="preserve">hechos u operaciones ocurridos entre la fecha de cierre del </w:t>
      </w:r>
      <w:r w:rsidR="005B1B6A" w:rsidRPr="00F47201">
        <w:rPr>
          <w:rFonts w:ascii="Times New Roman" w:hAnsi="Times New Roman"/>
          <w:color w:val="000000"/>
          <w:sz w:val="20"/>
          <w:lang w:eastAsia="es-AR"/>
        </w:rPr>
        <w:t>período</w:t>
      </w:r>
      <w:r w:rsidR="00085FC9" w:rsidRPr="00F47201">
        <w:rPr>
          <w:rFonts w:ascii="Times New Roman" w:hAnsi="Times New Roman"/>
          <w:color w:val="000000"/>
          <w:sz w:val="20"/>
          <w:lang w:eastAsia="es-AR"/>
        </w:rPr>
        <w:t xml:space="preserve"> y la fecha de emisión de los presentes estados financieros</w:t>
      </w:r>
      <w:r w:rsidR="005B1B6A" w:rsidRPr="00F47201">
        <w:rPr>
          <w:rFonts w:ascii="Times New Roman" w:hAnsi="Times New Roman"/>
          <w:color w:val="000000"/>
          <w:sz w:val="20"/>
          <w:lang w:eastAsia="es-AR"/>
        </w:rPr>
        <w:t xml:space="preserve"> intermedios consolidados condensados</w:t>
      </w:r>
      <w:r w:rsidR="00085FC9" w:rsidRPr="00F47201">
        <w:rPr>
          <w:rFonts w:ascii="Times New Roman" w:hAnsi="Times New Roman"/>
          <w:color w:val="000000"/>
          <w:sz w:val="20"/>
          <w:lang w:eastAsia="es-AR"/>
        </w:rPr>
        <w:t xml:space="preserve"> que puedan afectar significativamente la situación financiera o lo</w:t>
      </w:r>
      <w:r w:rsidR="000A43A5" w:rsidRPr="00F47201">
        <w:rPr>
          <w:rFonts w:ascii="Times New Roman" w:hAnsi="Times New Roman"/>
          <w:color w:val="000000"/>
          <w:sz w:val="20"/>
          <w:lang w:eastAsia="es-AR"/>
        </w:rPr>
        <w:t>s resultados de la Entidad al 3</w:t>
      </w:r>
      <w:r w:rsidR="00007B8C" w:rsidRPr="00F47201">
        <w:rPr>
          <w:rFonts w:ascii="Times New Roman" w:hAnsi="Times New Roman"/>
          <w:color w:val="000000"/>
          <w:sz w:val="20"/>
          <w:lang w:eastAsia="es-AR"/>
        </w:rPr>
        <w:t>0</w:t>
      </w:r>
      <w:r w:rsidR="00085FC9" w:rsidRPr="00F47201">
        <w:rPr>
          <w:rFonts w:ascii="Times New Roman" w:hAnsi="Times New Roman"/>
          <w:color w:val="000000"/>
          <w:sz w:val="20"/>
          <w:lang w:eastAsia="es-AR"/>
        </w:rPr>
        <w:t xml:space="preserve"> de </w:t>
      </w:r>
      <w:r w:rsidR="00815454" w:rsidRPr="00F47201">
        <w:rPr>
          <w:rFonts w:ascii="Times New Roman" w:hAnsi="Times New Roman"/>
          <w:color w:val="000000"/>
          <w:sz w:val="20"/>
          <w:lang w:eastAsia="es-AR"/>
        </w:rPr>
        <w:t>septiembre</w:t>
      </w:r>
      <w:r w:rsidR="00DF4295" w:rsidRPr="00F47201">
        <w:rPr>
          <w:rFonts w:ascii="Times New Roman" w:hAnsi="Times New Roman"/>
          <w:color w:val="000000"/>
          <w:sz w:val="20"/>
          <w:lang w:eastAsia="es-AR"/>
        </w:rPr>
        <w:t xml:space="preserve"> </w:t>
      </w:r>
      <w:r w:rsidR="00085FC9" w:rsidRPr="00F47201">
        <w:rPr>
          <w:rFonts w:ascii="Times New Roman" w:hAnsi="Times New Roman"/>
          <w:color w:val="000000"/>
          <w:sz w:val="20"/>
          <w:lang w:eastAsia="es-AR"/>
        </w:rPr>
        <w:t>de 20</w:t>
      </w:r>
      <w:r w:rsidR="00DF4295" w:rsidRPr="00F47201">
        <w:rPr>
          <w:rFonts w:ascii="Times New Roman" w:hAnsi="Times New Roman"/>
          <w:color w:val="000000"/>
          <w:sz w:val="20"/>
          <w:lang w:eastAsia="es-AR"/>
        </w:rPr>
        <w:t>2</w:t>
      </w:r>
      <w:r w:rsidR="003628D3" w:rsidRPr="00F47201">
        <w:rPr>
          <w:rFonts w:ascii="Times New Roman" w:hAnsi="Times New Roman"/>
          <w:color w:val="000000"/>
          <w:sz w:val="20"/>
          <w:lang w:eastAsia="es-AR"/>
        </w:rPr>
        <w:t>1</w:t>
      </w:r>
      <w:r w:rsidR="00085FC9" w:rsidRPr="00F47201">
        <w:rPr>
          <w:rFonts w:ascii="Times New Roman" w:hAnsi="Times New Roman"/>
          <w:color w:val="000000"/>
          <w:sz w:val="20"/>
          <w:lang w:eastAsia="es-AR"/>
        </w:rPr>
        <w:t>.</w:t>
      </w:r>
    </w:p>
    <w:p w14:paraId="04F58523" w14:textId="77777777" w:rsidR="00880B6D" w:rsidRPr="00110E8B" w:rsidRDefault="00880B6D" w:rsidP="0021479B">
      <w:pPr>
        <w:ind w:left="851"/>
        <w:jc w:val="both"/>
        <w:rPr>
          <w:rFonts w:ascii="Times New Roman" w:hAnsi="Times New Roman"/>
          <w:color w:val="000000"/>
          <w:sz w:val="20"/>
          <w:lang w:eastAsia="es-AR"/>
        </w:rPr>
      </w:pPr>
    </w:p>
    <w:p w14:paraId="422E3ECC" w14:textId="77777777" w:rsidR="00A97F73" w:rsidRPr="00110E8B" w:rsidRDefault="00A97F73" w:rsidP="001707FA">
      <w:pPr>
        <w:ind w:left="851"/>
        <w:jc w:val="both"/>
        <w:rPr>
          <w:rFonts w:ascii="Times New Roman" w:hAnsi="Times New Roman"/>
          <w:color w:val="000000"/>
          <w:sz w:val="20"/>
          <w:lang w:eastAsia="es-AR"/>
        </w:rPr>
      </w:pPr>
    </w:p>
    <w:p w14:paraId="4EFE779D" w14:textId="3574CFBE" w:rsidR="004711FB" w:rsidRPr="00110E8B" w:rsidRDefault="004711FB" w:rsidP="004711FB">
      <w:pPr>
        <w:ind w:right="-427"/>
        <w:jc w:val="center"/>
        <w:rPr>
          <w:rFonts w:ascii="Times New Roman" w:hAnsi="Times New Roman"/>
          <w:b/>
          <w:sz w:val="20"/>
        </w:rPr>
      </w:pPr>
    </w:p>
    <w:p w14:paraId="6093DF91" w14:textId="77777777" w:rsidR="006978C2" w:rsidRPr="00110E8B" w:rsidRDefault="006978C2" w:rsidP="00AC07AC">
      <w:pPr>
        <w:ind w:right="-427"/>
        <w:jc w:val="center"/>
        <w:rPr>
          <w:rFonts w:ascii="Times New Roman" w:hAnsi="Times New Roman"/>
          <w:b/>
          <w:sz w:val="20"/>
        </w:rPr>
      </w:pPr>
    </w:p>
    <w:p w14:paraId="08263073" w14:textId="47A1AF1F" w:rsidR="004711FB" w:rsidRPr="00110E8B" w:rsidRDefault="00D146D6" w:rsidP="004711FB">
      <w:pPr>
        <w:ind w:right="-427"/>
        <w:jc w:val="center"/>
        <w:rPr>
          <w:rFonts w:ascii="Times New Roman" w:hAnsi="Times New Roman"/>
          <w:b/>
          <w:sz w:val="20"/>
        </w:rPr>
      </w:pPr>
      <w:r w:rsidRPr="00436C56">
        <w:rPr>
          <w:noProof/>
          <w:lang w:eastAsia="es-AR"/>
        </w:rPr>
        <w:lastRenderedPageBreak/>
        <w:drawing>
          <wp:inline distT="0" distB="0" distL="0" distR="0" wp14:anchorId="5658CC10" wp14:editId="37F0BEF0">
            <wp:extent cx="5716203" cy="647236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2167" cy="6479114"/>
                    </a:xfrm>
                    <a:prstGeom prst="rect">
                      <a:avLst/>
                    </a:prstGeom>
                    <a:noFill/>
                    <a:ln>
                      <a:noFill/>
                    </a:ln>
                  </pic:spPr>
                </pic:pic>
              </a:graphicData>
            </a:graphic>
          </wp:inline>
        </w:drawing>
      </w:r>
    </w:p>
    <w:p w14:paraId="5AE9AD9F" w14:textId="0D1930D3" w:rsidR="004711FB" w:rsidRPr="00110E8B" w:rsidRDefault="00D146D6" w:rsidP="004711FB">
      <w:pPr>
        <w:ind w:right="-427"/>
        <w:jc w:val="center"/>
        <w:rPr>
          <w:rFonts w:ascii="Times New Roman" w:hAnsi="Times New Roman"/>
          <w:b/>
          <w:sz w:val="20"/>
        </w:rPr>
      </w:pPr>
      <w:r w:rsidRPr="00436C56">
        <w:rPr>
          <w:noProof/>
          <w:lang w:eastAsia="es-AR"/>
        </w:rPr>
        <w:lastRenderedPageBreak/>
        <w:drawing>
          <wp:inline distT="0" distB="0" distL="0" distR="0" wp14:anchorId="4134C95F" wp14:editId="29D9CB31">
            <wp:extent cx="5715000" cy="7407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6272" cy="7408648"/>
                    </a:xfrm>
                    <a:prstGeom prst="rect">
                      <a:avLst/>
                    </a:prstGeom>
                    <a:noFill/>
                    <a:ln>
                      <a:noFill/>
                    </a:ln>
                  </pic:spPr>
                </pic:pic>
              </a:graphicData>
            </a:graphic>
          </wp:inline>
        </w:drawing>
      </w:r>
    </w:p>
    <w:p w14:paraId="54297506" w14:textId="2B2969F9" w:rsidR="00B624C8" w:rsidRPr="00110E8B" w:rsidRDefault="00B624C8" w:rsidP="004711FB">
      <w:pPr>
        <w:ind w:right="-427"/>
        <w:jc w:val="center"/>
        <w:rPr>
          <w:rFonts w:ascii="Times New Roman" w:hAnsi="Times New Roman"/>
          <w:noProof/>
          <w:sz w:val="20"/>
          <w:lang w:eastAsia="es-AR"/>
        </w:rPr>
      </w:pPr>
    </w:p>
    <w:p w14:paraId="6D7F2CC4" w14:textId="270933CF" w:rsidR="00EE0D4C" w:rsidRPr="00110E8B" w:rsidRDefault="000831BD" w:rsidP="004711FB">
      <w:pPr>
        <w:ind w:right="-427"/>
        <w:jc w:val="center"/>
        <w:rPr>
          <w:rFonts w:ascii="Times New Roman" w:hAnsi="Times New Roman"/>
          <w:noProof/>
          <w:sz w:val="20"/>
          <w:lang w:eastAsia="es-AR"/>
        </w:rPr>
      </w:pPr>
      <w:r w:rsidRPr="000831BD">
        <w:rPr>
          <w:noProof/>
          <w:lang w:eastAsia="es-AR"/>
        </w:rPr>
        <w:drawing>
          <wp:inline distT="0" distB="0" distL="0" distR="0" wp14:anchorId="07DCED60" wp14:editId="28E652F4">
            <wp:extent cx="5549900" cy="4237990"/>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49900" cy="4237990"/>
                    </a:xfrm>
                    <a:prstGeom prst="rect">
                      <a:avLst/>
                    </a:prstGeom>
                    <a:noFill/>
                    <a:ln>
                      <a:noFill/>
                    </a:ln>
                  </pic:spPr>
                </pic:pic>
              </a:graphicData>
            </a:graphic>
          </wp:inline>
        </w:drawing>
      </w:r>
    </w:p>
    <w:p w14:paraId="3E489314" w14:textId="1B6E042A" w:rsidR="00EE0D4C" w:rsidRPr="00110E8B" w:rsidRDefault="00EE0D4C" w:rsidP="004711FB">
      <w:pPr>
        <w:ind w:right="-427"/>
        <w:jc w:val="center"/>
        <w:rPr>
          <w:rFonts w:ascii="Times New Roman" w:hAnsi="Times New Roman"/>
          <w:noProof/>
          <w:sz w:val="20"/>
          <w:lang w:eastAsia="es-AR"/>
        </w:rPr>
      </w:pPr>
    </w:p>
    <w:p w14:paraId="013F3039" w14:textId="77777777" w:rsidR="00EE0D4C" w:rsidRPr="00110E8B" w:rsidRDefault="00EE0D4C" w:rsidP="004711FB">
      <w:pPr>
        <w:ind w:right="-427"/>
        <w:jc w:val="center"/>
        <w:rPr>
          <w:rFonts w:ascii="Times New Roman" w:hAnsi="Times New Roman"/>
          <w:noProof/>
          <w:sz w:val="20"/>
          <w:lang w:eastAsia="es-AR"/>
        </w:rPr>
      </w:pPr>
    </w:p>
    <w:p w14:paraId="0BA72042" w14:textId="0FBD4848" w:rsidR="00EE0D4C" w:rsidRPr="00110E8B" w:rsidRDefault="00EE0D4C" w:rsidP="004711FB">
      <w:pPr>
        <w:ind w:right="-427"/>
        <w:jc w:val="center"/>
        <w:rPr>
          <w:rFonts w:ascii="Times New Roman" w:hAnsi="Times New Roman"/>
          <w:noProof/>
          <w:sz w:val="20"/>
          <w:lang w:eastAsia="es-AR"/>
        </w:rPr>
      </w:pPr>
    </w:p>
    <w:p w14:paraId="258D34C2" w14:textId="77777777" w:rsidR="00EE0D4C" w:rsidRPr="00110E8B" w:rsidRDefault="00EE0D4C" w:rsidP="004711FB">
      <w:pPr>
        <w:ind w:right="-427"/>
        <w:jc w:val="center"/>
        <w:rPr>
          <w:rFonts w:ascii="Times New Roman" w:hAnsi="Times New Roman"/>
          <w:noProof/>
          <w:sz w:val="20"/>
          <w:lang w:eastAsia="es-AR"/>
        </w:rPr>
      </w:pPr>
    </w:p>
    <w:p w14:paraId="352DB378" w14:textId="77777777" w:rsidR="00EE0D4C" w:rsidRPr="00110E8B" w:rsidRDefault="00EE0D4C" w:rsidP="004711FB">
      <w:pPr>
        <w:ind w:right="-427"/>
        <w:jc w:val="center"/>
        <w:rPr>
          <w:rFonts w:ascii="Times New Roman" w:hAnsi="Times New Roman"/>
          <w:noProof/>
          <w:sz w:val="20"/>
          <w:lang w:eastAsia="es-AR"/>
        </w:rPr>
      </w:pPr>
    </w:p>
    <w:p w14:paraId="354AD6E4" w14:textId="77777777" w:rsidR="00EE0D4C" w:rsidRPr="00110E8B" w:rsidRDefault="00EE0D4C" w:rsidP="004711FB">
      <w:pPr>
        <w:ind w:right="-427"/>
        <w:jc w:val="center"/>
        <w:rPr>
          <w:rFonts w:ascii="Times New Roman" w:hAnsi="Times New Roman"/>
          <w:noProof/>
          <w:sz w:val="20"/>
          <w:lang w:eastAsia="es-AR"/>
        </w:rPr>
      </w:pPr>
    </w:p>
    <w:p w14:paraId="1322A992" w14:textId="77777777" w:rsidR="00EE0D4C" w:rsidRPr="00110E8B" w:rsidRDefault="00EE0D4C" w:rsidP="004711FB">
      <w:pPr>
        <w:ind w:right="-427"/>
        <w:jc w:val="center"/>
        <w:rPr>
          <w:rFonts w:ascii="Times New Roman" w:hAnsi="Times New Roman"/>
          <w:b/>
          <w:sz w:val="20"/>
        </w:rPr>
      </w:pPr>
    </w:p>
    <w:p w14:paraId="557B3E3F" w14:textId="77777777" w:rsidR="00B624C8" w:rsidRPr="00110E8B" w:rsidRDefault="00B624C8" w:rsidP="004711FB">
      <w:pPr>
        <w:ind w:right="-427"/>
        <w:jc w:val="center"/>
        <w:rPr>
          <w:rFonts w:ascii="Times New Roman" w:hAnsi="Times New Roman"/>
          <w:b/>
          <w:sz w:val="20"/>
        </w:rPr>
      </w:pPr>
    </w:p>
    <w:p w14:paraId="740FD345" w14:textId="5098A00B" w:rsidR="00B624C8" w:rsidRPr="00110E8B" w:rsidRDefault="00B624C8" w:rsidP="004711FB">
      <w:pPr>
        <w:ind w:right="-427"/>
        <w:jc w:val="center"/>
        <w:rPr>
          <w:rFonts w:ascii="Times New Roman" w:hAnsi="Times New Roman"/>
          <w:b/>
          <w:sz w:val="20"/>
        </w:rPr>
      </w:pPr>
    </w:p>
    <w:p w14:paraId="1E28FCD9" w14:textId="77777777" w:rsidR="00B624C8" w:rsidRPr="00110E8B" w:rsidRDefault="00B624C8" w:rsidP="004711FB">
      <w:pPr>
        <w:ind w:right="-427"/>
        <w:jc w:val="center"/>
        <w:rPr>
          <w:rFonts w:ascii="Times New Roman" w:hAnsi="Times New Roman"/>
          <w:b/>
          <w:sz w:val="20"/>
        </w:rPr>
      </w:pPr>
    </w:p>
    <w:p w14:paraId="2578D133" w14:textId="77777777" w:rsidR="00B624C8" w:rsidRPr="00110E8B" w:rsidRDefault="00B624C8" w:rsidP="004711FB">
      <w:pPr>
        <w:ind w:right="-427"/>
        <w:jc w:val="center"/>
        <w:rPr>
          <w:rFonts w:ascii="Times New Roman" w:hAnsi="Times New Roman"/>
          <w:b/>
          <w:sz w:val="20"/>
        </w:rPr>
      </w:pPr>
    </w:p>
    <w:p w14:paraId="26FE4621" w14:textId="77777777" w:rsidR="00B624C8" w:rsidRPr="00110E8B" w:rsidRDefault="00B624C8" w:rsidP="004711FB">
      <w:pPr>
        <w:ind w:right="-427"/>
        <w:jc w:val="center"/>
        <w:rPr>
          <w:rFonts w:ascii="Times New Roman" w:hAnsi="Times New Roman"/>
          <w:b/>
          <w:sz w:val="20"/>
        </w:rPr>
      </w:pPr>
    </w:p>
    <w:p w14:paraId="03D52719" w14:textId="5ACE5C89" w:rsidR="00B624C8" w:rsidRPr="00110E8B" w:rsidRDefault="00B624C8" w:rsidP="004711FB">
      <w:pPr>
        <w:ind w:right="-427"/>
        <w:jc w:val="center"/>
        <w:rPr>
          <w:rFonts w:ascii="Times New Roman" w:hAnsi="Times New Roman"/>
          <w:b/>
          <w:sz w:val="20"/>
        </w:rPr>
      </w:pPr>
    </w:p>
    <w:p w14:paraId="5FBAAA0C" w14:textId="594F3F74" w:rsidR="00B624C8" w:rsidRDefault="00B624C8" w:rsidP="000C00E9">
      <w:pPr>
        <w:ind w:left="-426" w:right="-427"/>
        <w:jc w:val="center"/>
        <w:rPr>
          <w:rFonts w:ascii="Times New Roman" w:hAnsi="Times New Roman"/>
          <w:b/>
          <w:sz w:val="20"/>
        </w:rPr>
      </w:pPr>
    </w:p>
    <w:p w14:paraId="3C2CC7AD" w14:textId="77777777" w:rsidR="00ED052C" w:rsidRDefault="00ED052C" w:rsidP="000C00E9">
      <w:pPr>
        <w:ind w:left="-426" w:right="-427"/>
        <w:jc w:val="center"/>
        <w:rPr>
          <w:rFonts w:ascii="Times New Roman" w:hAnsi="Times New Roman"/>
          <w:b/>
          <w:sz w:val="20"/>
        </w:rPr>
      </w:pPr>
    </w:p>
    <w:p w14:paraId="4F940099" w14:textId="77777777" w:rsidR="00ED052C" w:rsidRDefault="00ED052C" w:rsidP="000C00E9">
      <w:pPr>
        <w:ind w:left="-426" w:right="-427"/>
        <w:jc w:val="center"/>
        <w:rPr>
          <w:rFonts w:ascii="Times New Roman" w:hAnsi="Times New Roman"/>
          <w:b/>
          <w:sz w:val="20"/>
        </w:rPr>
      </w:pPr>
    </w:p>
    <w:p w14:paraId="7BE7D821" w14:textId="77777777" w:rsidR="00ED052C" w:rsidRDefault="00ED052C" w:rsidP="000C00E9">
      <w:pPr>
        <w:ind w:left="-426" w:right="-427"/>
        <w:jc w:val="center"/>
        <w:rPr>
          <w:rFonts w:ascii="Times New Roman" w:hAnsi="Times New Roman"/>
          <w:b/>
          <w:sz w:val="20"/>
        </w:rPr>
      </w:pPr>
    </w:p>
    <w:p w14:paraId="085B6613" w14:textId="77777777" w:rsidR="00ED052C" w:rsidRDefault="00ED052C" w:rsidP="000C00E9">
      <w:pPr>
        <w:ind w:left="-426" w:right="-427"/>
        <w:jc w:val="center"/>
        <w:rPr>
          <w:rFonts w:ascii="Times New Roman" w:hAnsi="Times New Roman"/>
          <w:b/>
          <w:sz w:val="20"/>
        </w:rPr>
      </w:pPr>
    </w:p>
    <w:p w14:paraId="35679296" w14:textId="77777777" w:rsidR="00ED052C" w:rsidRDefault="00ED052C" w:rsidP="000C00E9">
      <w:pPr>
        <w:ind w:left="-426" w:right="-427"/>
        <w:jc w:val="center"/>
        <w:rPr>
          <w:rFonts w:ascii="Times New Roman" w:hAnsi="Times New Roman"/>
          <w:b/>
          <w:sz w:val="20"/>
        </w:rPr>
      </w:pPr>
    </w:p>
    <w:p w14:paraId="616F5A5C" w14:textId="77777777" w:rsidR="00ED052C" w:rsidRPr="00110E8B" w:rsidRDefault="00ED052C" w:rsidP="000C00E9">
      <w:pPr>
        <w:ind w:left="-426" w:right="-427"/>
        <w:jc w:val="center"/>
        <w:rPr>
          <w:rFonts w:ascii="Times New Roman" w:hAnsi="Times New Roman"/>
          <w:b/>
          <w:sz w:val="20"/>
        </w:rPr>
      </w:pPr>
    </w:p>
    <w:p w14:paraId="171A7E88" w14:textId="4C208FDB" w:rsidR="00B624C8" w:rsidRPr="00110E8B" w:rsidRDefault="00B624C8" w:rsidP="004711FB">
      <w:pPr>
        <w:ind w:right="-427"/>
        <w:jc w:val="center"/>
        <w:rPr>
          <w:rFonts w:ascii="Times New Roman" w:hAnsi="Times New Roman"/>
          <w:b/>
          <w:sz w:val="20"/>
        </w:rPr>
      </w:pPr>
    </w:p>
    <w:p w14:paraId="6E74D7A8" w14:textId="38DE928C" w:rsidR="00B624C8" w:rsidRPr="00110E8B" w:rsidRDefault="00E22576" w:rsidP="004711FB">
      <w:pPr>
        <w:ind w:right="-427"/>
        <w:jc w:val="center"/>
        <w:rPr>
          <w:rFonts w:ascii="Times New Roman" w:hAnsi="Times New Roman"/>
          <w:b/>
          <w:sz w:val="20"/>
        </w:rPr>
      </w:pPr>
      <w:r w:rsidRPr="00E22576">
        <w:rPr>
          <w:noProof/>
          <w:lang w:eastAsia="es-AR"/>
        </w:rPr>
        <w:drawing>
          <wp:inline distT="0" distB="0" distL="0" distR="0" wp14:anchorId="1EAD787C" wp14:editId="0190F4E8">
            <wp:extent cx="6031230" cy="3129481"/>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31230" cy="3129481"/>
                    </a:xfrm>
                    <a:prstGeom prst="rect">
                      <a:avLst/>
                    </a:prstGeom>
                    <a:noFill/>
                    <a:ln>
                      <a:noFill/>
                    </a:ln>
                  </pic:spPr>
                </pic:pic>
              </a:graphicData>
            </a:graphic>
          </wp:inline>
        </w:drawing>
      </w:r>
    </w:p>
    <w:p w14:paraId="13824756" w14:textId="77777777" w:rsidR="00B624C8" w:rsidRPr="00110E8B" w:rsidRDefault="00B624C8" w:rsidP="004711FB">
      <w:pPr>
        <w:ind w:right="-427"/>
        <w:jc w:val="center"/>
        <w:rPr>
          <w:rFonts w:ascii="Times New Roman" w:hAnsi="Times New Roman"/>
          <w:b/>
          <w:sz w:val="20"/>
        </w:rPr>
      </w:pPr>
    </w:p>
    <w:p w14:paraId="07F77919" w14:textId="77777777" w:rsidR="00B624C8" w:rsidRPr="00110E8B" w:rsidRDefault="00B624C8" w:rsidP="004711FB">
      <w:pPr>
        <w:ind w:right="-427"/>
        <w:jc w:val="center"/>
        <w:rPr>
          <w:rFonts w:ascii="Times New Roman" w:hAnsi="Times New Roman"/>
          <w:b/>
          <w:sz w:val="20"/>
        </w:rPr>
      </w:pPr>
    </w:p>
    <w:p w14:paraId="3BED792B" w14:textId="77777777" w:rsidR="00B624C8" w:rsidRPr="00110E8B" w:rsidRDefault="00B624C8" w:rsidP="004711FB">
      <w:pPr>
        <w:ind w:right="-427"/>
        <w:jc w:val="center"/>
        <w:rPr>
          <w:rFonts w:ascii="Times New Roman" w:hAnsi="Times New Roman"/>
          <w:b/>
          <w:sz w:val="20"/>
        </w:rPr>
      </w:pPr>
    </w:p>
    <w:p w14:paraId="204E2C3B" w14:textId="77777777" w:rsidR="00B624C8" w:rsidRPr="00110E8B" w:rsidRDefault="00B624C8" w:rsidP="004711FB">
      <w:pPr>
        <w:ind w:right="-427"/>
        <w:jc w:val="center"/>
        <w:rPr>
          <w:rFonts w:ascii="Times New Roman" w:hAnsi="Times New Roman"/>
          <w:b/>
          <w:sz w:val="20"/>
        </w:rPr>
      </w:pPr>
    </w:p>
    <w:p w14:paraId="7203A374" w14:textId="77777777" w:rsidR="00B624C8" w:rsidRPr="00110E8B" w:rsidRDefault="00B624C8" w:rsidP="004711FB">
      <w:pPr>
        <w:ind w:right="-427"/>
        <w:jc w:val="center"/>
        <w:rPr>
          <w:rFonts w:ascii="Times New Roman" w:hAnsi="Times New Roman"/>
          <w:b/>
          <w:sz w:val="20"/>
        </w:rPr>
      </w:pPr>
    </w:p>
    <w:p w14:paraId="15C42367" w14:textId="77777777" w:rsidR="00B624C8" w:rsidRPr="00110E8B" w:rsidRDefault="00B624C8" w:rsidP="004711FB">
      <w:pPr>
        <w:ind w:right="-427"/>
        <w:jc w:val="center"/>
        <w:rPr>
          <w:rFonts w:ascii="Times New Roman" w:hAnsi="Times New Roman"/>
          <w:b/>
          <w:sz w:val="20"/>
        </w:rPr>
      </w:pPr>
    </w:p>
    <w:p w14:paraId="208EDA45" w14:textId="49511F27" w:rsidR="00B624C8" w:rsidRPr="00110E8B" w:rsidRDefault="00B624C8" w:rsidP="004711FB">
      <w:pPr>
        <w:ind w:right="-427"/>
        <w:jc w:val="center"/>
        <w:rPr>
          <w:rFonts w:ascii="Times New Roman" w:hAnsi="Times New Roman"/>
          <w:b/>
          <w:sz w:val="20"/>
        </w:rPr>
      </w:pPr>
    </w:p>
    <w:p w14:paraId="77B02ACE" w14:textId="77777777" w:rsidR="00F70B69" w:rsidRPr="00110E8B" w:rsidRDefault="00F70B69" w:rsidP="004711FB">
      <w:pPr>
        <w:ind w:right="-427"/>
        <w:jc w:val="center"/>
        <w:rPr>
          <w:rFonts w:ascii="Times New Roman" w:hAnsi="Times New Roman"/>
          <w:b/>
          <w:sz w:val="20"/>
        </w:rPr>
      </w:pPr>
    </w:p>
    <w:p w14:paraId="2F261DBB" w14:textId="77777777" w:rsidR="003806F9" w:rsidRPr="00110E8B" w:rsidRDefault="003806F9" w:rsidP="004711FB">
      <w:pPr>
        <w:ind w:right="-427"/>
        <w:jc w:val="center"/>
        <w:rPr>
          <w:rFonts w:ascii="Times New Roman" w:hAnsi="Times New Roman"/>
          <w:b/>
          <w:sz w:val="20"/>
        </w:rPr>
      </w:pPr>
    </w:p>
    <w:p w14:paraId="644F6600" w14:textId="77777777" w:rsidR="003806F9" w:rsidRPr="00110E8B" w:rsidRDefault="003806F9" w:rsidP="004711FB">
      <w:pPr>
        <w:ind w:right="-427"/>
        <w:jc w:val="center"/>
        <w:rPr>
          <w:rFonts w:ascii="Times New Roman" w:hAnsi="Times New Roman"/>
          <w:b/>
          <w:sz w:val="20"/>
        </w:rPr>
      </w:pPr>
    </w:p>
    <w:p w14:paraId="5508EA63" w14:textId="77777777" w:rsidR="003806F9" w:rsidRPr="00110E8B" w:rsidRDefault="003806F9" w:rsidP="004711FB">
      <w:pPr>
        <w:ind w:right="-427"/>
        <w:jc w:val="center"/>
        <w:rPr>
          <w:rFonts w:ascii="Times New Roman" w:hAnsi="Times New Roman"/>
          <w:b/>
          <w:sz w:val="20"/>
        </w:rPr>
      </w:pPr>
    </w:p>
    <w:p w14:paraId="5214B061" w14:textId="77777777" w:rsidR="003806F9" w:rsidRPr="00110E8B" w:rsidRDefault="003806F9" w:rsidP="004711FB">
      <w:pPr>
        <w:ind w:right="-427"/>
        <w:jc w:val="center"/>
        <w:rPr>
          <w:rFonts w:ascii="Times New Roman" w:hAnsi="Times New Roman"/>
          <w:b/>
          <w:sz w:val="20"/>
        </w:rPr>
      </w:pPr>
    </w:p>
    <w:p w14:paraId="7EBF5FF6" w14:textId="77777777" w:rsidR="003806F9" w:rsidRPr="00110E8B" w:rsidRDefault="003806F9" w:rsidP="004711FB">
      <w:pPr>
        <w:ind w:right="-427"/>
        <w:jc w:val="center"/>
        <w:rPr>
          <w:rFonts w:ascii="Times New Roman" w:hAnsi="Times New Roman"/>
          <w:b/>
          <w:sz w:val="20"/>
        </w:rPr>
      </w:pPr>
    </w:p>
    <w:p w14:paraId="0ED161B2" w14:textId="77777777" w:rsidR="003806F9" w:rsidRPr="00110E8B" w:rsidRDefault="003806F9" w:rsidP="004711FB">
      <w:pPr>
        <w:ind w:right="-427"/>
        <w:jc w:val="center"/>
        <w:rPr>
          <w:rFonts w:ascii="Times New Roman" w:hAnsi="Times New Roman"/>
          <w:b/>
          <w:sz w:val="20"/>
        </w:rPr>
      </w:pPr>
    </w:p>
    <w:p w14:paraId="119DB0ED" w14:textId="77777777" w:rsidR="003806F9" w:rsidRPr="00110E8B" w:rsidRDefault="003806F9" w:rsidP="004711FB">
      <w:pPr>
        <w:ind w:right="-427"/>
        <w:jc w:val="center"/>
        <w:rPr>
          <w:rFonts w:ascii="Times New Roman" w:hAnsi="Times New Roman"/>
          <w:b/>
          <w:sz w:val="20"/>
        </w:rPr>
      </w:pPr>
    </w:p>
    <w:p w14:paraId="69991D9B" w14:textId="77777777" w:rsidR="003806F9" w:rsidRPr="00110E8B" w:rsidRDefault="003806F9" w:rsidP="004711FB">
      <w:pPr>
        <w:ind w:right="-427"/>
        <w:jc w:val="center"/>
        <w:rPr>
          <w:rFonts w:ascii="Times New Roman" w:hAnsi="Times New Roman"/>
          <w:b/>
          <w:sz w:val="20"/>
        </w:rPr>
      </w:pPr>
    </w:p>
    <w:p w14:paraId="3211B547" w14:textId="77777777" w:rsidR="003806F9" w:rsidRPr="00110E8B" w:rsidRDefault="003806F9" w:rsidP="004711FB">
      <w:pPr>
        <w:ind w:right="-427"/>
        <w:jc w:val="center"/>
        <w:rPr>
          <w:rFonts w:ascii="Times New Roman" w:hAnsi="Times New Roman"/>
          <w:b/>
          <w:sz w:val="20"/>
        </w:rPr>
      </w:pPr>
    </w:p>
    <w:p w14:paraId="6C6422D5" w14:textId="77777777" w:rsidR="003806F9" w:rsidRPr="00110E8B" w:rsidRDefault="003806F9" w:rsidP="004711FB">
      <w:pPr>
        <w:ind w:right="-427"/>
        <w:jc w:val="center"/>
        <w:rPr>
          <w:rFonts w:ascii="Times New Roman" w:hAnsi="Times New Roman"/>
          <w:b/>
          <w:sz w:val="20"/>
        </w:rPr>
      </w:pPr>
    </w:p>
    <w:p w14:paraId="58992E81" w14:textId="4354BA47" w:rsidR="003806F9" w:rsidRPr="00110E8B" w:rsidRDefault="003806F9" w:rsidP="004711FB">
      <w:pPr>
        <w:ind w:right="-427"/>
        <w:jc w:val="center"/>
        <w:rPr>
          <w:rFonts w:ascii="Times New Roman" w:hAnsi="Times New Roman"/>
          <w:b/>
          <w:sz w:val="20"/>
        </w:rPr>
      </w:pPr>
    </w:p>
    <w:p w14:paraId="17B61712" w14:textId="77777777" w:rsidR="00575C8C" w:rsidRPr="00110E8B" w:rsidRDefault="00575C8C" w:rsidP="00575C8C">
      <w:pPr>
        <w:ind w:right="-427"/>
        <w:rPr>
          <w:rFonts w:ascii="Times New Roman" w:hAnsi="Times New Roman"/>
          <w:b/>
          <w:sz w:val="20"/>
          <w:highlight w:val="yellow"/>
        </w:rPr>
      </w:pPr>
    </w:p>
    <w:p w14:paraId="6454EF6F" w14:textId="49F527B2" w:rsidR="00575C8C" w:rsidRPr="00110E8B" w:rsidRDefault="00575C8C">
      <w:pPr>
        <w:rPr>
          <w:rFonts w:ascii="Times New Roman" w:hAnsi="Times New Roman"/>
          <w:b/>
          <w:sz w:val="20"/>
        </w:rPr>
      </w:pPr>
    </w:p>
    <w:p w14:paraId="02DEB89D" w14:textId="1DB4576C" w:rsidR="00E94C17" w:rsidRDefault="00E94C17">
      <w:pPr>
        <w:rPr>
          <w:rFonts w:ascii="Times New Roman" w:hAnsi="Times New Roman"/>
          <w:b/>
          <w:sz w:val="20"/>
        </w:rPr>
      </w:pPr>
    </w:p>
    <w:p w14:paraId="31E02E0C" w14:textId="2A8A8C66" w:rsidR="00323F0D" w:rsidRPr="00110E8B" w:rsidRDefault="00323F0D">
      <w:pPr>
        <w:rPr>
          <w:rFonts w:ascii="Times New Roman" w:hAnsi="Times New Roman"/>
          <w:b/>
          <w:sz w:val="20"/>
        </w:rPr>
      </w:pPr>
    </w:p>
    <w:p w14:paraId="26F0B412" w14:textId="77777777" w:rsidR="00404B6F" w:rsidRPr="00110E8B" w:rsidRDefault="00404B6F" w:rsidP="004711FB">
      <w:pPr>
        <w:ind w:right="-427"/>
        <w:jc w:val="center"/>
        <w:rPr>
          <w:rFonts w:ascii="Times New Roman" w:hAnsi="Times New Roman"/>
          <w:b/>
          <w:sz w:val="20"/>
        </w:rPr>
      </w:pPr>
    </w:p>
    <w:p w14:paraId="7B38E67C" w14:textId="77777777" w:rsidR="00404B6F" w:rsidRPr="00110E8B" w:rsidRDefault="00404B6F" w:rsidP="004711FB">
      <w:pPr>
        <w:ind w:right="-427"/>
        <w:jc w:val="center"/>
        <w:rPr>
          <w:rFonts w:ascii="Times New Roman" w:hAnsi="Times New Roman"/>
          <w:b/>
          <w:sz w:val="20"/>
        </w:rPr>
      </w:pPr>
    </w:p>
    <w:p w14:paraId="50EF1BFB" w14:textId="067A82E9" w:rsidR="00404B6F" w:rsidRPr="00110E8B" w:rsidRDefault="00C37FA7" w:rsidP="004711FB">
      <w:pPr>
        <w:ind w:right="-427"/>
        <w:jc w:val="center"/>
        <w:rPr>
          <w:rFonts w:ascii="Times New Roman" w:hAnsi="Times New Roman"/>
          <w:b/>
          <w:sz w:val="20"/>
        </w:rPr>
      </w:pPr>
      <w:r w:rsidRPr="00C37FA7">
        <w:rPr>
          <w:noProof/>
          <w:lang w:eastAsia="es-AR"/>
        </w:rPr>
        <w:drawing>
          <wp:inline distT="0" distB="0" distL="0" distR="0" wp14:anchorId="16998C70" wp14:editId="7DE2F268">
            <wp:extent cx="5391150" cy="4246245"/>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1150" cy="4246245"/>
                    </a:xfrm>
                    <a:prstGeom prst="rect">
                      <a:avLst/>
                    </a:prstGeom>
                    <a:noFill/>
                    <a:ln>
                      <a:noFill/>
                    </a:ln>
                  </pic:spPr>
                </pic:pic>
              </a:graphicData>
            </a:graphic>
          </wp:inline>
        </w:drawing>
      </w:r>
    </w:p>
    <w:p w14:paraId="00114C9F" w14:textId="6D2090BD" w:rsidR="00404B6F" w:rsidRPr="00110E8B" w:rsidRDefault="00404B6F" w:rsidP="004711FB">
      <w:pPr>
        <w:ind w:right="-427"/>
        <w:jc w:val="center"/>
        <w:rPr>
          <w:rFonts w:ascii="Times New Roman" w:hAnsi="Times New Roman"/>
          <w:b/>
          <w:sz w:val="20"/>
        </w:rPr>
      </w:pPr>
    </w:p>
    <w:p w14:paraId="32B51A79" w14:textId="77777777" w:rsidR="00404B6F" w:rsidRPr="00110E8B" w:rsidRDefault="00404B6F" w:rsidP="004711FB">
      <w:pPr>
        <w:ind w:right="-427"/>
        <w:jc w:val="center"/>
        <w:rPr>
          <w:rFonts w:ascii="Times New Roman" w:hAnsi="Times New Roman"/>
          <w:b/>
          <w:sz w:val="20"/>
        </w:rPr>
      </w:pPr>
    </w:p>
    <w:p w14:paraId="68C55BF6" w14:textId="448E1A77" w:rsidR="00404B6F" w:rsidRPr="00110E8B" w:rsidRDefault="00404B6F" w:rsidP="004711FB">
      <w:pPr>
        <w:ind w:right="-427"/>
        <w:jc w:val="center"/>
        <w:rPr>
          <w:rFonts w:ascii="Times New Roman" w:hAnsi="Times New Roman"/>
          <w:b/>
          <w:sz w:val="20"/>
        </w:rPr>
      </w:pPr>
    </w:p>
    <w:p w14:paraId="7665E932" w14:textId="1E7E8FB9" w:rsidR="00404B6F" w:rsidRPr="00110E8B" w:rsidRDefault="00404B6F" w:rsidP="004711FB">
      <w:pPr>
        <w:ind w:right="-427"/>
        <w:jc w:val="center"/>
        <w:rPr>
          <w:rFonts w:ascii="Times New Roman" w:hAnsi="Times New Roman"/>
          <w:b/>
          <w:sz w:val="20"/>
        </w:rPr>
      </w:pPr>
    </w:p>
    <w:p w14:paraId="1AF9BE2E" w14:textId="0A8CBC2E" w:rsidR="00404B6F" w:rsidRPr="00110E8B" w:rsidRDefault="00404B6F" w:rsidP="004711FB">
      <w:pPr>
        <w:ind w:right="-427"/>
        <w:jc w:val="center"/>
        <w:rPr>
          <w:rFonts w:ascii="Times New Roman" w:hAnsi="Times New Roman"/>
          <w:b/>
          <w:sz w:val="20"/>
        </w:rPr>
      </w:pPr>
    </w:p>
    <w:p w14:paraId="019A6410" w14:textId="05A49D84" w:rsidR="00404B6F" w:rsidRPr="00110E8B" w:rsidRDefault="00404B6F" w:rsidP="004711FB">
      <w:pPr>
        <w:ind w:right="-427"/>
        <w:jc w:val="center"/>
        <w:rPr>
          <w:rFonts w:ascii="Times New Roman" w:hAnsi="Times New Roman"/>
          <w:b/>
          <w:sz w:val="20"/>
        </w:rPr>
      </w:pPr>
    </w:p>
    <w:p w14:paraId="5BA27A56" w14:textId="0FBD235E" w:rsidR="00404B6F" w:rsidRPr="00110E8B" w:rsidRDefault="00404B6F" w:rsidP="004711FB">
      <w:pPr>
        <w:ind w:right="-427"/>
        <w:jc w:val="center"/>
        <w:rPr>
          <w:rFonts w:ascii="Times New Roman" w:hAnsi="Times New Roman"/>
          <w:b/>
          <w:sz w:val="20"/>
        </w:rPr>
      </w:pPr>
    </w:p>
    <w:p w14:paraId="033C23BA" w14:textId="77777777" w:rsidR="00404B6F" w:rsidRPr="00110E8B" w:rsidRDefault="00404B6F" w:rsidP="004711FB">
      <w:pPr>
        <w:ind w:right="-427"/>
        <w:jc w:val="center"/>
        <w:rPr>
          <w:rFonts w:ascii="Times New Roman" w:hAnsi="Times New Roman"/>
          <w:b/>
          <w:sz w:val="20"/>
        </w:rPr>
      </w:pPr>
    </w:p>
    <w:p w14:paraId="61C5D845" w14:textId="77777777" w:rsidR="009950EE" w:rsidRDefault="009950EE" w:rsidP="004711FB">
      <w:pPr>
        <w:ind w:right="-427"/>
        <w:jc w:val="center"/>
        <w:rPr>
          <w:rFonts w:ascii="Times New Roman" w:hAnsi="Times New Roman"/>
          <w:b/>
          <w:sz w:val="20"/>
        </w:rPr>
      </w:pPr>
    </w:p>
    <w:p w14:paraId="40348AD2" w14:textId="4F495973" w:rsidR="00404B6F" w:rsidRDefault="00404B6F" w:rsidP="004711FB">
      <w:pPr>
        <w:ind w:right="-427"/>
        <w:jc w:val="center"/>
        <w:rPr>
          <w:rFonts w:ascii="Times New Roman" w:hAnsi="Times New Roman"/>
          <w:b/>
          <w:sz w:val="20"/>
        </w:rPr>
      </w:pPr>
    </w:p>
    <w:p w14:paraId="2E5402D1" w14:textId="77777777" w:rsidR="00203440" w:rsidRDefault="00203440" w:rsidP="004711FB">
      <w:pPr>
        <w:ind w:right="-427"/>
        <w:jc w:val="center"/>
        <w:rPr>
          <w:rFonts w:ascii="Times New Roman" w:hAnsi="Times New Roman"/>
          <w:b/>
          <w:sz w:val="20"/>
        </w:rPr>
      </w:pPr>
    </w:p>
    <w:p w14:paraId="67FCE4DD" w14:textId="77777777" w:rsidR="00203440" w:rsidRDefault="00203440" w:rsidP="004711FB">
      <w:pPr>
        <w:ind w:right="-427"/>
        <w:jc w:val="center"/>
        <w:rPr>
          <w:rFonts w:ascii="Times New Roman" w:hAnsi="Times New Roman"/>
          <w:b/>
          <w:sz w:val="20"/>
        </w:rPr>
      </w:pPr>
    </w:p>
    <w:p w14:paraId="76EFABED" w14:textId="1D452864" w:rsidR="009950EE" w:rsidRDefault="009950EE" w:rsidP="004711FB">
      <w:pPr>
        <w:ind w:right="-427"/>
        <w:jc w:val="center"/>
        <w:rPr>
          <w:rFonts w:ascii="Times New Roman" w:hAnsi="Times New Roman"/>
          <w:b/>
          <w:sz w:val="20"/>
        </w:rPr>
      </w:pPr>
    </w:p>
    <w:p w14:paraId="5FD4ABC3" w14:textId="6728740B" w:rsidR="009950EE" w:rsidRPr="00110E8B" w:rsidRDefault="009950EE" w:rsidP="004711FB">
      <w:pPr>
        <w:ind w:right="-427"/>
        <w:jc w:val="center"/>
        <w:rPr>
          <w:rFonts w:ascii="Times New Roman" w:hAnsi="Times New Roman"/>
          <w:b/>
          <w:sz w:val="20"/>
        </w:rPr>
      </w:pPr>
    </w:p>
    <w:p w14:paraId="3ABE7866" w14:textId="4DD3B641" w:rsidR="00404B6F" w:rsidRPr="00110E8B" w:rsidRDefault="00404B6F" w:rsidP="004711FB">
      <w:pPr>
        <w:ind w:right="-427"/>
        <w:jc w:val="center"/>
        <w:rPr>
          <w:rFonts w:ascii="Times New Roman" w:hAnsi="Times New Roman"/>
          <w:b/>
          <w:sz w:val="20"/>
        </w:rPr>
      </w:pPr>
    </w:p>
    <w:p w14:paraId="381DC04A" w14:textId="4A9F0F82" w:rsidR="00404B6F" w:rsidRPr="00110E8B" w:rsidRDefault="00404B6F" w:rsidP="004711FB">
      <w:pPr>
        <w:ind w:right="-427"/>
        <w:jc w:val="center"/>
        <w:rPr>
          <w:rFonts w:ascii="Times New Roman" w:hAnsi="Times New Roman"/>
          <w:b/>
          <w:sz w:val="20"/>
        </w:rPr>
      </w:pPr>
    </w:p>
    <w:p w14:paraId="6866AB8D" w14:textId="21E99850" w:rsidR="00404B6F" w:rsidRPr="00110E8B" w:rsidRDefault="00404B6F" w:rsidP="004711FB">
      <w:pPr>
        <w:ind w:right="-427"/>
        <w:jc w:val="center"/>
        <w:rPr>
          <w:rFonts w:ascii="Times New Roman" w:hAnsi="Times New Roman"/>
          <w:b/>
          <w:sz w:val="20"/>
        </w:rPr>
      </w:pPr>
    </w:p>
    <w:p w14:paraId="45D023CD" w14:textId="77777777" w:rsidR="00404B6F" w:rsidRPr="00110E8B" w:rsidRDefault="00404B6F" w:rsidP="004711FB">
      <w:pPr>
        <w:ind w:right="-427"/>
        <w:jc w:val="center"/>
        <w:rPr>
          <w:rFonts w:ascii="Times New Roman" w:hAnsi="Times New Roman"/>
          <w:b/>
          <w:sz w:val="20"/>
        </w:rPr>
      </w:pPr>
    </w:p>
    <w:p w14:paraId="5CFA58AC" w14:textId="60D480C7" w:rsidR="00404B6F" w:rsidRPr="00110E8B" w:rsidRDefault="000C4679" w:rsidP="004711FB">
      <w:pPr>
        <w:ind w:right="-427"/>
        <w:jc w:val="center"/>
        <w:rPr>
          <w:rFonts w:ascii="Times New Roman" w:hAnsi="Times New Roman"/>
          <w:b/>
          <w:sz w:val="20"/>
        </w:rPr>
      </w:pPr>
      <w:r w:rsidRPr="000C4679">
        <w:rPr>
          <w:noProof/>
          <w:lang w:eastAsia="es-AR"/>
        </w:rPr>
        <w:drawing>
          <wp:inline distT="0" distB="0" distL="0" distR="0" wp14:anchorId="5776DB07" wp14:editId="6F34134C">
            <wp:extent cx="6031230" cy="33049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31230" cy="3304940"/>
                    </a:xfrm>
                    <a:prstGeom prst="rect">
                      <a:avLst/>
                    </a:prstGeom>
                    <a:noFill/>
                    <a:ln>
                      <a:noFill/>
                    </a:ln>
                  </pic:spPr>
                </pic:pic>
              </a:graphicData>
            </a:graphic>
          </wp:inline>
        </w:drawing>
      </w:r>
    </w:p>
    <w:p w14:paraId="0B28993A" w14:textId="77777777" w:rsidR="00404B6F" w:rsidRPr="00110E8B" w:rsidRDefault="00404B6F" w:rsidP="004711FB">
      <w:pPr>
        <w:ind w:right="-427"/>
        <w:jc w:val="center"/>
        <w:rPr>
          <w:rFonts w:ascii="Times New Roman" w:hAnsi="Times New Roman"/>
          <w:b/>
          <w:sz w:val="20"/>
        </w:rPr>
      </w:pPr>
    </w:p>
    <w:p w14:paraId="2F8AF846" w14:textId="77777777" w:rsidR="00404B6F" w:rsidRPr="00110E8B" w:rsidRDefault="00404B6F" w:rsidP="004711FB">
      <w:pPr>
        <w:ind w:right="-427"/>
        <w:jc w:val="center"/>
        <w:rPr>
          <w:rFonts w:ascii="Times New Roman" w:hAnsi="Times New Roman"/>
          <w:b/>
          <w:sz w:val="20"/>
        </w:rPr>
      </w:pPr>
    </w:p>
    <w:p w14:paraId="3953A3C9" w14:textId="77777777" w:rsidR="003D4BDF" w:rsidRDefault="003D4BDF" w:rsidP="004711FB">
      <w:pPr>
        <w:ind w:right="-427"/>
        <w:jc w:val="center"/>
        <w:rPr>
          <w:rFonts w:ascii="Times New Roman" w:hAnsi="Times New Roman"/>
          <w:b/>
          <w:sz w:val="20"/>
        </w:rPr>
      </w:pPr>
    </w:p>
    <w:p w14:paraId="6FB7F579" w14:textId="77777777" w:rsidR="006D50D4" w:rsidRDefault="006D50D4" w:rsidP="004711FB">
      <w:pPr>
        <w:ind w:right="-427"/>
        <w:jc w:val="center"/>
        <w:rPr>
          <w:rFonts w:ascii="Times New Roman" w:hAnsi="Times New Roman"/>
          <w:b/>
          <w:sz w:val="20"/>
        </w:rPr>
      </w:pPr>
    </w:p>
    <w:p w14:paraId="61B09781" w14:textId="77777777" w:rsidR="006D50D4" w:rsidRDefault="006D50D4" w:rsidP="004711FB">
      <w:pPr>
        <w:ind w:right="-427"/>
        <w:jc w:val="center"/>
        <w:rPr>
          <w:rFonts w:ascii="Times New Roman" w:hAnsi="Times New Roman"/>
          <w:b/>
          <w:sz w:val="20"/>
        </w:rPr>
      </w:pPr>
    </w:p>
    <w:p w14:paraId="4EB129B2" w14:textId="77777777" w:rsidR="006D50D4" w:rsidRDefault="006D50D4" w:rsidP="004711FB">
      <w:pPr>
        <w:ind w:right="-427"/>
        <w:jc w:val="center"/>
        <w:rPr>
          <w:rFonts w:ascii="Times New Roman" w:hAnsi="Times New Roman"/>
          <w:b/>
          <w:sz w:val="20"/>
        </w:rPr>
      </w:pPr>
    </w:p>
    <w:p w14:paraId="7D9978D6" w14:textId="77777777" w:rsidR="006D50D4" w:rsidRDefault="006D50D4" w:rsidP="004711FB">
      <w:pPr>
        <w:ind w:right="-427"/>
        <w:jc w:val="center"/>
        <w:rPr>
          <w:rFonts w:ascii="Times New Roman" w:hAnsi="Times New Roman"/>
          <w:b/>
          <w:sz w:val="20"/>
        </w:rPr>
      </w:pPr>
    </w:p>
    <w:p w14:paraId="03BDAE85" w14:textId="77777777" w:rsidR="006D50D4" w:rsidRDefault="006D50D4" w:rsidP="004711FB">
      <w:pPr>
        <w:ind w:right="-427"/>
        <w:jc w:val="center"/>
        <w:rPr>
          <w:rFonts w:ascii="Times New Roman" w:hAnsi="Times New Roman"/>
          <w:b/>
          <w:sz w:val="20"/>
        </w:rPr>
      </w:pPr>
    </w:p>
    <w:p w14:paraId="1EDCD2B3" w14:textId="77777777" w:rsidR="006D50D4" w:rsidRDefault="006D50D4" w:rsidP="004711FB">
      <w:pPr>
        <w:ind w:right="-427"/>
        <w:jc w:val="center"/>
        <w:rPr>
          <w:rFonts w:ascii="Times New Roman" w:hAnsi="Times New Roman"/>
          <w:b/>
          <w:sz w:val="20"/>
        </w:rPr>
      </w:pPr>
    </w:p>
    <w:p w14:paraId="188BE137" w14:textId="77777777" w:rsidR="006D50D4" w:rsidRDefault="006D50D4" w:rsidP="004711FB">
      <w:pPr>
        <w:ind w:right="-427"/>
        <w:jc w:val="center"/>
        <w:rPr>
          <w:rFonts w:ascii="Times New Roman" w:hAnsi="Times New Roman"/>
          <w:b/>
          <w:sz w:val="20"/>
        </w:rPr>
      </w:pPr>
    </w:p>
    <w:p w14:paraId="494BB9B2" w14:textId="77777777" w:rsidR="006D50D4" w:rsidRDefault="006D50D4" w:rsidP="004711FB">
      <w:pPr>
        <w:ind w:right="-427"/>
        <w:jc w:val="center"/>
        <w:rPr>
          <w:rFonts w:ascii="Times New Roman" w:hAnsi="Times New Roman"/>
          <w:b/>
          <w:sz w:val="20"/>
        </w:rPr>
      </w:pPr>
    </w:p>
    <w:p w14:paraId="791FBCC6" w14:textId="77777777" w:rsidR="006D50D4" w:rsidRDefault="006D50D4" w:rsidP="004711FB">
      <w:pPr>
        <w:ind w:right="-427"/>
        <w:jc w:val="center"/>
        <w:rPr>
          <w:rFonts w:ascii="Times New Roman" w:hAnsi="Times New Roman"/>
          <w:b/>
          <w:sz w:val="20"/>
        </w:rPr>
      </w:pPr>
    </w:p>
    <w:p w14:paraId="5199F356" w14:textId="77777777" w:rsidR="006D50D4" w:rsidRDefault="006D50D4" w:rsidP="004711FB">
      <w:pPr>
        <w:ind w:right="-427"/>
        <w:jc w:val="center"/>
        <w:rPr>
          <w:rFonts w:ascii="Times New Roman" w:hAnsi="Times New Roman"/>
          <w:b/>
          <w:sz w:val="20"/>
        </w:rPr>
      </w:pPr>
    </w:p>
    <w:p w14:paraId="1A190A61" w14:textId="77777777" w:rsidR="006D50D4" w:rsidRDefault="006D50D4" w:rsidP="004711FB">
      <w:pPr>
        <w:ind w:right="-427"/>
        <w:jc w:val="center"/>
        <w:rPr>
          <w:rFonts w:ascii="Times New Roman" w:hAnsi="Times New Roman"/>
          <w:b/>
          <w:sz w:val="20"/>
        </w:rPr>
      </w:pPr>
    </w:p>
    <w:p w14:paraId="314BC1D7" w14:textId="77777777" w:rsidR="006D50D4" w:rsidRDefault="006D50D4" w:rsidP="004711FB">
      <w:pPr>
        <w:ind w:right="-427"/>
        <w:jc w:val="center"/>
        <w:rPr>
          <w:rFonts w:ascii="Times New Roman" w:hAnsi="Times New Roman"/>
          <w:b/>
          <w:sz w:val="20"/>
        </w:rPr>
      </w:pPr>
    </w:p>
    <w:p w14:paraId="3A0BF78D" w14:textId="1C693EBE" w:rsidR="003D4BDF" w:rsidRPr="00110E8B" w:rsidRDefault="00E536F4" w:rsidP="004711FB">
      <w:pPr>
        <w:ind w:right="-427"/>
        <w:jc w:val="center"/>
        <w:rPr>
          <w:rFonts w:ascii="Times New Roman" w:hAnsi="Times New Roman"/>
          <w:b/>
          <w:sz w:val="20"/>
        </w:rPr>
      </w:pPr>
      <w:r w:rsidRPr="00E536F4">
        <w:rPr>
          <w:noProof/>
          <w:lang w:eastAsia="es-AR"/>
        </w:rPr>
        <w:lastRenderedPageBreak/>
        <w:drawing>
          <wp:inline distT="0" distB="0" distL="0" distR="0" wp14:anchorId="28C63D3D" wp14:editId="7512A9FA">
            <wp:extent cx="6031230" cy="3937145"/>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31230" cy="3937145"/>
                    </a:xfrm>
                    <a:prstGeom prst="rect">
                      <a:avLst/>
                    </a:prstGeom>
                    <a:noFill/>
                    <a:ln>
                      <a:noFill/>
                    </a:ln>
                  </pic:spPr>
                </pic:pic>
              </a:graphicData>
            </a:graphic>
          </wp:inline>
        </w:drawing>
      </w:r>
    </w:p>
    <w:p w14:paraId="7824AE57" w14:textId="77777777" w:rsidR="003D4BDF" w:rsidRPr="00110E8B" w:rsidRDefault="003D4BDF" w:rsidP="004711FB">
      <w:pPr>
        <w:ind w:right="-427"/>
        <w:jc w:val="center"/>
        <w:rPr>
          <w:rFonts w:ascii="Times New Roman" w:hAnsi="Times New Roman"/>
          <w:b/>
          <w:sz w:val="20"/>
        </w:rPr>
      </w:pPr>
    </w:p>
    <w:p w14:paraId="5D2C27E3" w14:textId="77777777" w:rsidR="00404B6F" w:rsidRPr="00110E8B" w:rsidRDefault="00404B6F" w:rsidP="004711FB">
      <w:pPr>
        <w:ind w:right="-427"/>
        <w:jc w:val="center"/>
        <w:rPr>
          <w:rFonts w:ascii="Times New Roman" w:hAnsi="Times New Roman"/>
          <w:b/>
          <w:sz w:val="20"/>
        </w:rPr>
      </w:pPr>
    </w:p>
    <w:p w14:paraId="02031C31" w14:textId="77777777" w:rsidR="00404B6F" w:rsidRPr="00110E8B" w:rsidRDefault="00404B6F" w:rsidP="004711FB">
      <w:pPr>
        <w:ind w:right="-427"/>
        <w:jc w:val="center"/>
        <w:rPr>
          <w:rFonts w:ascii="Times New Roman" w:hAnsi="Times New Roman"/>
          <w:b/>
          <w:sz w:val="20"/>
        </w:rPr>
      </w:pPr>
    </w:p>
    <w:p w14:paraId="4C5D266B" w14:textId="63620293" w:rsidR="00404B6F" w:rsidRPr="00110E8B" w:rsidRDefault="00404B6F" w:rsidP="004711FB">
      <w:pPr>
        <w:ind w:right="-427"/>
        <w:jc w:val="center"/>
        <w:rPr>
          <w:rFonts w:ascii="Times New Roman" w:hAnsi="Times New Roman"/>
          <w:b/>
          <w:sz w:val="20"/>
        </w:rPr>
      </w:pPr>
    </w:p>
    <w:p w14:paraId="132FE619" w14:textId="77777777" w:rsidR="00404B6F" w:rsidRPr="00110E8B" w:rsidRDefault="00404B6F" w:rsidP="004711FB">
      <w:pPr>
        <w:ind w:right="-427"/>
        <w:jc w:val="center"/>
        <w:rPr>
          <w:rFonts w:ascii="Times New Roman" w:hAnsi="Times New Roman"/>
          <w:b/>
          <w:sz w:val="20"/>
        </w:rPr>
      </w:pPr>
    </w:p>
    <w:p w14:paraId="470B91F8" w14:textId="0EDB1467" w:rsidR="00404B6F" w:rsidRPr="00110E8B" w:rsidRDefault="00404B6F" w:rsidP="004711FB">
      <w:pPr>
        <w:ind w:right="-427"/>
        <w:jc w:val="center"/>
        <w:rPr>
          <w:rFonts w:ascii="Times New Roman" w:hAnsi="Times New Roman"/>
          <w:b/>
          <w:sz w:val="20"/>
        </w:rPr>
      </w:pPr>
    </w:p>
    <w:p w14:paraId="3DEFD267" w14:textId="2AE76494" w:rsidR="00812870" w:rsidRPr="00110E8B" w:rsidRDefault="00812870" w:rsidP="004711FB">
      <w:pPr>
        <w:ind w:right="-427"/>
        <w:jc w:val="center"/>
        <w:rPr>
          <w:rFonts w:ascii="Times New Roman" w:hAnsi="Times New Roman"/>
          <w:b/>
          <w:sz w:val="20"/>
        </w:rPr>
      </w:pPr>
    </w:p>
    <w:p w14:paraId="2F31B4A8" w14:textId="6053203C" w:rsidR="009514BB" w:rsidRPr="00110E8B" w:rsidRDefault="009514BB" w:rsidP="004711FB">
      <w:pPr>
        <w:ind w:right="-427"/>
        <w:jc w:val="center"/>
        <w:rPr>
          <w:rFonts w:ascii="Times New Roman" w:hAnsi="Times New Roman"/>
          <w:b/>
          <w:sz w:val="20"/>
        </w:rPr>
      </w:pPr>
    </w:p>
    <w:p w14:paraId="34679ECC" w14:textId="6FF0490B" w:rsidR="00812870" w:rsidRPr="00110E8B" w:rsidRDefault="005371F7" w:rsidP="004711FB">
      <w:pPr>
        <w:ind w:right="-427"/>
        <w:jc w:val="center"/>
        <w:rPr>
          <w:rFonts w:ascii="Times New Roman" w:hAnsi="Times New Roman"/>
          <w:b/>
          <w:sz w:val="20"/>
        </w:rPr>
      </w:pPr>
      <w:r w:rsidRPr="00110E8B">
        <w:rPr>
          <w:rFonts w:ascii="Times New Roman" w:hAnsi="Times New Roman"/>
          <w:b/>
          <w:sz w:val="20"/>
        </w:rPr>
        <w:t xml:space="preserve"> </w:t>
      </w:r>
      <w:r w:rsidRPr="00110E8B">
        <w:rPr>
          <w:rFonts w:ascii="Times New Roman" w:hAnsi="Times New Roman"/>
          <w:b/>
          <w:sz w:val="20"/>
        </w:rPr>
        <w:tab/>
      </w:r>
    </w:p>
    <w:p w14:paraId="744CB2F1" w14:textId="4213B158" w:rsidR="007B35D9" w:rsidRDefault="007B35D9" w:rsidP="004711FB">
      <w:pPr>
        <w:ind w:right="-427"/>
        <w:jc w:val="center"/>
        <w:rPr>
          <w:rFonts w:ascii="Times New Roman" w:hAnsi="Times New Roman"/>
          <w:b/>
          <w:sz w:val="20"/>
        </w:rPr>
      </w:pPr>
    </w:p>
    <w:p w14:paraId="5346E722" w14:textId="77777777" w:rsidR="00ED3229" w:rsidRDefault="00ED3229" w:rsidP="004711FB">
      <w:pPr>
        <w:ind w:right="-427"/>
        <w:jc w:val="center"/>
        <w:rPr>
          <w:rFonts w:ascii="Times New Roman" w:hAnsi="Times New Roman"/>
          <w:b/>
          <w:sz w:val="20"/>
        </w:rPr>
      </w:pPr>
    </w:p>
    <w:p w14:paraId="0D504B55" w14:textId="77777777" w:rsidR="00455487" w:rsidRPr="00110E8B" w:rsidRDefault="00455487" w:rsidP="00455487">
      <w:pPr>
        <w:ind w:left="-426" w:right="-427"/>
        <w:jc w:val="center"/>
        <w:rPr>
          <w:rFonts w:ascii="Times New Roman" w:hAnsi="Times New Roman"/>
          <w:b/>
          <w:sz w:val="20"/>
        </w:rPr>
      </w:pPr>
    </w:p>
    <w:p w14:paraId="70173BF5" w14:textId="4AC2FB60" w:rsidR="0007168E" w:rsidRDefault="00705097" w:rsidP="009B6D5D">
      <w:pPr>
        <w:ind w:left="-284" w:right="-427"/>
        <w:jc w:val="center"/>
        <w:rPr>
          <w:rFonts w:ascii="Times New Roman" w:hAnsi="Times New Roman"/>
          <w:b/>
          <w:sz w:val="20"/>
        </w:rPr>
      </w:pPr>
      <w:r w:rsidRPr="00DE3CA6">
        <w:rPr>
          <w:noProof/>
          <w:lang w:eastAsia="es-AR"/>
        </w:rPr>
        <w:lastRenderedPageBreak/>
        <w:drawing>
          <wp:inline distT="0" distB="0" distL="0" distR="0" wp14:anchorId="3EF6CCA2" wp14:editId="0BC7473F">
            <wp:extent cx="6480000" cy="350946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80000" cy="3509466"/>
                    </a:xfrm>
                    <a:prstGeom prst="rect">
                      <a:avLst/>
                    </a:prstGeom>
                    <a:noFill/>
                    <a:ln>
                      <a:noFill/>
                    </a:ln>
                  </pic:spPr>
                </pic:pic>
              </a:graphicData>
            </a:graphic>
          </wp:inline>
        </w:drawing>
      </w:r>
    </w:p>
    <w:p w14:paraId="22F5E3F7" w14:textId="77777777" w:rsidR="00D4389A" w:rsidRPr="00110E8B" w:rsidRDefault="00D4389A" w:rsidP="00455487">
      <w:pPr>
        <w:ind w:left="-426" w:right="-427"/>
        <w:jc w:val="center"/>
        <w:rPr>
          <w:rFonts w:ascii="Times New Roman" w:hAnsi="Times New Roman"/>
          <w:b/>
          <w:sz w:val="20"/>
        </w:rPr>
      </w:pPr>
    </w:p>
    <w:p w14:paraId="4D1DFDB3" w14:textId="7FBF5E8A" w:rsidR="00455487" w:rsidRPr="00110E8B" w:rsidRDefault="00F23226" w:rsidP="009B6D5D">
      <w:pPr>
        <w:ind w:left="-284" w:right="-427"/>
        <w:jc w:val="center"/>
        <w:rPr>
          <w:rFonts w:ascii="Times New Roman" w:hAnsi="Times New Roman"/>
          <w:b/>
          <w:sz w:val="20"/>
        </w:rPr>
      </w:pPr>
      <w:r w:rsidRPr="00F23226">
        <w:rPr>
          <w:noProof/>
          <w:lang w:eastAsia="es-AR"/>
        </w:rPr>
        <w:drawing>
          <wp:inline distT="0" distB="0" distL="0" distR="0" wp14:anchorId="707FB183" wp14:editId="13F7ED9B">
            <wp:extent cx="6480000" cy="2218554"/>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80000" cy="2218554"/>
                    </a:xfrm>
                    <a:prstGeom prst="rect">
                      <a:avLst/>
                    </a:prstGeom>
                    <a:noFill/>
                    <a:ln>
                      <a:noFill/>
                    </a:ln>
                  </pic:spPr>
                </pic:pic>
              </a:graphicData>
            </a:graphic>
          </wp:inline>
        </w:drawing>
      </w:r>
    </w:p>
    <w:p w14:paraId="5C66C72F" w14:textId="2AEC7A56" w:rsidR="00455487" w:rsidRPr="00110E8B" w:rsidRDefault="00455487" w:rsidP="00455487">
      <w:pPr>
        <w:ind w:left="-426" w:right="-427"/>
        <w:jc w:val="center"/>
        <w:rPr>
          <w:rFonts w:ascii="Times New Roman" w:hAnsi="Times New Roman"/>
          <w:b/>
          <w:sz w:val="20"/>
        </w:rPr>
        <w:sectPr w:rsidR="00455487" w:rsidRPr="00110E8B" w:rsidSect="005D6406">
          <w:headerReference w:type="default" r:id="rId108"/>
          <w:footerReference w:type="default" r:id="rId109"/>
          <w:footnotePr>
            <w:numStart w:val="0"/>
          </w:footnotePr>
          <w:pgSz w:w="11907" w:h="16840" w:code="9"/>
          <w:pgMar w:top="1134" w:right="1275" w:bottom="851" w:left="1134" w:header="709" w:footer="204" w:gutter="0"/>
          <w:pgNumType w:chapStyle="1" w:chapSep="enDash"/>
          <w:cols w:space="560"/>
        </w:sectPr>
      </w:pPr>
    </w:p>
    <w:p w14:paraId="0F34E55C" w14:textId="303559B2" w:rsidR="00B301D6" w:rsidRPr="00110E8B" w:rsidRDefault="001537F2" w:rsidP="00DE140D">
      <w:pPr>
        <w:autoSpaceDE w:val="0"/>
        <w:autoSpaceDN w:val="0"/>
        <w:adjustRightInd w:val="0"/>
        <w:spacing w:before="20" w:after="220" w:line="240" w:lineRule="atLeast"/>
        <w:jc w:val="both"/>
        <w:rPr>
          <w:rFonts w:ascii="Times New Roman" w:hAnsi="Times New Roman"/>
          <w:b/>
          <w:bCs/>
          <w:color w:val="000000" w:themeColor="text1"/>
          <w:sz w:val="20"/>
        </w:rPr>
      </w:pPr>
      <w:r w:rsidRPr="00B77C0E">
        <w:rPr>
          <w:noProof/>
          <w:sz w:val="20"/>
          <w:lang w:eastAsia="es-AR"/>
        </w:rPr>
        <w:lastRenderedPageBreak/>
        <w:drawing>
          <wp:anchor distT="0" distB="0" distL="114300" distR="114300" simplePos="0" relativeHeight="251653632" behindDoc="0" locked="0" layoutInCell="1" allowOverlap="1" wp14:anchorId="752F0BBC" wp14:editId="1E9213C6">
            <wp:simplePos x="0" y="0"/>
            <wp:positionH relativeFrom="margin">
              <wp:posOffset>0</wp:posOffset>
            </wp:positionH>
            <wp:positionV relativeFrom="paragraph">
              <wp:posOffset>-114774</wp:posOffset>
            </wp:positionV>
            <wp:extent cx="1005840" cy="462915"/>
            <wp:effectExtent l="0" t="0" r="0" b="0"/>
            <wp:wrapNone/>
            <wp:docPr id="7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110" cstate="print">
                      <a:extLst>
                        <a:ext uri="{28A0092B-C50C-407E-A947-70E740481C1C}">
                          <a14:useLocalDpi xmlns:a14="http://schemas.microsoft.com/office/drawing/2010/main" val="0"/>
                        </a:ext>
                      </a:extLst>
                    </a:blip>
                    <a:srcRect l="5398" t="16276"/>
                    <a:stretch/>
                  </pic:blipFill>
                  <pic:spPr bwMode="auto">
                    <a:xfrm>
                      <a:off x="0" y="0"/>
                      <a:ext cx="1005840" cy="462915"/>
                    </a:xfrm>
                    <a:prstGeom prst="rect">
                      <a:avLst/>
                    </a:prstGeom>
                    <a:ln>
                      <a:noFill/>
                    </a:ln>
                    <a:extLst>
                      <a:ext uri="{53640926-AAD7-44D8-BBD7-CCE9431645EC}">
                        <a14:shadowObscured xmlns:a14="http://schemas.microsoft.com/office/drawing/2010/main"/>
                      </a:ext>
                    </a:extLst>
                  </pic:spPr>
                </pic:pic>
              </a:graphicData>
            </a:graphic>
          </wp:anchor>
        </w:drawing>
      </w:r>
      <w:r w:rsidR="00F5567E">
        <w:rPr>
          <w:rFonts w:ascii="Times New Roman" w:eastAsiaTheme="minorEastAsia" w:hAnsi="Times New Roman"/>
          <w:noProof/>
          <w:sz w:val="20"/>
          <w:lang w:eastAsia="es-AR"/>
        </w:rPr>
        <w:pict w14:anchorId="0749FBB7">
          <v:shapetype id="_x0000_t202" coordsize="21600,21600" o:spt="202" path="m,l,21600r21600,l21600,xe">
            <v:stroke joinstyle="miter"/>
            <v:path gradientshapeok="t" o:connecttype="rect"/>
          </v:shapetype>
          <v:shape id="Text Box 3" o:spid="_x0000_s1033" type="#_x0000_t202" style="position:absolute;left:0;text-align:left;margin-left:415.3pt;margin-top:-15.85pt;width:97.5pt;height:29.2pt;z-index:25165977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" filled="f" fillcolor="#bbe0e3" stroked="f">
            <v:textbox style="mso-next-textbox:#Text Box 3;mso-fit-shape-to-text:t">
              <w:txbxContent>
                <w:p w14:paraId="3846D11D" w14:textId="77777777" w:rsidR="008F2AD9" w:rsidRDefault="008F2AD9" w:rsidP="00B301D6">
                  <w:pPr>
                    <w:autoSpaceDE w:val="0"/>
                    <w:autoSpaceDN w:val="0"/>
                    <w:adjustRightInd w:val="0"/>
                    <w:spacing w:line="220" w:lineRule="exact"/>
                    <w:rPr>
                      <w:rFonts w:ascii="Univers for KPMG" w:hAnsi="Univers for KPMG" w:cs="Arial"/>
                      <w:bCs/>
                      <w:color w:val="000000"/>
                      <w:sz w:val="16"/>
                      <w:szCs w:val="16"/>
                      <w:lang w:val="en-US"/>
                    </w:rPr>
                  </w:pPr>
                </w:p>
                <w:p w14:paraId="3E7900F7" w14:textId="77777777" w:rsidR="008F2AD9" w:rsidRPr="00E957EE" w:rsidRDefault="008F2AD9" w:rsidP="00B301D6">
                  <w:pPr>
                    <w:autoSpaceDE w:val="0"/>
                    <w:autoSpaceDN w:val="0"/>
                    <w:adjustRightInd w:val="0"/>
                    <w:spacing w:line="220" w:lineRule="exact"/>
                    <w:rPr>
                      <w:rFonts w:ascii="Univers for KPMG" w:hAnsi="Univers for KPMG" w:cs="Arial"/>
                      <w:color w:val="000000"/>
                      <w:sz w:val="15"/>
                      <w:szCs w:val="15"/>
                    </w:rPr>
                  </w:pPr>
                  <w:r w:rsidRPr="00E957EE">
                    <w:rPr>
                      <w:rFonts w:ascii="Univers for KPMG" w:hAnsi="Univers for KPMG" w:cs="Arial"/>
                      <w:bCs/>
                      <w:color w:val="000000"/>
                      <w:sz w:val="16"/>
                      <w:szCs w:val="16"/>
                      <w:lang w:val="en-US"/>
                    </w:rPr>
                    <w:t>+54 11 4316 5700</w:t>
                  </w:r>
                </w:p>
                <w:p w14:paraId="4326E510" w14:textId="77777777" w:rsidR="008F2AD9" w:rsidRPr="000E0F51" w:rsidRDefault="008F2AD9" w:rsidP="00B301D6">
                  <w:pPr>
                    <w:autoSpaceDE w:val="0"/>
                    <w:autoSpaceDN w:val="0"/>
                    <w:adjustRightInd w:val="0"/>
                    <w:spacing w:line="220" w:lineRule="exact"/>
                    <w:rPr>
                      <w:rFonts w:ascii="Univers for KPMG" w:hAnsi="Univers for KPMG" w:cs="Arial"/>
                      <w:color w:val="000000"/>
                      <w:sz w:val="15"/>
                      <w:szCs w:val="15"/>
                    </w:rPr>
                  </w:pPr>
                  <w:r>
                    <w:rPr>
                      <w:rFonts w:ascii="Univers for KPMG" w:hAnsi="Univers for KPMG" w:cs="Arial"/>
                      <w:bCs/>
                      <w:color w:val="000000"/>
                      <w:sz w:val="16"/>
                      <w:szCs w:val="16"/>
                      <w:lang w:val="en-US"/>
                    </w:rPr>
                    <w:t>www.kpmg.com.ar</w:t>
                  </w:r>
                </w:p>
              </w:txbxContent>
            </v:textbox>
            <w10:wrap anchorx="page" anchory="margin"/>
          </v:shape>
        </w:pict>
      </w:r>
      <w:r w:rsidR="00F5567E">
        <w:rPr>
          <w:rFonts w:ascii="Times New Roman" w:eastAsiaTheme="minorEastAsia" w:hAnsi="Times New Roman"/>
          <w:noProof/>
          <w:sz w:val="20"/>
          <w:lang w:eastAsia="es-AR"/>
        </w:rPr>
        <w:pict w14:anchorId="7FBCC121">
          <v:shape id="Text Box 1" o:spid="_x0000_s1032" type="#_x0000_t202" style="position:absolute;left:0;text-align:left;margin-left:219.75pt;margin-top:-20.85pt;width:160.5pt;height:40.2pt;z-index:25165875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" filled="f" fillcolor="#bbe0e3" stroked="f">
            <v:textbox style="mso-next-textbox:#Text Box 1;mso-fit-shape-to-text:t">
              <w:txbxContent>
                <w:p w14:paraId="6ABB8E16" w14:textId="77777777" w:rsidR="008F2AD9" w:rsidRDefault="008F2AD9" w:rsidP="00B301D6">
                  <w:pPr>
                    <w:autoSpaceDE w:val="0"/>
                    <w:autoSpaceDN w:val="0"/>
                    <w:adjustRightInd w:val="0"/>
                    <w:spacing w:line="220" w:lineRule="exact"/>
                    <w:rPr>
                      <w:rFonts w:ascii="Univers for KPMG" w:hAnsi="Univers for KPMG" w:cs="Arial"/>
                      <w:bCs/>
                      <w:color w:val="000000"/>
                      <w:sz w:val="16"/>
                      <w:szCs w:val="16"/>
                    </w:rPr>
                  </w:pPr>
                </w:p>
                <w:p w14:paraId="3C4A3E2C" w14:textId="77777777" w:rsidR="008F2AD9" w:rsidRPr="002812B0" w:rsidRDefault="008F2AD9" w:rsidP="00B301D6">
                  <w:pPr>
                    <w:autoSpaceDE w:val="0"/>
                    <w:autoSpaceDN w:val="0"/>
                    <w:adjustRightInd w:val="0"/>
                    <w:spacing w:line="220" w:lineRule="exact"/>
                    <w:rPr>
                      <w:rFonts w:ascii="Univers for KPMG" w:hAnsi="Univers for KPMG" w:cs="Arial"/>
                      <w:bCs/>
                      <w:color w:val="000000"/>
                      <w:sz w:val="16"/>
                      <w:szCs w:val="16"/>
                    </w:rPr>
                  </w:pPr>
                  <w:r>
                    <w:rPr>
                      <w:rFonts w:ascii="Univers for KPMG" w:hAnsi="Univers for KPMG" w:cs="Arial"/>
                      <w:bCs/>
                      <w:color w:val="000000"/>
                      <w:sz w:val="16"/>
                      <w:szCs w:val="16"/>
                    </w:rPr>
                    <w:t>KPMG</w:t>
                  </w:r>
                </w:p>
                <w:p w14:paraId="073FFBA6" w14:textId="77777777" w:rsidR="008F2AD9" w:rsidRPr="00C46E51" w:rsidRDefault="008F2AD9" w:rsidP="00B301D6">
                  <w:pPr>
                    <w:autoSpaceDE w:val="0"/>
                    <w:autoSpaceDN w:val="0"/>
                    <w:adjustRightInd w:val="0"/>
                    <w:spacing w:line="220" w:lineRule="exact"/>
                    <w:rPr>
                      <w:rFonts w:ascii="Univers for KPMG" w:hAnsi="Univers for KPMG" w:cs="Arial"/>
                      <w:bCs/>
                      <w:color w:val="000000"/>
                      <w:sz w:val="16"/>
                      <w:szCs w:val="16"/>
                    </w:rPr>
                  </w:pPr>
                  <w:r w:rsidRPr="00C46E51">
                    <w:rPr>
                      <w:rFonts w:ascii="Univers for KPMG" w:hAnsi="Univers for KPMG" w:cs="Arial"/>
                      <w:bCs/>
                      <w:color w:val="000000"/>
                      <w:sz w:val="16"/>
                      <w:szCs w:val="16"/>
                    </w:rPr>
                    <w:t>Bouchard 710 - 1° piso - C1106ABL</w:t>
                  </w:r>
                </w:p>
                <w:p w14:paraId="3CA5C4BB" w14:textId="77777777" w:rsidR="008F2AD9" w:rsidRPr="00C46E51" w:rsidRDefault="008F2AD9" w:rsidP="00B301D6">
                  <w:pPr>
                    <w:autoSpaceDE w:val="0"/>
                    <w:autoSpaceDN w:val="0"/>
                    <w:adjustRightInd w:val="0"/>
                    <w:spacing w:line="220" w:lineRule="exact"/>
                    <w:rPr>
                      <w:rFonts w:ascii="Univers for KPMG" w:hAnsi="Univers for KPMG" w:cs="Arial"/>
                      <w:bCs/>
                      <w:color w:val="000000"/>
                      <w:sz w:val="16"/>
                      <w:szCs w:val="16"/>
                    </w:rPr>
                  </w:pPr>
                  <w:r w:rsidRPr="00C46E51">
                    <w:rPr>
                      <w:rFonts w:ascii="Univers for KPMG" w:hAnsi="Univers for KPMG" w:cs="Arial"/>
                      <w:bCs/>
                      <w:color w:val="000000"/>
                      <w:sz w:val="16"/>
                      <w:szCs w:val="16"/>
                    </w:rPr>
                    <w:t>Buenos Aires, Argentina</w:t>
                  </w:r>
                </w:p>
              </w:txbxContent>
            </v:textbox>
            <w10:wrap anchorx="page" anchory="margin"/>
          </v:shape>
        </w:pict>
      </w:r>
    </w:p>
    <w:p w14:paraId="7B4FB935" w14:textId="0E95CE7D" w:rsidR="00B301D6" w:rsidRPr="00110E8B" w:rsidRDefault="00B301D6" w:rsidP="00DE140D">
      <w:pPr>
        <w:autoSpaceDE w:val="0"/>
        <w:autoSpaceDN w:val="0"/>
        <w:adjustRightInd w:val="0"/>
        <w:spacing w:before="20" w:after="220" w:line="240" w:lineRule="atLeast"/>
        <w:jc w:val="both"/>
        <w:rPr>
          <w:rFonts w:ascii="Times New Roman" w:hAnsi="Times New Roman"/>
          <w:b/>
          <w:bCs/>
          <w:color w:val="000000" w:themeColor="text1"/>
          <w:sz w:val="20"/>
        </w:rPr>
      </w:pPr>
    </w:p>
    <w:p w14:paraId="73EDD047" w14:textId="628C01FE" w:rsidR="001537F2" w:rsidRDefault="001537F2" w:rsidP="00035DC3">
      <w:pPr>
        <w:autoSpaceDE w:val="0"/>
        <w:autoSpaceDN w:val="0"/>
        <w:adjustRightInd w:val="0"/>
        <w:spacing w:before="20" w:after="220" w:line="240" w:lineRule="atLeast"/>
        <w:jc w:val="both"/>
        <w:rPr>
          <w:rFonts w:ascii="Times New Roman" w:hAnsi="Times New Roman"/>
          <w:b/>
          <w:bCs/>
          <w:color w:val="000000" w:themeColor="text1"/>
          <w:sz w:val="20"/>
        </w:rPr>
      </w:pPr>
      <w:r>
        <w:rPr>
          <w:rFonts w:ascii="Times New Roman" w:hAnsi="Times New Roman"/>
          <w:b/>
          <w:bCs/>
          <w:color w:val="000000" w:themeColor="text1"/>
          <w:sz w:val="20"/>
        </w:rPr>
        <w:t xml:space="preserve"> </w:t>
      </w:r>
    </w:p>
    <w:p w14:paraId="60E50114" w14:textId="77777777" w:rsidR="00FF0228" w:rsidRDefault="00FF0228" w:rsidP="00142B84">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74DC9BBC" w14:textId="77777777" w:rsidR="00FF0228" w:rsidRPr="00FF0228" w:rsidRDefault="00FF0228" w:rsidP="00FF0228">
      <w:pPr>
        <w:autoSpaceDE w:val="0"/>
        <w:autoSpaceDN w:val="0"/>
        <w:adjustRightInd w:val="0"/>
        <w:spacing w:before="20" w:after="220" w:line="240" w:lineRule="atLeast"/>
        <w:jc w:val="both"/>
        <w:rPr>
          <w:rFonts w:ascii="Times New Roman" w:hAnsi="Times New Roman"/>
          <w:b/>
          <w:bCs/>
          <w:color w:val="000000" w:themeColor="text1"/>
          <w:sz w:val="20"/>
        </w:rPr>
      </w:pPr>
      <w:r w:rsidRPr="00FF0228">
        <w:rPr>
          <w:rFonts w:ascii="Times New Roman" w:hAnsi="Times New Roman"/>
          <w:b/>
          <w:bCs/>
          <w:color w:val="000000" w:themeColor="text1"/>
          <w:sz w:val="20"/>
        </w:rPr>
        <w:t>INFORME DE REVISIÓN DE LOS AUDITORES INDEPENDIENTES SOBRE ESTADOS FINANCIEROS CONSOLIDADOS DE PERIODO INTERMEDIO CONDENSADOS</w:t>
      </w:r>
    </w:p>
    <w:p w14:paraId="4E4F6372" w14:textId="77777777" w:rsidR="00FF0228" w:rsidRPr="00FF0228" w:rsidRDefault="00FF0228" w:rsidP="00FF0228">
      <w:pPr>
        <w:autoSpaceDE w:val="0"/>
        <w:autoSpaceDN w:val="0"/>
        <w:adjustRightInd w:val="0"/>
        <w:spacing w:before="20" w:after="220" w:line="240" w:lineRule="atLeast"/>
        <w:rPr>
          <w:rFonts w:ascii="Times New Roman" w:hAnsi="Times New Roman"/>
          <w:sz w:val="20"/>
        </w:rPr>
      </w:pPr>
      <w:r w:rsidRPr="00FF0228">
        <w:rPr>
          <w:rFonts w:ascii="Times New Roman" w:hAnsi="Times New Roman"/>
          <w:color w:val="000000" w:themeColor="text1"/>
          <w:sz w:val="20"/>
        </w:rPr>
        <w:t>A los Señores Presidente y Directores de</w:t>
      </w:r>
      <w:r w:rsidRPr="00FF0228">
        <w:rPr>
          <w:rFonts w:ascii="Times New Roman" w:hAnsi="Times New Roman"/>
          <w:color w:val="000000" w:themeColor="text1"/>
          <w:sz w:val="20"/>
        </w:rPr>
        <w:br/>
      </w:r>
      <w:r w:rsidRPr="00FF0228">
        <w:rPr>
          <w:rFonts w:ascii="Times New Roman" w:hAnsi="Times New Roman"/>
          <w:sz w:val="20"/>
        </w:rPr>
        <w:t>Banco BBVA Argentina S.A.</w:t>
      </w:r>
      <w:r w:rsidRPr="00FF0228">
        <w:rPr>
          <w:rFonts w:ascii="Times New Roman" w:hAnsi="Times New Roman"/>
          <w:sz w:val="20"/>
        </w:rPr>
        <w:br/>
        <w:t>Domicilio legal: Av. Córdoba 111</w:t>
      </w:r>
      <w:r w:rsidRPr="00FF0228">
        <w:rPr>
          <w:rFonts w:ascii="Times New Roman" w:hAnsi="Times New Roman"/>
          <w:sz w:val="20"/>
        </w:rPr>
        <w:br/>
        <w:t>Ciudad Autónoma de Buenos Aires</w:t>
      </w:r>
      <w:r w:rsidRPr="00FF0228">
        <w:rPr>
          <w:rFonts w:ascii="Times New Roman" w:hAnsi="Times New Roman"/>
          <w:sz w:val="20"/>
        </w:rPr>
        <w:br/>
        <w:t>C.U.I.T. N°: 30-50000319-3</w:t>
      </w:r>
    </w:p>
    <w:p w14:paraId="56A6F8D6" w14:textId="77777777" w:rsidR="00FF0228" w:rsidRPr="00FF0228" w:rsidRDefault="00FF0228" w:rsidP="00FF0228">
      <w:pPr>
        <w:pStyle w:val="Texto0"/>
        <w:spacing w:before="20" w:after="220" w:line="240" w:lineRule="atLeast"/>
        <w:rPr>
          <w:rFonts w:ascii="Times New Roman" w:hAnsi="Times New Roman"/>
          <w:b/>
          <w:i/>
        </w:rPr>
      </w:pPr>
      <w:r w:rsidRPr="00FF0228">
        <w:rPr>
          <w:rFonts w:ascii="Times New Roman" w:hAnsi="Times New Roman"/>
          <w:b/>
          <w:i/>
        </w:rPr>
        <w:t xml:space="preserve">Informe sobre los estados financieros </w:t>
      </w:r>
    </w:p>
    <w:p w14:paraId="5EA4FD36" w14:textId="77777777" w:rsidR="00FF0228" w:rsidRPr="00FF0228" w:rsidRDefault="00FF0228" w:rsidP="00FF0228">
      <w:pPr>
        <w:pStyle w:val="Textoinfaud"/>
        <w:tabs>
          <w:tab w:val="clear" w:pos="720"/>
        </w:tabs>
        <w:spacing w:before="20" w:after="220" w:line="240" w:lineRule="atLeast"/>
        <w:rPr>
          <w:rFonts w:ascii="Times New Roman" w:hAnsi="Times New Roman"/>
          <w:color w:val="000000" w:themeColor="text1"/>
          <w:lang w:val="es-AR"/>
        </w:rPr>
      </w:pPr>
      <w:r w:rsidRPr="00FF0228">
        <w:rPr>
          <w:rFonts w:ascii="Times New Roman" w:hAnsi="Times New Roman"/>
          <w:color w:val="000000" w:themeColor="text1"/>
          <w:lang w:val="es-AR"/>
        </w:rPr>
        <w:t>Hemos revisado los estados financieros consolidados de período intermedio condensados adjuntos de Banco BBVA Argentina S.A. (la “Entidad”) y sus sociedades controladas los que comprenden el estado consolidado condensado de situación financiera al 30 de septiembre de 2021, los estados consolidados condensados de resultados y de otros resultados integrales por los períodos de nueve y tres meses finalizados en esa fecha y los correspondientes estados consolidados condensados de cambios en el patrimonio y de flujos de efectivo por el período de nueve meses finalizado el 30 de septiembre de 2021, Anexos y notas explicativas seleccionadas.</w:t>
      </w:r>
    </w:p>
    <w:p w14:paraId="7A92E7CA" w14:textId="77777777" w:rsidR="00FF0228" w:rsidRPr="00FF0228" w:rsidRDefault="00FF0228" w:rsidP="00FF0228">
      <w:pPr>
        <w:pStyle w:val="Texto0"/>
        <w:spacing w:before="20" w:after="220" w:line="240" w:lineRule="atLeast"/>
        <w:rPr>
          <w:rFonts w:ascii="Times New Roman" w:hAnsi="Times New Roman"/>
          <w:i/>
        </w:rPr>
      </w:pPr>
      <w:r w:rsidRPr="00FF0228">
        <w:rPr>
          <w:rFonts w:ascii="Times New Roman" w:hAnsi="Times New Roman"/>
          <w:i/>
        </w:rPr>
        <w:t xml:space="preserve">Responsabilidad del Directorio y la Gerencia de la Entidad </w:t>
      </w:r>
    </w:p>
    <w:p w14:paraId="70D33527" w14:textId="77777777" w:rsidR="00FF0228" w:rsidRPr="00FF0228" w:rsidRDefault="00FF0228" w:rsidP="00FF0228">
      <w:pPr>
        <w:pStyle w:val="Textoinfaud"/>
        <w:tabs>
          <w:tab w:val="clear" w:pos="720"/>
        </w:tabs>
        <w:spacing w:before="20" w:after="220" w:line="240" w:lineRule="atLeast"/>
        <w:rPr>
          <w:rFonts w:ascii="Times New Roman" w:hAnsi="Times New Roman"/>
          <w:color w:val="000000" w:themeColor="text1"/>
          <w:lang w:val="es-AR"/>
        </w:rPr>
      </w:pPr>
      <w:r w:rsidRPr="00FF0228">
        <w:rPr>
          <w:rFonts w:ascii="Times New Roman" w:hAnsi="Times New Roman"/>
          <w:color w:val="000000" w:themeColor="text1"/>
          <w:lang w:val="es-AR"/>
        </w:rPr>
        <w:t>El Directorio y la Gerencia de la Entidad son responsables por la preparación y presentación de los estados financieros adjuntos de conformidad con el marco de información contable establecido por el Banco Central de la República Argentina (“BCRA”), que, como se indica en la nota 2 a los estados financieros adjuntos, se basa en las Normas Internacionales de Información Financiera (“NIIF”), y en particular para los estados financieros de período intermedio en la Norma Internacional de Contabilidad N° 34 “Información Financiera Intermedia”, tal y como esas normas fueron emitidas por el Consejo de Normas Internacionales de Contabilidad (“IASB” por su sigla en inglés) y adoptadas por la Federación Argentina de Consejos Profesionales de Ciencias Económicas, con las excepciones descriptas en la citada nota 2.</w:t>
      </w:r>
      <w:r w:rsidRPr="00FF0228" w:rsidDel="009A4200">
        <w:rPr>
          <w:rFonts w:ascii="Times New Roman" w:hAnsi="Times New Roman"/>
          <w:color w:val="000000" w:themeColor="text1"/>
          <w:lang w:val="es-AR"/>
        </w:rPr>
        <w:t xml:space="preserve"> </w:t>
      </w:r>
      <w:r w:rsidRPr="00FF0228">
        <w:rPr>
          <w:rFonts w:ascii="Times New Roman" w:hAnsi="Times New Roman"/>
          <w:color w:val="000000" w:themeColor="text1"/>
          <w:lang w:val="es-AR"/>
        </w:rPr>
        <w:t>El Directorio y la Gerencia de la Entidad son también responsables del control interno que consideren necesario para permitir la preparación de información financiera de períodos intermedios libre de distorsiones significativas, ya sea debido a errores o irregularidades.</w:t>
      </w:r>
    </w:p>
    <w:p w14:paraId="71AB1446" w14:textId="77777777" w:rsidR="00FF0228" w:rsidRPr="00FF0228" w:rsidRDefault="00FF0228" w:rsidP="00FF0228">
      <w:pPr>
        <w:pStyle w:val="Texto0"/>
        <w:spacing w:before="20" w:after="220" w:line="240" w:lineRule="atLeast"/>
        <w:rPr>
          <w:rFonts w:ascii="Times New Roman" w:hAnsi="Times New Roman"/>
          <w:i/>
        </w:rPr>
      </w:pPr>
      <w:r w:rsidRPr="00FF0228">
        <w:rPr>
          <w:rFonts w:ascii="Times New Roman" w:hAnsi="Times New Roman"/>
          <w:i/>
        </w:rPr>
        <w:t>Responsabilidad de los auditores y alcance de la revisión</w:t>
      </w:r>
    </w:p>
    <w:p w14:paraId="4B35AC0D" w14:textId="77777777" w:rsidR="00FF0228" w:rsidRPr="00FF0228" w:rsidRDefault="00FF0228" w:rsidP="00FF0228">
      <w:pPr>
        <w:pStyle w:val="Textoinfaud"/>
        <w:tabs>
          <w:tab w:val="clear" w:pos="720"/>
        </w:tabs>
        <w:spacing w:before="20" w:after="220" w:line="240" w:lineRule="atLeast"/>
        <w:rPr>
          <w:rFonts w:ascii="Times New Roman" w:hAnsi="Times New Roman"/>
          <w:color w:val="000000" w:themeColor="text1"/>
          <w:lang w:val="es-AR"/>
        </w:rPr>
      </w:pPr>
      <w:r w:rsidRPr="00FF0228">
        <w:rPr>
          <w:rFonts w:ascii="Times New Roman" w:hAnsi="Times New Roman"/>
          <w:color w:val="000000" w:themeColor="text1"/>
          <w:lang w:val="es-AR"/>
        </w:rPr>
        <w:t>Nuestra responsabilidad consiste en emitir una conclusión sobre los estados financieros consolidados de período intermedio condensados adjuntos basada en nuestra revisión. Hemos efectuado nuestra revisión de acuerdo con las normas de revisión establecidas en la Resolución Técnica N° 37 de la Federación Argentina de Consejos Profesionales de Ciencias Económicas y con las “Normas mínimas sobre Auditorías Externas” emitidas por el BCRA aplicable a la revisión de estados financieros de períodos intermedios. De acuerdo con dichas normas, una revisión consiste principalmente en aplicar procedimientos analíticos y otros procedimientos de revisión sobre la información contable incluida en los estados financieros intermedios y en efectuar indagaciones a los responsables de su elaboración. El alcance de una revisión es sustancialmente menor al de un examen de auditoría practicado de acuerdo con las normas de auditoría vigentes y, por consiguiente, no permite asegurar que todos los asuntos significativos que podrían ser identificados en una auditoría lleguen a nuestro conocimiento. Por lo tanto, no expresamos una opinión de auditoría sobre los estados financieros consolidados de período intermedio condensados.</w:t>
      </w:r>
    </w:p>
    <w:p w14:paraId="65165AD8" w14:textId="77777777" w:rsidR="00FF0228" w:rsidRPr="00FF0228" w:rsidRDefault="00FF0228" w:rsidP="00FF0228">
      <w:pPr>
        <w:pStyle w:val="Texto0"/>
        <w:spacing w:before="20" w:after="220" w:line="240" w:lineRule="atLeast"/>
        <w:rPr>
          <w:rFonts w:ascii="Times New Roman" w:hAnsi="Times New Roman"/>
          <w:i/>
        </w:rPr>
      </w:pPr>
      <w:r w:rsidRPr="00FF0228">
        <w:rPr>
          <w:rFonts w:ascii="Times New Roman" w:hAnsi="Times New Roman"/>
          <w:i/>
        </w:rPr>
        <w:t>Conclusión</w:t>
      </w:r>
    </w:p>
    <w:p w14:paraId="25A7EE6E" w14:textId="77777777" w:rsidR="00FF0228" w:rsidRPr="00FF0228" w:rsidRDefault="00FF0228" w:rsidP="00FF0228">
      <w:pPr>
        <w:pStyle w:val="Textoinfaud"/>
        <w:tabs>
          <w:tab w:val="clear" w:pos="720"/>
        </w:tabs>
        <w:spacing w:before="20" w:after="220" w:line="240" w:lineRule="atLeast"/>
        <w:rPr>
          <w:rFonts w:ascii="Times New Roman" w:hAnsi="Times New Roman"/>
          <w:color w:val="000000" w:themeColor="text1"/>
          <w:lang w:val="es-AR"/>
        </w:rPr>
      </w:pPr>
      <w:r w:rsidRPr="00FF0228">
        <w:rPr>
          <w:rFonts w:ascii="Times New Roman" w:eastAsia="Calibri" w:hAnsi="Times New Roman"/>
          <w:lang w:val="es-AR" w:eastAsia="es-AR"/>
        </w:rPr>
        <w:t>C</w:t>
      </w:r>
      <w:r w:rsidRPr="00FF0228">
        <w:rPr>
          <w:rFonts w:ascii="Times New Roman" w:hAnsi="Times New Roman"/>
          <w:color w:val="000000" w:themeColor="text1"/>
          <w:lang w:val="es-AR"/>
        </w:rPr>
        <w:t>omo resultado de nuestra revisión, nada ha llamado nuestra atención que nos hiciera concluir que los estados financieros consolidados de período intermedio condensados de Banco BBVA Argentina S.A. que se adjuntan no han sido preparados, en todos sus aspectos significativos, de conformidad con el marco de información contable establecido por el BCRA que se describe en nota 2 a los estados financieros consolidados adjuntos.</w:t>
      </w:r>
    </w:p>
    <w:p w14:paraId="3672C342" w14:textId="77777777" w:rsidR="00FF0228" w:rsidRPr="00FF0228" w:rsidRDefault="00FF0228" w:rsidP="00FF0228">
      <w:pPr>
        <w:pStyle w:val="Textoinfaud"/>
        <w:tabs>
          <w:tab w:val="clear" w:pos="720"/>
        </w:tabs>
        <w:spacing w:before="20" w:after="220" w:line="240" w:lineRule="atLeast"/>
        <w:rPr>
          <w:rFonts w:ascii="Times New Roman" w:hAnsi="Times New Roman"/>
          <w:i/>
          <w:lang w:val="es-AR"/>
        </w:rPr>
      </w:pPr>
      <w:r w:rsidRPr="00FF0228">
        <w:rPr>
          <w:rFonts w:ascii="Times New Roman" w:hAnsi="Times New Roman"/>
          <w:i/>
          <w:lang w:val="es-AR"/>
        </w:rPr>
        <w:lastRenderedPageBreak/>
        <w:t>Énfasis sobre ciertas cuestiones reveladas en los estados financieros</w:t>
      </w:r>
    </w:p>
    <w:p w14:paraId="6BB997E3" w14:textId="77777777" w:rsidR="00FF0228" w:rsidRPr="00FF0228" w:rsidRDefault="00FF0228" w:rsidP="00FF0228">
      <w:pPr>
        <w:pStyle w:val="Textoinfaud"/>
        <w:tabs>
          <w:tab w:val="clear" w:pos="720"/>
        </w:tabs>
        <w:spacing w:before="20" w:after="220" w:line="240" w:lineRule="atLeast"/>
        <w:rPr>
          <w:rFonts w:ascii="Times New Roman" w:hAnsi="Times New Roman"/>
          <w:color w:val="000000" w:themeColor="text1"/>
          <w:lang w:val="es-AR"/>
        </w:rPr>
      </w:pPr>
      <w:r w:rsidRPr="00FF0228">
        <w:rPr>
          <w:rFonts w:ascii="Times New Roman" w:hAnsi="Times New Roman"/>
          <w:color w:val="000000" w:themeColor="text1"/>
          <w:lang w:val="es-AR"/>
        </w:rPr>
        <w:t>Sin modificar nuestra conclusión, llamamos la atención de los usuarios de este informe sobre la siguiente información revelada en los estados financieros consolidados de período intermedio condensados adjuntos:</w:t>
      </w:r>
    </w:p>
    <w:p w14:paraId="4A04C24C" w14:textId="77777777" w:rsidR="00FF0228" w:rsidRPr="00FF0228" w:rsidRDefault="00FF0228" w:rsidP="00FF0228">
      <w:pPr>
        <w:pStyle w:val="Textoinfaud"/>
        <w:widowControl/>
        <w:numPr>
          <w:ilvl w:val="0"/>
          <w:numId w:val="71"/>
        </w:numPr>
        <w:tabs>
          <w:tab w:val="clear" w:pos="720"/>
        </w:tabs>
        <w:spacing w:before="20" w:after="220" w:line="240" w:lineRule="atLeast"/>
        <w:ind w:left="426" w:hanging="284"/>
        <w:rPr>
          <w:rFonts w:ascii="Times New Roman" w:hAnsi="Times New Roman"/>
          <w:color w:val="000000" w:themeColor="text1"/>
          <w:lang w:val="es-AR"/>
        </w:rPr>
      </w:pPr>
      <w:r w:rsidRPr="00FF0228">
        <w:rPr>
          <w:rFonts w:ascii="Times New Roman" w:hAnsi="Times New Roman"/>
          <w:color w:val="000000" w:themeColor="text1"/>
          <w:lang w:val="es-AR"/>
        </w:rPr>
        <w:t xml:space="preserve">como se explica en nota 2 a los estados financieros consolidados adjuntos, los mismos han sido preparados por el Directorio y la Gerencia de la Entidad de acuerdo con el marco de información contable establecido por el BCRA.  Dicho marco de información contable difiere de las NIIF en relación con los aspectos descriptos en las notas 2.a), 2.b) y 2.c). </w:t>
      </w:r>
    </w:p>
    <w:p w14:paraId="339EA791" w14:textId="77777777" w:rsidR="00FF0228" w:rsidRPr="00FF0228" w:rsidRDefault="00FF0228" w:rsidP="00FF0228">
      <w:pPr>
        <w:pStyle w:val="Textoinfaud"/>
        <w:tabs>
          <w:tab w:val="clear" w:pos="720"/>
        </w:tabs>
        <w:spacing w:before="20" w:after="220" w:line="240" w:lineRule="atLeast"/>
        <w:rPr>
          <w:rFonts w:ascii="Times New Roman" w:hAnsi="Times New Roman"/>
          <w:b/>
          <w:lang w:val="es-AR"/>
        </w:rPr>
      </w:pPr>
      <w:r w:rsidRPr="00FF0228">
        <w:rPr>
          <w:rFonts w:ascii="Times New Roman" w:hAnsi="Times New Roman"/>
          <w:b/>
          <w:lang w:val="es-AR"/>
        </w:rPr>
        <w:t xml:space="preserve">Informe sobre otros requerimientos legales y regulatorios </w:t>
      </w:r>
    </w:p>
    <w:p w14:paraId="688F23DD" w14:textId="77777777" w:rsidR="00FF0228" w:rsidRPr="00FF0228" w:rsidRDefault="00FF0228" w:rsidP="00FF0228">
      <w:pPr>
        <w:pStyle w:val="Textoinfaud"/>
        <w:tabs>
          <w:tab w:val="clear" w:pos="720"/>
        </w:tabs>
        <w:spacing w:before="20" w:after="220" w:line="240" w:lineRule="atLeast"/>
        <w:rPr>
          <w:rFonts w:ascii="Times New Roman" w:hAnsi="Times New Roman"/>
          <w:color w:val="000000" w:themeColor="text1"/>
          <w:lang w:val="es-AR"/>
        </w:rPr>
      </w:pPr>
      <w:r w:rsidRPr="00FF0228">
        <w:rPr>
          <w:rFonts w:ascii="Times New Roman" w:hAnsi="Times New Roman"/>
          <w:color w:val="000000" w:themeColor="text1"/>
          <w:lang w:val="es-AR"/>
        </w:rPr>
        <w:t>En cumplimiento de disposiciones vigentes informamos que:</w:t>
      </w:r>
    </w:p>
    <w:p w14:paraId="565FCC58" w14:textId="77777777" w:rsidR="00FF0228" w:rsidRPr="00FF0228" w:rsidRDefault="00FF0228" w:rsidP="00FF0228">
      <w:pPr>
        <w:pStyle w:val="Textoinfaud"/>
        <w:widowControl/>
        <w:numPr>
          <w:ilvl w:val="0"/>
          <w:numId w:val="57"/>
        </w:numPr>
        <w:tabs>
          <w:tab w:val="clear" w:pos="720"/>
        </w:tabs>
        <w:spacing w:before="20" w:after="220" w:line="240" w:lineRule="atLeast"/>
        <w:ind w:left="420" w:hanging="434"/>
        <w:rPr>
          <w:rFonts w:ascii="Times New Roman" w:hAnsi="Times New Roman"/>
          <w:color w:val="000000" w:themeColor="text1"/>
          <w:lang w:val="es-AR"/>
        </w:rPr>
      </w:pPr>
      <w:r w:rsidRPr="00FF0228">
        <w:rPr>
          <w:rFonts w:ascii="Times New Roman" w:hAnsi="Times New Roman"/>
          <w:color w:val="000000" w:themeColor="text1"/>
          <w:lang w:val="es-AR"/>
        </w:rPr>
        <w:t>los estados financieros consolidados de período intermedio</w:t>
      </w:r>
      <w:r w:rsidRPr="00FF0228" w:rsidDel="009D6752">
        <w:rPr>
          <w:rFonts w:ascii="Times New Roman" w:hAnsi="Times New Roman"/>
          <w:color w:val="000000" w:themeColor="text1"/>
          <w:lang w:val="es-AR"/>
        </w:rPr>
        <w:t xml:space="preserve"> </w:t>
      </w:r>
      <w:r w:rsidRPr="00FF0228">
        <w:rPr>
          <w:rFonts w:ascii="Times New Roman" w:hAnsi="Times New Roman"/>
          <w:color w:val="000000" w:themeColor="text1"/>
          <w:lang w:val="es-AR"/>
        </w:rPr>
        <w:t xml:space="preserve">condensados </w:t>
      </w:r>
      <w:r w:rsidRPr="00FF0228">
        <w:rPr>
          <w:rFonts w:ascii="Times New Roman" w:hAnsi="Times New Roman"/>
          <w:lang w:val="es-AR"/>
        </w:rPr>
        <w:t>que se adjuntan</w:t>
      </w:r>
      <w:r w:rsidRPr="00FF0228">
        <w:rPr>
          <w:rFonts w:ascii="Times New Roman" w:hAnsi="Times New Roman"/>
          <w:color w:val="000000" w:themeColor="text1"/>
          <w:lang w:val="es-AR"/>
        </w:rPr>
        <w:t xml:space="preserve"> se encuentran pendientes de transcripción en el libro Balances Generales de Publicación, y surgen de registros contables también pendientes de transcripción al Libro Diario;</w:t>
      </w:r>
    </w:p>
    <w:p w14:paraId="342F3DDC" w14:textId="77777777" w:rsidR="00FF0228" w:rsidRPr="00FF0228" w:rsidRDefault="00FF0228" w:rsidP="00FF0228">
      <w:pPr>
        <w:pStyle w:val="Textoinfaud"/>
        <w:widowControl/>
        <w:numPr>
          <w:ilvl w:val="0"/>
          <w:numId w:val="57"/>
        </w:numPr>
        <w:tabs>
          <w:tab w:val="clear" w:pos="720"/>
        </w:tabs>
        <w:spacing w:before="20" w:after="220" w:line="240" w:lineRule="atLeast"/>
        <w:ind w:left="420" w:hanging="434"/>
        <w:rPr>
          <w:rFonts w:ascii="Times New Roman" w:hAnsi="Times New Roman"/>
          <w:color w:val="000000" w:themeColor="text1"/>
          <w:lang w:val="es-AR"/>
        </w:rPr>
      </w:pPr>
      <w:r w:rsidRPr="00FF0228">
        <w:rPr>
          <w:rFonts w:ascii="Times New Roman" w:hAnsi="Times New Roman"/>
          <w:color w:val="000000" w:themeColor="text1"/>
          <w:lang w:val="es-AR"/>
        </w:rPr>
        <w:t>las cifras de los referidos estados financieros consolidados de período intermedio condensados que se adjuntan surgen de aplicar los procedimientos de consolidación establecidos por el marco de información contable establecido por el B.C.R.A. a partir de los estados financieros separados de las sociedades que integran el grupo económico, las que se detallan en nota 1.1 a los estados financieros adjuntos consolidados condensados de período intermedio;</w:t>
      </w:r>
    </w:p>
    <w:p w14:paraId="1364FE5C" w14:textId="77777777" w:rsidR="00FF0228" w:rsidRPr="00FF0228" w:rsidRDefault="00FF0228" w:rsidP="00FF0228">
      <w:pPr>
        <w:pStyle w:val="Textoinfaud"/>
        <w:widowControl/>
        <w:numPr>
          <w:ilvl w:val="0"/>
          <w:numId w:val="57"/>
        </w:numPr>
        <w:spacing w:before="20" w:after="220" w:line="240" w:lineRule="atLeast"/>
        <w:ind w:left="420" w:hanging="434"/>
        <w:rPr>
          <w:rFonts w:ascii="Times New Roman" w:hAnsi="Times New Roman"/>
          <w:color w:val="000000" w:themeColor="text1"/>
          <w:lang w:val="es-AR"/>
        </w:rPr>
      </w:pPr>
      <w:r w:rsidRPr="00FF0228">
        <w:rPr>
          <w:rFonts w:ascii="Times New Roman" w:hAnsi="Times New Roman"/>
          <w:iCs/>
          <w:color w:val="000000" w:themeColor="text1"/>
          <w:lang w:val="es-AR"/>
        </w:rPr>
        <w:t xml:space="preserve">al </w:t>
      </w:r>
      <w:r w:rsidRPr="00FF0228">
        <w:rPr>
          <w:rFonts w:ascii="Times New Roman" w:hAnsi="Times New Roman"/>
          <w:color w:val="000000" w:themeColor="text1"/>
          <w:lang w:val="es-AR"/>
        </w:rPr>
        <w:t>30 de septiembre de 2021</w:t>
      </w:r>
      <w:r w:rsidRPr="00FF0228">
        <w:rPr>
          <w:rFonts w:ascii="Times New Roman" w:hAnsi="Times New Roman"/>
          <w:iCs/>
          <w:color w:val="000000" w:themeColor="text1"/>
          <w:lang w:val="es-AR"/>
        </w:rPr>
        <w:t xml:space="preserve">, según surge de la nota 52 a los estados financieros consolidados de período intermedio </w:t>
      </w:r>
      <w:r w:rsidRPr="00FF0228">
        <w:rPr>
          <w:rFonts w:ascii="Times New Roman" w:hAnsi="Times New Roman"/>
          <w:color w:val="000000" w:themeColor="text1"/>
          <w:lang w:val="es-AR"/>
        </w:rPr>
        <w:t xml:space="preserve">condensados </w:t>
      </w:r>
      <w:r w:rsidRPr="00FF0228">
        <w:rPr>
          <w:rFonts w:ascii="Times New Roman" w:hAnsi="Times New Roman"/>
          <w:iCs/>
          <w:color w:val="000000" w:themeColor="text1"/>
          <w:lang w:val="es-AR"/>
        </w:rPr>
        <w:t>adjuntos, la Entidad posee un patrimonio neto y una contrapartida en activos elegibles que exceden los importes mínimos requeridos por las normas pertinentes de la Comisión Nacional de Valores (“CNV”) para dichos conceptos;</w:t>
      </w:r>
    </w:p>
    <w:p w14:paraId="247ED64E" w14:textId="77777777" w:rsidR="00FF0228" w:rsidRPr="00FF0228" w:rsidRDefault="00FF0228" w:rsidP="00FF0228">
      <w:pPr>
        <w:pStyle w:val="Textoinfaud"/>
        <w:widowControl/>
        <w:numPr>
          <w:ilvl w:val="0"/>
          <w:numId w:val="57"/>
        </w:numPr>
        <w:tabs>
          <w:tab w:val="clear" w:pos="720"/>
        </w:tabs>
        <w:spacing w:before="20" w:after="220" w:line="240" w:lineRule="atLeast"/>
        <w:ind w:left="420" w:hanging="434"/>
        <w:rPr>
          <w:rFonts w:ascii="Times New Roman" w:hAnsi="Times New Roman"/>
          <w:iCs/>
          <w:color w:val="000000" w:themeColor="text1"/>
          <w:lang w:val="es-AR"/>
        </w:rPr>
      </w:pPr>
      <w:r w:rsidRPr="00FF0228">
        <w:rPr>
          <w:rFonts w:ascii="Times New Roman" w:hAnsi="Times New Roman"/>
          <w:iCs/>
          <w:color w:val="000000" w:themeColor="text1"/>
          <w:lang w:val="es-AR"/>
        </w:rPr>
        <w:t xml:space="preserve">hemos leído la reseña informativa </w:t>
      </w:r>
      <w:r w:rsidRPr="00FF0228">
        <w:rPr>
          <w:rFonts w:ascii="Times New Roman" w:hAnsi="Times New Roman"/>
          <w:color w:val="000000" w:themeColor="text1"/>
          <w:lang w:val="es-AR"/>
        </w:rPr>
        <w:t>(secciones “Estructura patrimonial”, “Estructura de resultados”, “Estructura del flujo de efectivo”, “Datos estadísticos” e “Índices”)</w:t>
      </w:r>
      <w:r w:rsidRPr="00FF0228">
        <w:rPr>
          <w:rFonts w:ascii="Times New Roman" w:hAnsi="Times New Roman"/>
          <w:iCs/>
          <w:color w:val="000000" w:themeColor="text1"/>
          <w:lang w:val="es-AR"/>
        </w:rPr>
        <w:t xml:space="preserve">, sobre las cuales, en lo que es materia de nuestra competencia no tenemos observaciones que formular; y </w:t>
      </w:r>
    </w:p>
    <w:p w14:paraId="30F041BB" w14:textId="77777777" w:rsidR="00FF0228" w:rsidRPr="00FF0228" w:rsidRDefault="00FF0228" w:rsidP="00FF0228">
      <w:pPr>
        <w:pStyle w:val="Textoinfaud"/>
        <w:widowControl/>
        <w:numPr>
          <w:ilvl w:val="0"/>
          <w:numId w:val="57"/>
        </w:numPr>
        <w:tabs>
          <w:tab w:val="clear" w:pos="720"/>
        </w:tabs>
        <w:spacing w:before="20" w:after="220" w:line="240" w:lineRule="atLeast"/>
        <w:ind w:left="420" w:hanging="434"/>
        <w:rPr>
          <w:rFonts w:ascii="Times New Roman" w:hAnsi="Times New Roman"/>
          <w:color w:val="000000" w:themeColor="text1"/>
          <w:lang w:val="es-AR"/>
        </w:rPr>
      </w:pPr>
      <w:r w:rsidRPr="00FF0228">
        <w:rPr>
          <w:rFonts w:ascii="Times New Roman" w:hAnsi="Times New Roman"/>
          <w:color w:val="000000" w:themeColor="text1"/>
          <w:lang w:val="es-AR"/>
        </w:rPr>
        <w:t xml:space="preserve">al 30 de septiembre de 2021, la deuda devengada en concepto de aportes y contribuciones con destino al Sistema Integrado Previsional Argentino, que surge de los registros contables de la Entidad asciende a </w:t>
      </w:r>
      <w:r w:rsidRPr="00FF0228">
        <w:rPr>
          <w:rFonts w:ascii="Times New Roman" w:hAnsi="Times New Roman"/>
          <w:color w:val="000000" w:themeColor="text1"/>
          <w:lang w:val="es-AR"/>
        </w:rPr>
        <w:br/>
        <w:t>$ 398.243.838, no siendo exigible a esa fecha.</w:t>
      </w:r>
    </w:p>
    <w:p w14:paraId="0C168325" w14:textId="77777777" w:rsidR="00FF0228" w:rsidRPr="00FF0228" w:rsidRDefault="00FF0228" w:rsidP="00FF0228">
      <w:pPr>
        <w:pStyle w:val="Textoinfaud"/>
        <w:tabs>
          <w:tab w:val="clear" w:pos="720"/>
        </w:tabs>
        <w:spacing w:before="20" w:after="220" w:line="240" w:lineRule="exact"/>
        <w:rPr>
          <w:rFonts w:ascii="Times New Roman" w:hAnsi="Times New Roman"/>
          <w:color w:val="000000" w:themeColor="text1"/>
          <w:lang w:val="es-AR"/>
        </w:rPr>
      </w:pPr>
      <w:r w:rsidRPr="00FF0228">
        <w:rPr>
          <w:rFonts w:ascii="Times New Roman" w:hAnsi="Times New Roman"/>
          <w:color w:val="000000" w:themeColor="text1"/>
          <w:lang w:val="es-AR"/>
        </w:rPr>
        <w:t>Ciudad Autónoma de Buenos Aires, 24 de noviembre de 2021</w:t>
      </w:r>
    </w:p>
    <w:p w14:paraId="56B1DE9C" w14:textId="77777777" w:rsidR="00FF0228" w:rsidRPr="00FF0228" w:rsidRDefault="00FF0228" w:rsidP="00FF0228">
      <w:pPr>
        <w:pStyle w:val="Lilianita"/>
        <w:widowControl w:val="0"/>
        <w:tabs>
          <w:tab w:val="center" w:pos="1985"/>
        </w:tabs>
        <w:spacing w:line="240" w:lineRule="atLeast"/>
        <w:rPr>
          <w:rFonts w:ascii="Times New Roman" w:hAnsi="Times New Roman"/>
          <w:lang w:val="es-ES_tradnl"/>
        </w:rPr>
      </w:pPr>
      <w:r w:rsidRPr="00FF0228">
        <w:rPr>
          <w:rFonts w:ascii="Times New Roman" w:hAnsi="Times New Roman"/>
          <w:lang w:val="es-ES_tradnl"/>
        </w:rPr>
        <w:tab/>
        <w:t>KPMG</w:t>
      </w:r>
    </w:p>
    <w:p w14:paraId="00B5DB0C" w14:textId="77777777" w:rsidR="00FF0228" w:rsidRPr="00FF0228" w:rsidRDefault="00FF0228" w:rsidP="00FF0228">
      <w:pPr>
        <w:widowControl w:val="0"/>
        <w:tabs>
          <w:tab w:val="center" w:pos="1985"/>
        </w:tabs>
        <w:spacing w:line="240" w:lineRule="atLeast"/>
        <w:rPr>
          <w:rFonts w:ascii="Times New Roman" w:hAnsi="Times New Roman"/>
          <w:sz w:val="20"/>
          <w:lang w:val="es-ES_tradnl"/>
        </w:rPr>
      </w:pPr>
      <w:r w:rsidRPr="00FF0228">
        <w:rPr>
          <w:rFonts w:ascii="Times New Roman" w:hAnsi="Times New Roman"/>
          <w:sz w:val="20"/>
          <w:lang w:val="es-ES_tradnl"/>
        </w:rPr>
        <w:tab/>
        <w:t>Reg. de Asoc. Prof. CPCECABA Tº 2 Fº 6</w:t>
      </w:r>
    </w:p>
    <w:p w14:paraId="5BA0FCB3" w14:textId="77777777" w:rsidR="00FF0228" w:rsidRPr="00FF0228" w:rsidRDefault="00FF0228" w:rsidP="00FF0228">
      <w:pPr>
        <w:widowControl w:val="0"/>
        <w:tabs>
          <w:tab w:val="center" w:pos="1985"/>
        </w:tabs>
        <w:spacing w:line="240" w:lineRule="atLeast"/>
        <w:ind w:right="12"/>
        <w:rPr>
          <w:rFonts w:ascii="Times New Roman" w:hAnsi="Times New Roman"/>
          <w:sz w:val="20"/>
          <w:lang w:val="es-ES_tradnl"/>
        </w:rPr>
      </w:pPr>
    </w:p>
    <w:p w14:paraId="4A0B58B6" w14:textId="77777777" w:rsidR="00FF0228" w:rsidRPr="00FF0228" w:rsidRDefault="00FF0228" w:rsidP="00FF0228">
      <w:pPr>
        <w:widowControl w:val="0"/>
        <w:tabs>
          <w:tab w:val="center" w:pos="1985"/>
        </w:tabs>
        <w:ind w:right="12"/>
        <w:rPr>
          <w:rFonts w:ascii="Times New Roman" w:hAnsi="Times New Roman"/>
          <w:sz w:val="20"/>
          <w:lang w:val="es-ES_tradnl"/>
        </w:rPr>
      </w:pPr>
      <w:r w:rsidRPr="00FF0228">
        <w:rPr>
          <w:rFonts w:ascii="Times New Roman" w:hAnsi="Times New Roman"/>
          <w:sz w:val="20"/>
          <w:lang w:val="es-ES_tradnl"/>
        </w:rPr>
        <w:tab/>
        <w:t>Mauricio G. Eidelstein</w:t>
      </w:r>
    </w:p>
    <w:p w14:paraId="305722D2" w14:textId="77777777" w:rsidR="00FF0228" w:rsidRPr="00FF0228" w:rsidRDefault="00FF0228" w:rsidP="00FF0228">
      <w:pPr>
        <w:widowControl w:val="0"/>
        <w:tabs>
          <w:tab w:val="center" w:pos="1985"/>
        </w:tabs>
        <w:ind w:right="12"/>
        <w:rPr>
          <w:rFonts w:ascii="Times New Roman" w:hAnsi="Times New Roman"/>
          <w:i/>
          <w:sz w:val="20"/>
          <w:lang w:val="es-ES_tradnl"/>
        </w:rPr>
      </w:pPr>
      <w:r w:rsidRPr="00FF0228">
        <w:rPr>
          <w:rFonts w:ascii="Times New Roman" w:hAnsi="Times New Roman"/>
          <w:i/>
          <w:sz w:val="20"/>
          <w:lang w:val="es-ES_tradnl"/>
        </w:rPr>
        <w:tab/>
        <w:t>Socio</w:t>
      </w:r>
    </w:p>
    <w:p w14:paraId="19DFB0ED" w14:textId="77777777" w:rsidR="00FF0228" w:rsidRPr="00FF0228" w:rsidRDefault="00FF0228" w:rsidP="00FF0228">
      <w:pPr>
        <w:widowControl w:val="0"/>
        <w:tabs>
          <w:tab w:val="center" w:pos="1985"/>
        </w:tabs>
        <w:ind w:right="12"/>
        <w:rPr>
          <w:rFonts w:ascii="Times New Roman" w:hAnsi="Times New Roman"/>
          <w:sz w:val="20"/>
          <w:lang w:val="es-ES_tradnl"/>
        </w:rPr>
      </w:pPr>
      <w:r w:rsidRPr="00FF0228">
        <w:rPr>
          <w:rFonts w:ascii="Times New Roman" w:hAnsi="Times New Roman"/>
          <w:sz w:val="20"/>
          <w:lang w:val="es-ES_tradnl"/>
        </w:rPr>
        <w:tab/>
        <w:t>Contador Público (UBA)</w:t>
      </w:r>
    </w:p>
    <w:p w14:paraId="35933762" w14:textId="77777777" w:rsidR="00FF0228" w:rsidRPr="00FF0228" w:rsidRDefault="00FF0228" w:rsidP="00FF0228">
      <w:pPr>
        <w:widowControl w:val="0"/>
        <w:tabs>
          <w:tab w:val="center" w:pos="1985"/>
        </w:tabs>
        <w:ind w:right="12"/>
        <w:rPr>
          <w:rFonts w:ascii="Times New Roman" w:hAnsi="Times New Roman"/>
          <w:sz w:val="20"/>
          <w:lang w:val="es-ES_tradnl"/>
        </w:rPr>
      </w:pPr>
      <w:r w:rsidRPr="00FF0228">
        <w:rPr>
          <w:rFonts w:ascii="Times New Roman" w:hAnsi="Times New Roman"/>
          <w:sz w:val="20"/>
          <w:lang w:val="es-ES_tradnl"/>
        </w:rPr>
        <w:tab/>
        <w:t>CPCECABA Tº CXX Fº 228</w:t>
      </w:r>
    </w:p>
    <w:p w14:paraId="4C674DDB" w14:textId="77777777" w:rsidR="00FF0228" w:rsidRPr="00FF0228" w:rsidRDefault="00FF0228" w:rsidP="00142B84">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3222B27C" w14:textId="77777777" w:rsidR="00FF0228" w:rsidRPr="00FF0228" w:rsidRDefault="00FF0228" w:rsidP="00142B84">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5339532F" w14:textId="77777777" w:rsidR="00142B84" w:rsidRDefault="00142B84" w:rsidP="00142B84">
      <w:pPr>
        <w:pStyle w:val="Textoinfaud"/>
        <w:tabs>
          <w:tab w:val="clear" w:pos="720"/>
        </w:tabs>
        <w:spacing w:before="20" w:after="220" w:line="240" w:lineRule="atLeast"/>
        <w:rPr>
          <w:rFonts w:ascii="Times New Roman" w:hAnsi="Times New Roman"/>
          <w:color w:val="000000" w:themeColor="text1"/>
        </w:rPr>
      </w:pPr>
    </w:p>
    <w:p w14:paraId="6ED32553" w14:textId="77777777" w:rsidR="00FF0228" w:rsidRDefault="00FF0228" w:rsidP="00142B84">
      <w:pPr>
        <w:pStyle w:val="Textoinfaud"/>
        <w:tabs>
          <w:tab w:val="clear" w:pos="720"/>
        </w:tabs>
        <w:spacing w:before="20" w:after="220" w:line="240" w:lineRule="atLeast"/>
        <w:rPr>
          <w:rFonts w:ascii="Times New Roman" w:hAnsi="Times New Roman"/>
          <w:color w:val="000000" w:themeColor="text1"/>
        </w:rPr>
      </w:pPr>
    </w:p>
    <w:p w14:paraId="6F771F22" w14:textId="77777777" w:rsidR="00DE140D" w:rsidRPr="00110E8B" w:rsidRDefault="00DE140D" w:rsidP="0089396C">
      <w:pPr>
        <w:ind w:right="-427"/>
        <w:rPr>
          <w:rFonts w:ascii="Times New Roman" w:hAnsi="Times New Roman"/>
          <w:b/>
          <w:sz w:val="20"/>
        </w:rPr>
      </w:pPr>
    </w:p>
    <w:p w14:paraId="10FBF077" w14:textId="29DA2692" w:rsidR="00240D1E" w:rsidRDefault="00240D1E" w:rsidP="00535102">
      <w:pPr>
        <w:rPr>
          <w:rFonts w:ascii="Times New Roman" w:hAnsi="Times New Roman"/>
          <w:b/>
          <w:sz w:val="20"/>
        </w:rPr>
      </w:pPr>
    </w:p>
    <w:p w14:paraId="2BE5A511" w14:textId="77777777" w:rsidR="00780CFF" w:rsidRDefault="00780CFF" w:rsidP="008E4876">
      <w:pPr>
        <w:jc w:val="center"/>
        <w:rPr>
          <w:rFonts w:ascii="Times New Roman" w:hAnsi="Times New Roman"/>
          <w:b/>
          <w:sz w:val="20"/>
        </w:rPr>
      </w:pPr>
    </w:p>
    <w:p w14:paraId="68E6A0F9" w14:textId="77777777" w:rsidR="00FF0228" w:rsidRDefault="00FF0228" w:rsidP="008E4876">
      <w:pPr>
        <w:jc w:val="center"/>
        <w:rPr>
          <w:rFonts w:ascii="Times New Roman" w:hAnsi="Times New Roman"/>
          <w:b/>
          <w:sz w:val="20"/>
        </w:rPr>
      </w:pPr>
    </w:p>
    <w:p w14:paraId="731C909C" w14:textId="77777777" w:rsidR="00FF0228" w:rsidRDefault="00FF0228" w:rsidP="008E4876">
      <w:pPr>
        <w:jc w:val="center"/>
        <w:rPr>
          <w:rFonts w:ascii="Times New Roman" w:hAnsi="Times New Roman"/>
          <w:b/>
          <w:sz w:val="20"/>
        </w:rPr>
      </w:pPr>
    </w:p>
    <w:p w14:paraId="29E4ABEE" w14:textId="77777777" w:rsidR="00FF0228" w:rsidRDefault="00FF0228" w:rsidP="008E4876">
      <w:pPr>
        <w:jc w:val="center"/>
        <w:rPr>
          <w:rFonts w:ascii="Times New Roman" w:hAnsi="Times New Roman"/>
          <w:b/>
          <w:sz w:val="20"/>
        </w:rPr>
      </w:pPr>
    </w:p>
    <w:p w14:paraId="44A49BA8" w14:textId="77777777" w:rsidR="00FF0228" w:rsidRDefault="00FF0228" w:rsidP="008E4876">
      <w:pPr>
        <w:jc w:val="center"/>
        <w:rPr>
          <w:rFonts w:ascii="Times New Roman" w:hAnsi="Times New Roman"/>
          <w:b/>
          <w:sz w:val="20"/>
        </w:rPr>
      </w:pPr>
    </w:p>
    <w:p w14:paraId="79F45FD5" w14:textId="77777777" w:rsidR="00FF0228" w:rsidRDefault="00FF0228" w:rsidP="008E4876">
      <w:pPr>
        <w:jc w:val="center"/>
        <w:rPr>
          <w:rFonts w:ascii="Times New Roman" w:hAnsi="Times New Roman"/>
          <w:b/>
          <w:sz w:val="20"/>
        </w:rPr>
        <w:sectPr w:rsidR="00FF0228" w:rsidSect="00E51858">
          <w:headerReference w:type="default" r:id="rId111"/>
          <w:footerReference w:type="default" r:id="rId112"/>
          <w:footnotePr>
            <w:numStart w:val="0"/>
          </w:footnotePr>
          <w:pgSz w:w="11907" w:h="16840" w:code="9"/>
          <w:pgMar w:top="1134" w:right="1418" w:bottom="851" w:left="1418" w:header="709" w:footer="202" w:gutter="0"/>
          <w:pgNumType w:fmt="numberInDash" w:start="78" w:chapSep="enDash"/>
          <w:cols w:space="560"/>
        </w:sectPr>
      </w:pPr>
    </w:p>
    <w:p w14:paraId="62D221BC" w14:textId="77777777" w:rsidR="00FF0228" w:rsidRDefault="00FF0228" w:rsidP="008E4876">
      <w:pPr>
        <w:jc w:val="center"/>
        <w:rPr>
          <w:rFonts w:ascii="Times New Roman" w:hAnsi="Times New Roman"/>
          <w:b/>
          <w:sz w:val="20"/>
        </w:rPr>
      </w:pPr>
    </w:p>
    <w:p w14:paraId="326514F8" w14:textId="77777777" w:rsidR="00FF0228" w:rsidRDefault="00FF0228" w:rsidP="008E4876">
      <w:pPr>
        <w:jc w:val="center"/>
        <w:rPr>
          <w:rFonts w:ascii="Times New Roman" w:hAnsi="Times New Roman"/>
          <w:b/>
          <w:sz w:val="20"/>
        </w:rPr>
      </w:pPr>
    </w:p>
    <w:p w14:paraId="44464501" w14:textId="2D623706" w:rsidR="00EB62F8" w:rsidRDefault="00441FA8" w:rsidP="008E4876">
      <w:pPr>
        <w:jc w:val="center"/>
        <w:rPr>
          <w:rFonts w:ascii="Times New Roman" w:hAnsi="Times New Roman"/>
          <w:b/>
          <w:sz w:val="20"/>
        </w:rPr>
      </w:pPr>
      <w:r w:rsidRPr="00441FA8">
        <w:rPr>
          <w:noProof/>
          <w:lang w:eastAsia="es-AR"/>
        </w:rPr>
        <w:drawing>
          <wp:inline distT="0" distB="0" distL="0" distR="0" wp14:anchorId="2FAFD145" wp14:editId="6EFC4C4E">
            <wp:extent cx="6233160" cy="6551874"/>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43220" cy="6562448"/>
                    </a:xfrm>
                    <a:prstGeom prst="rect">
                      <a:avLst/>
                    </a:prstGeom>
                    <a:noFill/>
                    <a:ln>
                      <a:noFill/>
                    </a:ln>
                  </pic:spPr>
                </pic:pic>
              </a:graphicData>
            </a:graphic>
          </wp:inline>
        </w:drawing>
      </w:r>
    </w:p>
    <w:p w14:paraId="22C82B04" w14:textId="5C72B63A" w:rsidR="00240D1E" w:rsidRPr="00110E8B" w:rsidRDefault="001C740A" w:rsidP="008E4876">
      <w:pPr>
        <w:jc w:val="center"/>
        <w:rPr>
          <w:rFonts w:ascii="Times New Roman" w:hAnsi="Times New Roman"/>
          <w:b/>
          <w:sz w:val="20"/>
        </w:rPr>
      </w:pPr>
      <w:r w:rsidRPr="001C740A">
        <w:rPr>
          <w:noProof/>
          <w:lang w:eastAsia="es-AR"/>
        </w:rPr>
        <w:lastRenderedPageBreak/>
        <w:drawing>
          <wp:inline distT="0" distB="0" distL="0" distR="0" wp14:anchorId="6BC55E33" wp14:editId="337F7C68">
            <wp:extent cx="6136894" cy="6512118"/>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39597" cy="6514986"/>
                    </a:xfrm>
                    <a:prstGeom prst="rect">
                      <a:avLst/>
                    </a:prstGeom>
                    <a:noFill/>
                    <a:ln>
                      <a:noFill/>
                    </a:ln>
                  </pic:spPr>
                </pic:pic>
              </a:graphicData>
            </a:graphic>
          </wp:inline>
        </w:drawing>
      </w:r>
    </w:p>
    <w:p w14:paraId="07CE92AF" w14:textId="04369101" w:rsidR="00C21860" w:rsidRPr="00110E8B" w:rsidRDefault="00C21860" w:rsidP="00E2117F">
      <w:pPr>
        <w:pStyle w:val="Puesto"/>
        <w:ind w:left="0" w:right="-499" w:firstLine="0"/>
        <w:rPr>
          <w:rFonts w:ascii="Times New Roman" w:hAnsi="Times New Roman"/>
          <w:sz w:val="20"/>
        </w:rPr>
      </w:pPr>
    </w:p>
    <w:p w14:paraId="6C9C7776" w14:textId="0EE97160" w:rsidR="00C21860" w:rsidRDefault="00C21860" w:rsidP="00E2117F">
      <w:pPr>
        <w:pStyle w:val="Puesto"/>
        <w:ind w:left="0" w:right="-499" w:firstLine="0"/>
        <w:rPr>
          <w:rFonts w:ascii="Times New Roman" w:hAnsi="Times New Roman"/>
          <w:sz w:val="20"/>
        </w:rPr>
      </w:pPr>
    </w:p>
    <w:p w14:paraId="5779D109" w14:textId="77777777" w:rsidR="00FD3232" w:rsidRDefault="00FD3232" w:rsidP="00E2117F">
      <w:pPr>
        <w:pStyle w:val="Puesto"/>
        <w:ind w:left="0" w:right="-499" w:firstLine="0"/>
        <w:rPr>
          <w:rFonts w:ascii="Times New Roman" w:hAnsi="Times New Roman"/>
          <w:sz w:val="20"/>
        </w:rPr>
      </w:pPr>
    </w:p>
    <w:p w14:paraId="7755211E" w14:textId="77777777" w:rsidR="00FD3232" w:rsidRDefault="00FD3232" w:rsidP="00E2117F">
      <w:pPr>
        <w:pStyle w:val="Puesto"/>
        <w:ind w:left="0" w:right="-499" w:firstLine="0"/>
        <w:rPr>
          <w:rFonts w:ascii="Times New Roman" w:hAnsi="Times New Roman"/>
          <w:sz w:val="20"/>
        </w:rPr>
      </w:pPr>
    </w:p>
    <w:p w14:paraId="17E47223" w14:textId="77777777" w:rsidR="00FD3232" w:rsidRDefault="00FD3232" w:rsidP="00E2117F">
      <w:pPr>
        <w:pStyle w:val="Puesto"/>
        <w:ind w:left="0" w:right="-499" w:firstLine="0"/>
        <w:rPr>
          <w:rFonts w:ascii="Times New Roman" w:hAnsi="Times New Roman"/>
          <w:sz w:val="20"/>
        </w:rPr>
      </w:pPr>
    </w:p>
    <w:p w14:paraId="31FB7478" w14:textId="77777777" w:rsidR="00FD3232" w:rsidRPr="00110E8B" w:rsidRDefault="00FD3232" w:rsidP="00E2117F">
      <w:pPr>
        <w:pStyle w:val="Puesto"/>
        <w:ind w:left="0" w:right="-499" w:firstLine="0"/>
        <w:rPr>
          <w:rFonts w:ascii="Times New Roman" w:hAnsi="Times New Roman"/>
          <w:sz w:val="20"/>
        </w:rPr>
      </w:pPr>
    </w:p>
    <w:p w14:paraId="1903A54F" w14:textId="436515F0" w:rsidR="00213A7B" w:rsidRDefault="00213A7B" w:rsidP="00E2117F">
      <w:pPr>
        <w:pStyle w:val="Puesto"/>
        <w:ind w:left="0" w:right="-499" w:firstLine="0"/>
        <w:rPr>
          <w:rFonts w:ascii="Times New Roman" w:hAnsi="Times New Roman"/>
          <w:sz w:val="20"/>
        </w:rPr>
      </w:pPr>
    </w:p>
    <w:p w14:paraId="683C8233" w14:textId="51E1C390" w:rsidR="00B63437" w:rsidRDefault="00E40A95" w:rsidP="00E2117F">
      <w:pPr>
        <w:pStyle w:val="Puesto"/>
        <w:ind w:left="0" w:right="-499" w:firstLine="0"/>
        <w:rPr>
          <w:rFonts w:ascii="Times New Roman" w:hAnsi="Times New Roman"/>
          <w:sz w:val="20"/>
        </w:rPr>
      </w:pPr>
      <w:r w:rsidRPr="00E40A95">
        <w:rPr>
          <w:noProof/>
          <w:lang w:eastAsia="es-AR"/>
        </w:rPr>
        <w:drawing>
          <wp:inline distT="0" distB="0" distL="0" distR="0" wp14:anchorId="17400CC1" wp14:editId="08403862">
            <wp:extent cx="5760085" cy="4494831"/>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85" cy="4494831"/>
                    </a:xfrm>
                    <a:prstGeom prst="rect">
                      <a:avLst/>
                    </a:prstGeom>
                    <a:noFill/>
                    <a:ln>
                      <a:noFill/>
                    </a:ln>
                  </pic:spPr>
                </pic:pic>
              </a:graphicData>
            </a:graphic>
          </wp:inline>
        </w:drawing>
      </w:r>
    </w:p>
    <w:p w14:paraId="7D860933" w14:textId="463B92EB" w:rsidR="006C7C86" w:rsidRDefault="006C7C86" w:rsidP="00E2117F">
      <w:pPr>
        <w:pStyle w:val="Puesto"/>
        <w:ind w:left="0" w:right="-499" w:firstLine="0"/>
        <w:rPr>
          <w:rFonts w:ascii="Times New Roman" w:hAnsi="Times New Roman"/>
          <w:sz w:val="20"/>
        </w:rPr>
      </w:pPr>
    </w:p>
    <w:p w14:paraId="7157973A" w14:textId="77777777" w:rsidR="005A0CE7" w:rsidRDefault="005A0CE7" w:rsidP="00E2117F">
      <w:pPr>
        <w:pStyle w:val="Puesto"/>
        <w:ind w:left="0" w:right="-499" w:firstLine="0"/>
        <w:rPr>
          <w:rFonts w:ascii="Times New Roman" w:hAnsi="Times New Roman"/>
          <w:sz w:val="20"/>
        </w:rPr>
      </w:pPr>
    </w:p>
    <w:p w14:paraId="2F80654C" w14:textId="77777777" w:rsidR="005A0CE7" w:rsidRDefault="005A0CE7" w:rsidP="00E2117F">
      <w:pPr>
        <w:pStyle w:val="Puesto"/>
        <w:ind w:left="0" w:right="-499" w:firstLine="0"/>
        <w:rPr>
          <w:rFonts w:ascii="Times New Roman" w:hAnsi="Times New Roman"/>
          <w:sz w:val="20"/>
        </w:rPr>
      </w:pPr>
    </w:p>
    <w:p w14:paraId="6BBADD5D" w14:textId="77777777" w:rsidR="005A0CE7" w:rsidRDefault="005A0CE7" w:rsidP="00E2117F">
      <w:pPr>
        <w:pStyle w:val="Puesto"/>
        <w:ind w:left="0" w:right="-499" w:firstLine="0"/>
        <w:rPr>
          <w:rFonts w:ascii="Times New Roman" w:hAnsi="Times New Roman"/>
          <w:sz w:val="20"/>
        </w:rPr>
      </w:pPr>
    </w:p>
    <w:p w14:paraId="7ACB20EF" w14:textId="77777777" w:rsidR="005A0CE7" w:rsidRDefault="005A0CE7" w:rsidP="00E2117F">
      <w:pPr>
        <w:pStyle w:val="Puesto"/>
        <w:ind w:left="0" w:right="-499" w:firstLine="0"/>
        <w:rPr>
          <w:rFonts w:ascii="Times New Roman" w:hAnsi="Times New Roman"/>
          <w:sz w:val="20"/>
        </w:rPr>
      </w:pPr>
    </w:p>
    <w:p w14:paraId="5DBB5D3E" w14:textId="77777777" w:rsidR="005A0CE7" w:rsidRDefault="005A0CE7" w:rsidP="00E2117F">
      <w:pPr>
        <w:pStyle w:val="Puesto"/>
        <w:ind w:left="0" w:right="-499" w:firstLine="0"/>
        <w:rPr>
          <w:rFonts w:ascii="Times New Roman" w:hAnsi="Times New Roman"/>
          <w:sz w:val="20"/>
        </w:rPr>
      </w:pPr>
    </w:p>
    <w:p w14:paraId="77F50D6E" w14:textId="77777777" w:rsidR="005A0CE7" w:rsidRDefault="005A0CE7" w:rsidP="00E2117F">
      <w:pPr>
        <w:pStyle w:val="Puesto"/>
        <w:ind w:left="0" w:right="-499" w:firstLine="0"/>
        <w:rPr>
          <w:rFonts w:ascii="Times New Roman" w:hAnsi="Times New Roman"/>
          <w:sz w:val="20"/>
        </w:rPr>
      </w:pPr>
    </w:p>
    <w:p w14:paraId="0F11231C" w14:textId="77777777" w:rsidR="005A0CE7" w:rsidRDefault="005A0CE7" w:rsidP="00E2117F">
      <w:pPr>
        <w:pStyle w:val="Puesto"/>
        <w:ind w:left="0" w:right="-499" w:firstLine="0"/>
        <w:rPr>
          <w:rFonts w:ascii="Times New Roman" w:hAnsi="Times New Roman"/>
          <w:sz w:val="20"/>
        </w:rPr>
      </w:pPr>
    </w:p>
    <w:p w14:paraId="1F7C9D40" w14:textId="77777777" w:rsidR="005A0CE7" w:rsidRDefault="005A0CE7" w:rsidP="00E2117F">
      <w:pPr>
        <w:pStyle w:val="Puesto"/>
        <w:ind w:left="0" w:right="-499" w:firstLine="0"/>
        <w:rPr>
          <w:rFonts w:ascii="Times New Roman" w:hAnsi="Times New Roman"/>
          <w:sz w:val="20"/>
        </w:rPr>
      </w:pPr>
    </w:p>
    <w:p w14:paraId="0AA95CF2" w14:textId="77777777" w:rsidR="005A0CE7" w:rsidRDefault="005A0CE7" w:rsidP="00E2117F">
      <w:pPr>
        <w:pStyle w:val="Puesto"/>
        <w:ind w:left="0" w:right="-499" w:firstLine="0"/>
        <w:rPr>
          <w:rFonts w:ascii="Times New Roman" w:hAnsi="Times New Roman"/>
          <w:sz w:val="20"/>
        </w:rPr>
      </w:pPr>
    </w:p>
    <w:p w14:paraId="1E5F6856" w14:textId="77777777" w:rsidR="005A0CE7" w:rsidRDefault="005A0CE7" w:rsidP="00E2117F">
      <w:pPr>
        <w:pStyle w:val="Puesto"/>
        <w:ind w:left="0" w:right="-499" w:firstLine="0"/>
        <w:rPr>
          <w:rFonts w:ascii="Times New Roman" w:hAnsi="Times New Roman"/>
          <w:sz w:val="20"/>
        </w:rPr>
      </w:pPr>
    </w:p>
    <w:p w14:paraId="4D327C77" w14:textId="77777777" w:rsidR="005A0CE7" w:rsidRDefault="005A0CE7" w:rsidP="00E2117F">
      <w:pPr>
        <w:pStyle w:val="Puesto"/>
        <w:ind w:left="0" w:right="-499" w:firstLine="0"/>
        <w:rPr>
          <w:rFonts w:ascii="Times New Roman" w:hAnsi="Times New Roman"/>
          <w:sz w:val="20"/>
        </w:rPr>
      </w:pPr>
    </w:p>
    <w:p w14:paraId="24DDB72D" w14:textId="77777777" w:rsidR="005A0CE7" w:rsidRDefault="005A0CE7" w:rsidP="00E2117F">
      <w:pPr>
        <w:pStyle w:val="Puesto"/>
        <w:ind w:left="0" w:right="-499" w:firstLine="0"/>
        <w:rPr>
          <w:rFonts w:ascii="Times New Roman" w:hAnsi="Times New Roman"/>
          <w:sz w:val="20"/>
        </w:rPr>
      </w:pPr>
    </w:p>
    <w:p w14:paraId="3468C37D" w14:textId="68D3ED0E" w:rsidR="000A5E5B" w:rsidRPr="00110E8B" w:rsidRDefault="005A0CE7" w:rsidP="00E2117F">
      <w:pPr>
        <w:pStyle w:val="Puesto"/>
        <w:ind w:left="0" w:right="-499" w:firstLine="0"/>
        <w:rPr>
          <w:rFonts w:ascii="Times New Roman" w:hAnsi="Times New Roman"/>
          <w:sz w:val="20"/>
        </w:rPr>
      </w:pPr>
      <w:r w:rsidRPr="005A0CE7">
        <w:rPr>
          <w:noProof/>
          <w:lang w:eastAsia="es-AR"/>
        </w:rPr>
        <w:drawing>
          <wp:inline distT="0" distB="0" distL="0" distR="0" wp14:anchorId="55F88565" wp14:editId="5B6B6FE3">
            <wp:extent cx="5760085" cy="2952408"/>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85" cy="2952408"/>
                    </a:xfrm>
                    <a:prstGeom prst="rect">
                      <a:avLst/>
                    </a:prstGeom>
                    <a:noFill/>
                    <a:ln>
                      <a:noFill/>
                    </a:ln>
                  </pic:spPr>
                </pic:pic>
              </a:graphicData>
            </a:graphic>
          </wp:inline>
        </w:drawing>
      </w:r>
    </w:p>
    <w:p w14:paraId="7728C510" w14:textId="77777777" w:rsidR="00E2117F" w:rsidRPr="00110E8B" w:rsidRDefault="00E2117F" w:rsidP="00E2117F">
      <w:pPr>
        <w:pStyle w:val="Puesto"/>
        <w:ind w:left="0" w:right="-499" w:hanging="215"/>
        <w:rPr>
          <w:rFonts w:ascii="Times New Roman" w:hAnsi="Times New Roman"/>
          <w:sz w:val="20"/>
        </w:rPr>
      </w:pPr>
    </w:p>
    <w:p w14:paraId="721CE58E" w14:textId="34E6B5C3" w:rsidR="00E2117F" w:rsidRPr="00BE04AD" w:rsidRDefault="00E2117F" w:rsidP="00BE04AD">
      <w:pPr>
        <w:pStyle w:val="Textoindependiente2"/>
        <w:numPr>
          <w:ilvl w:val="0"/>
          <w:numId w:val="30"/>
        </w:numPr>
        <w:ind w:right="-143"/>
        <w:rPr>
          <w:rFonts w:ascii="Times New Roman" w:hAnsi="Times New Roman"/>
        </w:rPr>
      </w:pPr>
      <w:r w:rsidRPr="00BE04AD">
        <w:rPr>
          <w:rFonts w:ascii="Times New Roman" w:hAnsi="Times New Roman"/>
        </w:rPr>
        <w:t xml:space="preserve">Dado que </w:t>
      </w:r>
      <w:r w:rsidR="00C70DC6" w:rsidRPr="00BE04AD">
        <w:rPr>
          <w:rFonts w:ascii="Times New Roman" w:hAnsi="Times New Roman"/>
        </w:rPr>
        <w:t xml:space="preserve">Banco </w:t>
      </w:r>
      <w:r w:rsidRPr="00BE04AD">
        <w:rPr>
          <w:rFonts w:ascii="Times New Roman" w:hAnsi="Times New Roman"/>
        </w:rPr>
        <w:t xml:space="preserve">BBVA </w:t>
      </w:r>
      <w:r w:rsidR="00C70DC6" w:rsidRPr="00BE04AD">
        <w:rPr>
          <w:rFonts w:ascii="Times New Roman" w:hAnsi="Times New Roman"/>
        </w:rPr>
        <w:t xml:space="preserve">Argentina </w:t>
      </w:r>
      <w:r w:rsidRPr="00BE04AD">
        <w:rPr>
          <w:rFonts w:ascii="Times New Roman" w:hAnsi="Times New Roman"/>
        </w:rPr>
        <w:t>S.A</w:t>
      </w:r>
      <w:r w:rsidR="00745FCE" w:rsidRPr="00BE04AD">
        <w:rPr>
          <w:rFonts w:ascii="Times New Roman" w:hAnsi="Times New Roman"/>
        </w:rPr>
        <w:t>.</w:t>
      </w:r>
      <w:r w:rsidRPr="00BE04AD">
        <w:rPr>
          <w:rFonts w:ascii="Times New Roman" w:hAnsi="Times New Roman"/>
        </w:rPr>
        <w:t xml:space="preserve"> no ha emitido instrumentos financieros que tengan un efecto dilutivo en la utilidad por acción, las ganancias básicas y diluidas por acción son iguales.</w:t>
      </w:r>
    </w:p>
    <w:p w14:paraId="599F6468" w14:textId="77777777" w:rsidR="00E2117F" w:rsidRPr="00110E8B" w:rsidRDefault="00E2117F" w:rsidP="00E2117F">
      <w:pPr>
        <w:ind w:left="-142"/>
        <w:rPr>
          <w:rFonts w:ascii="Times New Roman" w:hAnsi="Times New Roman"/>
          <w:sz w:val="20"/>
        </w:rPr>
      </w:pPr>
    </w:p>
    <w:p w14:paraId="68B15492" w14:textId="5EA89DE2" w:rsidR="00E93A4C" w:rsidRPr="00110E8B" w:rsidRDefault="00E2117F" w:rsidP="00E2117F">
      <w:pPr>
        <w:tabs>
          <w:tab w:val="left" w:pos="2622"/>
        </w:tabs>
        <w:rPr>
          <w:rFonts w:ascii="Times New Roman" w:hAnsi="Times New Roman"/>
          <w:sz w:val="20"/>
        </w:rPr>
      </w:pPr>
      <w:r w:rsidRPr="00110E8B">
        <w:rPr>
          <w:rFonts w:ascii="Times New Roman" w:hAnsi="Times New Roman"/>
          <w:sz w:val="20"/>
        </w:rPr>
        <w:tab/>
      </w:r>
    </w:p>
    <w:p w14:paraId="23AB7D1A" w14:textId="77777777" w:rsidR="00E93A4C" w:rsidRPr="00110E8B" w:rsidRDefault="00E93A4C" w:rsidP="00E2117F">
      <w:pPr>
        <w:tabs>
          <w:tab w:val="left" w:pos="2622"/>
        </w:tabs>
        <w:rPr>
          <w:rFonts w:ascii="Times New Roman" w:hAnsi="Times New Roman"/>
          <w:sz w:val="20"/>
        </w:rPr>
      </w:pPr>
    </w:p>
    <w:p w14:paraId="09CDCE0F" w14:textId="77777777" w:rsidR="00E93A4C" w:rsidRPr="00110E8B" w:rsidRDefault="00E93A4C" w:rsidP="00E2117F">
      <w:pPr>
        <w:tabs>
          <w:tab w:val="left" w:pos="2622"/>
        </w:tabs>
        <w:rPr>
          <w:rFonts w:ascii="Times New Roman" w:hAnsi="Times New Roman"/>
          <w:sz w:val="20"/>
        </w:rPr>
      </w:pPr>
    </w:p>
    <w:p w14:paraId="7EF70EF7" w14:textId="77777777" w:rsidR="00E93A4C" w:rsidRPr="00110E8B" w:rsidRDefault="00E93A4C" w:rsidP="00E2117F">
      <w:pPr>
        <w:tabs>
          <w:tab w:val="left" w:pos="2622"/>
        </w:tabs>
        <w:rPr>
          <w:rFonts w:ascii="Times New Roman" w:hAnsi="Times New Roman"/>
          <w:sz w:val="20"/>
        </w:rPr>
      </w:pPr>
    </w:p>
    <w:p w14:paraId="162E9E34" w14:textId="77777777" w:rsidR="00E93A4C" w:rsidRPr="00110E8B" w:rsidRDefault="00E93A4C" w:rsidP="00E2117F">
      <w:pPr>
        <w:tabs>
          <w:tab w:val="left" w:pos="2622"/>
        </w:tabs>
        <w:rPr>
          <w:rFonts w:ascii="Times New Roman" w:hAnsi="Times New Roman"/>
          <w:sz w:val="20"/>
        </w:rPr>
      </w:pPr>
    </w:p>
    <w:p w14:paraId="2D677880" w14:textId="77777777" w:rsidR="00E93A4C" w:rsidRPr="00110E8B" w:rsidRDefault="00E93A4C" w:rsidP="00E2117F">
      <w:pPr>
        <w:tabs>
          <w:tab w:val="left" w:pos="2622"/>
        </w:tabs>
        <w:rPr>
          <w:rFonts w:ascii="Times New Roman" w:hAnsi="Times New Roman"/>
          <w:sz w:val="20"/>
        </w:rPr>
      </w:pPr>
    </w:p>
    <w:p w14:paraId="3A121642" w14:textId="77777777" w:rsidR="00E93A4C" w:rsidRPr="00110E8B" w:rsidRDefault="00E93A4C" w:rsidP="00E2117F">
      <w:pPr>
        <w:tabs>
          <w:tab w:val="left" w:pos="2622"/>
        </w:tabs>
        <w:rPr>
          <w:rFonts w:ascii="Times New Roman" w:hAnsi="Times New Roman"/>
          <w:sz w:val="20"/>
        </w:rPr>
      </w:pPr>
    </w:p>
    <w:p w14:paraId="76CFDDD2" w14:textId="77777777" w:rsidR="00E93A4C" w:rsidRPr="00110E8B" w:rsidRDefault="00E93A4C" w:rsidP="00E2117F">
      <w:pPr>
        <w:tabs>
          <w:tab w:val="left" w:pos="2622"/>
        </w:tabs>
        <w:rPr>
          <w:rFonts w:ascii="Times New Roman" w:hAnsi="Times New Roman"/>
          <w:sz w:val="20"/>
        </w:rPr>
      </w:pPr>
    </w:p>
    <w:p w14:paraId="6A0791EA" w14:textId="77777777" w:rsidR="00E93A4C" w:rsidRPr="00110E8B" w:rsidRDefault="00E93A4C" w:rsidP="00E2117F">
      <w:pPr>
        <w:tabs>
          <w:tab w:val="left" w:pos="2622"/>
        </w:tabs>
        <w:rPr>
          <w:rFonts w:ascii="Times New Roman" w:hAnsi="Times New Roman"/>
          <w:sz w:val="20"/>
        </w:rPr>
      </w:pPr>
    </w:p>
    <w:p w14:paraId="20D7767E" w14:textId="77777777" w:rsidR="00E93A4C" w:rsidRPr="00110E8B" w:rsidRDefault="00E93A4C" w:rsidP="00E2117F">
      <w:pPr>
        <w:tabs>
          <w:tab w:val="left" w:pos="2622"/>
        </w:tabs>
        <w:rPr>
          <w:rFonts w:ascii="Times New Roman" w:hAnsi="Times New Roman"/>
          <w:sz w:val="20"/>
        </w:rPr>
      </w:pPr>
    </w:p>
    <w:p w14:paraId="6963752B" w14:textId="77777777" w:rsidR="00E93A4C" w:rsidRPr="00110E8B" w:rsidRDefault="00E93A4C" w:rsidP="00E2117F">
      <w:pPr>
        <w:tabs>
          <w:tab w:val="left" w:pos="2622"/>
        </w:tabs>
        <w:rPr>
          <w:rFonts w:ascii="Times New Roman" w:hAnsi="Times New Roman"/>
          <w:sz w:val="20"/>
        </w:rPr>
      </w:pPr>
    </w:p>
    <w:p w14:paraId="1267B5BB" w14:textId="77777777" w:rsidR="00E93A4C" w:rsidRPr="00110E8B" w:rsidRDefault="00E93A4C" w:rsidP="00E2117F">
      <w:pPr>
        <w:tabs>
          <w:tab w:val="left" w:pos="2622"/>
        </w:tabs>
        <w:rPr>
          <w:rFonts w:ascii="Times New Roman" w:hAnsi="Times New Roman"/>
          <w:sz w:val="20"/>
        </w:rPr>
      </w:pPr>
    </w:p>
    <w:p w14:paraId="61267C37" w14:textId="77777777" w:rsidR="00E93A4C" w:rsidRPr="00110E8B" w:rsidRDefault="00E93A4C" w:rsidP="00E2117F">
      <w:pPr>
        <w:tabs>
          <w:tab w:val="left" w:pos="2622"/>
        </w:tabs>
        <w:rPr>
          <w:rFonts w:ascii="Times New Roman" w:hAnsi="Times New Roman"/>
          <w:sz w:val="20"/>
        </w:rPr>
        <w:sectPr w:rsidR="00E93A4C" w:rsidRPr="00110E8B" w:rsidSect="00FF0228">
          <w:headerReference w:type="default" r:id="rId117"/>
          <w:footerReference w:type="default" r:id="rId118"/>
          <w:footnotePr>
            <w:numStart w:val="0"/>
          </w:footnotePr>
          <w:type w:val="continuous"/>
          <w:pgSz w:w="11907" w:h="16840" w:code="9"/>
          <w:pgMar w:top="1134" w:right="1418" w:bottom="851" w:left="1418" w:header="709" w:footer="202" w:gutter="0"/>
          <w:pgNumType w:fmt="numberInDash" w:start="79" w:chapSep="enDash"/>
          <w:cols w:space="560"/>
        </w:sectPr>
      </w:pPr>
    </w:p>
    <w:p w14:paraId="7EA30001" w14:textId="22E3F51F" w:rsidR="00E2117F" w:rsidRDefault="00E2117F" w:rsidP="00E2117F">
      <w:pPr>
        <w:rPr>
          <w:rFonts w:ascii="Times New Roman" w:hAnsi="Times New Roman"/>
          <w:b/>
          <w:sz w:val="20"/>
        </w:rPr>
      </w:pPr>
    </w:p>
    <w:p w14:paraId="552EEC44" w14:textId="112A367D" w:rsidR="00B47BA2" w:rsidRDefault="00535102" w:rsidP="00E2117F">
      <w:pPr>
        <w:rPr>
          <w:rFonts w:ascii="Times New Roman" w:hAnsi="Times New Roman"/>
          <w:b/>
          <w:sz w:val="20"/>
        </w:rPr>
      </w:pPr>
      <w:r w:rsidRPr="0086287F">
        <w:rPr>
          <w:noProof/>
          <w:lang w:eastAsia="es-AR"/>
        </w:rPr>
        <w:drawing>
          <wp:inline distT="0" distB="0" distL="0" distR="0" wp14:anchorId="0426AFC5" wp14:editId="43B04C5A">
            <wp:extent cx="6329774" cy="427672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35501" cy="4280595"/>
                    </a:xfrm>
                    <a:prstGeom prst="rect">
                      <a:avLst/>
                    </a:prstGeom>
                    <a:noFill/>
                    <a:ln>
                      <a:noFill/>
                    </a:ln>
                  </pic:spPr>
                </pic:pic>
              </a:graphicData>
            </a:graphic>
          </wp:inline>
        </w:drawing>
      </w:r>
    </w:p>
    <w:p w14:paraId="76C2232B" w14:textId="77777777" w:rsidR="00B47BA2" w:rsidRDefault="00B47BA2" w:rsidP="00E2117F">
      <w:pPr>
        <w:rPr>
          <w:rFonts w:ascii="Times New Roman" w:hAnsi="Times New Roman"/>
          <w:b/>
          <w:sz w:val="20"/>
        </w:rPr>
      </w:pPr>
    </w:p>
    <w:p w14:paraId="10CC13B2" w14:textId="77777777" w:rsidR="00B47BA2" w:rsidRDefault="00B47BA2" w:rsidP="00E2117F">
      <w:pPr>
        <w:rPr>
          <w:rFonts w:ascii="Times New Roman" w:hAnsi="Times New Roman"/>
          <w:b/>
          <w:sz w:val="20"/>
        </w:rPr>
      </w:pPr>
    </w:p>
    <w:p w14:paraId="001C5CE0" w14:textId="77777777" w:rsidR="00B47BA2" w:rsidRPr="00110E8B" w:rsidRDefault="00B47BA2" w:rsidP="00E2117F">
      <w:pPr>
        <w:rPr>
          <w:rFonts w:ascii="Times New Roman" w:hAnsi="Times New Roman"/>
          <w:b/>
          <w:sz w:val="20"/>
        </w:rPr>
        <w:sectPr w:rsidR="00B47BA2" w:rsidRPr="00110E8B" w:rsidSect="005C5FF7">
          <w:headerReference w:type="even" r:id="rId120"/>
          <w:headerReference w:type="first" r:id="rId121"/>
          <w:footerReference w:type="first" r:id="rId122"/>
          <w:footnotePr>
            <w:numStart w:val="0"/>
          </w:footnotePr>
          <w:pgSz w:w="11907" w:h="16840" w:code="9"/>
          <w:pgMar w:top="1985" w:right="1134" w:bottom="340" w:left="1418" w:header="851" w:footer="216" w:gutter="0"/>
          <w:pgNumType w:fmt="numberInDash" w:chapStyle="1" w:chapSep="enDash"/>
          <w:cols w:space="560"/>
        </w:sectPr>
      </w:pPr>
    </w:p>
    <w:p w14:paraId="643A874A" w14:textId="188A30CB" w:rsidR="00FD2D69" w:rsidRPr="00110E8B" w:rsidRDefault="007F4E51" w:rsidP="000A7D63">
      <w:pPr>
        <w:ind w:left="607"/>
        <w:rPr>
          <w:rFonts w:ascii="Times New Roman" w:hAnsi="Times New Roman"/>
          <w:sz w:val="20"/>
        </w:rPr>
        <w:sectPr w:rsidR="00FD2D69" w:rsidRPr="00110E8B" w:rsidSect="005C5FF7">
          <w:footerReference w:type="default" r:id="rId123"/>
          <w:footnotePr>
            <w:numStart w:val="0"/>
          </w:footnotePr>
          <w:pgSz w:w="16840" w:h="11907" w:orient="landscape" w:code="9"/>
          <w:pgMar w:top="1418" w:right="1985" w:bottom="1134" w:left="340" w:header="851" w:footer="216" w:gutter="0"/>
          <w:pgNumType w:fmt="numberInDash" w:chapStyle="1" w:chapSep="enDash"/>
          <w:cols w:space="560"/>
          <w:docGrid w:linePitch="326"/>
        </w:sectPr>
      </w:pPr>
      <w:r w:rsidRPr="007F4E51">
        <w:rPr>
          <w:noProof/>
          <w:lang w:eastAsia="es-AR"/>
        </w:rPr>
        <w:lastRenderedPageBreak/>
        <w:drawing>
          <wp:inline distT="0" distB="0" distL="0" distR="0" wp14:anchorId="203B70AF" wp14:editId="60E8BF98">
            <wp:extent cx="9668786" cy="3767528"/>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671783" cy="3768696"/>
                    </a:xfrm>
                    <a:prstGeom prst="rect">
                      <a:avLst/>
                    </a:prstGeom>
                    <a:noFill/>
                    <a:ln>
                      <a:noFill/>
                    </a:ln>
                  </pic:spPr>
                </pic:pic>
              </a:graphicData>
            </a:graphic>
          </wp:inline>
        </w:drawing>
      </w:r>
    </w:p>
    <w:p w14:paraId="2CDBB549" w14:textId="1D2D6E60" w:rsidR="002D6828" w:rsidRDefault="0050030B">
      <w:pPr>
        <w:rPr>
          <w:rFonts w:ascii="Times New Roman" w:hAnsi="Times New Roman"/>
          <w:b/>
          <w:snapToGrid w:val="0"/>
          <w:sz w:val="20"/>
        </w:rPr>
      </w:pPr>
      <w:r w:rsidRPr="00AB7B70">
        <w:rPr>
          <w:noProof/>
          <w:lang w:eastAsia="es-AR"/>
        </w:rPr>
        <w:lastRenderedPageBreak/>
        <w:drawing>
          <wp:inline distT="0" distB="0" distL="0" distR="0" wp14:anchorId="0D8F8378" wp14:editId="600F2BA5">
            <wp:extent cx="6539070" cy="60293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544375" cy="6034217"/>
                    </a:xfrm>
                    <a:prstGeom prst="rect">
                      <a:avLst/>
                    </a:prstGeom>
                    <a:noFill/>
                    <a:ln>
                      <a:noFill/>
                    </a:ln>
                  </pic:spPr>
                </pic:pic>
              </a:graphicData>
            </a:graphic>
          </wp:inline>
        </w:drawing>
      </w:r>
    </w:p>
    <w:p w14:paraId="26FC4E69" w14:textId="77777777" w:rsidR="007166AA" w:rsidRDefault="007166AA">
      <w:pPr>
        <w:rPr>
          <w:rFonts w:ascii="Times New Roman" w:hAnsi="Times New Roman"/>
          <w:b/>
          <w:snapToGrid w:val="0"/>
          <w:sz w:val="20"/>
        </w:rPr>
      </w:pPr>
    </w:p>
    <w:p w14:paraId="3858C7F2" w14:textId="11A4EB10" w:rsidR="007166AA" w:rsidRDefault="0050030B">
      <w:pPr>
        <w:rPr>
          <w:rFonts w:ascii="Times New Roman" w:hAnsi="Times New Roman"/>
          <w:b/>
          <w:snapToGrid w:val="0"/>
          <w:sz w:val="20"/>
        </w:rPr>
      </w:pPr>
      <w:r w:rsidRPr="00AB7B70">
        <w:rPr>
          <w:noProof/>
          <w:lang w:eastAsia="es-AR"/>
        </w:rPr>
        <w:lastRenderedPageBreak/>
        <w:drawing>
          <wp:inline distT="0" distB="0" distL="0" distR="0" wp14:anchorId="2EFC91A3" wp14:editId="410A3B53">
            <wp:extent cx="6503329" cy="5410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06113" cy="5412516"/>
                    </a:xfrm>
                    <a:prstGeom prst="rect">
                      <a:avLst/>
                    </a:prstGeom>
                    <a:noFill/>
                    <a:ln>
                      <a:noFill/>
                    </a:ln>
                  </pic:spPr>
                </pic:pic>
              </a:graphicData>
            </a:graphic>
          </wp:inline>
        </w:drawing>
      </w:r>
    </w:p>
    <w:p w14:paraId="511E3957" w14:textId="77777777" w:rsidR="007166AA" w:rsidRDefault="007166AA">
      <w:pPr>
        <w:rPr>
          <w:rFonts w:ascii="Times New Roman" w:hAnsi="Times New Roman"/>
          <w:b/>
          <w:snapToGrid w:val="0"/>
          <w:sz w:val="20"/>
        </w:rPr>
      </w:pPr>
    </w:p>
    <w:p w14:paraId="363822F8" w14:textId="77777777" w:rsidR="007166AA" w:rsidRDefault="007166AA">
      <w:pPr>
        <w:rPr>
          <w:rFonts w:ascii="Times New Roman" w:hAnsi="Times New Roman"/>
          <w:b/>
          <w:snapToGrid w:val="0"/>
          <w:sz w:val="20"/>
        </w:rPr>
      </w:pPr>
    </w:p>
    <w:p w14:paraId="22A26474" w14:textId="77777777" w:rsidR="007166AA" w:rsidRDefault="007166AA">
      <w:pPr>
        <w:rPr>
          <w:rFonts w:ascii="Times New Roman" w:hAnsi="Times New Roman"/>
          <w:b/>
          <w:snapToGrid w:val="0"/>
          <w:sz w:val="20"/>
        </w:rPr>
      </w:pPr>
    </w:p>
    <w:p w14:paraId="4AF4803F" w14:textId="77777777" w:rsidR="007166AA" w:rsidRDefault="007166AA">
      <w:pPr>
        <w:rPr>
          <w:rFonts w:ascii="Times New Roman" w:hAnsi="Times New Roman"/>
          <w:b/>
          <w:snapToGrid w:val="0"/>
          <w:sz w:val="20"/>
        </w:rPr>
      </w:pPr>
    </w:p>
    <w:p w14:paraId="20E8BD04" w14:textId="77777777" w:rsidR="007166AA" w:rsidRDefault="007166AA">
      <w:pPr>
        <w:rPr>
          <w:rFonts w:ascii="Times New Roman" w:hAnsi="Times New Roman"/>
          <w:b/>
          <w:snapToGrid w:val="0"/>
          <w:sz w:val="20"/>
        </w:rPr>
      </w:pPr>
    </w:p>
    <w:p w14:paraId="30D85B2E" w14:textId="77777777" w:rsidR="007166AA" w:rsidRDefault="007166AA">
      <w:pPr>
        <w:rPr>
          <w:rFonts w:ascii="Times New Roman" w:hAnsi="Times New Roman"/>
          <w:b/>
          <w:snapToGrid w:val="0"/>
          <w:sz w:val="20"/>
        </w:rPr>
      </w:pPr>
    </w:p>
    <w:p w14:paraId="4A30669E" w14:textId="313DEABB" w:rsidR="002D6828" w:rsidRDefault="002D6828">
      <w:pPr>
        <w:rPr>
          <w:rFonts w:ascii="Times New Roman" w:hAnsi="Times New Roman"/>
          <w:b/>
          <w:snapToGrid w:val="0"/>
          <w:sz w:val="20"/>
        </w:rPr>
      </w:pPr>
    </w:p>
    <w:p w14:paraId="6522D2EC" w14:textId="7ED73535" w:rsidR="00296324" w:rsidRPr="00296324" w:rsidRDefault="00296324" w:rsidP="00296324">
      <w:pPr>
        <w:tabs>
          <w:tab w:val="left" w:pos="2260"/>
        </w:tabs>
        <w:ind w:left="709" w:right="142"/>
        <w:jc w:val="center"/>
        <w:rPr>
          <w:rFonts w:ascii="Times New Roman" w:hAnsi="Times New Roman"/>
          <w:b/>
          <w:sz w:val="20"/>
        </w:rPr>
      </w:pPr>
      <w:r w:rsidRPr="00296324">
        <w:rPr>
          <w:rFonts w:ascii="Times New Roman" w:hAnsi="Times New Roman"/>
          <w:b/>
          <w:snapToGrid w:val="0"/>
          <w:sz w:val="20"/>
        </w:rPr>
        <w:lastRenderedPageBreak/>
        <w:t>NOTAS A LOS ESTADOS FINANCIEROS INTERMEDIOS SEPARADOS</w:t>
      </w:r>
      <w:r w:rsidR="00694385">
        <w:rPr>
          <w:rFonts w:ascii="Times New Roman" w:hAnsi="Times New Roman"/>
          <w:b/>
          <w:snapToGrid w:val="0"/>
          <w:sz w:val="20"/>
        </w:rPr>
        <w:t xml:space="preserve">                  </w:t>
      </w:r>
      <w:r w:rsidRPr="00296324">
        <w:rPr>
          <w:rFonts w:ascii="Times New Roman" w:hAnsi="Times New Roman"/>
          <w:b/>
          <w:snapToGrid w:val="0"/>
          <w:sz w:val="20"/>
        </w:rPr>
        <w:t xml:space="preserve"> CONDENSADOS</w:t>
      </w:r>
      <w:r w:rsidRPr="00296324">
        <w:rPr>
          <w:rFonts w:ascii="Times New Roman" w:hAnsi="Times New Roman"/>
          <w:b/>
          <w:sz w:val="20"/>
        </w:rPr>
        <w:t xml:space="preserve"> AL 3</w:t>
      </w:r>
      <w:r w:rsidR="00FD73C5">
        <w:rPr>
          <w:rFonts w:ascii="Times New Roman" w:hAnsi="Times New Roman"/>
          <w:b/>
          <w:sz w:val="20"/>
        </w:rPr>
        <w:t>0</w:t>
      </w:r>
      <w:r w:rsidRPr="00296324">
        <w:rPr>
          <w:rFonts w:ascii="Times New Roman" w:hAnsi="Times New Roman"/>
          <w:b/>
          <w:sz w:val="20"/>
        </w:rPr>
        <w:t xml:space="preserve"> DE </w:t>
      </w:r>
      <w:r w:rsidR="00815454">
        <w:rPr>
          <w:rFonts w:ascii="Times New Roman" w:hAnsi="Times New Roman"/>
          <w:b/>
          <w:sz w:val="20"/>
        </w:rPr>
        <w:t>SEPTIEMBRE</w:t>
      </w:r>
      <w:r w:rsidRPr="00296324">
        <w:rPr>
          <w:rFonts w:ascii="Times New Roman" w:hAnsi="Times New Roman"/>
          <w:b/>
          <w:sz w:val="20"/>
        </w:rPr>
        <w:t xml:space="preserve"> DE 202</w:t>
      </w:r>
      <w:r>
        <w:rPr>
          <w:rFonts w:ascii="Times New Roman" w:hAnsi="Times New Roman"/>
          <w:b/>
          <w:sz w:val="20"/>
        </w:rPr>
        <w:t>1</w:t>
      </w:r>
    </w:p>
    <w:p w14:paraId="269BD754" w14:textId="1E9922D0" w:rsidR="007177C2" w:rsidRDefault="00E2117F" w:rsidP="00E2117F">
      <w:pPr>
        <w:tabs>
          <w:tab w:val="left" w:pos="2260"/>
        </w:tabs>
        <w:jc w:val="center"/>
        <w:rPr>
          <w:rFonts w:ascii="Times New Roman" w:hAnsi="Times New Roman"/>
          <w:b/>
          <w:sz w:val="20"/>
        </w:rPr>
      </w:pPr>
      <w:r w:rsidRPr="00110E8B">
        <w:rPr>
          <w:rFonts w:ascii="Times New Roman" w:hAnsi="Times New Roman"/>
          <w:b/>
          <w:sz w:val="20"/>
        </w:rPr>
        <w:t xml:space="preserve">   </w:t>
      </w:r>
      <w:r w:rsidR="007728FB" w:rsidRPr="00110E8B">
        <w:rPr>
          <w:rFonts w:ascii="Times New Roman" w:hAnsi="Times New Roman"/>
          <w:b/>
          <w:sz w:val="20"/>
        </w:rPr>
        <w:t xml:space="preserve">   </w:t>
      </w:r>
      <w:r w:rsidR="00E431D2">
        <w:rPr>
          <w:rFonts w:ascii="Times New Roman" w:hAnsi="Times New Roman"/>
          <w:b/>
          <w:sz w:val="20"/>
        </w:rPr>
        <w:t xml:space="preserve">     </w:t>
      </w:r>
      <w:r w:rsidRPr="00110E8B">
        <w:rPr>
          <w:rFonts w:ascii="Times New Roman" w:hAnsi="Times New Roman"/>
          <w:b/>
          <w:sz w:val="20"/>
        </w:rPr>
        <w:t>(Cifras expresadas en miles de pesos</w:t>
      </w:r>
      <w:r w:rsidR="00E35B6A">
        <w:rPr>
          <w:rFonts w:ascii="Times New Roman" w:hAnsi="Times New Roman"/>
          <w:b/>
          <w:sz w:val="20"/>
        </w:rPr>
        <w:t xml:space="preserve"> en moneda homogénea</w:t>
      </w:r>
      <w:r w:rsidR="007177C2" w:rsidRPr="007177C2">
        <w:rPr>
          <w:rFonts w:ascii="Times New Roman" w:hAnsi="Times New Roman"/>
          <w:b/>
          <w:sz w:val="20"/>
        </w:rPr>
        <w:t xml:space="preserve"> </w:t>
      </w:r>
      <w:r w:rsidR="007177C2">
        <w:rPr>
          <w:rFonts w:ascii="Times New Roman" w:hAnsi="Times New Roman"/>
          <w:b/>
          <w:sz w:val="20"/>
        </w:rPr>
        <w:t xml:space="preserve">- </w:t>
      </w:r>
      <w:r w:rsidR="007177C2" w:rsidRPr="007177C2">
        <w:rPr>
          <w:rFonts w:ascii="Times New Roman" w:hAnsi="Times New Roman"/>
          <w:b/>
          <w:sz w:val="20"/>
        </w:rPr>
        <w:t xml:space="preserve">Nota 3 </w:t>
      </w:r>
    </w:p>
    <w:p w14:paraId="250686C8" w14:textId="0143BC3D" w:rsidR="00E2117F" w:rsidRPr="00110E8B" w:rsidRDefault="007177C2" w:rsidP="00E2117F">
      <w:pPr>
        <w:tabs>
          <w:tab w:val="left" w:pos="2260"/>
        </w:tabs>
        <w:jc w:val="center"/>
        <w:rPr>
          <w:rFonts w:ascii="Times New Roman" w:hAnsi="Times New Roman"/>
          <w:b/>
          <w:sz w:val="20"/>
        </w:rPr>
      </w:pPr>
      <w:r>
        <w:rPr>
          <w:rFonts w:ascii="Times New Roman" w:hAnsi="Times New Roman"/>
          <w:b/>
          <w:sz w:val="20"/>
        </w:rPr>
        <w:t xml:space="preserve">            </w:t>
      </w:r>
      <w:r w:rsidRPr="007177C2">
        <w:rPr>
          <w:rFonts w:ascii="Times New Roman" w:hAnsi="Times New Roman"/>
          <w:b/>
          <w:sz w:val="20"/>
        </w:rPr>
        <w:t>a los estados financieros intermedios consolidados condensados</w:t>
      </w:r>
      <w:r w:rsidR="00E2117F" w:rsidRPr="00110E8B">
        <w:rPr>
          <w:rFonts w:ascii="Times New Roman" w:hAnsi="Times New Roman"/>
          <w:b/>
          <w:sz w:val="20"/>
        </w:rPr>
        <w:t>)</w:t>
      </w:r>
    </w:p>
    <w:p w14:paraId="1C7E1065" w14:textId="77777777" w:rsidR="00F00ADA" w:rsidRPr="00110E8B" w:rsidRDefault="00F00ADA" w:rsidP="00E2117F">
      <w:pPr>
        <w:tabs>
          <w:tab w:val="left" w:pos="2260"/>
        </w:tabs>
        <w:jc w:val="center"/>
        <w:rPr>
          <w:rFonts w:ascii="Times New Roman" w:hAnsi="Times New Roman"/>
          <w:b/>
          <w:sz w:val="20"/>
        </w:rPr>
      </w:pPr>
    </w:p>
    <w:p w14:paraId="14220B76" w14:textId="77777777" w:rsidR="00993995" w:rsidRPr="00142AD2" w:rsidRDefault="00E2117F" w:rsidP="00993995">
      <w:pPr>
        <w:pStyle w:val="Prrafodelista"/>
        <w:numPr>
          <w:ilvl w:val="0"/>
          <w:numId w:val="26"/>
        </w:numPr>
        <w:tabs>
          <w:tab w:val="num" w:pos="567"/>
        </w:tabs>
        <w:spacing w:before="120" w:after="120"/>
        <w:ind w:right="-425"/>
        <w:jc w:val="both"/>
        <w:rPr>
          <w:sz w:val="20"/>
          <w:szCs w:val="20"/>
          <w:lang w:val="es-AR"/>
        </w:rPr>
      </w:pPr>
      <w:r w:rsidRPr="00142AD2">
        <w:rPr>
          <w:b/>
          <w:sz w:val="20"/>
          <w:szCs w:val="20"/>
          <w:lang w:val="es-AR"/>
        </w:rPr>
        <w:t>Motivo de la preparación de los estados financieros separados</w:t>
      </w:r>
    </w:p>
    <w:p w14:paraId="221FB409" w14:textId="791E689C" w:rsidR="00993995" w:rsidRPr="008C73C4" w:rsidRDefault="00993995" w:rsidP="008C73C4">
      <w:pPr>
        <w:spacing w:after="120"/>
        <w:ind w:left="607"/>
        <w:jc w:val="both"/>
        <w:rPr>
          <w:rFonts w:ascii="Times New Roman" w:hAnsi="Times New Roman"/>
          <w:sz w:val="20"/>
        </w:rPr>
      </w:pPr>
      <w:r w:rsidRPr="008C73C4">
        <w:rPr>
          <w:rFonts w:ascii="Times New Roman" w:hAnsi="Times New Roman"/>
          <w:sz w:val="20"/>
        </w:rPr>
        <w:t>Tal como se menciona en la Nota 2 a los estados financieros intermedios consolidados condensados, Banco BBVA Argentina S.A. (el “Banco”) presenta estados financieros consolidados de acuerdo con el marco contable establecido por el Banco Central de la República Argentina (B.C.R.A.).</w:t>
      </w:r>
    </w:p>
    <w:p w14:paraId="0C00942B" w14:textId="77777777" w:rsidR="00993995" w:rsidRDefault="00E2117F" w:rsidP="00993995">
      <w:pPr>
        <w:spacing w:after="120"/>
        <w:ind w:left="607"/>
        <w:jc w:val="both"/>
        <w:rPr>
          <w:rFonts w:ascii="Times New Roman" w:hAnsi="Times New Roman"/>
          <w:sz w:val="20"/>
        </w:rPr>
      </w:pPr>
      <w:r w:rsidRPr="008C73C4">
        <w:rPr>
          <w:rFonts w:ascii="Times New Roman" w:hAnsi="Times New Roman"/>
          <w:sz w:val="20"/>
        </w:rPr>
        <w:t xml:space="preserve">Los presentes estados financieros del Banco se presentan en forma complementaria </w:t>
      </w:r>
      <w:r w:rsidR="00993995" w:rsidRPr="008C73C4">
        <w:rPr>
          <w:rFonts w:ascii="Times New Roman" w:hAnsi="Times New Roman"/>
          <w:sz w:val="20"/>
        </w:rPr>
        <w:t>a los estados financieros</w:t>
      </w:r>
      <w:r w:rsidR="00993995">
        <w:rPr>
          <w:rFonts w:ascii="Times New Roman" w:hAnsi="Times New Roman"/>
          <w:sz w:val="20"/>
        </w:rPr>
        <w:t xml:space="preserve"> intermedios </w:t>
      </w:r>
      <w:r w:rsidR="00993995" w:rsidRPr="007B241A">
        <w:rPr>
          <w:rFonts w:ascii="Times New Roman" w:hAnsi="Times New Roman"/>
          <w:sz w:val="20"/>
        </w:rPr>
        <w:t>consolidados</w:t>
      </w:r>
      <w:r w:rsidR="00993995">
        <w:rPr>
          <w:rFonts w:ascii="Times New Roman" w:hAnsi="Times New Roman"/>
          <w:sz w:val="20"/>
        </w:rPr>
        <w:t xml:space="preserve"> condensados </w:t>
      </w:r>
      <w:r w:rsidR="00993995" w:rsidRPr="007B241A">
        <w:rPr>
          <w:rFonts w:ascii="Times New Roman" w:hAnsi="Times New Roman"/>
          <w:sz w:val="20"/>
        </w:rPr>
        <w:t>mencionados, con el objetivo de cumplimentar requerimientos legales y regulatorios.</w:t>
      </w:r>
    </w:p>
    <w:p w14:paraId="27EB1F68" w14:textId="017BF8B3" w:rsidR="00BC5AD4" w:rsidRPr="00110E8B" w:rsidRDefault="00BC5AD4" w:rsidP="00A84B9E">
      <w:pPr>
        <w:spacing w:after="120"/>
        <w:ind w:left="607"/>
        <w:jc w:val="both"/>
        <w:rPr>
          <w:rFonts w:ascii="Times New Roman" w:hAnsi="Times New Roman"/>
          <w:sz w:val="20"/>
        </w:rPr>
      </w:pPr>
    </w:p>
    <w:p w14:paraId="76513796" w14:textId="77777777" w:rsidR="00E2117F" w:rsidRPr="00CD2E8D" w:rsidRDefault="00E2117F" w:rsidP="004D4CBE">
      <w:pPr>
        <w:pStyle w:val="Prrafodelista"/>
        <w:numPr>
          <w:ilvl w:val="0"/>
          <w:numId w:val="26"/>
        </w:numPr>
        <w:tabs>
          <w:tab w:val="num" w:pos="567"/>
        </w:tabs>
        <w:spacing w:before="120" w:after="120"/>
        <w:ind w:left="697" w:right="-425" w:hanging="357"/>
        <w:jc w:val="both"/>
        <w:rPr>
          <w:color w:val="000000"/>
          <w:sz w:val="20"/>
          <w:szCs w:val="20"/>
          <w:lang w:val="es-AR"/>
        </w:rPr>
      </w:pPr>
      <w:r w:rsidRPr="00110E8B">
        <w:rPr>
          <w:color w:val="000000"/>
          <w:sz w:val="20"/>
          <w:szCs w:val="20"/>
          <w:lang w:val="es-AR"/>
        </w:rPr>
        <w:t xml:space="preserve"> </w:t>
      </w:r>
      <w:r w:rsidRPr="00CD2E8D">
        <w:rPr>
          <w:b/>
          <w:sz w:val="20"/>
          <w:szCs w:val="20"/>
          <w:lang w:val="es-AR"/>
        </w:rPr>
        <w:t xml:space="preserve">Criterios de preparación de los estados financieros </w:t>
      </w:r>
    </w:p>
    <w:p w14:paraId="08AE8294" w14:textId="1D5691BA" w:rsidR="00993995" w:rsidRPr="00CD2E8D" w:rsidRDefault="00993995" w:rsidP="00993995">
      <w:pPr>
        <w:pStyle w:val="Prrafodelista"/>
        <w:spacing w:before="120" w:after="120"/>
        <w:ind w:left="700"/>
        <w:jc w:val="both"/>
        <w:rPr>
          <w:sz w:val="20"/>
          <w:lang w:val="es-AR"/>
        </w:rPr>
      </w:pPr>
      <w:r w:rsidRPr="00CD2E8D">
        <w:rPr>
          <w:sz w:val="20"/>
          <w:lang w:val="es-AR"/>
        </w:rPr>
        <w:t xml:space="preserve">Los presentes estados financieros intermedios </w:t>
      </w:r>
      <w:r w:rsidR="000F471B" w:rsidRPr="00CD2E8D">
        <w:rPr>
          <w:sz w:val="20"/>
          <w:lang w:val="es-AR"/>
        </w:rPr>
        <w:t xml:space="preserve">separados </w:t>
      </w:r>
      <w:r w:rsidRPr="00CD2E8D">
        <w:rPr>
          <w:sz w:val="20"/>
          <w:lang w:val="es-AR"/>
        </w:rPr>
        <w:t>condensados correspondientes al 3</w:t>
      </w:r>
      <w:r w:rsidR="00E35B6A" w:rsidRPr="00CD2E8D">
        <w:rPr>
          <w:sz w:val="20"/>
          <w:lang w:val="es-AR"/>
        </w:rPr>
        <w:t>0</w:t>
      </w:r>
      <w:r w:rsidRPr="00CD2E8D">
        <w:rPr>
          <w:sz w:val="20"/>
          <w:lang w:val="es-AR"/>
        </w:rPr>
        <w:t xml:space="preserve"> de </w:t>
      </w:r>
      <w:r w:rsidR="00815454" w:rsidRPr="00CD2E8D">
        <w:rPr>
          <w:sz w:val="20"/>
          <w:lang w:val="es-AR"/>
        </w:rPr>
        <w:t>septiembre</w:t>
      </w:r>
      <w:r w:rsidRPr="00CD2E8D">
        <w:rPr>
          <w:sz w:val="20"/>
          <w:lang w:val="es-AR"/>
        </w:rPr>
        <w:t xml:space="preserve"> de 2021 y por el período de </w:t>
      </w:r>
      <w:r w:rsidR="00815454" w:rsidRPr="00CD2E8D">
        <w:rPr>
          <w:sz w:val="20"/>
          <w:lang w:val="es-AR"/>
        </w:rPr>
        <w:t>nueve</w:t>
      </w:r>
      <w:r w:rsidRPr="00CD2E8D">
        <w:rPr>
          <w:sz w:val="20"/>
          <w:lang w:val="es-AR"/>
        </w:rPr>
        <w:t xml:space="preserve"> meses finalizado en esa fecha, fueron confeccionados de acuerdo con la normativa del B.C.R.A. que establece que las entidades bajo su supervisión presenten estados financieros preparados de acuerdo a las Normas Internacionales de Información Financiera (NIIF) emitidas por el Consejo de Normas Internacionales de Contabilidad (IASB, por su sigla en inglés), con las siguientes excepciones (“marco de información contable establecido por el B.C.R.A.”):</w:t>
      </w:r>
    </w:p>
    <w:p w14:paraId="2BBB721F" w14:textId="77777777" w:rsidR="00BC5AD4" w:rsidRPr="00CD2E8D" w:rsidRDefault="00BC5AD4" w:rsidP="002E0A1C">
      <w:pPr>
        <w:pStyle w:val="Notas"/>
        <w:numPr>
          <w:ilvl w:val="0"/>
          <w:numId w:val="43"/>
        </w:numPr>
        <w:ind w:left="1134"/>
        <w:rPr>
          <w:rFonts w:ascii="Times New Roman" w:hAnsi="Times New Roman"/>
        </w:rPr>
      </w:pPr>
      <w:r w:rsidRPr="00CD2E8D">
        <w:rPr>
          <w:rFonts w:ascii="Times New Roman" w:hAnsi="Times New Roman"/>
        </w:rPr>
        <w:t>Deterioro de valor de activos financieros</w:t>
      </w:r>
    </w:p>
    <w:p w14:paraId="5115E5A7" w14:textId="10D5C4FC" w:rsidR="00BC5AD4" w:rsidRPr="00CD2E8D" w:rsidRDefault="00BC5AD4" w:rsidP="00BC5AD4">
      <w:pPr>
        <w:pStyle w:val="Notas"/>
        <w:ind w:left="1134"/>
        <w:rPr>
          <w:rFonts w:ascii="Times New Roman" w:hAnsi="Times New Roman"/>
          <w:u w:val="none"/>
        </w:rPr>
      </w:pPr>
      <w:r w:rsidRPr="00CD2E8D">
        <w:rPr>
          <w:rFonts w:ascii="Times New Roman" w:hAnsi="Times New Roman"/>
          <w:u w:val="none"/>
        </w:rPr>
        <w:t xml:space="preserve">De acuerdo con la Comunicación “A” 6847 del B.C.R.A., la Entidad ha aplicado el modelo de pérdidas esperadas previsto por la sección 5.5. de la NIIF 9 excluyendo de su alcance los instrumentos de deuda del sector público no financiero. De aplicarse el modelo de deterioro previsto en el punto 5.5 de la NIIF 9, se hubiese registrado una disminución en el patrimonio de la Entidad de </w:t>
      </w:r>
      <w:r w:rsidR="00CD2E8D" w:rsidRPr="00CD2E8D">
        <w:rPr>
          <w:rFonts w:ascii="Times New Roman" w:hAnsi="Times New Roman"/>
          <w:u w:val="none"/>
        </w:rPr>
        <w:t xml:space="preserve">5.632.064 y de 6.064.712 </w:t>
      </w:r>
      <w:r w:rsidRPr="00CD2E8D">
        <w:rPr>
          <w:rFonts w:ascii="Times New Roman" w:hAnsi="Times New Roman"/>
          <w:u w:val="none"/>
        </w:rPr>
        <w:t>al 3</w:t>
      </w:r>
      <w:r w:rsidR="00E35B6A" w:rsidRPr="00CD2E8D">
        <w:rPr>
          <w:rFonts w:ascii="Times New Roman" w:hAnsi="Times New Roman"/>
          <w:u w:val="none"/>
        </w:rPr>
        <w:t>0</w:t>
      </w:r>
      <w:r w:rsidRPr="00CD2E8D">
        <w:rPr>
          <w:rFonts w:ascii="Times New Roman" w:hAnsi="Times New Roman"/>
          <w:u w:val="none"/>
        </w:rPr>
        <w:t xml:space="preserve"> de </w:t>
      </w:r>
      <w:r w:rsidR="00815454" w:rsidRPr="00CD2E8D">
        <w:rPr>
          <w:rFonts w:ascii="Times New Roman" w:hAnsi="Times New Roman"/>
          <w:u w:val="none"/>
        </w:rPr>
        <w:t>septiembre</w:t>
      </w:r>
      <w:r w:rsidRPr="00CD2E8D">
        <w:rPr>
          <w:rFonts w:ascii="Times New Roman" w:hAnsi="Times New Roman"/>
          <w:u w:val="none"/>
        </w:rPr>
        <w:t xml:space="preserve"> de 202</w:t>
      </w:r>
      <w:r w:rsidR="00993995" w:rsidRPr="00CD2E8D">
        <w:rPr>
          <w:rFonts w:ascii="Times New Roman" w:hAnsi="Times New Roman"/>
          <w:u w:val="none"/>
        </w:rPr>
        <w:t>1</w:t>
      </w:r>
      <w:r w:rsidRPr="00CD2E8D">
        <w:rPr>
          <w:rFonts w:ascii="Times New Roman" w:hAnsi="Times New Roman"/>
          <w:u w:val="none"/>
        </w:rPr>
        <w:t xml:space="preserve"> y </w:t>
      </w:r>
      <w:r w:rsidR="00993995" w:rsidRPr="00CD2E8D">
        <w:rPr>
          <w:rFonts w:ascii="Times New Roman" w:hAnsi="Times New Roman"/>
          <w:u w:val="none"/>
        </w:rPr>
        <w:t xml:space="preserve">al 31 de diciembre </w:t>
      </w:r>
      <w:r w:rsidRPr="00CD2E8D">
        <w:rPr>
          <w:rFonts w:ascii="Times New Roman" w:hAnsi="Times New Roman"/>
          <w:u w:val="none"/>
        </w:rPr>
        <w:t>20</w:t>
      </w:r>
      <w:r w:rsidR="00993995" w:rsidRPr="00CD2E8D">
        <w:rPr>
          <w:rFonts w:ascii="Times New Roman" w:hAnsi="Times New Roman"/>
          <w:u w:val="none"/>
        </w:rPr>
        <w:t>20</w:t>
      </w:r>
      <w:r w:rsidRPr="00CD2E8D">
        <w:rPr>
          <w:rFonts w:ascii="Times New Roman" w:hAnsi="Times New Roman"/>
          <w:u w:val="none"/>
        </w:rPr>
        <w:t>, respectivamente, netas del efecto del impuesto</w:t>
      </w:r>
      <w:r w:rsidR="00D13EE6" w:rsidRPr="00CD2E8D">
        <w:rPr>
          <w:rFonts w:ascii="Times New Roman" w:hAnsi="Times New Roman"/>
          <w:u w:val="none"/>
        </w:rPr>
        <w:t xml:space="preserve"> diferido</w:t>
      </w:r>
      <w:r w:rsidRPr="00CD2E8D">
        <w:rPr>
          <w:rFonts w:ascii="Times New Roman" w:hAnsi="Times New Roman"/>
          <w:u w:val="none"/>
        </w:rPr>
        <w:t>.</w:t>
      </w:r>
    </w:p>
    <w:p w14:paraId="50182211" w14:textId="5C9FDC24" w:rsidR="00BC5AD4" w:rsidRPr="00CD2E8D" w:rsidRDefault="00BC5AD4" w:rsidP="00BC5AD4">
      <w:pPr>
        <w:pStyle w:val="Notas"/>
        <w:ind w:left="1134"/>
        <w:rPr>
          <w:rFonts w:ascii="Times New Roman" w:hAnsi="Times New Roman"/>
          <w:u w:val="none"/>
        </w:rPr>
      </w:pPr>
      <w:r w:rsidRPr="00CD2E8D">
        <w:rPr>
          <w:rFonts w:ascii="Times New Roman" w:hAnsi="Times New Roman"/>
          <w:u w:val="none"/>
        </w:rPr>
        <w:t>Adicionalmente, con fecha 19 de marzo de 2020 el B.C.R.A. emitió la Comunicación "A" 6938</w:t>
      </w:r>
      <w:r w:rsidR="00A207C1" w:rsidRPr="00CD2E8D">
        <w:rPr>
          <w:rFonts w:ascii="Times New Roman" w:hAnsi="Times New Roman"/>
          <w:u w:val="none"/>
        </w:rPr>
        <w:t xml:space="preserve">,  prorrogada por la </w:t>
      </w:r>
      <w:r w:rsidR="00EC4231" w:rsidRPr="00CD2E8D">
        <w:rPr>
          <w:rFonts w:ascii="Times New Roman" w:hAnsi="Times New Roman"/>
          <w:u w:val="none"/>
        </w:rPr>
        <w:t xml:space="preserve">Comunicación </w:t>
      </w:r>
      <w:r w:rsidR="00A207C1" w:rsidRPr="00CD2E8D">
        <w:rPr>
          <w:rFonts w:ascii="Times New Roman" w:hAnsi="Times New Roman"/>
          <w:u w:val="none"/>
        </w:rPr>
        <w:t>“A” 7181 del 17 de diciembre de 2020,</w:t>
      </w:r>
      <w:r w:rsidRPr="00CD2E8D">
        <w:rPr>
          <w:rFonts w:ascii="Times New Roman" w:hAnsi="Times New Roman"/>
          <w:u w:val="none"/>
        </w:rPr>
        <w:t xml:space="preserve"> que posterga la aplicación del modelo de deterioro establecido en la sección 5.5 de la NIIF 9 hasta los ejercicios que se inicien a partir del 1 de enero de 202</w:t>
      </w:r>
      <w:r w:rsidR="00A207C1" w:rsidRPr="00CD2E8D">
        <w:rPr>
          <w:rFonts w:ascii="Times New Roman" w:hAnsi="Times New Roman"/>
          <w:u w:val="none"/>
        </w:rPr>
        <w:t>2</w:t>
      </w:r>
      <w:r w:rsidRPr="00CD2E8D">
        <w:rPr>
          <w:rFonts w:ascii="Times New Roman" w:hAnsi="Times New Roman"/>
          <w:u w:val="none"/>
        </w:rPr>
        <w:t xml:space="preserve"> para las entidades del Grupo "</w:t>
      </w:r>
      <w:r w:rsidR="00A207C1" w:rsidRPr="00CD2E8D">
        <w:rPr>
          <w:rFonts w:ascii="Times New Roman" w:hAnsi="Times New Roman"/>
          <w:u w:val="none"/>
        </w:rPr>
        <w:t>C</w:t>
      </w:r>
      <w:r w:rsidRPr="00CD2E8D">
        <w:rPr>
          <w:rFonts w:ascii="Times New Roman" w:hAnsi="Times New Roman"/>
          <w:u w:val="none"/>
        </w:rPr>
        <w:t xml:space="preserve">" (entidades </w:t>
      </w:r>
      <w:r w:rsidR="00D933C2" w:rsidRPr="00CD2E8D">
        <w:rPr>
          <w:rFonts w:ascii="Times New Roman" w:hAnsi="Times New Roman"/>
          <w:u w:val="none"/>
        </w:rPr>
        <w:t>subsidiarias de</w:t>
      </w:r>
      <w:r w:rsidRPr="00CD2E8D">
        <w:rPr>
          <w:rFonts w:ascii="Times New Roman" w:hAnsi="Times New Roman"/>
          <w:u w:val="none"/>
        </w:rPr>
        <w:t xml:space="preserve"> la Entidad), manteniendo para las mismas el modelo de deterioro de valor establecido por el B.C.R.A. mediante Comunicación "A" 2950 y modificatorias, el cual requiere el reconocimiento de previsiones por incobrabilidad en función de las pautas mínimas establecidas por el B.C.R.A.</w:t>
      </w:r>
    </w:p>
    <w:p w14:paraId="4A6EAFC8" w14:textId="77777777" w:rsidR="00BC5AD4" w:rsidRPr="00CD2E8D" w:rsidRDefault="00BC5AD4" w:rsidP="002E0A1C">
      <w:pPr>
        <w:pStyle w:val="Notas"/>
        <w:numPr>
          <w:ilvl w:val="0"/>
          <w:numId w:val="43"/>
        </w:numPr>
        <w:ind w:left="1134"/>
        <w:rPr>
          <w:rFonts w:ascii="Times New Roman" w:hAnsi="Times New Roman"/>
        </w:rPr>
      </w:pPr>
      <w:r w:rsidRPr="00CD2E8D">
        <w:rPr>
          <w:rFonts w:ascii="Times New Roman" w:hAnsi="Times New Roman"/>
        </w:rPr>
        <w:t>Medición de la inversión remanente en Prisma Medios de Pago S.A.</w:t>
      </w:r>
    </w:p>
    <w:p w14:paraId="135A5FF4" w14:textId="22AB6143" w:rsidR="00BC5AD4" w:rsidRPr="00CD2E8D" w:rsidRDefault="00BC5AD4" w:rsidP="00BC5AD4">
      <w:pPr>
        <w:pStyle w:val="Notas"/>
        <w:ind w:left="1134"/>
        <w:rPr>
          <w:rFonts w:ascii="Times New Roman" w:hAnsi="Times New Roman"/>
          <w:u w:val="none"/>
        </w:rPr>
      </w:pPr>
      <w:r w:rsidRPr="00CD2E8D">
        <w:rPr>
          <w:rFonts w:ascii="Times New Roman" w:hAnsi="Times New Roman"/>
          <w:u w:val="none"/>
        </w:rPr>
        <w:t>El B.C.R.A. estableció a través de su Memorando N° 7/2019 de fecha 29 de abril de 2019 el tratamiento contable a dispensar a la inversión remanente mantenida por la Entidad en Prisma Medios de Pago S.A. registrada en “Inversiones en Instrumentos de Patrimonio” al 3</w:t>
      </w:r>
      <w:r w:rsidR="00E35B6A" w:rsidRPr="00CD2E8D">
        <w:rPr>
          <w:rFonts w:ascii="Times New Roman" w:hAnsi="Times New Roman"/>
          <w:u w:val="none"/>
        </w:rPr>
        <w:t>0</w:t>
      </w:r>
      <w:r w:rsidRPr="00CD2E8D">
        <w:rPr>
          <w:rFonts w:ascii="Times New Roman" w:hAnsi="Times New Roman"/>
          <w:u w:val="none"/>
        </w:rPr>
        <w:t xml:space="preserve"> de </w:t>
      </w:r>
      <w:r w:rsidR="00815454" w:rsidRPr="00CD2E8D">
        <w:rPr>
          <w:rFonts w:ascii="Times New Roman" w:hAnsi="Times New Roman"/>
          <w:u w:val="none"/>
        </w:rPr>
        <w:t>septiembre</w:t>
      </w:r>
      <w:r w:rsidRPr="00CD2E8D">
        <w:rPr>
          <w:rFonts w:ascii="Times New Roman" w:hAnsi="Times New Roman"/>
          <w:u w:val="none"/>
        </w:rPr>
        <w:t xml:space="preserve"> de 202</w:t>
      </w:r>
      <w:r w:rsidR="00993995" w:rsidRPr="00CD2E8D">
        <w:rPr>
          <w:rFonts w:ascii="Times New Roman" w:hAnsi="Times New Roman"/>
          <w:u w:val="none"/>
        </w:rPr>
        <w:t>1</w:t>
      </w:r>
      <w:r w:rsidRPr="00CD2E8D">
        <w:rPr>
          <w:rFonts w:ascii="Times New Roman" w:hAnsi="Times New Roman"/>
          <w:u w:val="none"/>
        </w:rPr>
        <w:t xml:space="preserve"> y</w:t>
      </w:r>
      <w:r w:rsidR="00993995" w:rsidRPr="00CD2E8D">
        <w:rPr>
          <w:rFonts w:ascii="Times New Roman" w:hAnsi="Times New Roman"/>
          <w:u w:val="none"/>
        </w:rPr>
        <w:t xml:space="preserve"> al 31 de diciembre</w:t>
      </w:r>
      <w:r w:rsidRPr="00CD2E8D">
        <w:rPr>
          <w:rFonts w:ascii="Times New Roman" w:hAnsi="Times New Roman"/>
          <w:u w:val="none"/>
        </w:rPr>
        <w:t xml:space="preserve"> 20</w:t>
      </w:r>
      <w:r w:rsidR="00993995" w:rsidRPr="00CD2E8D">
        <w:rPr>
          <w:rFonts w:ascii="Times New Roman" w:hAnsi="Times New Roman"/>
          <w:u w:val="none"/>
        </w:rPr>
        <w:t>20</w:t>
      </w:r>
      <w:r w:rsidRPr="00CD2E8D">
        <w:rPr>
          <w:rFonts w:ascii="Times New Roman" w:hAnsi="Times New Roman"/>
          <w:u w:val="none"/>
        </w:rPr>
        <w:t xml:space="preserve"> (ver Nota 16</w:t>
      </w:r>
      <w:r w:rsidR="0007034F" w:rsidRPr="00CD2E8D">
        <w:rPr>
          <w:rFonts w:ascii="Times New Roman" w:hAnsi="Times New Roman"/>
          <w:u w:val="none"/>
        </w:rPr>
        <w:t xml:space="preserve"> a los estados financieros intermedios consolidados</w:t>
      </w:r>
      <w:r w:rsidR="0053487D" w:rsidRPr="00CD2E8D">
        <w:rPr>
          <w:rFonts w:ascii="Times New Roman" w:hAnsi="Times New Roman"/>
          <w:u w:val="none"/>
        </w:rPr>
        <w:t xml:space="preserve"> condensados</w:t>
      </w:r>
      <w:r w:rsidRPr="00CD2E8D">
        <w:rPr>
          <w:rFonts w:ascii="Times New Roman" w:hAnsi="Times New Roman"/>
          <w:u w:val="none"/>
        </w:rPr>
        <w:t>).</w:t>
      </w:r>
    </w:p>
    <w:p w14:paraId="5DB377DE" w14:textId="441883CA" w:rsidR="002D47F4" w:rsidRPr="00CD2E8D" w:rsidRDefault="002D47F4" w:rsidP="002D47F4">
      <w:pPr>
        <w:pStyle w:val="Notas"/>
        <w:ind w:left="1134"/>
        <w:rPr>
          <w:rFonts w:ascii="Times New Roman" w:hAnsi="Times New Roman"/>
          <w:u w:val="none"/>
        </w:rPr>
      </w:pPr>
      <w:r w:rsidRPr="00CD2E8D">
        <w:rPr>
          <w:rFonts w:ascii="Times New Roman" w:hAnsi="Times New Roman"/>
          <w:u w:val="none"/>
        </w:rPr>
        <w:lastRenderedPageBreak/>
        <w:t>Asimismo, el Banco procedió a contabilizar un ajuste de resultado de ejercicios anteriores, a requerimiento del citado organismo, que con posterioridad a la emisión de los estados financieros al 31 de diciembre de 2020</w:t>
      </w:r>
      <w:r w:rsidR="0053487D" w:rsidRPr="00CD2E8D">
        <w:rPr>
          <w:rFonts w:ascii="Times New Roman" w:hAnsi="Times New Roman"/>
          <w:u w:val="none"/>
        </w:rPr>
        <w:t xml:space="preserve"> mediante Memorando N° 8/2021 del 22 de marzo de 2021</w:t>
      </w:r>
      <w:r w:rsidRPr="00CD2E8D">
        <w:rPr>
          <w:rFonts w:ascii="Times New Roman" w:hAnsi="Times New Roman"/>
          <w:u w:val="none"/>
        </w:rPr>
        <w:t>, requirió ajustar el valor razonable reconocido sobre la participación accionaria en Prisma Medios de Pago S.A. al 31 de diciembre de 2020.</w:t>
      </w:r>
    </w:p>
    <w:p w14:paraId="490A77C2" w14:textId="697DDF1F" w:rsidR="002D47F4" w:rsidRPr="00CD2E8D" w:rsidRDefault="002D47F4" w:rsidP="002D47F4">
      <w:pPr>
        <w:pStyle w:val="Notas"/>
        <w:ind w:left="1134"/>
        <w:rPr>
          <w:rFonts w:ascii="Times New Roman" w:hAnsi="Times New Roman"/>
          <w:u w:val="none"/>
        </w:rPr>
      </w:pPr>
      <w:r w:rsidRPr="00CD2E8D">
        <w:rPr>
          <w:rFonts w:ascii="Times New Roman" w:hAnsi="Times New Roman"/>
          <w:u w:val="none"/>
        </w:rPr>
        <w:t xml:space="preserve">Al solo efecto de exposición, dicho ajuste afectó los rubros “Inversiones en Instrumentos de Patrimonio” en </w:t>
      </w:r>
      <w:r w:rsidR="00CD2E8D" w:rsidRPr="00CD2E8D">
        <w:rPr>
          <w:rFonts w:ascii="Times New Roman" w:hAnsi="Times New Roman"/>
          <w:u w:val="none"/>
        </w:rPr>
        <w:t xml:space="preserve">1.960.802 </w:t>
      </w:r>
      <w:r w:rsidRPr="00CD2E8D">
        <w:rPr>
          <w:rFonts w:ascii="Times New Roman" w:hAnsi="Times New Roman"/>
          <w:u w:val="none"/>
        </w:rPr>
        <w:t xml:space="preserve">(disminución) y “Resultados no asignados” en </w:t>
      </w:r>
      <w:r w:rsidR="000B52F6">
        <w:rPr>
          <w:rFonts w:ascii="Times New Roman" w:hAnsi="Times New Roman"/>
          <w:u w:val="none"/>
        </w:rPr>
        <w:t>1.372.555</w:t>
      </w:r>
      <w:r w:rsidR="00CD2E8D" w:rsidRPr="00CD2E8D">
        <w:rPr>
          <w:rFonts w:ascii="Times New Roman" w:hAnsi="Times New Roman"/>
          <w:u w:val="none"/>
        </w:rPr>
        <w:t xml:space="preserve"> </w:t>
      </w:r>
      <w:r w:rsidRPr="00CD2E8D">
        <w:rPr>
          <w:rFonts w:ascii="Times New Roman" w:hAnsi="Times New Roman"/>
          <w:u w:val="none"/>
        </w:rPr>
        <w:t xml:space="preserve">(disminución neta del impuesto a las ganancias diferido) en </w:t>
      </w:r>
      <w:r w:rsidR="0053487D" w:rsidRPr="00CD2E8D">
        <w:rPr>
          <w:rFonts w:ascii="Times New Roman" w:hAnsi="Times New Roman"/>
          <w:u w:val="none"/>
        </w:rPr>
        <w:t>el estado separado</w:t>
      </w:r>
      <w:r w:rsidRPr="00CD2E8D">
        <w:rPr>
          <w:rFonts w:ascii="Times New Roman" w:hAnsi="Times New Roman"/>
          <w:u w:val="none"/>
        </w:rPr>
        <w:t xml:space="preserve"> de situación financiera condensado </w:t>
      </w:r>
      <w:r w:rsidR="0053487D" w:rsidRPr="00CD2E8D">
        <w:rPr>
          <w:rFonts w:ascii="Times New Roman" w:hAnsi="Times New Roman"/>
          <w:u w:val="none"/>
        </w:rPr>
        <w:t xml:space="preserve">y estado separado de </w:t>
      </w:r>
      <w:r w:rsidR="00781BAE" w:rsidRPr="00CD2E8D">
        <w:rPr>
          <w:rFonts w:ascii="Times New Roman" w:hAnsi="Times New Roman"/>
          <w:u w:val="none"/>
        </w:rPr>
        <w:t>c</w:t>
      </w:r>
      <w:r w:rsidR="0053487D" w:rsidRPr="00CD2E8D">
        <w:rPr>
          <w:rFonts w:ascii="Times New Roman" w:hAnsi="Times New Roman"/>
          <w:u w:val="none"/>
        </w:rPr>
        <w:t xml:space="preserve">ambios en el patrimonio condensado </w:t>
      </w:r>
      <w:r w:rsidRPr="00CD2E8D">
        <w:rPr>
          <w:rFonts w:ascii="Times New Roman" w:hAnsi="Times New Roman"/>
          <w:u w:val="none"/>
        </w:rPr>
        <w:t>comparativo el 31 de diciembre de 2020.</w:t>
      </w:r>
    </w:p>
    <w:p w14:paraId="0044813D" w14:textId="31A12DD6" w:rsidR="002D47F4" w:rsidRPr="00CD2E8D" w:rsidRDefault="002D47F4" w:rsidP="002D47F4">
      <w:pPr>
        <w:pStyle w:val="Notas"/>
        <w:ind w:left="1134"/>
        <w:rPr>
          <w:rFonts w:ascii="Times New Roman" w:hAnsi="Times New Roman"/>
          <w:u w:val="none"/>
        </w:rPr>
      </w:pPr>
      <w:r w:rsidRPr="00CD2E8D">
        <w:rPr>
          <w:rFonts w:ascii="Times New Roman" w:hAnsi="Times New Roman"/>
          <w:u w:val="none"/>
        </w:rPr>
        <w:t>Cabe aclarar que la valuación de dicha participación fue determinada por el Banco siguiendo los lineamientos establecidos por la normativa aplicable y considerando un informe de valuación al 31 de diciembre de 2020 emitido por expertos independientes.</w:t>
      </w:r>
    </w:p>
    <w:p w14:paraId="0D1FD462" w14:textId="4E492340" w:rsidR="00BC5AD4" w:rsidRPr="00CD2E8D" w:rsidRDefault="00C764E2" w:rsidP="002E0A1C">
      <w:pPr>
        <w:pStyle w:val="Notas"/>
        <w:numPr>
          <w:ilvl w:val="0"/>
          <w:numId w:val="43"/>
        </w:numPr>
        <w:ind w:left="1134"/>
        <w:rPr>
          <w:rFonts w:ascii="Times New Roman" w:hAnsi="Times New Roman"/>
        </w:rPr>
      </w:pPr>
      <w:r w:rsidRPr="00CD2E8D">
        <w:rPr>
          <w:rFonts w:ascii="Times New Roman" w:hAnsi="Times New Roman"/>
        </w:rPr>
        <w:t xml:space="preserve">Memorando N° 6/2017 sobre reliquidación del impuesto a las ganancias </w:t>
      </w:r>
    </w:p>
    <w:p w14:paraId="31B5CC02" w14:textId="6598CC8C" w:rsidR="00A355A3" w:rsidRPr="00CD2E8D" w:rsidRDefault="00C764E2" w:rsidP="00C764E2">
      <w:pPr>
        <w:pStyle w:val="Notas"/>
        <w:ind w:left="1134"/>
        <w:rPr>
          <w:rFonts w:ascii="Times New Roman" w:hAnsi="Times New Roman"/>
          <w:u w:val="none"/>
        </w:rPr>
      </w:pPr>
      <w:r w:rsidRPr="00CD2E8D">
        <w:rPr>
          <w:rFonts w:ascii="Times New Roman" w:hAnsi="Times New Roman"/>
          <w:u w:val="none"/>
        </w:rPr>
        <w:t xml:space="preserve">Con fecha 29 de mayo de 2017 el B.C.R.A. emitió el Memorando N° 6/2017 mediante </w:t>
      </w:r>
      <w:r w:rsidR="00F43735" w:rsidRPr="00CD2E8D">
        <w:rPr>
          <w:rFonts w:ascii="Times New Roman" w:hAnsi="Times New Roman"/>
          <w:u w:val="none"/>
        </w:rPr>
        <w:t>el</w:t>
      </w:r>
      <w:r w:rsidRPr="00CD2E8D">
        <w:rPr>
          <w:rFonts w:ascii="Times New Roman" w:hAnsi="Times New Roman"/>
          <w:u w:val="none"/>
        </w:rPr>
        <w:t xml:space="preserve"> cual requirió a la Entidad proceder a la constitución de una provisión en el pasivo en relación a la reliquidación del impuesto a las ganancias realizad</w:t>
      </w:r>
      <w:r w:rsidR="00F43735" w:rsidRPr="00CD2E8D">
        <w:rPr>
          <w:rFonts w:ascii="Times New Roman" w:hAnsi="Times New Roman"/>
          <w:u w:val="none"/>
        </w:rPr>
        <w:t>a</w:t>
      </w:r>
      <w:r w:rsidRPr="00CD2E8D">
        <w:rPr>
          <w:rFonts w:ascii="Times New Roman" w:hAnsi="Times New Roman"/>
          <w:u w:val="none"/>
        </w:rPr>
        <w:t xml:space="preserve"> por la Entidad aplicando el ajuste por inflación impositivo.  De haberse aplicado el tratamiento establecido por las NIIF el pasivo hubiera disminuido en </w:t>
      </w:r>
      <w:r w:rsidR="00CD2E8D" w:rsidRPr="00CD2E8D">
        <w:rPr>
          <w:rFonts w:ascii="Times New Roman" w:hAnsi="Times New Roman"/>
          <w:u w:val="none"/>
        </w:rPr>
        <w:t xml:space="preserve">7.460.205 </w:t>
      </w:r>
      <w:r w:rsidRPr="00CD2E8D">
        <w:rPr>
          <w:rFonts w:ascii="Times New Roman" w:hAnsi="Times New Roman"/>
          <w:u w:val="none"/>
        </w:rPr>
        <w:t>al 31 de diciembre de 2020, correspondiente a la reliquidación del impuesto a las ganancias de los períodos fiscales 2016, 2017 y 2018.</w:t>
      </w:r>
    </w:p>
    <w:p w14:paraId="2D0B5A16" w14:textId="4F029909" w:rsidR="00AB314A" w:rsidRPr="00CD2E8D" w:rsidRDefault="00A355A3" w:rsidP="007A3892">
      <w:pPr>
        <w:spacing w:after="120" w:line="240" w:lineRule="exact"/>
        <w:ind w:left="567"/>
        <w:jc w:val="both"/>
        <w:rPr>
          <w:rFonts w:ascii="Times New Roman" w:hAnsi="Times New Roman"/>
          <w:sz w:val="20"/>
        </w:rPr>
      </w:pPr>
      <w:r w:rsidRPr="00CD2E8D">
        <w:rPr>
          <w:rFonts w:ascii="Times New Roman" w:hAnsi="Times New Roman"/>
          <w:sz w:val="20"/>
        </w:rPr>
        <w:t>Las excepciones descriptas constituyen apartamientos a las NIIF.</w:t>
      </w:r>
    </w:p>
    <w:p w14:paraId="0AF028F5" w14:textId="6D8CB00E" w:rsidR="00BF2AB0" w:rsidRPr="00CD2E8D" w:rsidRDefault="00E2117F" w:rsidP="008C73C4">
      <w:pPr>
        <w:ind w:left="567"/>
        <w:jc w:val="both"/>
        <w:rPr>
          <w:rFonts w:ascii="Times New Roman" w:hAnsi="Times New Roman"/>
          <w:sz w:val="20"/>
        </w:rPr>
      </w:pPr>
      <w:r w:rsidRPr="00CD2E8D">
        <w:rPr>
          <w:rFonts w:ascii="Times New Roman" w:hAnsi="Times New Roman"/>
          <w:sz w:val="20"/>
        </w:rPr>
        <w:t>Tal como se indica en Nota 2 a los estados financieros</w:t>
      </w:r>
      <w:r w:rsidR="00B12842" w:rsidRPr="00CD2E8D">
        <w:rPr>
          <w:rFonts w:ascii="Times New Roman" w:hAnsi="Times New Roman"/>
          <w:sz w:val="20"/>
        </w:rPr>
        <w:t xml:space="preserve"> </w:t>
      </w:r>
      <w:r w:rsidR="0007034F" w:rsidRPr="00CD2E8D">
        <w:rPr>
          <w:rFonts w:ascii="Times New Roman" w:hAnsi="Times New Roman"/>
          <w:sz w:val="20"/>
        </w:rPr>
        <w:t xml:space="preserve">intermedios </w:t>
      </w:r>
      <w:r w:rsidRPr="00CD2E8D">
        <w:rPr>
          <w:rFonts w:ascii="Times New Roman" w:hAnsi="Times New Roman"/>
          <w:sz w:val="20"/>
        </w:rPr>
        <w:t>consolidados</w:t>
      </w:r>
      <w:r w:rsidR="0053487D" w:rsidRPr="00CD2E8D">
        <w:rPr>
          <w:rFonts w:ascii="Times New Roman" w:hAnsi="Times New Roman"/>
          <w:sz w:val="20"/>
        </w:rPr>
        <w:t xml:space="preserve"> condensados</w:t>
      </w:r>
      <w:r w:rsidRPr="00CD2E8D">
        <w:rPr>
          <w:rFonts w:ascii="Times New Roman" w:hAnsi="Times New Roman"/>
          <w:sz w:val="20"/>
        </w:rPr>
        <w:t xml:space="preserve">, las situaciones antes descriptas resultan en apartamientos de las NIIF que </w:t>
      </w:r>
      <w:r w:rsidR="003021CD" w:rsidRPr="00CD2E8D">
        <w:rPr>
          <w:rFonts w:ascii="Times New Roman" w:hAnsi="Times New Roman"/>
          <w:sz w:val="20"/>
        </w:rPr>
        <w:t>tienen un impacto significativo y puede distorsionar la información suministrada en los presentes estados financieros separados</w:t>
      </w:r>
      <w:r w:rsidR="0053487D" w:rsidRPr="00CD2E8D">
        <w:rPr>
          <w:rFonts w:ascii="Times New Roman" w:hAnsi="Times New Roman"/>
          <w:sz w:val="20"/>
        </w:rPr>
        <w:t xml:space="preserve"> condensados</w:t>
      </w:r>
      <w:r w:rsidRPr="00CD2E8D">
        <w:rPr>
          <w:rFonts w:ascii="Times New Roman" w:hAnsi="Times New Roman"/>
          <w:sz w:val="20"/>
        </w:rPr>
        <w:t>.</w:t>
      </w:r>
    </w:p>
    <w:p w14:paraId="32BB2C81" w14:textId="77777777" w:rsidR="008C73C4" w:rsidRPr="00CD2E8D" w:rsidRDefault="008C73C4" w:rsidP="008C73C4">
      <w:pPr>
        <w:ind w:left="567"/>
        <w:jc w:val="both"/>
        <w:rPr>
          <w:rFonts w:ascii="Times New Roman" w:hAnsi="Times New Roman"/>
          <w:sz w:val="20"/>
        </w:rPr>
      </w:pPr>
    </w:p>
    <w:p w14:paraId="5A411DF3" w14:textId="087B89C9" w:rsidR="0007034F" w:rsidRPr="00CD2E8D" w:rsidRDefault="0007034F" w:rsidP="008C73C4">
      <w:pPr>
        <w:ind w:left="567"/>
        <w:jc w:val="both"/>
        <w:rPr>
          <w:rFonts w:ascii="Times New Roman" w:hAnsi="Times New Roman"/>
          <w:sz w:val="20"/>
        </w:rPr>
      </w:pPr>
      <w:r w:rsidRPr="00CD2E8D">
        <w:rPr>
          <w:rFonts w:ascii="Times New Roman" w:hAnsi="Times New Roman"/>
          <w:sz w:val="20"/>
        </w:rPr>
        <w:t>Por tratarse de un período intermedio, el Banco optó por presentar información condensada, de acuerdo con los lineamientos de la NIC N° 34 “Información Financiera Intermedia”, por lo cual no se incluye toda la información requerida en la presentación de estados financieros completos bajo NIIF. En consecuencia, los presentes estados financieros deber ser leídos en conjunto con los estados financieros finalizados al 31 de diciembre de 2020. Sin embargo, se incluyen notas que explican los eventos y transacciones que son significativas para el entendimiento de los cambios en la situación financiera desde el 31 de diciembre de 2020.</w:t>
      </w:r>
    </w:p>
    <w:p w14:paraId="36FA8AA1" w14:textId="77777777" w:rsidR="0007034F" w:rsidRPr="00CD2E8D" w:rsidRDefault="0007034F" w:rsidP="007A3892">
      <w:pPr>
        <w:ind w:left="567"/>
        <w:jc w:val="both"/>
        <w:rPr>
          <w:rFonts w:ascii="Times New Roman" w:hAnsi="Times New Roman"/>
          <w:sz w:val="20"/>
        </w:rPr>
      </w:pPr>
    </w:p>
    <w:p w14:paraId="39A13D8D" w14:textId="77777777" w:rsidR="007A3892" w:rsidRPr="00CD2E8D" w:rsidRDefault="00E2117F" w:rsidP="007A3892">
      <w:pPr>
        <w:ind w:left="567"/>
        <w:jc w:val="both"/>
        <w:rPr>
          <w:rFonts w:ascii="Times New Roman" w:hAnsi="Times New Roman"/>
          <w:sz w:val="20"/>
        </w:rPr>
      </w:pPr>
      <w:r w:rsidRPr="00CD2E8D">
        <w:rPr>
          <w:rFonts w:ascii="Times New Roman" w:hAnsi="Times New Roman"/>
          <w:sz w:val="20"/>
        </w:rPr>
        <w:t>Asimismo, estos estados financieros separados contienen la información adicional y los anexos requeridos por el B.C.R.A. a través de la Comunicación “A” 6324.</w:t>
      </w:r>
    </w:p>
    <w:p w14:paraId="4C3A6348" w14:textId="77777777" w:rsidR="007A3892" w:rsidRPr="00CD2E8D" w:rsidRDefault="007A3892" w:rsidP="007A3892">
      <w:pPr>
        <w:ind w:left="567"/>
        <w:jc w:val="both"/>
        <w:rPr>
          <w:rFonts w:ascii="Times New Roman" w:hAnsi="Times New Roman"/>
          <w:sz w:val="20"/>
        </w:rPr>
      </w:pPr>
    </w:p>
    <w:p w14:paraId="14F8AFB7" w14:textId="3A0D1B5B" w:rsidR="00E2117F" w:rsidRPr="00CD2E8D" w:rsidRDefault="00E2117F" w:rsidP="007A3892">
      <w:pPr>
        <w:ind w:left="567"/>
        <w:jc w:val="both"/>
        <w:rPr>
          <w:rFonts w:ascii="Times New Roman" w:hAnsi="Times New Roman"/>
          <w:sz w:val="20"/>
        </w:rPr>
      </w:pPr>
      <w:r w:rsidRPr="00CD2E8D">
        <w:rPr>
          <w:rFonts w:ascii="Times New Roman" w:hAnsi="Times New Roman"/>
          <w:sz w:val="20"/>
        </w:rPr>
        <w:t xml:space="preserve">A fin de evitar duplicación de la información ya provista, nos referimos a los estados financieros </w:t>
      </w:r>
      <w:r w:rsidR="0037173D" w:rsidRPr="00CD2E8D">
        <w:rPr>
          <w:rFonts w:ascii="Times New Roman" w:hAnsi="Times New Roman"/>
          <w:sz w:val="20"/>
        </w:rPr>
        <w:t xml:space="preserve">intermedios </w:t>
      </w:r>
      <w:r w:rsidRPr="00CD2E8D">
        <w:rPr>
          <w:rFonts w:ascii="Times New Roman" w:hAnsi="Times New Roman"/>
          <w:sz w:val="20"/>
        </w:rPr>
        <w:t xml:space="preserve">consolidados </w:t>
      </w:r>
      <w:r w:rsidR="0037173D" w:rsidRPr="00CD2E8D">
        <w:rPr>
          <w:rFonts w:ascii="Times New Roman" w:hAnsi="Times New Roman"/>
          <w:sz w:val="20"/>
        </w:rPr>
        <w:t xml:space="preserve">condensados </w:t>
      </w:r>
      <w:r w:rsidRPr="00CD2E8D">
        <w:rPr>
          <w:rFonts w:ascii="Times New Roman" w:hAnsi="Times New Roman"/>
          <w:sz w:val="20"/>
        </w:rPr>
        <w:t>en lo relacionado co</w:t>
      </w:r>
      <w:r w:rsidR="0093375B" w:rsidRPr="00CD2E8D">
        <w:rPr>
          <w:rFonts w:ascii="Times New Roman" w:hAnsi="Times New Roman"/>
          <w:sz w:val="20"/>
        </w:rPr>
        <w:t>n:</w:t>
      </w:r>
    </w:p>
    <w:p w14:paraId="6E17D62E" w14:textId="77777777" w:rsidR="00847951" w:rsidRPr="00CD2E8D" w:rsidRDefault="00847951" w:rsidP="007A3892">
      <w:pPr>
        <w:ind w:left="567"/>
        <w:jc w:val="both"/>
        <w:rPr>
          <w:rFonts w:ascii="Times New Roman" w:hAnsi="Times New Roman"/>
          <w:sz w:val="20"/>
        </w:rPr>
      </w:pPr>
    </w:p>
    <w:p w14:paraId="36048E15" w14:textId="0A4DABF4" w:rsidR="00191A37" w:rsidRPr="00CD2E8D" w:rsidRDefault="00E2117F" w:rsidP="008E4876">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Moneda funcional y de presentación</w:t>
      </w:r>
      <w:r w:rsidR="005629FE" w:rsidRPr="00CD2E8D">
        <w:rPr>
          <w:rFonts w:ascii="Times New Roman" w:hAnsi="Times New Roman"/>
          <w:sz w:val="20"/>
          <w:lang w:eastAsia="es-ES"/>
        </w:rPr>
        <w:t xml:space="preserve"> </w:t>
      </w:r>
      <w:r w:rsidR="00191A37" w:rsidRPr="00CD2E8D">
        <w:rPr>
          <w:rFonts w:ascii="Times New Roman" w:hAnsi="Times New Roman"/>
          <w:sz w:val="20"/>
          <w:lang w:eastAsia="es-ES"/>
        </w:rPr>
        <w:t>(Nota 3 a los estados financieros</w:t>
      </w:r>
      <w:r w:rsidR="007E318A" w:rsidRPr="00CD2E8D">
        <w:rPr>
          <w:rFonts w:ascii="Times New Roman" w:hAnsi="Times New Roman"/>
          <w:sz w:val="20"/>
          <w:lang w:eastAsia="es-ES"/>
        </w:rPr>
        <w:t xml:space="preserve"> </w:t>
      </w:r>
      <w:r w:rsidR="0007034F" w:rsidRPr="00CD2E8D">
        <w:rPr>
          <w:rFonts w:ascii="Times New Roman" w:hAnsi="Times New Roman"/>
          <w:sz w:val="20"/>
          <w:lang w:eastAsia="es-ES"/>
        </w:rPr>
        <w:t xml:space="preserve">intermedios </w:t>
      </w:r>
      <w:r w:rsidR="00191A37" w:rsidRPr="00CD2E8D">
        <w:rPr>
          <w:rFonts w:ascii="Times New Roman" w:hAnsi="Times New Roman"/>
          <w:sz w:val="20"/>
          <w:lang w:eastAsia="es-ES"/>
        </w:rPr>
        <w:t>consolidados</w:t>
      </w:r>
      <w:r w:rsidR="0007034F" w:rsidRPr="00CD2E8D">
        <w:rPr>
          <w:rFonts w:ascii="Times New Roman" w:hAnsi="Times New Roman"/>
          <w:sz w:val="20"/>
          <w:lang w:eastAsia="es-ES"/>
        </w:rPr>
        <w:t xml:space="preserve"> condensados</w:t>
      </w:r>
      <w:r w:rsidR="00191A37" w:rsidRPr="00CD2E8D">
        <w:rPr>
          <w:rFonts w:ascii="Times New Roman" w:hAnsi="Times New Roman"/>
          <w:sz w:val="20"/>
          <w:lang w:eastAsia="es-ES"/>
        </w:rPr>
        <w:t>)</w:t>
      </w:r>
    </w:p>
    <w:p w14:paraId="0D63433C" w14:textId="3B026020" w:rsidR="00E2117F" w:rsidRPr="00CD2E8D" w:rsidRDefault="00E2117F" w:rsidP="008E4876">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 xml:space="preserve">Juicios y estimaciones contables </w:t>
      </w:r>
      <w:r w:rsidR="00191A37" w:rsidRPr="00CD2E8D">
        <w:rPr>
          <w:rFonts w:ascii="Times New Roman" w:hAnsi="Times New Roman"/>
          <w:sz w:val="20"/>
          <w:lang w:eastAsia="es-ES"/>
        </w:rPr>
        <w:t xml:space="preserve">(Nota 4 a los </w:t>
      </w:r>
      <w:r w:rsidR="0007034F" w:rsidRPr="00CD2E8D">
        <w:rPr>
          <w:rFonts w:ascii="Times New Roman" w:hAnsi="Times New Roman"/>
          <w:sz w:val="20"/>
          <w:lang w:eastAsia="es-ES"/>
        </w:rPr>
        <w:t>estados financieros intermedios consolidados condensados</w:t>
      </w:r>
      <w:r w:rsidR="00191A37" w:rsidRPr="00CD2E8D">
        <w:rPr>
          <w:rFonts w:ascii="Times New Roman" w:hAnsi="Times New Roman"/>
          <w:sz w:val="20"/>
          <w:lang w:eastAsia="es-ES"/>
        </w:rPr>
        <w:t>)</w:t>
      </w:r>
    </w:p>
    <w:p w14:paraId="3416FE3C" w14:textId="3495E598" w:rsidR="00E2117F" w:rsidRPr="00CD2E8D" w:rsidRDefault="00E2117F" w:rsidP="008E4876">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lastRenderedPageBreak/>
        <w:t xml:space="preserve">Políticas contables significativas </w:t>
      </w:r>
      <w:r w:rsidR="000B52F6" w:rsidRPr="000B52F6">
        <w:rPr>
          <w:rFonts w:ascii="Times New Roman" w:hAnsi="Times New Roman"/>
          <w:sz w:val="20"/>
          <w:lang w:eastAsia="es-ES"/>
        </w:rPr>
        <w:t>y lineamientos del B.C.R.A.</w:t>
      </w:r>
      <w:r w:rsidR="000B52F6" w:rsidRPr="00CD2E8D">
        <w:rPr>
          <w:rFonts w:ascii="Times New Roman" w:hAnsi="Times New Roman"/>
          <w:sz w:val="20"/>
          <w:lang w:eastAsia="es-ES"/>
        </w:rPr>
        <w:t xml:space="preserve"> </w:t>
      </w:r>
      <w:r w:rsidR="00191A37" w:rsidRPr="00CD2E8D">
        <w:rPr>
          <w:rFonts w:ascii="Times New Roman" w:hAnsi="Times New Roman"/>
          <w:sz w:val="20"/>
          <w:lang w:eastAsia="es-ES"/>
        </w:rPr>
        <w:t xml:space="preserve">(Nota 5 a los </w:t>
      </w:r>
      <w:r w:rsidR="0007034F" w:rsidRPr="00CD2E8D">
        <w:rPr>
          <w:rFonts w:ascii="Times New Roman" w:hAnsi="Times New Roman"/>
          <w:sz w:val="20"/>
          <w:lang w:eastAsia="es-ES"/>
        </w:rPr>
        <w:t>estados financieros intermedios consolidados condensados</w:t>
      </w:r>
      <w:r w:rsidR="00191A37" w:rsidRPr="00CD2E8D">
        <w:rPr>
          <w:rFonts w:ascii="Times New Roman" w:hAnsi="Times New Roman"/>
          <w:sz w:val="20"/>
          <w:lang w:eastAsia="es-ES"/>
        </w:rPr>
        <w:t>), excepto por la medición de las participaciones en subsidiarias.</w:t>
      </w:r>
    </w:p>
    <w:p w14:paraId="4878D9C6" w14:textId="506E3F92" w:rsidR="00191A37" w:rsidRPr="00CD2E8D" w:rsidRDefault="0098366A" w:rsidP="008E4876">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 xml:space="preserve">Cambios en políticas contables y nuevas </w:t>
      </w:r>
      <w:r w:rsidR="00E2117F" w:rsidRPr="00CD2E8D">
        <w:rPr>
          <w:rFonts w:ascii="Times New Roman" w:hAnsi="Times New Roman"/>
          <w:sz w:val="20"/>
          <w:lang w:eastAsia="es-ES"/>
        </w:rPr>
        <w:t>NIIF emitidas aún no vigentes</w:t>
      </w:r>
      <w:r w:rsidRPr="00CD2E8D">
        <w:rPr>
          <w:rFonts w:ascii="Times New Roman" w:hAnsi="Times New Roman"/>
          <w:sz w:val="20"/>
          <w:lang w:eastAsia="es-ES"/>
        </w:rPr>
        <w:t xml:space="preserve"> </w:t>
      </w:r>
      <w:r w:rsidR="00191A37" w:rsidRPr="00CD2E8D">
        <w:rPr>
          <w:rFonts w:ascii="Times New Roman" w:hAnsi="Times New Roman"/>
          <w:sz w:val="20"/>
          <w:lang w:eastAsia="es-ES"/>
        </w:rPr>
        <w:t xml:space="preserve">(Nota 6 a los </w:t>
      </w:r>
      <w:r w:rsidR="0007034F" w:rsidRPr="00CD2E8D">
        <w:rPr>
          <w:rFonts w:ascii="Times New Roman" w:hAnsi="Times New Roman"/>
          <w:sz w:val="20"/>
          <w:lang w:eastAsia="es-ES"/>
        </w:rPr>
        <w:t>estados financieros intermedios consolidados condensados</w:t>
      </w:r>
      <w:r w:rsidR="00191A37" w:rsidRPr="00CD2E8D">
        <w:rPr>
          <w:rFonts w:ascii="Times New Roman" w:hAnsi="Times New Roman"/>
          <w:sz w:val="20"/>
          <w:lang w:eastAsia="es-ES"/>
        </w:rPr>
        <w:t>)</w:t>
      </w:r>
    </w:p>
    <w:p w14:paraId="32E51BBE" w14:textId="29A2FC1C" w:rsidR="00191A37" w:rsidRPr="00CD2E8D" w:rsidRDefault="003476F3" w:rsidP="008E4876">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 xml:space="preserve">Provisiones </w:t>
      </w:r>
      <w:r w:rsidR="00191A37" w:rsidRPr="00CD2E8D">
        <w:rPr>
          <w:rFonts w:ascii="Times New Roman" w:hAnsi="Times New Roman"/>
          <w:sz w:val="20"/>
          <w:lang w:eastAsia="es-ES"/>
        </w:rPr>
        <w:t xml:space="preserve">(Nota 27 a los </w:t>
      </w:r>
      <w:r w:rsidR="0007034F" w:rsidRPr="00CD2E8D">
        <w:rPr>
          <w:rFonts w:ascii="Times New Roman" w:hAnsi="Times New Roman"/>
          <w:sz w:val="20"/>
          <w:lang w:eastAsia="es-ES"/>
        </w:rPr>
        <w:t>estados financieros intermedios consolidados condensados</w:t>
      </w:r>
      <w:r w:rsidR="00191A37" w:rsidRPr="00CD2E8D">
        <w:rPr>
          <w:rFonts w:ascii="Times New Roman" w:hAnsi="Times New Roman"/>
          <w:sz w:val="20"/>
          <w:lang w:eastAsia="es-ES"/>
        </w:rPr>
        <w:t>)</w:t>
      </w:r>
    </w:p>
    <w:p w14:paraId="6F156A3C" w14:textId="014C99CB" w:rsidR="00E2117F" w:rsidRPr="00CD2E8D" w:rsidRDefault="00E2117F" w:rsidP="008E4876">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Valor</w:t>
      </w:r>
      <w:r w:rsidR="002F393B" w:rsidRPr="00CD2E8D">
        <w:rPr>
          <w:rFonts w:ascii="Times New Roman" w:hAnsi="Times New Roman"/>
          <w:sz w:val="20"/>
          <w:lang w:eastAsia="es-ES"/>
        </w:rPr>
        <w:t>es</w:t>
      </w:r>
      <w:r w:rsidRPr="00CD2E8D">
        <w:rPr>
          <w:rFonts w:ascii="Times New Roman" w:hAnsi="Times New Roman"/>
          <w:sz w:val="20"/>
          <w:lang w:eastAsia="es-ES"/>
        </w:rPr>
        <w:t xml:space="preserve"> razonable</w:t>
      </w:r>
      <w:r w:rsidR="002F393B" w:rsidRPr="00CD2E8D">
        <w:rPr>
          <w:rFonts w:ascii="Times New Roman" w:hAnsi="Times New Roman"/>
          <w:sz w:val="20"/>
          <w:lang w:eastAsia="es-ES"/>
        </w:rPr>
        <w:t>s</w:t>
      </w:r>
      <w:r w:rsidRPr="00CD2E8D">
        <w:rPr>
          <w:rFonts w:ascii="Times New Roman" w:hAnsi="Times New Roman"/>
          <w:sz w:val="20"/>
          <w:lang w:eastAsia="es-ES"/>
        </w:rPr>
        <w:t xml:space="preserve"> de instrumento</w:t>
      </w:r>
      <w:r w:rsidR="004A3B1F" w:rsidRPr="00CD2E8D">
        <w:rPr>
          <w:rFonts w:ascii="Times New Roman" w:hAnsi="Times New Roman"/>
          <w:sz w:val="20"/>
          <w:lang w:eastAsia="es-ES"/>
        </w:rPr>
        <w:t>s</w:t>
      </w:r>
      <w:r w:rsidR="00F24D53" w:rsidRPr="00CD2E8D">
        <w:rPr>
          <w:rFonts w:ascii="Times New Roman" w:hAnsi="Times New Roman"/>
          <w:sz w:val="20"/>
          <w:lang w:eastAsia="es-ES"/>
        </w:rPr>
        <w:t xml:space="preserve"> financieros </w:t>
      </w:r>
      <w:r w:rsidR="00191A37" w:rsidRPr="00CD2E8D">
        <w:rPr>
          <w:rFonts w:ascii="Times New Roman" w:hAnsi="Times New Roman"/>
          <w:sz w:val="20"/>
          <w:lang w:eastAsia="es-ES"/>
        </w:rPr>
        <w:t>(Nota 4</w:t>
      </w:r>
      <w:r w:rsidR="00326730" w:rsidRPr="00CD2E8D">
        <w:rPr>
          <w:rFonts w:ascii="Times New Roman" w:hAnsi="Times New Roman"/>
          <w:sz w:val="20"/>
          <w:lang w:eastAsia="es-ES"/>
        </w:rPr>
        <w:t>3</w:t>
      </w:r>
      <w:r w:rsidR="00191A37" w:rsidRPr="00CD2E8D">
        <w:rPr>
          <w:rFonts w:ascii="Times New Roman" w:hAnsi="Times New Roman"/>
          <w:sz w:val="20"/>
          <w:lang w:eastAsia="es-ES"/>
        </w:rPr>
        <w:t xml:space="preserve"> a los </w:t>
      </w:r>
      <w:r w:rsidR="0007034F" w:rsidRPr="00CD2E8D">
        <w:rPr>
          <w:rFonts w:ascii="Times New Roman" w:hAnsi="Times New Roman"/>
          <w:sz w:val="20"/>
          <w:lang w:eastAsia="es-ES"/>
        </w:rPr>
        <w:t>estados financieros intermedios consolidados condensados</w:t>
      </w:r>
      <w:r w:rsidR="00191A37" w:rsidRPr="00CD2E8D">
        <w:rPr>
          <w:rFonts w:ascii="Times New Roman" w:hAnsi="Times New Roman"/>
          <w:sz w:val="20"/>
          <w:lang w:eastAsia="es-ES"/>
        </w:rPr>
        <w:t>)</w:t>
      </w:r>
    </w:p>
    <w:p w14:paraId="67A5527A" w14:textId="16AFA032" w:rsidR="00191A37" w:rsidRPr="00CD2E8D" w:rsidRDefault="00E2117F" w:rsidP="008E4876">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In</w:t>
      </w:r>
      <w:r w:rsidR="00BE5484" w:rsidRPr="00CD2E8D">
        <w:rPr>
          <w:rFonts w:ascii="Times New Roman" w:hAnsi="Times New Roman"/>
          <w:sz w:val="20"/>
          <w:lang w:eastAsia="es-ES"/>
        </w:rPr>
        <w:t xml:space="preserve">formación por segmentos </w:t>
      </w:r>
      <w:r w:rsidR="00191A37" w:rsidRPr="00CD2E8D">
        <w:rPr>
          <w:rFonts w:ascii="Times New Roman" w:hAnsi="Times New Roman"/>
          <w:sz w:val="20"/>
          <w:lang w:eastAsia="es-ES"/>
        </w:rPr>
        <w:t>(Nota 4</w:t>
      </w:r>
      <w:r w:rsidR="00326730" w:rsidRPr="00CD2E8D">
        <w:rPr>
          <w:rFonts w:ascii="Times New Roman" w:hAnsi="Times New Roman"/>
          <w:sz w:val="20"/>
          <w:lang w:eastAsia="es-ES"/>
        </w:rPr>
        <w:t>4</w:t>
      </w:r>
      <w:r w:rsidR="00191A37" w:rsidRPr="00CD2E8D">
        <w:rPr>
          <w:rFonts w:ascii="Times New Roman" w:hAnsi="Times New Roman"/>
          <w:sz w:val="20"/>
          <w:lang w:eastAsia="es-ES"/>
        </w:rPr>
        <w:t xml:space="preserve"> a los </w:t>
      </w:r>
      <w:r w:rsidR="0007034F" w:rsidRPr="00CD2E8D">
        <w:rPr>
          <w:rFonts w:ascii="Times New Roman" w:hAnsi="Times New Roman"/>
          <w:sz w:val="20"/>
          <w:lang w:eastAsia="es-ES"/>
        </w:rPr>
        <w:t>estados financieros intermedios consolidados condensados</w:t>
      </w:r>
      <w:r w:rsidR="00191A37" w:rsidRPr="00CD2E8D">
        <w:rPr>
          <w:rFonts w:ascii="Times New Roman" w:hAnsi="Times New Roman"/>
          <w:sz w:val="20"/>
          <w:lang w:eastAsia="es-ES"/>
        </w:rPr>
        <w:t>)</w:t>
      </w:r>
    </w:p>
    <w:p w14:paraId="789D0495" w14:textId="4DE1E2EB" w:rsidR="00DF540B" w:rsidRPr="00CD2E8D" w:rsidRDefault="00BE5484" w:rsidP="008E4876">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 xml:space="preserve">Subsidiarias </w:t>
      </w:r>
      <w:r w:rsidR="00191A37" w:rsidRPr="00CD2E8D">
        <w:rPr>
          <w:rFonts w:ascii="Times New Roman" w:hAnsi="Times New Roman"/>
          <w:sz w:val="20"/>
          <w:lang w:eastAsia="es-ES"/>
        </w:rPr>
        <w:t>(Nota 4</w:t>
      </w:r>
      <w:r w:rsidR="00326730" w:rsidRPr="00CD2E8D">
        <w:rPr>
          <w:rFonts w:ascii="Times New Roman" w:hAnsi="Times New Roman"/>
          <w:sz w:val="20"/>
          <w:lang w:eastAsia="es-ES"/>
        </w:rPr>
        <w:t>5</w:t>
      </w:r>
      <w:r w:rsidR="00191A37" w:rsidRPr="00CD2E8D">
        <w:rPr>
          <w:rFonts w:ascii="Times New Roman" w:hAnsi="Times New Roman"/>
          <w:sz w:val="20"/>
          <w:lang w:eastAsia="es-ES"/>
        </w:rPr>
        <w:t xml:space="preserve"> a los </w:t>
      </w:r>
      <w:r w:rsidR="0007034F" w:rsidRPr="00CD2E8D">
        <w:rPr>
          <w:rFonts w:ascii="Times New Roman" w:hAnsi="Times New Roman"/>
          <w:sz w:val="20"/>
          <w:lang w:eastAsia="es-ES"/>
        </w:rPr>
        <w:t>estados financieros intermedios consolidados condensados</w:t>
      </w:r>
      <w:r w:rsidR="00191A37" w:rsidRPr="00CD2E8D">
        <w:rPr>
          <w:rFonts w:ascii="Times New Roman" w:hAnsi="Times New Roman"/>
          <w:sz w:val="20"/>
          <w:lang w:eastAsia="es-ES"/>
        </w:rPr>
        <w:t>)</w:t>
      </w:r>
    </w:p>
    <w:p w14:paraId="04DEAF6A" w14:textId="24629E05" w:rsidR="00191A37" w:rsidRPr="00CD2E8D" w:rsidRDefault="00E2117F" w:rsidP="008E4876">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Régimen de ga</w:t>
      </w:r>
      <w:r w:rsidR="00BE5484" w:rsidRPr="00CD2E8D">
        <w:rPr>
          <w:rFonts w:ascii="Times New Roman" w:hAnsi="Times New Roman"/>
          <w:sz w:val="20"/>
          <w:lang w:eastAsia="es-ES"/>
        </w:rPr>
        <w:t xml:space="preserve">rantía de los depósitos </w:t>
      </w:r>
      <w:r w:rsidR="00191A37" w:rsidRPr="00CD2E8D">
        <w:rPr>
          <w:rFonts w:ascii="Times New Roman" w:hAnsi="Times New Roman"/>
          <w:sz w:val="20"/>
          <w:lang w:eastAsia="es-ES"/>
        </w:rPr>
        <w:t xml:space="preserve">(Nota 50 a los </w:t>
      </w:r>
      <w:r w:rsidR="0007034F" w:rsidRPr="00CD2E8D">
        <w:rPr>
          <w:rFonts w:ascii="Times New Roman" w:hAnsi="Times New Roman"/>
          <w:sz w:val="20"/>
          <w:lang w:eastAsia="es-ES"/>
        </w:rPr>
        <w:t>estados financieros intermedios consolidados condensados</w:t>
      </w:r>
      <w:r w:rsidR="00191A37" w:rsidRPr="00CD2E8D">
        <w:rPr>
          <w:rFonts w:ascii="Times New Roman" w:hAnsi="Times New Roman"/>
          <w:sz w:val="20"/>
          <w:lang w:eastAsia="es-ES"/>
        </w:rPr>
        <w:t>)</w:t>
      </w:r>
    </w:p>
    <w:p w14:paraId="6CF6B840" w14:textId="305A6155" w:rsidR="00E2117F" w:rsidRPr="00CD2E8D" w:rsidRDefault="00E2117F" w:rsidP="008E4876">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Cumplimiento de las disposiciones de la Comisión Nacional de Valores – patrimonio neto mínimo y contrapartida líquida</w:t>
      </w:r>
      <w:r w:rsidR="00BE5484" w:rsidRPr="00CD2E8D">
        <w:rPr>
          <w:rFonts w:ascii="Times New Roman" w:hAnsi="Times New Roman"/>
          <w:sz w:val="20"/>
          <w:lang w:eastAsia="es-ES"/>
        </w:rPr>
        <w:t xml:space="preserve"> </w:t>
      </w:r>
      <w:r w:rsidR="00B50E74" w:rsidRPr="00CD2E8D">
        <w:rPr>
          <w:rFonts w:ascii="Times New Roman" w:hAnsi="Times New Roman"/>
          <w:sz w:val="20"/>
          <w:lang w:eastAsia="es-ES"/>
        </w:rPr>
        <w:t xml:space="preserve">(Nota 52 a los </w:t>
      </w:r>
      <w:r w:rsidR="0007034F" w:rsidRPr="00CD2E8D">
        <w:rPr>
          <w:rFonts w:ascii="Times New Roman" w:hAnsi="Times New Roman"/>
          <w:sz w:val="20"/>
          <w:lang w:eastAsia="es-ES"/>
        </w:rPr>
        <w:t>estados financieros intermedios consolidados condensados</w:t>
      </w:r>
      <w:r w:rsidR="00B50E74" w:rsidRPr="00CD2E8D">
        <w:rPr>
          <w:rFonts w:ascii="Times New Roman" w:hAnsi="Times New Roman"/>
          <w:sz w:val="20"/>
          <w:lang w:eastAsia="es-ES"/>
        </w:rPr>
        <w:t>)</w:t>
      </w:r>
    </w:p>
    <w:p w14:paraId="76FED7BA" w14:textId="4E6515DC" w:rsidR="00B50E74" w:rsidRPr="00CD2E8D" w:rsidRDefault="00BE5484" w:rsidP="008E4876">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Actividad</w:t>
      </w:r>
      <w:r w:rsidR="00714201" w:rsidRPr="00CD2E8D">
        <w:rPr>
          <w:rFonts w:ascii="Times New Roman" w:hAnsi="Times New Roman"/>
          <w:sz w:val="20"/>
          <w:lang w:eastAsia="es-ES"/>
        </w:rPr>
        <w:t>es</w:t>
      </w:r>
      <w:r w:rsidRPr="00CD2E8D">
        <w:rPr>
          <w:rFonts w:ascii="Times New Roman" w:hAnsi="Times New Roman"/>
          <w:sz w:val="20"/>
          <w:lang w:eastAsia="es-ES"/>
        </w:rPr>
        <w:t xml:space="preserve"> fiduciaria</w:t>
      </w:r>
      <w:r w:rsidR="00714201" w:rsidRPr="00CD2E8D">
        <w:rPr>
          <w:rFonts w:ascii="Times New Roman" w:hAnsi="Times New Roman"/>
          <w:sz w:val="20"/>
          <w:lang w:eastAsia="es-ES"/>
        </w:rPr>
        <w:t>s</w:t>
      </w:r>
      <w:r w:rsidRPr="00CD2E8D">
        <w:rPr>
          <w:rFonts w:ascii="Times New Roman" w:hAnsi="Times New Roman"/>
          <w:sz w:val="20"/>
          <w:lang w:eastAsia="es-ES"/>
        </w:rPr>
        <w:t xml:space="preserve"> </w:t>
      </w:r>
      <w:r w:rsidR="00B50E74" w:rsidRPr="00CD2E8D">
        <w:rPr>
          <w:rFonts w:ascii="Times New Roman" w:hAnsi="Times New Roman"/>
          <w:sz w:val="20"/>
          <w:lang w:eastAsia="es-ES"/>
        </w:rPr>
        <w:t xml:space="preserve">(Nota 54 a los </w:t>
      </w:r>
      <w:r w:rsidR="0007034F" w:rsidRPr="00CD2E8D">
        <w:rPr>
          <w:rFonts w:ascii="Times New Roman" w:hAnsi="Times New Roman"/>
          <w:sz w:val="20"/>
          <w:lang w:eastAsia="es-ES"/>
        </w:rPr>
        <w:t>estados financieros intermedios consolidados condensados</w:t>
      </w:r>
      <w:r w:rsidR="00B50E74" w:rsidRPr="00CD2E8D">
        <w:rPr>
          <w:rFonts w:ascii="Times New Roman" w:hAnsi="Times New Roman"/>
          <w:sz w:val="20"/>
          <w:lang w:eastAsia="es-ES"/>
        </w:rPr>
        <w:t>)</w:t>
      </w:r>
    </w:p>
    <w:p w14:paraId="14E1ED2D" w14:textId="240C0DF9" w:rsidR="000D7A68" w:rsidRPr="00CD2E8D" w:rsidRDefault="00E2117F" w:rsidP="000D7A68">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Fond</w:t>
      </w:r>
      <w:r w:rsidR="00BE5484" w:rsidRPr="00CD2E8D">
        <w:rPr>
          <w:rFonts w:ascii="Times New Roman" w:hAnsi="Times New Roman"/>
          <w:sz w:val="20"/>
          <w:lang w:eastAsia="es-ES"/>
        </w:rPr>
        <w:t xml:space="preserve">os comunes de inversión </w:t>
      </w:r>
      <w:r w:rsidR="00B50E74" w:rsidRPr="00CD2E8D">
        <w:rPr>
          <w:rFonts w:ascii="Times New Roman" w:hAnsi="Times New Roman"/>
          <w:sz w:val="20"/>
          <w:lang w:eastAsia="es-ES"/>
        </w:rPr>
        <w:t xml:space="preserve">(Nota 55 a los </w:t>
      </w:r>
      <w:r w:rsidR="0007034F" w:rsidRPr="00CD2E8D">
        <w:rPr>
          <w:rFonts w:ascii="Times New Roman" w:hAnsi="Times New Roman"/>
          <w:sz w:val="20"/>
          <w:lang w:eastAsia="es-ES"/>
        </w:rPr>
        <w:t>estados financieros intermedios consolidados condensados</w:t>
      </w:r>
      <w:r w:rsidR="00B50E74" w:rsidRPr="00CD2E8D">
        <w:rPr>
          <w:rFonts w:ascii="Times New Roman" w:hAnsi="Times New Roman"/>
          <w:sz w:val="20"/>
          <w:lang w:eastAsia="es-ES"/>
        </w:rPr>
        <w:t>)</w:t>
      </w:r>
    </w:p>
    <w:p w14:paraId="2AB1A59A" w14:textId="547A2DD5" w:rsidR="000D7A68" w:rsidRPr="00CD2E8D" w:rsidRDefault="000D7A68" w:rsidP="0062391E">
      <w:pPr>
        <w:pStyle w:val="KPMG"/>
        <w:numPr>
          <w:ilvl w:val="0"/>
          <w:numId w:val="27"/>
        </w:numPr>
        <w:spacing w:after="120" w:line="240" w:lineRule="exact"/>
        <w:ind w:left="993" w:hanging="386"/>
        <w:rPr>
          <w:rFonts w:ascii="Times New Roman" w:hAnsi="Times New Roman"/>
          <w:sz w:val="20"/>
          <w:lang w:eastAsia="es-ES"/>
        </w:rPr>
      </w:pPr>
      <w:r w:rsidRPr="00CD2E8D">
        <w:rPr>
          <w:rFonts w:ascii="Times New Roman" w:hAnsi="Times New Roman"/>
          <w:sz w:val="20"/>
          <w:lang w:eastAsia="es-ES"/>
        </w:rPr>
        <w:t xml:space="preserve">Sanciones y sumarios iniciados por el B.C.R.A. (Nota 56 a los </w:t>
      </w:r>
      <w:r w:rsidR="0007034F" w:rsidRPr="00CD2E8D">
        <w:rPr>
          <w:rFonts w:ascii="Times New Roman" w:hAnsi="Times New Roman"/>
          <w:sz w:val="20"/>
          <w:lang w:eastAsia="es-ES"/>
        </w:rPr>
        <w:t>estados financieros intermedios consolidados condensados</w:t>
      </w:r>
      <w:r w:rsidRPr="00CD2E8D">
        <w:rPr>
          <w:rFonts w:ascii="Times New Roman" w:hAnsi="Times New Roman"/>
          <w:sz w:val="20"/>
          <w:lang w:eastAsia="es-ES"/>
        </w:rPr>
        <w:t>)</w:t>
      </w:r>
    </w:p>
    <w:p w14:paraId="0175FF3D" w14:textId="505051C8" w:rsidR="000D7A68" w:rsidRPr="00CD2E8D" w:rsidRDefault="000D7A68" w:rsidP="000D7A68">
      <w:pPr>
        <w:pStyle w:val="KPMG"/>
        <w:numPr>
          <w:ilvl w:val="0"/>
          <w:numId w:val="27"/>
        </w:numPr>
        <w:autoSpaceDE w:val="0"/>
        <w:autoSpaceDN w:val="0"/>
        <w:adjustRightInd w:val="0"/>
        <w:spacing w:after="120" w:line="240" w:lineRule="exact"/>
        <w:ind w:left="993"/>
        <w:rPr>
          <w:rFonts w:ascii="Times New Roman" w:hAnsi="Times New Roman"/>
          <w:sz w:val="20"/>
          <w:lang w:eastAsia="es-ES"/>
        </w:rPr>
      </w:pPr>
      <w:r w:rsidRPr="00CD2E8D">
        <w:rPr>
          <w:rFonts w:ascii="Times New Roman" w:hAnsi="Times New Roman"/>
          <w:sz w:val="20"/>
          <w:lang w:eastAsia="es-ES"/>
        </w:rPr>
        <w:t>Registros contables (Nota 5</w:t>
      </w:r>
      <w:r w:rsidR="0007034F" w:rsidRPr="00CD2E8D">
        <w:rPr>
          <w:rFonts w:ascii="Times New Roman" w:hAnsi="Times New Roman"/>
          <w:sz w:val="20"/>
          <w:lang w:eastAsia="es-ES"/>
        </w:rPr>
        <w:t>7</w:t>
      </w:r>
      <w:r w:rsidRPr="00CD2E8D">
        <w:rPr>
          <w:rFonts w:ascii="Times New Roman" w:hAnsi="Times New Roman"/>
          <w:sz w:val="20"/>
          <w:lang w:eastAsia="es-ES"/>
        </w:rPr>
        <w:t xml:space="preserve"> a los </w:t>
      </w:r>
      <w:r w:rsidR="0007034F" w:rsidRPr="00CD2E8D">
        <w:rPr>
          <w:rFonts w:ascii="Times New Roman" w:hAnsi="Times New Roman"/>
          <w:sz w:val="20"/>
          <w:lang w:eastAsia="es-ES"/>
        </w:rPr>
        <w:t>estados financieros intermedios consolidados condensados</w:t>
      </w:r>
      <w:r w:rsidRPr="00CD2E8D">
        <w:rPr>
          <w:rFonts w:ascii="Times New Roman" w:hAnsi="Times New Roman"/>
          <w:sz w:val="20"/>
          <w:lang w:eastAsia="es-ES"/>
        </w:rPr>
        <w:t>)</w:t>
      </w:r>
    </w:p>
    <w:p w14:paraId="3905FA9A" w14:textId="3C46DB90" w:rsidR="00E2117F" w:rsidRPr="00CD2E8D" w:rsidRDefault="00E2117F" w:rsidP="000D7A68">
      <w:pPr>
        <w:pStyle w:val="KPMG"/>
        <w:numPr>
          <w:ilvl w:val="0"/>
          <w:numId w:val="27"/>
        </w:numPr>
        <w:autoSpaceDE w:val="0"/>
        <w:autoSpaceDN w:val="0"/>
        <w:adjustRightInd w:val="0"/>
        <w:spacing w:after="120" w:line="240" w:lineRule="exact"/>
        <w:ind w:left="993"/>
        <w:rPr>
          <w:rFonts w:ascii="Times New Roman" w:hAnsi="Times New Roman"/>
          <w:sz w:val="20"/>
          <w:lang w:eastAsia="es-ES"/>
        </w:rPr>
      </w:pPr>
      <w:r w:rsidRPr="00CD2E8D">
        <w:rPr>
          <w:rFonts w:ascii="Times New Roman" w:hAnsi="Times New Roman"/>
          <w:sz w:val="20"/>
          <w:lang w:eastAsia="es-ES"/>
        </w:rPr>
        <w:t>Hechos posteriores</w:t>
      </w:r>
      <w:r w:rsidR="00714201" w:rsidRPr="00CD2E8D">
        <w:rPr>
          <w:rFonts w:ascii="Times New Roman" w:hAnsi="Times New Roman"/>
          <w:sz w:val="20"/>
          <w:lang w:eastAsia="es-ES"/>
        </w:rPr>
        <w:t xml:space="preserve"> al cierre del </w:t>
      </w:r>
      <w:r w:rsidR="0037173D" w:rsidRPr="00CD2E8D">
        <w:rPr>
          <w:rFonts w:ascii="Times New Roman" w:hAnsi="Times New Roman"/>
          <w:sz w:val="20"/>
          <w:lang w:eastAsia="es-ES"/>
        </w:rPr>
        <w:t>per</w:t>
      </w:r>
      <w:r w:rsidR="00244823" w:rsidRPr="00CD2E8D">
        <w:rPr>
          <w:rFonts w:ascii="Times New Roman" w:hAnsi="Times New Roman"/>
          <w:sz w:val="20"/>
          <w:lang w:eastAsia="es-ES"/>
        </w:rPr>
        <w:t>í</w:t>
      </w:r>
      <w:r w:rsidR="0037173D" w:rsidRPr="00CD2E8D">
        <w:rPr>
          <w:rFonts w:ascii="Times New Roman" w:hAnsi="Times New Roman"/>
          <w:sz w:val="20"/>
          <w:lang w:eastAsia="es-ES"/>
        </w:rPr>
        <w:t>odo</w:t>
      </w:r>
      <w:r w:rsidRPr="00CD2E8D">
        <w:rPr>
          <w:rFonts w:ascii="Times New Roman" w:hAnsi="Times New Roman"/>
          <w:sz w:val="20"/>
          <w:lang w:eastAsia="es-ES"/>
        </w:rPr>
        <w:t xml:space="preserve"> </w:t>
      </w:r>
      <w:r w:rsidR="00B50E74" w:rsidRPr="00CD2E8D">
        <w:rPr>
          <w:rFonts w:ascii="Times New Roman" w:hAnsi="Times New Roman"/>
          <w:sz w:val="20"/>
          <w:lang w:eastAsia="es-ES"/>
        </w:rPr>
        <w:t>(Nota 5</w:t>
      </w:r>
      <w:r w:rsidR="0007034F" w:rsidRPr="00CD2E8D">
        <w:rPr>
          <w:rFonts w:ascii="Times New Roman" w:hAnsi="Times New Roman"/>
          <w:sz w:val="20"/>
          <w:lang w:eastAsia="es-ES"/>
        </w:rPr>
        <w:t>8</w:t>
      </w:r>
      <w:r w:rsidR="00B50E74" w:rsidRPr="00CD2E8D">
        <w:rPr>
          <w:rFonts w:ascii="Times New Roman" w:hAnsi="Times New Roman"/>
          <w:sz w:val="20"/>
          <w:lang w:eastAsia="es-ES"/>
        </w:rPr>
        <w:t xml:space="preserve"> a los </w:t>
      </w:r>
      <w:r w:rsidR="0007034F" w:rsidRPr="00CD2E8D">
        <w:rPr>
          <w:rFonts w:ascii="Times New Roman" w:hAnsi="Times New Roman"/>
          <w:sz w:val="20"/>
          <w:lang w:eastAsia="es-ES"/>
        </w:rPr>
        <w:t>estados financieros intermedios consolidados condensados</w:t>
      </w:r>
      <w:r w:rsidR="00B50E74" w:rsidRPr="00CD2E8D">
        <w:rPr>
          <w:rFonts w:ascii="Times New Roman" w:hAnsi="Times New Roman"/>
          <w:sz w:val="20"/>
          <w:lang w:eastAsia="es-ES"/>
        </w:rPr>
        <w:t>)</w:t>
      </w:r>
    </w:p>
    <w:p w14:paraId="3D98105F" w14:textId="77777777" w:rsidR="001642D6" w:rsidRDefault="001642D6" w:rsidP="007A3892">
      <w:pPr>
        <w:pStyle w:val="KPMG"/>
        <w:spacing w:after="120" w:line="240" w:lineRule="exact"/>
        <w:ind w:left="993"/>
        <w:rPr>
          <w:rFonts w:ascii="Times New Roman" w:hAnsi="Times New Roman"/>
          <w:sz w:val="20"/>
          <w:lang w:eastAsia="es-ES"/>
        </w:rPr>
      </w:pPr>
    </w:p>
    <w:p w14:paraId="2E2D719C" w14:textId="334965AD" w:rsidR="005906CC" w:rsidRPr="00142AD2" w:rsidRDefault="00E2117F" w:rsidP="009F1A99">
      <w:pPr>
        <w:pStyle w:val="Prrafodelista"/>
        <w:numPr>
          <w:ilvl w:val="0"/>
          <w:numId w:val="26"/>
        </w:numPr>
        <w:tabs>
          <w:tab w:val="num" w:pos="567"/>
        </w:tabs>
        <w:ind w:right="-427"/>
        <w:jc w:val="both"/>
        <w:rPr>
          <w:b/>
          <w:sz w:val="20"/>
          <w:szCs w:val="20"/>
          <w:lang w:val="es-AR"/>
        </w:rPr>
      </w:pPr>
      <w:r w:rsidRPr="00142AD2">
        <w:rPr>
          <w:b/>
          <w:sz w:val="20"/>
          <w:szCs w:val="20"/>
          <w:lang w:val="es-AR"/>
        </w:rPr>
        <w:t>Políticas contables significativas</w:t>
      </w:r>
    </w:p>
    <w:p w14:paraId="21CE6050" w14:textId="77777777" w:rsidR="005906CC" w:rsidRPr="00DD19B5" w:rsidRDefault="005906CC" w:rsidP="005906CC">
      <w:pPr>
        <w:tabs>
          <w:tab w:val="num" w:pos="567"/>
        </w:tabs>
        <w:ind w:right="-427"/>
        <w:jc w:val="both"/>
        <w:rPr>
          <w:rFonts w:ascii="Times New Roman" w:hAnsi="Times New Roman"/>
          <w:b/>
          <w:sz w:val="20"/>
        </w:rPr>
      </w:pPr>
    </w:p>
    <w:p w14:paraId="52488C0B" w14:textId="30C40C39" w:rsidR="003F7CF3" w:rsidRDefault="003F7CF3" w:rsidP="00FF27A8">
      <w:pPr>
        <w:spacing w:after="120" w:line="240" w:lineRule="exact"/>
        <w:ind w:left="607"/>
        <w:jc w:val="both"/>
        <w:rPr>
          <w:rFonts w:ascii="Times New Roman" w:hAnsi="Times New Roman"/>
          <w:sz w:val="20"/>
        </w:rPr>
      </w:pPr>
      <w:r w:rsidRPr="00FF27A8">
        <w:rPr>
          <w:rFonts w:ascii="Times New Roman" w:hAnsi="Times New Roman"/>
          <w:sz w:val="20"/>
        </w:rPr>
        <w:t>Excepto por lo indicado en Nota 5 de los estados financieros intermedios consolidados condensados, el Banco ha aplicado de manera consistente las políticas contables descriptas en la Nota 5 a los estados financieros consolidados al 31 de diciembre de 2020, en todos los períodos presentados en estos estados financieros.</w:t>
      </w:r>
    </w:p>
    <w:p w14:paraId="03E1CD8D" w14:textId="77777777" w:rsidR="00841025" w:rsidRDefault="00841025" w:rsidP="005629FE">
      <w:pPr>
        <w:spacing w:after="120" w:line="240" w:lineRule="exact"/>
        <w:ind w:left="607"/>
        <w:jc w:val="both"/>
        <w:rPr>
          <w:rFonts w:ascii="Times New Roman" w:hAnsi="Times New Roman"/>
          <w:sz w:val="20"/>
          <w:u w:val="single"/>
        </w:rPr>
      </w:pPr>
    </w:p>
    <w:p w14:paraId="796D36FB" w14:textId="046C0045" w:rsidR="005629FE" w:rsidRPr="00DD19B5" w:rsidRDefault="005629FE" w:rsidP="005629FE">
      <w:pPr>
        <w:spacing w:after="120" w:line="240" w:lineRule="exact"/>
        <w:ind w:left="607"/>
        <w:jc w:val="both"/>
        <w:rPr>
          <w:rFonts w:ascii="Times New Roman" w:hAnsi="Times New Roman"/>
          <w:sz w:val="20"/>
          <w:u w:val="single"/>
        </w:rPr>
      </w:pPr>
      <w:r w:rsidRPr="00DD19B5">
        <w:rPr>
          <w:rFonts w:ascii="Times New Roman" w:hAnsi="Times New Roman"/>
          <w:sz w:val="20"/>
          <w:u w:val="single"/>
        </w:rPr>
        <w:t>Inversiones en subsidiarias</w:t>
      </w:r>
    </w:p>
    <w:p w14:paraId="6DE34400" w14:textId="77777777" w:rsidR="005629FE" w:rsidRPr="00DD19B5" w:rsidRDefault="005629FE" w:rsidP="005629FE">
      <w:pPr>
        <w:spacing w:after="120" w:line="240" w:lineRule="exact"/>
        <w:ind w:left="607"/>
        <w:jc w:val="both"/>
        <w:rPr>
          <w:rFonts w:ascii="Times New Roman" w:hAnsi="Times New Roman"/>
          <w:sz w:val="20"/>
        </w:rPr>
      </w:pPr>
      <w:r w:rsidRPr="00DD19B5">
        <w:rPr>
          <w:rFonts w:ascii="Times New Roman" w:hAnsi="Times New Roman"/>
          <w:sz w:val="20"/>
        </w:rPr>
        <w:t xml:space="preserve">Subsidiarias son todas las entidades controladas por el Banco. El Banco controla una entidad cuando está expuesto a, o tiene derechos sobre, los rendimientos variables por su participación en la entidad participada, y tiene el poder de afectar la variabilidad de tales rendimientos. El Banco vuelve a evaluar si mantiene control cuando se producen cambios en algunas de las condiciones mencionadas. </w:t>
      </w:r>
    </w:p>
    <w:p w14:paraId="42B4A7EA" w14:textId="71385F0A" w:rsidR="005629FE" w:rsidRPr="00DD19B5" w:rsidRDefault="005629FE" w:rsidP="005629FE">
      <w:pPr>
        <w:spacing w:after="120" w:line="240" w:lineRule="exact"/>
        <w:ind w:left="607"/>
        <w:jc w:val="both"/>
        <w:rPr>
          <w:rFonts w:ascii="Times New Roman" w:hAnsi="Times New Roman"/>
          <w:sz w:val="20"/>
        </w:rPr>
      </w:pPr>
      <w:r w:rsidRPr="00DD19B5">
        <w:rPr>
          <w:rFonts w:ascii="Times New Roman" w:hAnsi="Times New Roman"/>
          <w:sz w:val="20"/>
        </w:rPr>
        <w:t xml:space="preserve">Las participaciones en subsidiarias se miden aplicando el método de la participación. Inicialmente se reconocen al costo, que incluye los costos de transacción. Después del reconocimiento inicial, los estados financieros </w:t>
      </w:r>
      <w:r w:rsidRPr="00DD19B5">
        <w:rPr>
          <w:rFonts w:ascii="Times New Roman" w:hAnsi="Times New Roman"/>
          <w:sz w:val="20"/>
        </w:rPr>
        <w:lastRenderedPageBreak/>
        <w:t>incluyen la participación del Banco en los resultados y en el ORI de las inversiones contabilizadas bajo el método de la</w:t>
      </w:r>
      <w:r w:rsidR="00D22D06" w:rsidRPr="00DD19B5">
        <w:rPr>
          <w:rFonts w:ascii="Times New Roman" w:hAnsi="Times New Roman"/>
          <w:sz w:val="20"/>
        </w:rPr>
        <w:t xml:space="preserve"> </w:t>
      </w:r>
      <w:r w:rsidRPr="00DD19B5">
        <w:rPr>
          <w:rFonts w:ascii="Times New Roman" w:hAnsi="Times New Roman"/>
          <w:sz w:val="20"/>
        </w:rPr>
        <w:t>participación, hasta la fecha en que</w:t>
      </w:r>
      <w:r w:rsidR="003C101E" w:rsidRPr="00DD19B5">
        <w:rPr>
          <w:rFonts w:ascii="Times New Roman" w:hAnsi="Times New Roman"/>
          <w:sz w:val="20"/>
        </w:rPr>
        <w:t xml:space="preserve"> el control,</w:t>
      </w:r>
      <w:r w:rsidRPr="00DD19B5">
        <w:rPr>
          <w:rFonts w:ascii="Times New Roman" w:hAnsi="Times New Roman"/>
          <w:sz w:val="20"/>
        </w:rPr>
        <w:t xml:space="preserve"> la influencia significativa o el control conjunto cesan.</w:t>
      </w:r>
    </w:p>
    <w:p w14:paraId="7D7F6934" w14:textId="758E3D35" w:rsidR="003F3072" w:rsidRPr="00DD19B5" w:rsidRDefault="003F3072" w:rsidP="003F3072">
      <w:pPr>
        <w:spacing w:after="120" w:line="240" w:lineRule="exact"/>
        <w:ind w:left="607"/>
        <w:jc w:val="both"/>
        <w:rPr>
          <w:rFonts w:ascii="Times New Roman" w:hAnsi="Times New Roman"/>
          <w:sz w:val="20"/>
        </w:rPr>
      </w:pPr>
      <w:r w:rsidRPr="00DD19B5">
        <w:rPr>
          <w:rFonts w:ascii="Times New Roman" w:hAnsi="Times New Roman"/>
          <w:sz w:val="20"/>
        </w:rPr>
        <w:t xml:space="preserve">Los estados financieros </w:t>
      </w:r>
      <w:r w:rsidR="003F7CF3">
        <w:rPr>
          <w:rFonts w:ascii="Times New Roman" w:hAnsi="Times New Roman"/>
          <w:sz w:val="20"/>
        </w:rPr>
        <w:t xml:space="preserve">intermedios </w:t>
      </w:r>
      <w:r w:rsidRPr="00DD19B5">
        <w:rPr>
          <w:rFonts w:ascii="Times New Roman" w:hAnsi="Times New Roman"/>
          <w:sz w:val="20"/>
        </w:rPr>
        <w:t>al 3</w:t>
      </w:r>
      <w:r w:rsidR="00E35B6A">
        <w:rPr>
          <w:rFonts w:ascii="Times New Roman" w:hAnsi="Times New Roman"/>
          <w:sz w:val="20"/>
        </w:rPr>
        <w:t>0</w:t>
      </w:r>
      <w:r w:rsidRPr="00DD19B5">
        <w:rPr>
          <w:rFonts w:ascii="Times New Roman" w:hAnsi="Times New Roman"/>
          <w:sz w:val="20"/>
        </w:rPr>
        <w:t xml:space="preserve"> de </w:t>
      </w:r>
      <w:r w:rsidR="00815454">
        <w:rPr>
          <w:rFonts w:ascii="Times New Roman" w:hAnsi="Times New Roman"/>
          <w:sz w:val="20"/>
        </w:rPr>
        <w:t>septiembre</w:t>
      </w:r>
      <w:r w:rsidRPr="00DD19B5">
        <w:rPr>
          <w:rFonts w:ascii="Times New Roman" w:hAnsi="Times New Roman"/>
          <w:sz w:val="20"/>
        </w:rPr>
        <w:t xml:space="preserve"> de 202</w:t>
      </w:r>
      <w:r w:rsidR="003F7CF3">
        <w:rPr>
          <w:rFonts w:ascii="Times New Roman" w:hAnsi="Times New Roman"/>
          <w:sz w:val="20"/>
        </w:rPr>
        <w:t>1</w:t>
      </w:r>
      <w:r w:rsidRPr="00DD19B5">
        <w:rPr>
          <w:rFonts w:ascii="Times New Roman" w:hAnsi="Times New Roman"/>
          <w:sz w:val="20"/>
        </w:rPr>
        <w:t xml:space="preserve"> de las subsidiarias BBVA Asset Management Argentina S.A. y Consolidar Administradora de Jubilaciones y Pensiones S.A. (en liquidación) fueron ajustados considerando el marco contable establecido por el B.C.R.A. a fin de presentar la información sobre bases homogéneas.  </w:t>
      </w:r>
    </w:p>
    <w:p w14:paraId="5AF66AAE" w14:textId="0A6EE133" w:rsidR="003F3072" w:rsidRPr="00DD19B5" w:rsidRDefault="003F3072" w:rsidP="003F3072">
      <w:pPr>
        <w:spacing w:after="120" w:line="240" w:lineRule="exact"/>
        <w:ind w:left="607"/>
        <w:jc w:val="both"/>
        <w:rPr>
          <w:rFonts w:ascii="Times New Roman" w:hAnsi="Times New Roman"/>
          <w:sz w:val="20"/>
        </w:rPr>
      </w:pPr>
      <w:r w:rsidRPr="00DD19B5">
        <w:rPr>
          <w:rFonts w:ascii="Times New Roman" w:hAnsi="Times New Roman"/>
          <w:sz w:val="20"/>
        </w:rPr>
        <w:t>Los estados financieros de PSA Finance Argentina Compañía Financiera S.A. y Volkswagen Financial Services Compañía Financiera S.A. han sido elaborados considerando el marco contable establecido por el B.C.R.A. para entidades financieras del Grupo "</w:t>
      </w:r>
      <w:r w:rsidR="00604FE5" w:rsidRPr="00DD19B5">
        <w:rPr>
          <w:rFonts w:ascii="Times New Roman" w:hAnsi="Times New Roman"/>
          <w:sz w:val="20"/>
        </w:rPr>
        <w:t>C</w:t>
      </w:r>
      <w:r w:rsidRPr="00DD19B5">
        <w:rPr>
          <w:rFonts w:ascii="Times New Roman" w:hAnsi="Times New Roman"/>
          <w:sz w:val="20"/>
        </w:rPr>
        <w:t>", el cual no considera el modelo establecido por la sección 5.5 "Deterioro de Valor" de la NIIF 9 hasta los ejercicio</w:t>
      </w:r>
      <w:r w:rsidR="00D933C2" w:rsidRPr="00DD19B5">
        <w:rPr>
          <w:rFonts w:ascii="Times New Roman" w:hAnsi="Times New Roman"/>
          <w:sz w:val="20"/>
        </w:rPr>
        <w:t>s</w:t>
      </w:r>
      <w:r w:rsidRPr="00DD19B5">
        <w:rPr>
          <w:rFonts w:ascii="Times New Roman" w:hAnsi="Times New Roman"/>
          <w:sz w:val="20"/>
        </w:rPr>
        <w:t xml:space="preserve"> que se inicien a partir del 1 de enero de 202</w:t>
      </w:r>
      <w:r w:rsidR="00F6169E">
        <w:rPr>
          <w:rFonts w:ascii="Times New Roman" w:hAnsi="Times New Roman"/>
          <w:sz w:val="20"/>
        </w:rPr>
        <w:t>2</w:t>
      </w:r>
      <w:r w:rsidRPr="00DD19B5">
        <w:rPr>
          <w:rFonts w:ascii="Times New Roman" w:hAnsi="Times New Roman"/>
          <w:sz w:val="20"/>
        </w:rPr>
        <w:t xml:space="preserve"> según se indica en nota 2 de estos estados financieros</w:t>
      </w:r>
      <w:r w:rsidR="009C62FB">
        <w:rPr>
          <w:rFonts w:ascii="Times New Roman" w:hAnsi="Times New Roman"/>
          <w:sz w:val="20"/>
        </w:rPr>
        <w:t xml:space="preserve"> intermedios consolidados condensados.</w:t>
      </w:r>
    </w:p>
    <w:p w14:paraId="480717EF" w14:textId="4A4B69E4" w:rsidR="006F69D7" w:rsidRPr="00DD19B5" w:rsidRDefault="00E2117F" w:rsidP="00E2117F">
      <w:pPr>
        <w:ind w:right="-427"/>
        <w:jc w:val="both"/>
        <w:rPr>
          <w:rFonts w:ascii="Times New Roman" w:hAnsi="Times New Roman"/>
          <w:b/>
          <w:sz w:val="20"/>
        </w:rPr>
      </w:pPr>
      <w:r w:rsidRPr="00DD19B5">
        <w:rPr>
          <w:rFonts w:ascii="Times New Roman" w:hAnsi="Times New Roman"/>
          <w:b/>
          <w:sz w:val="20"/>
        </w:rPr>
        <w:t xml:space="preserve">       </w:t>
      </w:r>
    </w:p>
    <w:p w14:paraId="3131C7B5" w14:textId="77777777" w:rsidR="00AB314A" w:rsidRDefault="00AB314A" w:rsidP="00E2117F">
      <w:pPr>
        <w:ind w:right="-427"/>
        <w:jc w:val="both"/>
        <w:rPr>
          <w:rFonts w:ascii="Times New Roman" w:hAnsi="Times New Roman"/>
          <w:b/>
          <w:sz w:val="20"/>
        </w:rPr>
      </w:pPr>
    </w:p>
    <w:p w14:paraId="30F4A979" w14:textId="2186DCF1" w:rsidR="00E2117F" w:rsidRPr="00DD19B5" w:rsidRDefault="00E2117F" w:rsidP="00C60CC8">
      <w:pPr>
        <w:pStyle w:val="Prrafodelista"/>
        <w:numPr>
          <w:ilvl w:val="0"/>
          <w:numId w:val="11"/>
        </w:numPr>
        <w:ind w:right="-427"/>
        <w:jc w:val="both"/>
        <w:rPr>
          <w:b/>
          <w:vanish/>
          <w:sz w:val="20"/>
          <w:szCs w:val="20"/>
          <w:lang w:val="es-AR"/>
        </w:rPr>
      </w:pPr>
    </w:p>
    <w:p w14:paraId="35164200" w14:textId="77777777" w:rsidR="00E2117F" w:rsidRPr="00DD19B5" w:rsidRDefault="00E2117F" w:rsidP="00C60CC8">
      <w:pPr>
        <w:pStyle w:val="Prrafodelista"/>
        <w:numPr>
          <w:ilvl w:val="0"/>
          <w:numId w:val="11"/>
        </w:numPr>
        <w:ind w:right="-427"/>
        <w:jc w:val="both"/>
        <w:rPr>
          <w:b/>
          <w:vanish/>
          <w:sz w:val="20"/>
          <w:szCs w:val="20"/>
          <w:lang w:val="es-AR"/>
        </w:rPr>
      </w:pPr>
    </w:p>
    <w:p w14:paraId="31EED8EF" w14:textId="273D7AE2" w:rsidR="00E2117F" w:rsidRPr="0060261F" w:rsidRDefault="0082045E" w:rsidP="009F1A99">
      <w:pPr>
        <w:pStyle w:val="Prrafodelista"/>
        <w:numPr>
          <w:ilvl w:val="0"/>
          <w:numId w:val="26"/>
        </w:numPr>
        <w:ind w:right="-427"/>
        <w:jc w:val="both"/>
        <w:rPr>
          <w:b/>
          <w:sz w:val="20"/>
          <w:szCs w:val="20"/>
          <w:lang w:val="es-AR"/>
        </w:rPr>
      </w:pPr>
      <w:r w:rsidRPr="0060261F">
        <w:rPr>
          <w:b/>
          <w:sz w:val="20"/>
          <w:szCs w:val="20"/>
          <w:lang w:val="es-AR"/>
        </w:rPr>
        <w:t>Efectivo y depósitos en b</w:t>
      </w:r>
      <w:r w:rsidR="00E2117F" w:rsidRPr="0060261F">
        <w:rPr>
          <w:b/>
          <w:sz w:val="20"/>
          <w:szCs w:val="20"/>
          <w:lang w:val="es-AR"/>
        </w:rPr>
        <w:t>ancos</w:t>
      </w:r>
    </w:p>
    <w:p w14:paraId="18E5AF62" w14:textId="77777777" w:rsidR="00037BC5" w:rsidRPr="0060261F" w:rsidRDefault="00037BC5" w:rsidP="00414C16">
      <w:pPr>
        <w:ind w:left="340" w:right="-427"/>
        <w:jc w:val="both"/>
        <w:rPr>
          <w:rFonts w:ascii="Times New Roman" w:hAnsi="Times New Roman"/>
          <w:b/>
          <w:sz w:val="20"/>
        </w:rPr>
      </w:pPr>
    </w:p>
    <w:p w14:paraId="3CF131D4" w14:textId="67C373A6" w:rsidR="00B35F93" w:rsidRPr="0060261F" w:rsidRDefault="00D44347" w:rsidP="00B43F22">
      <w:pPr>
        <w:ind w:left="709" w:right="-427"/>
        <w:jc w:val="both"/>
        <w:rPr>
          <w:rFonts w:ascii="Times New Roman" w:hAnsi="Times New Roman"/>
          <w:b/>
          <w:sz w:val="20"/>
        </w:rPr>
      </w:pPr>
      <w:r w:rsidRPr="00D44347">
        <w:rPr>
          <w:noProof/>
          <w:lang w:eastAsia="es-AR"/>
        </w:rPr>
        <w:drawing>
          <wp:inline distT="0" distB="0" distL="0" distR="0" wp14:anchorId="40A90AC9" wp14:editId="4092A596">
            <wp:extent cx="6062980" cy="10508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62980" cy="1050845"/>
                    </a:xfrm>
                    <a:prstGeom prst="rect">
                      <a:avLst/>
                    </a:prstGeom>
                    <a:noFill/>
                    <a:ln>
                      <a:noFill/>
                    </a:ln>
                  </pic:spPr>
                </pic:pic>
              </a:graphicData>
            </a:graphic>
          </wp:inline>
        </w:drawing>
      </w:r>
    </w:p>
    <w:p w14:paraId="094EEBFB" w14:textId="77777777" w:rsidR="00765195" w:rsidRPr="0060261F" w:rsidRDefault="00765195" w:rsidP="00765195">
      <w:pPr>
        <w:ind w:right="-427"/>
        <w:jc w:val="both"/>
        <w:rPr>
          <w:rFonts w:ascii="Times New Roman" w:hAnsi="Times New Roman"/>
          <w:sz w:val="20"/>
        </w:rPr>
      </w:pPr>
    </w:p>
    <w:p w14:paraId="56FC0C57" w14:textId="77777777" w:rsidR="008E4876" w:rsidRPr="0060261F" w:rsidRDefault="008E4876" w:rsidP="00765195">
      <w:pPr>
        <w:ind w:right="-427"/>
        <w:jc w:val="both"/>
        <w:rPr>
          <w:rFonts w:ascii="Times New Roman" w:hAnsi="Times New Roman"/>
          <w:sz w:val="20"/>
        </w:rPr>
      </w:pPr>
    </w:p>
    <w:p w14:paraId="2C7D529E" w14:textId="7E181F0D" w:rsidR="00E2117F" w:rsidRPr="0060261F" w:rsidRDefault="00E2117F" w:rsidP="009F1A99">
      <w:pPr>
        <w:pStyle w:val="Prrafodelista"/>
        <w:numPr>
          <w:ilvl w:val="0"/>
          <w:numId w:val="26"/>
        </w:numPr>
        <w:ind w:right="-427"/>
        <w:jc w:val="both"/>
        <w:rPr>
          <w:b/>
          <w:sz w:val="20"/>
          <w:szCs w:val="20"/>
          <w:lang w:val="es-AR"/>
        </w:rPr>
      </w:pPr>
      <w:r w:rsidRPr="0060261F">
        <w:rPr>
          <w:b/>
          <w:sz w:val="20"/>
          <w:szCs w:val="20"/>
          <w:lang w:val="es-AR"/>
        </w:rPr>
        <w:t>Títulos de deuda a valor razonable con cambios en resultados</w:t>
      </w:r>
    </w:p>
    <w:p w14:paraId="0F78442D" w14:textId="77777777" w:rsidR="003F131A" w:rsidRPr="00DD19B5" w:rsidRDefault="003F131A" w:rsidP="00473250">
      <w:pPr>
        <w:ind w:right="-427" w:firstLine="426"/>
        <w:jc w:val="both"/>
        <w:rPr>
          <w:rFonts w:ascii="Times New Roman" w:hAnsi="Times New Roman"/>
          <w:b/>
          <w:sz w:val="20"/>
        </w:rPr>
      </w:pPr>
    </w:p>
    <w:p w14:paraId="7332DCC3" w14:textId="35C5557C" w:rsidR="00A72B7B" w:rsidRPr="00DD19B5" w:rsidRDefault="008F55AA" w:rsidP="00B43F22">
      <w:pPr>
        <w:ind w:left="709" w:right="-427"/>
        <w:jc w:val="both"/>
        <w:rPr>
          <w:rFonts w:ascii="Times New Roman" w:hAnsi="Times New Roman"/>
          <w:b/>
          <w:sz w:val="20"/>
        </w:rPr>
      </w:pPr>
      <w:r w:rsidRPr="008F55AA">
        <w:rPr>
          <w:noProof/>
          <w:lang w:eastAsia="es-AR"/>
        </w:rPr>
        <w:drawing>
          <wp:inline distT="0" distB="0" distL="0" distR="0" wp14:anchorId="3CD8CF4E" wp14:editId="54E73B71">
            <wp:extent cx="6062980" cy="103871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62980" cy="1038717"/>
                    </a:xfrm>
                    <a:prstGeom prst="rect">
                      <a:avLst/>
                    </a:prstGeom>
                    <a:noFill/>
                    <a:ln>
                      <a:noFill/>
                    </a:ln>
                  </pic:spPr>
                </pic:pic>
              </a:graphicData>
            </a:graphic>
          </wp:inline>
        </w:drawing>
      </w:r>
    </w:p>
    <w:p w14:paraId="47659A83" w14:textId="77777777" w:rsidR="00841025" w:rsidRDefault="00841025" w:rsidP="00473250">
      <w:pPr>
        <w:ind w:right="-427" w:firstLine="426"/>
        <w:jc w:val="both"/>
        <w:rPr>
          <w:rFonts w:ascii="Times New Roman" w:hAnsi="Times New Roman"/>
          <w:b/>
          <w:sz w:val="20"/>
        </w:rPr>
      </w:pPr>
    </w:p>
    <w:p w14:paraId="75E7AD84" w14:textId="77777777" w:rsidR="00BF6980" w:rsidRDefault="00BF6980" w:rsidP="00473250">
      <w:pPr>
        <w:ind w:right="-427" w:firstLine="426"/>
        <w:jc w:val="both"/>
        <w:rPr>
          <w:rFonts w:ascii="Times New Roman" w:hAnsi="Times New Roman"/>
          <w:b/>
          <w:sz w:val="20"/>
        </w:rPr>
      </w:pPr>
    </w:p>
    <w:p w14:paraId="62E5A621" w14:textId="77777777" w:rsidR="00E2117F" w:rsidRPr="0060261F" w:rsidRDefault="00E2117F" w:rsidP="009F1A99">
      <w:pPr>
        <w:pStyle w:val="Prrafodelista"/>
        <w:numPr>
          <w:ilvl w:val="0"/>
          <w:numId w:val="26"/>
        </w:numPr>
        <w:ind w:right="-427"/>
        <w:jc w:val="both"/>
        <w:rPr>
          <w:b/>
          <w:sz w:val="20"/>
          <w:szCs w:val="20"/>
          <w:lang w:val="es-AR"/>
        </w:rPr>
      </w:pPr>
      <w:r w:rsidRPr="0060261F">
        <w:rPr>
          <w:b/>
          <w:sz w:val="20"/>
          <w:szCs w:val="20"/>
          <w:lang w:val="es-AR"/>
        </w:rPr>
        <w:t>Instrumentos derivados</w:t>
      </w:r>
    </w:p>
    <w:p w14:paraId="1F23218C" w14:textId="77777777" w:rsidR="00E2117F" w:rsidRPr="0060261F" w:rsidRDefault="00E2117F" w:rsidP="00E2117F">
      <w:pPr>
        <w:pStyle w:val="Prrafodelista"/>
        <w:ind w:right="-427"/>
        <w:jc w:val="both"/>
        <w:rPr>
          <w:b/>
          <w:sz w:val="20"/>
          <w:szCs w:val="20"/>
          <w:lang w:val="es-AR"/>
        </w:rPr>
      </w:pPr>
    </w:p>
    <w:p w14:paraId="21CABE5E" w14:textId="23800571" w:rsidR="00E2117F" w:rsidRPr="0060261F" w:rsidRDefault="00E2117F" w:rsidP="008F068B">
      <w:pPr>
        <w:pStyle w:val="Prrafodelista"/>
        <w:ind w:left="709" w:right="50"/>
        <w:jc w:val="both"/>
        <w:rPr>
          <w:sz w:val="20"/>
          <w:szCs w:val="20"/>
          <w:lang w:val="es-AR" w:eastAsia="es-ES"/>
        </w:rPr>
      </w:pPr>
      <w:r w:rsidRPr="0060261F">
        <w:rPr>
          <w:sz w:val="20"/>
          <w:szCs w:val="20"/>
          <w:lang w:val="es-AR" w:eastAsia="es-ES"/>
        </w:rPr>
        <w:t xml:space="preserve">En el curso normal de sus negocios, el Banco concertó operaciones a término de moneda extranjera con liquidación diaria o </w:t>
      </w:r>
      <w:r w:rsidR="00930B25" w:rsidRPr="0060261F">
        <w:rPr>
          <w:sz w:val="20"/>
          <w:szCs w:val="20"/>
          <w:lang w:val="es-AR" w:eastAsia="es-ES"/>
        </w:rPr>
        <w:t>al vencimiento</w:t>
      </w:r>
      <w:r w:rsidRPr="0060261F">
        <w:rPr>
          <w:sz w:val="20"/>
          <w:szCs w:val="20"/>
          <w:lang w:val="es-AR" w:eastAsia="es-ES"/>
        </w:rPr>
        <w:t xml:space="preserve"> de diferencias, sin entrega del subyacente y operaciones de permuta de tasas de interés (swap de tasas). Estas operaciones no califican como cobertura de acuerdo con la NIIF </w:t>
      </w:r>
      <w:r w:rsidR="00DC4479" w:rsidRPr="0060261F">
        <w:rPr>
          <w:sz w:val="20"/>
          <w:szCs w:val="20"/>
          <w:lang w:val="es-AR" w:eastAsia="es-ES"/>
        </w:rPr>
        <w:t xml:space="preserve">N° </w:t>
      </w:r>
      <w:r w:rsidRPr="0060261F">
        <w:rPr>
          <w:sz w:val="20"/>
          <w:szCs w:val="20"/>
          <w:lang w:val="es-AR" w:eastAsia="es-ES"/>
        </w:rPr>
        <w:t>9 Instrumentos Financieros.</w:t>
      </w:r>
    </w:p>
    <w:p w14:paraId="79F5F310" w14:textId="77777777" w:rsidR="00E2117F" w:rsidRPr="0060261F" w:rsidRDefault="00E2117F" w:rsidP="00E2117F">
      <w:pPr>
        <w:pStyle w:val="Prrafodelista"/>
        <w:ind w:left="709" w:right="141"/>
        <w:jc w:val="both"/>
        <w:rPr>
          <w:sz w:val="20"/>
          <w:szCs w:val="20"/>
          <w:lang w:val="es-AR" w:eastAsia="es-ES"/>
        </w:rPr>
      </w:pPr>
    </w:p>
    <w:p w14:paraId="2D5F87C9" w14:textId="77777777" w:rsidR="002510D8" w:rsidRPr="0060261F" w:rsidRDefault="00E2117F" w:rsidP="008F068B">
      <w:pPr>
        <w:pStyle w:val="Prrafodelista"/>
        <w:ind w:left="709" w:right="50"/>
        <w:jc w:val="both"/>
        <w:rPr>
          <w:sz w:val="20"/>
          <w:szCs w:val="20"/>
          <w:lang w:val="es-AR" w:eastAsia="es-ES"/>
        </w:rPr>
      </w:pPr>
      <w:r w:rsidRPr="0060261F">
        <w:rPr>
          <w:sz w:val="20"/>
          <w:szCs w:val="20"/>
          <w:lang w:val="es-AR" w:eastAsia="es-ES"/>
        </w:rPr>
        <w:t xml:space="preserve">Los instrumentos mencionados </w:t>
      </w:r>
      <w:r w:rsidR="000160CF" w:rsidRPr="0060261F">
        <w:rPr>
          <w:sz w:val="20"/>
          <w:szCs w:val="20"/>
          <w:lang w:val="es-AR" w:eastAsia="es-ES"/>
        </w:rPr>
        <w:t xml:space="preserve">se miden </w:t>
      </w:r>
      <w:r w:rsidRPr="0060261F">
        <w:rPr>
          <w:sz w:val="20"/>
          <w:szCs w:val="20"/>
          <w:lang w:val="es-AR" w:eastAsia="es-ES"/>
        </w:rPr>
        <w:t xml:space="preserve">a su valor razonable </w:t>
      </w:r>
      <w:r w:rsidR="000160CF" w:rsidRPr="0060261F">
        <w:rPr>
          <w:sz w:val="20"/>
          <w:szCs w:val="20"/>
          <w:lang w:val="es-AR" w:eastAsia="es-ES"/>
        </w:rPr>
        <w:t xml:space="preserve">y </w:t>
      </w:r>
      <w:r w:rsidR="00E64001" w:rsidRPr="0060261F">
        <w:rPr>
          <w:sz w:val="20"/>
          <w:szCs w:val="20"/>
          <w:lang w:val="es-AR" w:eastAsia="es-ES"/>
        </w:rPr>
        <w:t>se reconocieron en el Estado de Situación Financiera en las líneas “Instrumentos derivados”</w:t>
      </w:r>
      <w:r w:rsidR="000160CF" w:rsidRPr="0060261F">
        <w:rPr>
          <w:sz w:val="20"/>
          <w:szCs w:val="20"/>
          <w:lang w:val="es-AR" w:eastAsia="es-ES"/>
        </w:rPr>
        <w:t>;</w:t>
      </w:r>
      <w:r w:rsidR="00E64001" w:rsidRPr="0060261F">
        <w:rPr>
          <w:sz w:val="20"/>
          <w:szCs w:val="20"/>
          <w:lang w:val="es-AR" w:eastAsia="es-ES"/>
        </w:rPr>
        <w:t xml:space="preserve"> </w:t>
      </w:r>
      <w:r w:rsidRPr="0060261F">
        <w:rPr>
          <w:sz w:val="20"/>
          <w:szCs w:val="20"/>
          <w:lang w:val="es-AR" w:eastAsia="es-ES"/>
        </w:rPr>
        <w:t>y los cambios en los valores razonables se recon</w:t>
      </w:r>
      <w:r w:rsidR="00E64001" w:rsidRPr="0060261F">
        <w:rPr>
          <w:sz w:val="20"/>
          <w:szCs w:val="20"/>
          <w:lang w:val="es-AR" w:eastAsia="es-ES"/>
        </w:rPr>
        <w:t xml:space="preserve">ocieron en el Estado </w:t>
      </w:r>
      <w:r w:rsidR="004F36A7" w:rsidRPr="0060261F">
        <w:rPr>
          <w:sz w:val="20"/>
          <w:szCs w:val="20"/>
          <w:lang w:val="es-AR" w:eastAsia="es-ES"/>
        </w:rPr>
        <w:t>de Resultados</w:t>
      </w:r>
      <w:r w:rsidR="00E64001" w:rsidRPr="0060261F">
        <w:rPr>
          <w:sz w:val="20"/>
          <w:szCs w:val="20"/>
          <w:lang w:val="es-AR" w:eastAsia="es-ES"/>
        </w:rPr>
        <w:t xml:space="preserve"> en la línea</w:t>
      </w:r>
      <w:r w:rsidRPr="0060261F">
        <w:rPr>
          <w:sz w:val="20"/>
          <w:szCs w:val="20"/>
          <w:lang w:val="es-AR" w:eastAsia="es-ES"/>
        </w:rPr>
        <w:t xml:space="preserve"> “</w:t>
      </w:r>
      <w:r w:rsidR="00E64001" w:rsidRPr="0060261F">
        <w:rPr>
          <w:sz w:val="20"/>
          <w:szCs w:val="20"/>
          <w:lang w:val="es-AR" w:eastAsia="es-ES"/>
        </w:rPr>
        <w:t>Resultado neto por medición de instrumentos financieros a valor razonable con cambios en resultados”</w:t>
      </w:r>
      <w:r w:rsidRPr="0060261F">
        <w:rPr>
          <w:sz w:val="20"/>
          <w:szCs w:val="20"/>
          <w:lang w:val="es-AR" w:eastAsia="es-ES"/>
        </w:rPr>
        <w:t>.</w:t>
      </w:r>
    </w:p>
    <w:p w14:paraId="3912ACC6" w14:textId="77777777" w:rsidR="004A1F7A" w:rsidRPr="0060261F" w:rsidRDefault="004A1F7A" w:rsidP="00E2117F">
      <w:pPr>
        <w:pStyle w:val="Prrafodelista"/>
        <w:ind w:left="709" w:right="141"/>
        <w:jc w:val="both"/>
        <w:rPr>
          <w:sz w:val="20"/>
          <w:szCs w:val="20"/>
          <w:lang w:val="es-AR" w:eastAsia="es-ES"/>
        </w:rPr>
      </w:pPr>
    </w:p>
    <w:p w14:paraId="6B7AA1A0" w14:textId="61170229" w:rsidR="00E2117F" w:rsidRPr="0060261F" w:rsidRDefault="002510D8" w:rsidP="008F068B">
      <w:pPr>
        <w:autoSpaceDE w:val="0"/>
        <w:autoSpaceDN w:val="0"/>
        <w:adjustRightInd w:val="0"/>
        <w:ind w:left="709" w:right="50"/>
        <w:jc w:val="both"/>
        <w:rPr>
          <w:rFonts w:ascii="Times New Roman" w:hAnsi="Times New Roman"/>
          <w:sz w:val="20"/>
        </w:rPr>
      </w:pPr>
      <w:r w:rsidRPr="0060261F">
        <w:rPr>
          <w:rFonts w:ascii="Times New Roman" w:hAnsi="Times New Roman"/>
          <w:sz w:val="20"/>
        </w:rPr>
        <w:t>Al 3</w:t>
      </w:r>
      <w:r w:rsidR="00E35B6A" w:rsidRPr="0060261F">
        <w:rPr>
          <w:rFonts w:ascii="Times New Roman" w:hAnsi="Times New Roman"/>
          <w:sz w:val="20"/>
        </w:rPr>
        <w:t>0</w:t>
      </w:r>
      <w:r w:rsidRPr="0060261F">
        <w:rPr>
          <w:rFonts w:ascii="Times New Roman" w:hAnsi="Times New Roman"/>
          <w:sz w:val="20"/>
        </w:rPr>
        <w:t xml:space="preserve"> de </w:t>
      </w:r>
      <w:r w:rsidR="00815454">
        <w:rPr>
          <w:rFonts w:ascii="Times New Roman" w:hAnsi="Times New Roman"/>
          <w:sz w:val="20"/>
        </w:rPr>
        <w:t>septiembre</w:t>
      </w:r>
      <w:r w:rsidRPr="0060261F">
        <w:rPr>
          <w:rFonts w:ascii="Times New Roman" w:hAnsi="Times New Roman"/>
          <w:sz w:val="20"/>
        </w:rPr>
        <w:t xml:space="preserve"> de 202</w:t>
      </w:r>
      <w:r w:rsidR="003F7CF3" w:rsidRPr="0060261F">
        <w:rPr>
          <w:rFonts w:ascii="Times New Roman" w:hAnsi="Times New Roman"/>
          <w:sz w:val="20"/>
        </w:rPr>
        <w:t>1</w:t>
      </w:r>
      <w:r w:rsidRPr="0060261F">
        <w:rPr>
          <w:rFonts w:ascii="Times New Roman" w:hAnsi="Times New Roman"/>
          <w:sz w:val="20"/>
        </w:rPr>
        <w:t xml:space="preserve"> el Banco registra primas por opciones de venta tomadas que corresponden al derecho del Banco a vender su participación en Prisma Medios de Pago S.A. al comprador</w:t>
      </w:r>
      <w:r w:rsidR="00F6169E" w:rsidRPr="0060261F">
        <w:rPr>
          <w:rFonts w:ascii="Times New Roman" w:hAnsi="Times New Roman"/>
          <w:sz w:val="20"/>
        </w:rPr>
        <w:t xml:space="preserve"> (Al Zenith (Netherlands</w:t>
      </w:r>
      <w:r w:rsidR="0054483E" w:rsidRPr="0060261F">
        <w:rPr>
          <w:rFonts w:ascii="Times New Roman" w:hAnsi="Times New Roman"/>
          <w:sz w:val="20"/>
        </w:rPr>
        <w:t xml:space="preserve">) B.V. </w:t>
      </w:r>
      <w:r w:rsidRPr="0060261F">
        <w:rPr>
          <w:rFonts w:ascii="Times New Roman" w:hAnsi="Times New Roman"/>
          <w:sz w:val="20"/>
        </w:rPr>
        <w:t>el 30 de diciembre de 2021</w:t>
      </w:r>
      <w:r w:rsidR="0054483E" w:rsidRPr="0060261F">
        <w:rPr>
          <w:rFonts w:ascii="Times New Roman" w:hAnsi="Times New Roman"/>
          <w:sz w:val="20"/>
        </w:rPr>
        <w:t xml:space="preserve"> - (Nota 16 a los estados financieros intermedios consolidados condensados)</w:t>
      </w:r>
      <w:r w:rsidRPr="0060261F">
        <w:rPr>
          <w:rFonts w:ascii="Times New Roman" w:hAnsi="Times New Roman"/>
          <w:sz w:val="20"/>
        </w:rPr>
        <w:t xml:space="preserve">. </w:t>
      </w:r>
      <w:r w:rsidR="00044092" w:rsidRPr="0060261F">
        <w:rPr>
          <w:rFonts w:ascii="Times New Roman" w:hAnsi="Times New Roman"/>
          <w:sz w:val="20"/>
        </w:rPr>
        <w:t>Las mismas, fueron</w:t>
      </w:r>
      <w:r w:rsidRPr="0060261F">
        <w:rPr>
          <w:rFonts w:ascii="Times New Roman" w:hAnsi="Times New Roman"/>
          <w:sz w:val="20"/>
        </w:rPr>
        <w:t xml:space="preserve"> valuada</w:t>
      </w:r>
      <w:r w:rsidR="00044092" w:rsidRPr="0060261F">
        <w:rPr>
          <w:rFonts w:ascii="Times New Roman" w:hAnsi="Times New Roman"/>
          <w:sz w:val="20"/>
        </w:rPr>
        <w:t>s</w:t>
      </w:r>
      <w:r w:rsidRPr="0060261F">
        <w:rPr>
          <w:rFonts w:ascii="Times New Roman" w:hAnsi="Times New Roman"/>
          <w:sz w:val="20"/>
        </w:rPr>
        <w:t xml:space="preserve"> a su valor razonable determinado por la Gerencia sobre la base de un informe elaborado por profesionales independientes (</w:t>
      </w:r>
      <w:r w:rsidR="00D933C2" w:rsidRPr="0060261F">
        <w:rPr>
          <w:rFonts w:ascii="Times New Roman" w:hAnsi="Times New Roman"/>
          <w:sz w:val="20"/>
        </w:rPr>
        <w:t xml:space="preserve">Nota 43 a los </w:t>
      </w:r>
      <w:r w:rsidR="003F7CF3" w:rsidRPr="0060261F">
        <w:rPr>
          <w:rFonts w:ascii="Times New Roman" w:hAnsi="Times New Roman"/>
          <w:sz w:val="20"/>
        </w:rPr>
        <w:t>e</w:t>
      </w:r>
      <w:r w:rsidR="00D933C2" w:rsidRPr="0060261F">
        <w:rPr>
          <w:rFonts w:ascii="Times New Roman" w:hAnsi="Times New Roman"/>
          <w:sz w:val="20"/>
        </w:rPr>
        <w:t xml:space="preserve">stados </w:t>
      </w:r>
      <w:r w:rsidR="003F7CF3" w:rsidRPr="0060261F">
        <w:rPr>
          <w:rFonts w:ascii="Times New Roman" w:hAnsi="Times New Roman"/>
          <w:sz w:val="20"/>
        </w:rPr>
        <w:t>f</w:t>
      </w:r>
      <w:r w:rsidR="00D933C2" w:rsidRPr="0060261F">
        <w:rPr>
          <w:rFonts w:ascii="Times New Roman" w:hAnsi="Times New Roman"/>
          <w:sz w:val="20"/>
        </w:rPr>
        <w:t>inancieros</w:t>
      </w:r>
      <w:r w:rsidR="003F7CF3" w:rsidRPr="0060261F">
        <w:rPr>
          <w:rFonts w:ascii="Times New Roman" w:hAnsi="Times New Roman"/>
          <w:sz w:val="20"/>
        </w:rPr>
        <w:t xml:space="preserve"> intermedios consolidados condensados)</w:t>
      </w:r>
      <w:r w:rsidRPr="0060261F">
        <w:rPr>
          <w:rFonts w:ascii="Times New Roman" w:hAnsi="Times New Roman"/>
          <w:sz w:val="20"/>
        </w:rPr>
        <w:t>.</w:t>
      </w:r>
    </w:p>
    <w:p w14:paraId="5B3168D2" w14:textId="77777777" w:rsidR="006F597A" w:rsidRPr="0060261F" w:rsidRDefault="006F597A" w:rsidP="00E2117F">
      <w:pPr>
        <w:pStyle w:val="Prrafodelista"/>
        <w:ind w:left="709" w:right="141"/>
        <w:jc w:val="both"/>
        <w:rPr>
          <w:sz w:val="20"/>
          <w:szCs w:val="20"/>
          <w:lang w:val="es-AR" w:eastAsia="es-ES"/>
        </w:rPr>
      </w:pPr>
    </w:p>
    <w:p w14:paraId="01B70438" w14:textId="77777777" w:rsidR="00E2117F" w:rsidRPr="0060261F" w:rsidRDefault="00E2117F" w:rsidP="00E2117F">
      <w:pPr>
        <w:pStyle w:val="Prrafodelista"/>
        <w:ind w:left="709" w:right="141"/>
        <w:jc w:val="both"/>
        <w:rPr>
          <w:sz w:val="20"/>
          <w:szCs w:val="20"/>
          <w:lang w:val="es-AR" w:eastAsia="es-ES"/>
        </w:rPr>
      </w:pPr>
      <w:r w:rsidRPr="0060261F">
        <w:rPr>
          <w:sz w:val="20"/>
          <w:szCs w:val="20"/>
          <w:lang w:val="es-AR" w:eastAsia="es-ES"/>
        </w:rPr>
        <w:t>La composición del rubro es la siguiente:</w:t>
      </w:r>
    </w:p>
    <w:p w14:paraId="7CE3294C" w14:textId="77777777" w:rsidR="003E6FBA" w:rsidRPr="0060261F" w:rsidRDefault="003E6FBA" w:rsidP="00E2117F">
      <w:pPr>
        <w:pStyle w:val="Prrafodelista"/>
        <w:ind w:left="709" w:right="141"/>
        <w:jc w:val="both"/>
        <w:rPr>
          <w:sz w:val="20"/>
          <w:szCs w:val="20"/>
          <w:u w:val="single"/>
          <w:lang w:val="es-AR" w:eastAsia="es-ES"/>
        </w:rPr>
      </w:pPr>
    </w:p>
    <w:p w14:paraId="06CE9E7E" w14:textId="77777777" w:rsidR="00E2117F" w:rsidRPr="0060261F" w:rsidRDefault="00E2117F" w:rsidP="00E2117F">
      <w:pPr>
        <w:pStyle w:val="Prrafodelista"/>
        <w:ind w:left="709" w:right="141"/>
        <w:jc w:val="both"/>
        <w:rPr>
          <w:sz w:val="20"/>
          <w:szCs w:val="20"/>
          <w:u w:val="single"/>
          <w:lang w:val="es-AR" w:eastAsia="es-ES"/>
        </w:rPr>
      </w:pPr>
      <w:r w:rsidRPr="0060261F">
        <w:rPr>
          <w:sz w:val="20"/>
          <w:szCs w:val="20"/>
          <w:u w:val="single"/>
          <w:lang w:val="es-AR" w:eastAsia="es-ES"/>
        </w:rPr>
        <w:t>Activos</w:t>
      </w:r>
    </w:p>
    <w:p w14:paraId="314D19AA" w14:textId="77777777" w:rsidR="0060261F" w:rsidRPr="0060261F" w:rsidRDefault="0060261F" w:rsidP="00E2117F">
      <w:pPr>
        <w:pStyle w:val="Prrafodelista"/>
        <w:ind w:left="709" w:right="141"/>
        <w:jc w:val="both"/>
        <w:rPr>
          <w:sz w:val="20"/>
          <w:szCs w:val="20"/>
          <w:u w:val="single"/>
          <w:lang w:val="es-AR" w:eastAsia="es-ES"/>
        </w:rPr>
      </w:pPr>
    </w:p>
    <w:p w14:paraId="44F33F95" w14:textId="77DB47DA" w:rsidR="00257C3C" w:rsidRPr="0060261F" w:rsidRDefault="008F55AA" w:rsidP="00E2117F">
      <w:pPr>
        <w:pStyle w:val="Prrafodelista"/>
        <w:ind w:left="709" w:right="141"/>
        <w:jc w:val="both"/>
        <w:rPr>
          <w:sz w:val="20"/>
          <w:szCs w:val="20"/>
          <w:u w:val="single"/>
          <w:lang w:val="es-AR" w:eastAsia="es-ES"/>
        </w:rPr>
      </w:pPr>
      <w:r w:rsidRPr="008F55AA">
        <w:rPr>
          <w:noProof/>
          <w:lang w:val="es-AR" w:eastAsia="es-AR"/>
        </w:rPr>
        <w:drawing>
          <wp:inline distT="0" distB="0" distL="0" distR="0" wp14:anchorId="577845FE" wp14:editId="45E0309F">
            <wp:extent cx="6062980" cy="133029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62980" cy="1330295"/>
                    </a:xfrm>
                    <a:prstGeom prst="rect">
                      <a:avLst/>
                    </a:prstGeom>
                    <a:noFill/>
                    <a:ln>
                      <a:noFill/>
                    </a:ln>
                  </pic:spPr>
                </pic:pic>
              </a:graphicData>
            </a:graphic>
          </wp:inline>
        </w:drawing>
      </w:r>
    </w:p>
    <w:p w14:paraId="571367D8" w14:textId="77777777" w:rsidR="0060261F" w:rsidRPr="0060261F" w:rsidRDefault="0060261F" w:rsidP="00E2117F">
      <w:pPr>
        <w:pStyle w:val="Prrafodelista"/>
        <w:ind w:left="709" w:right="141"/>
        <w:jc w:val="both"/>
        <w:rPr>
          <w:sz w:val="20"/>
          <w:szCs w:val="20"/>
          <w:u w:val="single"/>
          <w:lang w:val="es-AR" w:eastAsia="es-ES"/>
        </w:rPr>
      </w:pPr>
    </w:p>
    <w:p w14:paraId="69E6DF6C" w14:textId="0BEC7143" w:rsidR="00E2117F" w:rsidRPr="0060261F" w:rsidRDefault="00E41BC1" w:rsidP="00E2117F">
      <w:pPr>
        <w:pStyle w:val="Prrafodelista"/>
        <w:ind w:left="709" w:right="141"/>
        <w:jc w:val="both"/>
        <w:rPr>
          <w:sz w:val="20"/>
          <w:szCs w:val="20"/>
          <w:u w:val="single"/>
          <w:lang w:val="es-AR" w:eastAsia="es-ES"/>
        </w:rPr>
      </w:pPr>
      <w:r w:rsidRPr="0060261F">
        <w:rPr>
          <w:sz w:val="20"/>
          <w:szCs w:val="20"/>
          <w:u w:val="single"/>
          <w:lang w:val="es-AR" w:eastAsia="es-ES"/>
        </w:rPr>
        <w:t>P</w:t>
      </w:r>
      <w:r w:rsidR="00E2117F" w:rsidRPr="0060261F">
        <w:rPr>
          <w:sz w:val="20"/>
          <w:szCs w:val="20"/>
          <w:u w:val="single"/>
          <w:lang w:val="es-AR" w:eastAsia="es-ES"/>
        </w:rPr>
        <w:t>asivos</w:t>
      </w:r>
    </w:p>
    <w:p w14:paraId="1D183699" w14:textId="60194EC9" w:rsidR="00257C3C" w:rsidRPr="0060261F" w:rsidRDefault="00257C3C" w:rsidP="00E2117F">
      <w:pPr>
        <w:pStyle w:val="Prrafodelista"/>
        <w:ind w:left="709" w:right="141"/>
        <w:jc w:val="both"/>
        <w:rPr>
          <w:sz w:val="20"/>
          <w:szCs w:val="20"/>
          <w:u w:val="single"/>
          <w:lang w:val="es-AR" w:eastAsia="es-ES"/>
        </w:rPr>
      </w:pPr>
    </w:p>
    <w:p w14:paraId="644304FC" w14:textId="6F7946EB" w:rsidR="00E41BC1" w:rsidRPr="0060261F" w:rsidRDefault="008F55AA" w:rsidP="00E2117F">
      <w:pPr>
        <w:pStyle w:val="Prrafodelista"/>
        <w:ind w:left="709" w:right="141"/>
        <w:jc w:val="both"/>
        <w:rPr>
          <w:noProof/>
          <w:sz w:val="20"/>
          <w:szCs w:val="20"/>
          <w:lang w:val="es-AR" w:eastAsia="es-AR"/>
        </w:rPr>
      </w:pPr>
      <w:r w:rsidRPr="008F55AA">
        <w:rPr>
          <w:noProof/>
          <w:lang w:val="es-AR" w:eastAsia="es-AR"/>
        </w:rPr>
        <w:drawing>
          <wp:inline distT="0" distB="0" distL="0" distR="0" wp14:anchorId="326B61F2" wp14:editId="44B6240B">
            <wp:extent cx="6062980" cy="89317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62980" cy="893170"/>
                    </a:xfrm>
                    <a:prstGeom prst="rect">
                      <a:avLst/>
                    </a:prstGeom>
                    <a:noFill/>
                    <a:ln>
                      <a:noFill/>
                    </a:ln>
                  </pic:spPr>
                </pic:pic>
              </a:graphicData>
            </a:graphic>
          </wp:inline>
        </w:drawing>
      </w:r>
    </w:p>
    <w:p w14:paraId="34550AF7" w14:textId="77777777" w:rsidR="00EF21E4" w:rsidRPr="0060261F" w:rsidRDefault="00EF21E4" w:rsidP="00E2117F">
      <w:pPr>
        <w:pStyle w:val="Prrafodelista"/>
        <w:ind w:left="709" w:right="141"/>
        <w:jc w:val="both"/>
        <w:rPr>
          <w:noProof/>
          <w:sz w:val="20"/>
          <w:szCs w:val="20"/>
          <w:lang w:val="es-AR" w:eastAsia="es-AR"/>
        </w:rPr>
      </w:pPr>
    </w:p>
    <w:p w14:paraId="161666AF" w14:textId="29FD23DF" w:rsidR="00E2117F" w:rsidRPr="0060261F" w:rsidRDefault="00D716EC" w:rsidP="00D716EC">
      <w:pPr>
        <w:spacing w:after="120" w:line="240" w:lineRule="exact"/>
        <w:ind w:left="709" w:right="140"/>
        <w:jc w:val="both"/>
        <w:rPr>
          <w:rFonts w:ascii="Times New Roman" w:hAnsi="Times New Roman"/>
          <w:color w:val="000000"/>
          <w:sz w:val="20"/>
        </w:rPr>
      </w:pPr>
      <w:r w:rsidRPr="0060261F">
        <w:rPr>
          <w:rFonts w:ascii="Times New Roman" w:hAnsi="Times New Roman"/>
          <w:color w:val="000000"/>
          <w:sz w:val="20"/>
        </w:rPr>
        <w:t xml:space="preserve">Los </w:t>
      </w:r>
      <w:r w:rsidR="00E2117F" w:rsidRPr="0060261F">
        <w:rPr>
          <w:rFonts w:ascii="Times New Roman" w:hAnsi="Times New Roman"/>
          <w:color w:val="000000"/>
          <w:sz w:val="20"/>
        </w:rPr>
        <w:t>valores nocionales de las operaciones a término y de los forward de moneda extranjera, expresados</w:t>
      </w:r>
      <w:r w:rsidR="00801677" w:rsidRPr="0060261F">
        <w:rPr>
          <w:rFonts w:ascii="Times New Roman" w:hAnsi="Times New Roman"/>
          <w:color w:val="000000"/>
          <w:sz w:val="20"/>
        </w:rPr>
        <w:t xml:space="preserve"> en dólares estadounidenses</w:t>
      </w:r>
      <w:r w:rsidR="00134463" w:rsidRPr="0060261F">
        <w:rPr>
          <w:rFonts w:ascii="Times New Roman" w:hAnsi="Times New Roman"/>
          <w:color w:val="000000"/>
          <w:sz w:val="20"/>
        </w:rPr>
        <w:t xml:space="preserve"> </w:t>
      </w:r>
      <w:r w:rsidR="00CA03A1" w:rsidRPr="0060261F">
        <w:rPr>
          <w:rFonts w:ascii="Times New Roman" w:hAnsi="Times New Roman"/>
          <w:color w:val="000000"/>
          <w:sz w:val="20"/>
        </w:rPr>
        <w:t xml:space="preserve">(U$S) </w:t>
      </w:r>
      <w:r w:rsidR="00134463" w:rsidRPr="0060261F">
        <w:rPr>
          <w:rFonts w:ascii="Times New Roman" w:hAnsi="Times New Roman"/>
          <w:color w:val="000000"/>
          <w:sz w:val="20"/>
        </w:rPr>
        <w:t>y euros</w:t>
      </w:r>
      <w:r w:rsidR="00E2117F" w:rsidRPr="0060261F">
        <w:rPr>
          <w:rFonts w:ascii="Times New Roman" w:hAnsi="Times New Roman"/>
          <w:color w:val="000000"/>
          <w:sz w:val="20"/>
        </w:rPr>
        <w:t>,</w:t>
      </w:r>
      <w:r w:rsidR="00134463" w:rsidRPr="0060261F">
        <w:rPr>
          <w:rFonts w:ascii="Times New Roman" w:hAnsi="Times New Roman"/>
          <w:color w:val="000000"/>
          <w:sz w:val="20"/>
        </w:rPr>
        <w:t xml:space="preserve"> según corresponda,</w:t>
      </w:r>
      <w:r w:rsidR="00E64001" w:rsidRPr="0060261F">
        <w:rPr>
          <w:rFonts w:ascii="Times New Roman" w:hAnsi="Times New Roman"/>
          <w:color w:val="000000"/>
          <w:sz w:val="20"/>
        </w:rPr>
        <w:t xml:space="preserve"> así como los valores base de la</w:t>
      </w:r>
      <w:r w:rsidR="00E2117F" w:rsidRPr="0060261F">
        <w:rPr>
          <w:rFonts w:ascii="Times New Roman" w:hAnsi="Times New Roman"/>
          <w:color w:val="000000"/>
          <w:sz w:val="20"/>
        </w:rPr>
        <w:t xml:space="preserve">s permutas de </w:t>
      </w:r>
      <w:r w:rsidR="004F36A7" w:rsidRPr="0060261F">
        <w:rPr>
          <w:rFonts w:ascii="Times New Roman" w:hAnsi="Times New Roman"/>
          <w:color w:val="000000"/>
          <w:sz w:val="20"/>
        </w:rPr>
        <w:t>tasa se informan a continuación:</w:t>
      </w:r>
      <w:r w:rsidR="00E275C7" w:rsidRPr="0060261F">
        <w:rPr>
          <w:rFonts w:ascii="Times New Roman" w:hAnsi="Times New Roman"/>
          <w:color w:val="000000"/>
          <w:sz w:val="20"/>
        </w:rPr>
        <w:t xml:space="preserve"> </w:t>
      </w:r>
    </w:p>
    <w:p w14:paraId="6F55E931" w14:textId="503CF1E1" w:rsidR="00D6634A" w:rsidRDefault="00D6634A" w:rsidP="00F10C9D">
      <w:pPr>
        <w:pStyle w:val="Prrafodelista"/>
        <w:ind w:left="851" w:right="141"/>
        <w:jc w:val="center"/>
        <w:rPr>
          <w:sz w:val="20"/>
          <w:szCs w:val="20"/>
          <w:lang w:val="es-AR" w:eastAsia="es-ES"/>
        </w:rPr>
      </w:pPr>
    </w:p>
    <w:p w14:paraId="0C757F0E" w14:textId="6B730A71" w:rsidR="00EC3A4A" w:rsidRDefault="00557E6F" w:rsidP="00495E32">
      <w:pPr>
        <w:pStyle w:val="Prrafodelista"/>
        <w:ind w:left="709" w:right="141"/>
        <w:jc w:val="center"/>
        <w:rPr>
          <w:sz w:val="20"/>
          <w:szCs w:val="20"/>
          <w:lang w:val="es-AR" w:eastAsia="es-ES"/>
        </w:rPr>
      </w:pPr>
      <w:r w:rsidRPr="00557E6F">
        <w:rPr>
          <w:noProof/>
          <w:lang w:val="es-AR" w:eastAsia="es-AR"/>
        </w:rPr>
        <w:lastRenderedPageBreak/>
        <w:drawing>
          <wp:inline distT="0" distB="0" distL="0" distR="0" wp14:anchorId="7B5A53B4" wp14:editId="1A91A37F">
            <wp:extent cx="6062980" cy="1901322"/>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62980" cy="1901322"/>
                    </a:xfrm>
                    <a:prstGeom prst="rect">
                      <a:avLst/>
                    </a:prstGeom>
                    <a:noFill/>
                    <a:ln>
                      <a:noFill/>
                    </a:ln>
                  </pic:spPr>
                </pic:pic>
              </a:graphicData>
            </a:graphic>
          </wp:inline>
        </w:drawing>
      </w:r>
    </w:p>
    <w:p w14:paraId="033F9830" w14:textId="653EAE9A" w:rsidR="0041599F" w:rsidRDefault="0041599F" w:rsidP="00495E32">
      <w:pPr>
        <w:pStyle w:val="Prrafodelista"/>
        <w:ind w:left="567" w:right="141"/>
        <w:jc w:val="center"/>
        <w:rPr>
          <w:sz w:val="20"/>
          <w:szCs w:val="20"/>
          <w:lang w:val="es-AR" w:eastAsia="es-ES"/>
        </w:rPr>
      </w:pPr>
    </w:p>
    <w:p w14:paraId="461C5772" w14:textId="77777777" w:rsidR="00E2117F" w:rsidRPr="00A277A7" w:rsidRDefault="00E2117F" w:rsidP="00473250">
      <w:pPr>
        <w:pStyle w:val="Prrafodelista"/>
        <w:numPr>
          <w:ilvl w:val="0"/>
          <w:numId w:val="26"/>
        </w:numPr>
        <w:spacing w:before="120" w:after="120"/>
        <w:ind w:right="-427"/>
        <w:jc w:val="both"/>
        <w:rPr>
          <w:b/>
          <w:sz w:val="20"/>
          <w:szCs w:val="20"/>
        </w:rPr>
      </w:pPr>
      <w:r w:rsidRPr="00A277A7">
        <w:rPr>
          <w:b/>
          <w:sz w:val="20"/>
          <w:szCs w:val="20"/>
        </w:rPr>
        <w:t>Operaciones de pase</w:t>
      </w:r>
    </w:p>
    <w:p w14:paraId="5723DB8C" w14:textId="31D4C296" w:rsidR="00D272CA" w:rsidRPr="00DD19B5" w:rsidRDefault="00D272CA" w:rsidP="00473250">
      <w:pPr>
        <w:pStyle w:val="Prrafodelista"/>
        <w:spacing w:before="120" w:after="120"/>
        <w:ind w:left="709" w:right="141"/>
        <w:jc w:val="both"/>
        <w:rPr>
          <w:sz w:val="20"/>
          <w:szCs w:val="20"/>
          <w:lang w:val="es-AR" w:eastAsia="es-ES"/>
        </w:rPr>
      </w:pPr>
      <w:r w:rsidRPr="00DD19B5">
        <w:rPr>
          <w:sz w:val="20"/>
          <w:szCs w:val="20"/>
          <w:lang w:val="es-AR" w:eastAsia="es-ES"/>
        </w:rPr>
        <w:t>La composición del rubro es la siguiente:</w:t>
      </w:r>
    </w:p>
    <w:p w14:paraId="0C2154E4" w14:textId="36FFC4D9" w:rsidR="00C90D1E" w:rsidRDefault="00E03AE5" w:rsidP="00C44B9A">
      <w:pPr>
        <w:spacing w:before="120" w:after="120"/>
        <w:ind w:left="709"/>
        <w:rPr>
          <w:rFonts w:ascii="Times New Roman" w:hAnsi="Times New Roman"/>
          <w:sz w:val="20"/>
          <w:u w:val="single"/>
        </w:rPr>
      </w:pPr>
      <w:r w:rsidRPr="00DD19B5">
        <w:rPr>
          <w:rFonts w:ascii="Times New Roman" w:hAnsi="Times New Roman"/>
          <w:sz w:val="20"/>
          <w:u w:val="single"/>
        </w:rPr>
        <w:t>Operaciones de pase activo</w:t>
      </w:r>
    </w:p>
    <w:p w14:paraId="2C3EF4C0" w14:textId="77777777" w:rsidR="00BF6980" w:rsidRPr="00DD19B5" w:rsidRDefault="00BF6980" w:rsidP="00C44B9A">
      <w:pPr>
        <w:spacing w:before="120" w:after="120"/>
        <w:ind w:left="709"/>
        <w:rPr>
          <w:sz w:val="20"/>
          <w:u w:val="single"/>
        </w:rPr>
      </w:pPr>
    </w:p>
    <w:p w14:paraId="3A24A5D8" w14:textId="4090E27E" w:rsidR="00A355D3" w:rsidRDefault="00355E14" w:rsidP="00D6634A">
      <w:pPr>
        <w:pStyle w:val="Prrafodelista"/>
        <w:ind w:left="709"/>
        <w:jc w:val="both"/>
        <w:rPr>
          <w:sz w:val="20"/>
          <w:szCs w:val="20"/>
          <w:u w:val="single"/>
          <w:lang w:val="es-AR"/>
        </w:rPr>
      </w:pPr>
      <w:r w:rsidRPr="00BF6980">
        <w:rPr>
          <w:noProof/>
          <w:lang w:val="es-AR" w:eastAsia="es-AR"/>
        </w:rPr>
        <w:drawing>
          <wp:inline distT="0" distB="0" distL="0" distR="0" wp14:anchorId="6056C806" wp14:editId="603A0F62">
            <wp:extent cx="6062980" cy="713292"/>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62980" cy="713292"/>
                    </a:xfrm>
                    <a:prstGeom prst="rect">
                      <a:avLst/>
                    </a:prstGeom>
                    <a:noFill/>
                    <a:ln>
                      <a:noFill/>
                    </a:ln>
                  </pic:spPr>
                </pic:pic>
              </a:graphicData>
            </a:graphic>
          </wp:inline>
        </w:drawing>
      </w:r>
    </w:p>
    <w:p w14:paraId="42C81C79" w14:textId="77777777" w:rsidR="00EC3A4A" w:rsidRPr="00DD19B5" w:rsidRDefault="00EC3A4A" w:rsidP="00D6634A">
      <w:pPr>
        <w:pStyle w:val="Prrafodelista"/>
        <w:ind w:left="709"/>
        <w:jc w:val="both"/>
        <w:rPr>
          <w:sz w:val="20"/>
          <w:szCs w:val="20"/>
          <w:u w:val="single"/>
          <w:lang w:val="es-AR"/>
        </w:rPr>
      </w:pPr>
    </w:p>
    <w:p w14:paraId="227E840B" w14:textId="77777777" w:rsidR="00E2117F" w:rsidRPr="00A277A7" w:rsidRDefault="00E2117F" w:rsidP="009F1A99">
      <w:pPr>
        <w:pStyle w:val="Prrafodelista"/>
        <w:numPr>
          <w:ilvl w:val="0"/>
          <w:numId w:val="26"/>
        </w:numPr>
        <w:ind w:right="-427"/>
        <w:jc w:val="both"/>
        <w:rPr>
          <w:b/>
          <w:sz w:val="20"/>
          <w:szCs w:val="20"/>
          <w:lang w:val="es-AR"/>
        </w:rPr>
      </w:pPr>
      <w:r w:rsidRPr="00A277A7">
        <w:rPr>
          <w:b/>
          <w:sz w:val="20"/>
          <w:szCs w:val="20"/>
        </w:rPr>
        <w:t>Otros activos financieros</w:t>
      </w:r>
    </w:p>
    <w:p w14:paraId="6A9C61DA" w14:textId="77777777" w:rsidR="00E2117F" w:rsidRPr="00DD19B5" w:rsidRDefault="00E2117F" w:rsidP="00E2117F">
      <w:pPr>
        <w:ind w:right="-427"/>
        <w:jc w:val="both"/>
        <w:rPr>
          <w:rFonts w:ascii="Times New Roman" w:hAnsi="Times New Roman"/>
          <w:b/>
          <w:sz w:val="20"/>
        </w:rPr>
      </w:pPr>
      <w:r w:rsidRPr="00DD19B5">
        <w:rPr>
          <w:rFonts w:ascii="Times New Roman" w:hAnsi="Times New Roman"/>
          <w:b/>
          <w:sz w:val="20"/>
        </w:rPr>
        <w:t xml:space="preserve"> </w:t>
      </w:r>
    </w:p>
    <w:p w14:paraId="24268C79" w14:textId="3540128E" w:rsidR="00D06421" w:rsidRDefault="00F733A2" w:rsidP="00F733A2">
      <w:pPr>
        <w:ind w:left="607" w:right="-427"/>
        <w:jc w:val="both"/>
        <w:rPr>
          <w:rFonts w:ascii="Times New Roman" w:hAnsi="Times New Roman"/>
          <w:sz w:val="20"/>
        </w:rPr>
      </w:pPr>
      <w:r w:rsidRPr="00DD19B5">
        <w:rPr>
          <w:rFonts w:ascii="Times New Roman" w:hAnsi="Times New Roman"/>
          <w:sz w:val="20"/>
        </w:rPr>
        <w:t>La composición de otros activos financieros es la siguiente:</w:t>
      </w:r>
    </w:p>
    <w:p w14:paraId="6DAED85B" w14:textId="77777777" w:rsidR="00355E14" w:rsidRDefault="00355E14" w:rsidP="00F733A2">
      <w:pPr>
        <w:ind w:left="607" w:right="-427"/>
        <w:jc w:val="both"/>
        <w:rPr>
          <w:rFonts w:ascii="Times New Roman" w:hAnsi="Times New Roman"/>
          <w:sz w:val="20"/>
        </w:rPr>
      </w:pPr>
    </w:p>
    <w:p w14:paraId="0D2F7A2C" w14:textId="3B4EDC57" w:rsidR="00C44B9A" w:rsidRDefault="00BF6980" w:rsidP="00F733A2">
      <w:pPr>
        <w:ind w:left="607" w:right="-427"/>
        <w:jc w:val="both"/>
        <w:rPr>
          <w:rFonts w:ascii="Times New Roman" w:hAnsi="Times New Roman"/>
          <w:sz w:val="20"/>
        </w:rPr>
      </w:pPr>
      <w:r w:rsidRPr="00BF6980">
        <w:rPr>
          <w:noProof/>
          <w:lang w:eastAsia="es-AR"/>
        </w:rPr>
        <w:drawing>
          <wp:inline distT="0" distB="0" distL="0" distR="0" wp14:anchorId="40D5211B" wp14:editId="2E6D110C">
            <wp:extent cx="6062980" cy="1980402"/>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62980" cy="1980402"/>
                    </a:xfrm>
                    <a:prstGeom prst="rect">
                      <a:avLst/>
                    </a:prstGeom>
                    <a:noFill/>
                    <a:ln>
                      <a:noFill/>
                    </a:ln>
                  </pic:spPr>
                </pic:pic>
              </a:graphicData>
            </a:graphic>
          </wp:inline>
        </w:drawing>
      </w:r>
    </w:p>
    <w:p w14:paraId="7614AD4C" w14:textId="4981CD58" w:rsidR="00FB24DA" w:rsidRDefault="00FB24DA" w:rsidP="00F733A2">
      <w:pPr>
        <w:ind w:left="607" w:right="-427"/>
        <w:jc w:val="both"/>
        <w:rPr>
          <w:rFonts w:ascii="Times New Roman" w:hAnsi="Times New Roman"/>
          <w:sz w:val="20"/>
        </w:rPr>
      </w:pPr>
    </w:p>
    <w:p w14:paraId="65AD2A68" w14:textId="77777777" w:rsidR="00064C00" w:rsidRDefault="00064C00" w:rsidP="00F733A2">
      <w:pPr>
        <w:ind w:left="607" w:right="-427"/>
        <w:jc w:val="both"/>
        <w:rPr>
          <w:rFonts w:ascii="Times New Roman" w:hAnsi="Times New Roman"/>
          <w:sz w:val="20"/>
        </w:rPr>
      </w:pPr>
    </w:p>
    <w:p w14:paraId="3083CC8B" w14:textId="77777777" w:rsidR="00E2117F" w:rsidRPr="00B26043" w:rsidRDefault="00E2117F" w:rsidP="00473250">
      <w:pPr>
        <w:pStyle w:val="Prrafodelista"/>
        <w:numPr>
          <w:ilvl w:val="0"/>
          <w:numId w:val="26"/>
        </w:numPr>
        <w:spacing w:after="120"/>
        <w:ind w:left="697" w:right="-425" w:hanging="357"/>
        <w:jc w:val="both"/>
        <w:rPr>
          <w:b/>
          <w:sz w:val="20"/>
          <w:szCs w:val="20"/>
        </w:rPr>
      </w:pPr>
      <w:r w:rsidRPr="00B26043">
        <w:rPr>
          <w:b/>
          <w:sz w:val="20"/>
          <w:szCs w:val="20"/>
        </w:rPr>
        <w:t>Préstamos y otras financiaciones</w:t>
      </w:r>
    </w:p>
    <w:p w14:paraId="0E38A2D1" w14:textId="6EFB791D" w:rsidR="00E2117F" w:rsidRDefault="00E2117F" w:rsidP="00DC0D69">
      <w:pPr>
        <w:pStyle w:val="Prrafodelista"/>
        <w:ind w:left="709" w:right="141"/>
        <w:jc w:val="both"/>
        <w:rPr>
          <w:sz w:val="20"/>
          <w:szCs w:val="20"/>
          <w:lang w:val="es-AR" w:eastAsia="es-ES"/>
        </w:rPr>
      </w:pPr>
      <w:r w:rsidRPr="00A37509">
        <w:rPr>
          <w:sz w:val="20"/>
          <w:szCs w:val="20"/>
          <w:lang w:val="es-AR" w:eastAsia="es-ES"/>
        </w:rPr>
        <w:t>El Banco mantiene los préstamos y otras financiaciones bajo un modelo de negocios cuyo objetivo es cobrar</w:t>
      </w:r>
      <w:r w:rsidRPr="00110E8B">
        <w:rPr>
          <w:sz w:val="20"/>
          <w:szCs w:val="20"/>
          <w:lang w:val="es-AR" w:eastAsia="es-ES"/>
        </w:rPr>
        <w:t xml:space="preserve"> los flujos de fondos contractuales. En consecuencia, mide los préstamos y otras financiaciones a su costo amortizado. A continuación se expone la composición de su saldo:</w:t>
      </w:r>
    </w:p>
    <w:p w14:paraId="48B926A2" w14:textId="77777777" w:rsidR="00961C9F" w:rsidRDefault="00961C9F" w:rsidP="00DC0D69">
      <w:pPr>
        <w:pStyle w:val="Prrafodelista"/>
        <w:ind w:left="709" w:right="141"/>
        <w:jc w:val="both"/>
        <w:rPr>
          <w:sz w:val="20"/>
          <w:szCs w:val="20"/>
          <w:lang w:val="es-AR" w:eastAsia="es-ES"/>
        </w:rPr>
      </w:pPr>
    </w:p>
    <w:p w14:paraId="32AC47E8" w14:textId="75930AA1" w:rsidR="00A37509" w:rsidRPr="00110E8B" w:rsidRDefault="003B108A" w:rsidP="00DC0D69">
      <w:pPr>
        <w:pStyle w:val="Prrafodelista"/>
        <w:ind w:left="709" w:right="141"/>
        <w:jc w:val="both"/>
        <w:rPr>
          <w:sz w:val="20"/>
          <w:szCs w:val="20"/>
          <w:lang w:val="es-AR" w:eastAsia="es-ES"/>
        </w:rPr>
      </w:pPr>
      <w:r w:rsidRPr="003B108A">
        <w:rPr>
          <w:noProof/>
          <w:lang w:val="es-AR" w:eastAsia="es-AR"/>
        </w:rPr>
        <w:drawing>
          <wp:inline distT="0" distB="0" distL="0" distR="0" wp14:anchorId="16A796BE" wp14:editId="2933C929">
            <wp:extent cx="6120765" cy="32751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0765" cy="3275150"/>
                    </a:xfrm>
                    <a:prstGeom prst="rect">
                      <a:avLst/>
                    </a:prstGeom>
                    <a:noFill/>
                    <a:ln>
                      <a:noFill/>
                    </a:ln>
                  </pic:spPr>
                </pic:pic>
              </a:graphicData>
            </a:graphic>
          </wp:inline>
        </w:drawing>
      </w:r>
    </w:p>
    <w:p w14:paraId="04C2085D" w14:textId="67AF0A1A" w:rsidR="00CE3EB4" w:rsidRDefault="00CE3EB4" w:rsidP="00513EF9">
      <w:pPr>
        <w:pStyle w:val="Prrafodelista"/>
        <w:ind w:left="567" w:right="141"/>
        <w:jc w:val="both"/>
        <w:rPr>
          <w:sz w:val="20"/>
          <w:szCs w:val="20"/>
          <w:lang w:val="es-AR" w:eastAsia="es-ES"/>
        </w:rPr>
      </w:pPr>
    </w:p>
    <w:p w14:paraId="145D6BBB" w14:textId="77777777" w:rsidR="00A93D15" w:rsidRDefault="00A93D15" w:rsidP="00DD19B5">
      <w:pPr>
        <w:pStyle w:val="Prrafodelista"/>
        <w:spacing w:before="120" w:after="120"/>
        <w:ind w:left="567" w:right="-427"/>
        <w:jc w:val="both"/>
        <w:rPr>
          <w:b/>
          <w:sz w:val="20"/>
          <w:szCs w:val="20"/>
          <w:u w:val="single"/>
          <w:lang w:val="es-AR"/>
        </w:rPr>
      </w:pPr>
    </w:p>
    <w:p w14:paraId="58A238E1" w14:textId="1F9A43D9" w:rsidR="006256B1" w:rsidRPr="00110E8B" w:rsidRDefault="006256B1" w:rsidP="00DD19B5">
      <w:pPr>
        <w:pStyle w:val="Prrafodelista"/>
        <w:spacing w:before="120" w:after="120"/>
        <w:ind w:left="567" w:right="-427"/>
        <w:jc w:val="both"/>
        <w:rPr>
          <w:b/>
          <w:sz w:val="20"/>
          <w:szCs w:val="20"/>
          <w:u w:val="single"/>
          <w:lang w:val="es-AR"/>
        </w:rPr>
      </w:pPr>
      <w:r w:rsidRPr="00DD19B5">
        <w:rPr>
          <w:b/>
          <w:sz w:val="20"/>
          <w:szCs w:val="20"/>
          <w:u w:val="single"/>
          <w:lang w:val="es-AR"/>
        </w:rPr>
        <w:t>Arrendamientos financieros</w:t>
      </w:r>
    </w:p>
    <w:p w14:paraId="589FF97F" w14:textId="722A69C8" w:rsidR="006256B1" w:rsidRPr="00110E8B" w:rsidRDefault="006256B1" w:rsidP="00DD19B5">
      <w:pPr>
        <w:pStyle w:val="Prrafodelista"/>
        <w:spacing w:before="120" w:after="120"/>
        <w:ind w:left="567" w:right="50"/>
        <w:jc w:val="both"/>
        <w:rPr>
          <w:sz w:val="20"/>
          <w:szCs w:val="20"/>
          <w:lang w:val="es-AR" w:eastAsia="es-ES"/>
        </w:rPr>
      </w:pPr>
      <w:r w:rsidRPr="00110E8B">
        <w:rPr>
          <w:sz w:val="20"/>
          <w:szCs w:val="20"/>
          <w:lang w:val="es-AR" w:eastAsia="es-ES"/>
        </w:rPr>
        <w:t xml:space="preserve">El </w:t>
      </w:r>
      <w:r w:rsidR="003D5B45" w:rsidRPr="00110E8B">
        <w:rPr>
          <w:sz w:val="20"/>
          <w:szCs w:val="20"/>
          <w:lang w:val="es-AR" w:eastAsia="es-ES"/>
        </w:rPr>
        <w:t xml:space="preserve">Banco </w:t>
      </w:r>
      <w:r w:rsidRPr="00110E8B">
        <w:rPr>
          <w:sz w:val="20"/>
          <w:szCs w:val="20"/>
          <w:lang w:val="es-AR" w:eastAsia="es-ES"/>
        </w:rPr>
        <w:t>celebró contratos de arrendamientos financieros relacionados con rodados y máquinas y equipos.</w:t>
      </w:r>
    </w:p>
    <w:p w14:paraId="226FA9ED" w14:textId="66783DF7" w:rsidR="00F81547" w:rsidRDefault="006256B1" w:rsidP="00DD19B5">
      <w:pPr>
        <w:pStyle w:val="Prrafodelista"/>
        <w:spacing w:before="120" w:after="120"/>
        <w:ind w:left="567" w:right="50"/>
        <w:jc w:val="both"/>
        <w:rPr>
          <w:sz w:val="20"/>
          <w:szCs w:val="20"/>
          <w:lang w:val="es-AR" w:eastAsia="es-ES"/>
        </w:rPr>
      </w:pPr>
      <w:r w:rsidRPr="00110E8B">
        <w:rPr>
          <w:sz w:val="20"/>
          <w:szCs w:val="20"/>
          <w:lang w:val="es-AR" w:eastAsia="es-ES"/>
        </w:rPr>
        <w:t>La siguiente tabla muestra la inversión bruta total de los arrendamientos (leasing) financieros y el valor actual de los pagos mínimos a recibir por los mismos:</w:t>
      </w:r>
    </w:p>
    <w:p w14:paraId="179DAEA5" w14:textId="77777777" w:rsidR="00A37509" w:rsidRDefault="00A37509" w:rsidP="00DD19B5">
      <w:pPr>
        <w:pStyle w:val="Prrafodelista"/>
        <w:spacing w:before="120" w:after="120"/>
        <w:ind w:left="567" w:right="50"/>
        <w:jc w:val="both"/>
        <w:rPr>
          <w:sz w:val="20"/>
          <w:szCs w:val="20"/>
          <w:lang w:val="es-AR" w:eastAsia="es-ES"/>
        </w:rPr>
      </w:pPr>
    </w:p>
    <w:p w14:paraId="7A573C65" w14:textId="66B42D19" w:rsidR="00001253" w:rsidRPr="00110E8B" w:rsidRDefault="00BF36D1" w:rsidP="001A040F">
      <w:pPr>
        <w:pStyle w:val="Prrafodelista"/>
        <w:spacing w:before="120" w:after="120"/>
        <w:ind w:left="1821" w:right="50"/>
        <w:jc w:val="both"/>
        <w:rPr>
          <w:sz w:val="20"/>
          <w:szCs w:val="20"/>
          <w:lang w:val="es-AR" w:eastAsia="es-ES"/>
        </w:rPr>
      </w:pPr>
      <w:r w:rsidRPr="001A040F">
        <w:rPr>
          <w:noProof/>
          <w:lang w:val="es-AR" w:eastAsia="es-AR"/>
        </w:rPr>
        <w:lastRenderedPageBreak/>
        <w:drawing>
          <wp:inline distT="0" distB="0" distL="0" distR="0" wp14:anchorId="680B895F" wp14:editId="42B8EE87">
            <wp:extent cx="4568746" cy="23774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01275" cy="2394367"/>
                    </a:xfrm>
                    <a:prstGeom prst="rect">
                      <a:avLst/>
                    </a:prstGeom>
                    <a:noFill/>
                    <a:ln>
                      <a:noFill/>
                    </a:ln>
                  </pic:spPr>
                </pic:pic>
              </a:graphicData>
            </a:graphic>
          </wp:inline>
        </w:drawing>
      </w:r>
    </w:p>
    <w:p w14:paraId="5256F73D" w14:textId="2EE11346" w:rsidR="00077694" w:rsidRDefault="003D5B45" w:rsidP="001A040F">
      <w:pPr>
        <w:spacing w:before="240" w:after="120" w:line="240" w:lineRule="exact"/>
        <w:ind w:left="567"/>
        <w:jc w:val="both"/>
        <w:rPr>
          <w:rFonts w:ascii="Times New Roman" w:hAnsi="Times New Roman"/>
          <w:color w:val="000000"/>
          <w:sz w:val="20"/>
        </w:rPr>
      </w:pPr>
      <w:r w:rsidRPr="00110E8B">
        <w:rPr>
          <w:rFonts w:ascii="Times New Roman" w:hAnsi="Times New Roman"/>
          <w:color w:val="000000"/>
          <w:sz w:val="20"/>
        </w:rPr>
        <w:t>L</w:t>
      </w:r>
      <w:r w:rsidR="00E775B7" w:rsidRPr="00110E8B">
        <w:rPr>
          <w:rFonts w:ascii="Times New Roman" w:hAnsi="Times New Roman"/>
          <w:color w:val="000000"/>
          <w:sz w:val="20"/>
        </w:rPr>
        <w:t xml:space="preserve">a </w:t>
      </w:r>
      <w:r w:rsidR="00D87000" w:rsidRPr="00110E8B">
        <w:rPr>
          <w:rFonts w:ascii="Times New Roman" w:hAnsi="Times New Roman"/>
          <w:color w:val="000000"/>
          <w:sz w:val="20"/>
        </w:rPr>
        <w:t>de</w:t>
      </w:r>
      <w:r w:rsidR="005822D1" w:rsidRPr="00110E8B">
        <w:rPr>
          <w:rFonts w:ascii="Times New Roman" w:hAnsi="Times New Roman"/>
          <w:color w:val="000000"/>
          <w:sz w:val="20"/>
        </w:rPr>
        <w:t>sa</w:t>
      </w:r>
      <w:r w:rsidR="00E775B7" w:rsidRPr="00110E8B">
        <w:rPr>
          <w:rFonts w:ascii="Times New Roman" w:hAnsi="Times New Roman"/>
          <w:color w:val="000000"/>
          <w:sz w:val="20"/>
        </w:rPr>
        <w:t>gregación de préstamos y otras financiaciones por situación de calidad crediticia de acuerdo con las normas aplicables del B.C.R.A. se detalla en el Anexo B, mientras que l</w:t>
      </w:r>
      <w:r w:rsidR="00E2117F" w:rsidRPr="00110E8B">
        <w:rPr>
          <w:rFonts w:ascii="Times New Roman" w:hAnsi="Times New Roman"/>
          <w:color w:val="000000"/>
          <w:sz w:val="20"/>
        </w:rPr>
        <w:t xml:space="preserve">a información sobre concentración de préstamos y otras financiaciones se presenta en </w:t>
      </w:r>
      <w:r w:rsidR="00E775B7" w:rsidRPr="00110E8B">
        <w:rPr>
          <w:rFonts w:ascii="Times New Roman" w:hAnsi="Times New Roman"/>
          <w:color w:val="000000"/>
          <w:sz w:val="20"/>
        </w:rPr>
        <w:t xml:space="preserve">el </w:t>
      </w:r>
      <w:r w:rsidR="00E2117F" w:rsidRPr="00110E8B">
        <w:rPr>
          <w:rFonts w:ascii="Times New Roman" w:hAnsi="Times New Roman"/>
          <w:color w:val="000000"/>
          <w:sz w:val="20"/>
        </w:rPr>
        <w:t>Anexo</w:t>
      </w:r>
      <w:r w:rsidR="00E775B7" w:rsidRPr="00110E8B">
        <w:rPr>
          <w:rFonts w:ascii="Times New Roman" w:hAnsi="Times New Roman"/>
          <w:color w:val="000000"/>
          <w:sz w:val="20"/>
        </w:rPr>
        <w:t xml:space="preserve"> </w:t>
      </w:r>
      <w:r w:rsidR="00E2117F" w:rsidRPr="00110E8B">
        <w:rPr>
          <w:rFonts w:ascii="Times New Roman" w:hAnsi="Times New Roman"/>
          <w:color w:val="000000"/>
          <w:sz w:val="20"/>
        </w:rPr>
        <w:t>C</w:t>
      </w:r>
      <w:r w:rsidR="00E775B7" w:rsidRPr="00110E8B">
        <w:rPr>
          <w:rFonts w:ascii="Times New Roman" w:hAnsi="Times New Roman"/>
          <w:color w:val="000000"/>
          <w:sz w:val="20"/>
        </w:rPr>
        <w:t xml:space="preserve"> a los presentes estados financieros</w:t>
      </w:r>
      <w:r w:rsidR="00491652">
        <w:rPr>
          <w:rFonts w:ascii="Times New Roman" w:hAnsi="Times New Roman"/>
          <w:color w:val="000000"/>
          <w:sz w:val="20"/>
        </w:rPr>
        <w:t xml:space="preserve"> intermedios</w:t>
      </w:r>
      <w:r w:rsidR="00E775B7" w:rsidRPr="00110E8B">
        <w:rPr>
          <w:rFonts w:ascii="Times New Roman" w:hAnsi="Times New Roman"/>
          <w:color w:val="000000"/>
          <w:sz w:val="20"/>
        </w:rPr>
        <w:t xml:space="preserve"> separados</w:t>
      </w:r>
      <w:r w:rsidR="00491652">
        <w:rPr>
          <w:rFonts w:ascii="Times New Roman" w:hAnsi="Times New Roman"/>
          <w:color w:val="000000"/>
          <w:sz w:val="20"/>
        </w:rPr>
        <w:t xml:space="preserve"> condensados</w:t>
      </w:r>
      <w:r w:rsidR="00E2117F" w:rsidRPr="00110E8B">
        <w:rPr>
          <w:rFonts w:ascii="Times New Roman" w:hAnsi="Times New Roman"/>
          <w:color w:val="000000"/>
          <w:sz w:val="20"/>
        </w:rPr>
        <w:t>. La conciliación de la información incluida en dicho</w:t>
      </w:r>
      <w:r w:rsidR="00E775B7" w:rsidRPr="00110E8B">
        <w:rPr>
          <w:rFonts w:ascii="Times New Roman" w:hAnsi="Times New Roman"/>
          <w:color w:val="000000"/>
          <w:sz w:val="20"/>
        </w:rPr>
        <w:t>s</w:t>
      </w:r>
      <w:r w:rsidR="00E2117F" w:rsidRPr="00110E8B">
        <w:rPr>
          <w:rFonts w:ascii="Times New Roman" w:hAnsi="Times New Roman"/>
          <w:color w:val="000000"/>
          <w:sz w:val="20"/>
        </w:rPr>
        <w:t xml:space="preserve"> Anexo</w:t>
      </w:r>
      <w:r w:rsidR="00E775B7" w:rsidRPr="00110E8B">
        <w:rPr>
          <w:rFonts w:ascii="Times New Roman" w:hAnsi="Times New Roman"/>
          <w:color w:val="000000"/>
          <w:sz w:val="20"/>
        </w:rPr>
        <w:t>s</w:t>
      </w:r>
      <w:r w:rsidR="00E2117F" w:rsidRPr="00110E8B">
        <w:rPr>
          <w:rFonts w:ascii="Times New Roman" w:hAnsi="Times New Roman"/>
          <w:color w:val="000000"/>
          <w:sz w:val="20"/>
        </w:rPr>
        <w:t xml:space="preserve"> con los saldos contables se muestra a continuación.</w:t>
      </w:r>
    </w:p>
    <w:p w14:paraId="78262CE5" w14:textId="6939C5E6" w:rsidR="00B1315D" w:rsidRDefault="003B108A" w:rsidP="0003356B">
      <w:pPr>
        <w:ind w:left="567" w:right="-1"/>
        <w:jc w:val="both"/>
        <w:rPr>
          <w:rFonts w:ascii="Times New Roman" w:hAnsi="Times New Roman"/>
          <w:sz w:val="20"/>
        </w:rPr>
      </w:pPr>
      <w:r w:rsidRPr="003B108A">
        <w:rPr>
          <w:noProof/>
          <w:lang w:eastAsia="es-AR"/>
        </w:rPr>
        <w:drawing>
          <wp:inline distT="0" distB="0" distL="0" distR="0" wp14:anchorId="374535EC" wp14:editId="4BA39991">
            <wp:extent cx="6120765" cy="2373468"/>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0765" cy="2373468"/>
                    </a:xfrm>
                    <a:prstGeom prst="rect">
                      <a:avLst/>
                    </a:prstGeom>
                    <a:noFill/>
                    <a:ln>
                      <a:noFill/>
                    </a:ln>
                  </pic:spPr>
                </pic:pic>
              </a:graphicData>
            </a:graphic>
          </wp:inline>
        </w:drawing>
      </w:r>
    </w:p>
    <w:p w14:paraId="0A73822E" w14:textId="77777777" w:rsidR="00FD73C5" w:rsidRDefault="00FD73C5" w:rsidP="0003356B">
      <w:pPr>
        <w:ind w:left="567" w:right="-1"/>
        <w:jc w:val="both"/>
        <w:rPr>
          <w:rFonts w:ascii="Times New Roman" w:hAnsi="Times New Roman"/>
          <w:sz w:val="20"/>
        </w:rPr>
      </w:pPr>
    </w:p>
    <w:p w14:paraId="5AED1C8F" w14:textId="7C948E31" w:rsidR="00001253" w:rsidRDefault="00FD73C5" w:rsidP="0003356B">
      <w:pPr>
        <w:ind w:left="567" w:right="-1"/>
        <w:jc w:val="both"/>
        <w:rPr>
          <w:rFonts w:ascii="Times New Roman" w:hAnsi="Times New Roman"/>
          <w:sz w:val="20"/>
        </w:rPr>
      </w:pPr>
      <w:r w:rsidRPr="00FD73C5">
        <w:rPr>
          <w:rFonts w:ascii="Times New Roman" w:hAnsi="Times New Roman"/>
          <w:sz w:val="20"/>
        </w:rPr>
        <w:t>La información sobre el riesgo crediticio de préstamos y otras financiaciones y previsiones medidas de acuerdo al modelo de pérdidas crediticias esperadas se presenta en nota 47.2 a los estados financieros intermedios consolidados condensados.</w:t>
      </w:r>
    </w:p>
    <w:p w14:paraId="734695B2" w14:textId="77777777" w:rsidR="00FD73C5" w:rsidRPr="00110E8B" w:rsidRDefault="00FD73C5" w:rsidP="0003356B">
      <w:pPr>
        <w:ind w:left="567" w:right="-1"/>
        <w:jc w:val="both"/>
        <w:rPr>
          <w:rFonts w:ascii="Times New Roman" w:hAnsi="Times New Roman"/>
          <w:sz w:val="20"/>
        </w:rPr>
      </w:pPr>
    </w:p>
    <w:p w14:paraId="730F4704" w14:textId="7A20E9AB" w:rsidR="00473327" w:rsidRDefault="00473327" w:rsidP="0060229B">
      <w:pPr>
        <w:spacing w:before="120"/>
        <w:ind w:left="567"/>
        <w:jc w:val="both"/>
        <w:rPr>
          <w:rFonts w:ascii="Times New Roman" w:hAnsi="Times New Roman"/>
          <w:sz w:val="20"/>
        </w:rPr>
      </w:pPr>
      <w:r w:rsidRPr="00110E8B">
        <w:rPr>
          <w:rFonts w:ascii="Times New Roman" w:hAnsi="Times New Roman"/>
          <w:sz w:val="20"/>
        </w:rPr>
        <w:lastRenderedPageBreak/>
        <w:t>Al 3</w:t>
      </w:r>
      <w:r w:rsidR="00E35B6A">
        <w:rPr>
          <w:rFonts w:ascii="Times New Roman" w:hAnsi="Times New Roman"/>
          <w:sz w:val="20"/>
        </w:rPr>
        <w:t>0</w:t>
      </w:r>
      <w:r w:rsidR="0081437D" w:rsidRPr="00110E8B">
        <w:rPr>
          <w:rFonts w:ascii="Times New Roman" w:hAnsi="Times New Roman"/>
          <w:sz w:val="20"/>
        </w:rPr>
        <w:t xml:space="preserve"> </w:t>
      </w:r>
      <w:r w:rsidRPr="00110E8B">
        <w:rPr>
          <w:rFonts w:ascii="Times New Roman" w:hAnsi="Times New Roman"/>
          <w:sz w:val="20"/>
        </w:rPr>
        <w:t xml:space="preserve">de </w:t>
      </w:r>
      <w:r w:rsidR="00815454">
        <w:rPr>
          <w:rFonts w:ascii="Times New Roman" w:hAnsi="Times New Roman"/>
          <w:sz w:val="20"/>
        </w:rPr>
        <w:t>septiembre</w:t>
      </w:r>
      <w:r w:rsidR="000B1924">
        <w:rPr>
          <w:rFonts w:ascii="Times New Roman" w:hAnsi="Times New Roman"/>
          <w:sz w:val="20"/>
        </w:rPr>
        <w:t xml:space="preserve"> </w:t>
      </w:r>
      <w:r w:rsidRPr="00110E8B">
        <w:rPr>
          <w:rFonts w:ascii="Times New Roman" w:hAnsi="Times New Roman"/>
          <w:sz w:val="20"/>
        </w:rPr>
        <w:t>de 20</w:t>
      </w:r>
      <w:r w:rsidR="00677B8D" w:rsidRPr="00110E8B">
        <w:rPr>
          <w:rFonts w:ascii="Times New Roman" w:hAnsi="Times New Roman"/>
          <w:sz w:val="20"/>
        </w:rPr>
        <w:t>2</w:t>
      </w:r>
      <w:r w:rsidR="003F7CF3">
        <w:rPr>
          <w:rFonts w:ascii="Times New Roman" w:hAnsi="Times New Roman"/>
          <w:sz w:val="20"/>
        </w:rPr>
        <w:t>1 y al 31 de diciembre</w:t>
      </w:r>
      <w:r w:rsidR="00713010">
        <w:rPr>
          <w:rFonts w:ascii="Times New Roman" w:hAnsi="Times New Roman"/>
          <w:sz w:val="20"/>
        </w:rPr>
        <w:t xml:space="preserve"> 20</w:t>
      </w:r>
      <w:r w:rsidR="003F7CF3">
        <w:rPr>
          <w:rFonts w:ascii="Times New Roman" w:hAnsi="Times New Roman"/>
          <w:sz w:val="20"/>
        </w:rPr>
        <w:t>20</w:t>
      </w:r>
      <w:r w:rsidR="004C054D" w:rsidRPr="00110E8B">
        <w:rPr>
          <w:rFonts w:ascii="Times New Roman" w:hAnsi="Times New Roman"/>
          <w:sz w:val="20"/>
        </w:rPr>
        <w:t>,</w:t>
      </w:r>
      <w:r w:rsidRPr="00110E8B">
        <w:rPr>
          <w:rFonts w:ascii="Times New Roman" w:hAnsi="Times New Roman"/>
          <w:sz w:val="20"/>
        </w:rPr>
        <w:t xml:space="preserve"> el Banco </w:t>
      </w:r>
      <w:r w:rsidR="00FD73C5">
        <w:rPr>
          <w:rFonts w:ascii="Times New Roman" w:hAnsi="Times New Roman"/>
          <w:sz w:val="20"/>
        </w:rPr>
        <w:t xml:space="preserve">mantiene </w:t>
      </w:r>
      <w:r w:rsidR="00F6169E">
        <w:rPr>
          <w:rFonts w:ascii="Times New Roman" w:hAnsi="Times New Roman"/>
          <w:sz w:val="20"/>
        </w:rPr>
        <w:t>los compromisos de préstamos registrados</w:t>
      </w:r>
      <w:r w:rsidRPr="00110E8B">
        <w:rPr>
          <w:rFonts w:ascii="Times New Roman" w:hAnsi="Times New Roman"/>
          <w:sz w:val="20"/>
        </w:rPr>
        <w:t xml:space="preserve"> en partidas fuera de balance de acuerdo con el marco de información contable del B.C.R.A.: </w:t>
      </w:r>
    </w:p>
    <w:p w14:paraId="5D2081C1" w14:textId="77777777" w:rsidR="00374D1F" w:rsidRDefault="00374D1F" w:rsidP="0060229B">
      <w:pPr>
        <w:spacing w:before="120"/>
        <w:ind w:left="567"/>
        <w:jc w:val="both"/>
        <w:rPr>
          <w:rFonts w:ascii="Times New Roman" w:hAnsi="Times New Roman"/>
          <w:sz w:val="20"/>
        </w:rPr>
      </w:pPr>
    </w:p>
    <w:p w14:paraId="1741BF71" w14:textId="2C31A46C" w:rsidR="00A37509" w:rsidRDefault="00C908B9" w:rsidP="0060229B">
      <w:pPr>
        <w:spacing w:before="120"/>
        <w:ind w:left="567"/>
        <w:jc w:val="both"/>
        <w:rPr>
          <w:rFonts w:ascii="Times New Roman" w:hAnsi="Times New Roman"/>
          <w:sz w:val="20"/>
        </w:rPr>
      </w:pPr>
      <w:r w:rsidRPr="00C908B9">
        <w:rPr>
          <w:noProof/>
          <w:lang w:eastAsia="es-AR"/>
        </w:rPr>
        <w:drawing>
          <wp:inline distT="0" distB="0" distL="0" distR="0" wp14:anchorId="5F3804BD" wp14:editId="5E47386D">
            <wp:extent cx="6120765" cy="10672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0765" cy="1067228"/>
                    </a:xfrm>
                    <a:prstGeom prst="rect">
                      <a:avLst/>
                    </a:prstGeom>
                    <a:noFill/>
                    <a:ln>
                      <a:noFill/>
                    </a:ln>
                  </pic:spPr>
                </pic:pic>
              </a:graphicData>
            </a:graphic>
          </wp:inline>
        </w:drawing>
      </w:r>
    </w:p>
    <w:p w14:paraId="0E5AB75B" w14:textId="4A71E2BB" w:rsidR="00473327" w:rsidRPr="00110E8B" w:rsidRDefault="00473327" w:rsidP="0060229B">
      <w:pPr>
        <w:spacing w:after="120"/>
        <w:ind w:left="567"/>
        <w:jc w:val="both"/>
        <w:rPr>
          <w:rFonts w:ascii="Times New Roman" w:hAnsi="Times New Roman"/>
          <w:sz w:val="20"/>
        </w:rPr>
      </w:pPr>
      <w:r w:rsidRPr="00110E8B">
        <w:rPr>
          <w:rFonts w:ascii="Times New Roman" w:hAnsi="Times New Roman"/>
          <w:sz w:val="20"/>
        </w:rPr>
        <w:t xml:space="preserve">Los riesgos relacionados con </w:t>
      </w:r>
      <w:r w:rsidR="00F6169E">
        <w:rPr>
          <w:rFonts w:ascii="Times New Roman" w:hAnsi="Times New Roman"/>
          <w:sz w:val="20"/>
        </w:rPr>
        <w:t>los compromisos de préstamos</w:t>
      </w:r>
      <w:r w:rsidR="00F6169E" w:rsidRPr="00110E8B">
        <w:rPr>
          <w:rFonts w:ascii="Times New Roman" w:hAnsi="Times New Roman"/>
          <w:sz w:val="20"/>
        </w:rPr>
        <w:t xml:space="preserve"> </w:t>
      </w:r>
      <w:r w:rsidRPr="00110E8B">
        <w:rPr>
          <w:rFonts w:ascii="Times New Roman" w:hAnsi="Times New Roman"/>
          <w:sz w:val="20"/>
        </w:rPr>
        <w:t>mencionad</w:t>
      </w:r>
      <w:r w:rsidR="00F6169E">
        <w:rPr>
          <w:rFonts w:ascii="Times New Roman" w:hAnsi="Times New Roman"/>
          <w:sz w:val="20"/>
        </w:rPr>
        <w:t>o</w:t>
      </w:r>
      <w:r w:rsidRPr="00110E8B">
        <w:rPr>
          <w:rFonts w:ascii="Times New Roman" w:hAnsi="Times New Roman"/>
          <w:sz w:val="20"/>
        </w:rPr>
        <w:t xml:space="preserve">s precedentemente se encuentran evaluados y controlados en el marco de la política de riesgos de crédito del </w:t>
      </w:r>
      <w:r w:rsidR="00616AB3" w:rsidRPr="00110E8B">
        <w:rPr>
          <w:rFonts w:ascii="Times New Roman" w:hAnsi="Times New Roman"/>
          <w:sz w:val="20"/>
        </w:rPr>
        <w:t>Banco.</w:t>
      </w:r>
    </w:p>
    <w:p w14:paraId="1846D7F1" w14:textId="77777777" w:rsidR="00C908B9" w:rsidRDefault="00C908B9" w:rsidP="0060229B">
      <w:pPr>
        <w:spacing w:after="120"/>
        <w:ind w:left="567"/>
        <w:jc w:val="both"/>
        <w:rPr>
          <w:rFonts w:ascii="Times New Roman" w:hAnsi="Times New Roman"/>
          <w:sz w:val="20"/>
        </w:rPr>
      </w:pPr>
    </w:p>
    <w:p w14:paraId="12BB0675" w14:textId="5235D7FF" w:rsidR="00E2117F" w:rsidRPr="00015FEF" w:rsidRDefault="00E2117F" w:rsidP="009F1A99">
      <w:pPr>
        <w:pStyle w:val="Prrafodelista"/>
        <w:numPr>
          <w:ilvl w:val="0"/>
          <w:numId w:val="26"/>
        </w:numPr>
        <w:ind w:right="-427"/>
        <w:jc w:val="both"/>
        <w:rPr>
          <w:b/>
          <w:sz w:val="20"/>
          <w:szCs w:val="20"/>
          <w:lang w:val="es-AR" w:eastAsia="es-ES"/>
        </w:rPr>
      </w:pPr>
      <w:r w:rsidRPr="00015FEF">
        <w:rPr>
          <w:b/>
          <w:sz w:val="20"/>
          <w:szCs w:val="20"/>
        </w:rPr>
        <w:t>Otros</w:t>
      </w:r>
      <w:r w:rsidR="00CC638C" w:rsidRPr="00015FEF">
        <w:rPr>
          <w:b/>
          <w:sz w:val="20"/>
          <w:szCs w:val="20"/>
          <w:lang w:val="es-AR" w:eastAsia="es-ES"/>
        </w:rPr>
        <w:t xml:space="preserve"> t</w:t>
      </w:r>
      <w:r w:rsidRPr="00015FEF">
        <w:rPr>
          <w:b/>
          <w:sz w:val="20"/>
          <w:szCs w:val="20"/>
          <w:lang w:val="es-AR" w:eastAsia="es-ES"/>
        </w:rPr>
        <w:t>ítulos de deuda</w:t>
      </w:r>
    </w:p>
    <w:p w14:paraId="365A9B28" w14:textId="05EA7E68" w:rsidR="00E2117F" w:rsidRPr="00015FEF" w:rsidRDefault="00E2117F" w:rsidP="00E2117F">
      <w:pPr>
        <w:ind w:left="756" w:right="-427"/>
        <w:jc w:val="both"/>
        <w:rPr>
          <w:rFonts w:ascii="Times New Roman" w:hAnsi="Times New Roman"/>
          <w:b/>
          <w:sz w:val="20"/>
        </w:rPr>
      </w:pPr>
    </w:p>
    <w:p w14:paraId="4CFF1310" w14:textId="3D64B452" w:rsidR="00E2117F" w:rsidRPr="00015FEF" w:rsidRDefault="00E2117F" w:rsidP="009F1A99">
      <w:pPr>
        <w:pStyle w:val="Prrafodelista"/>
        <w:numPr>
          <w:ilvl w:val="0"/>
          <w:numId w:val="28"/>
        </w:numPr>
        <w:ind w:left="851" w:right="141" w:hanging="218"/>
        <w:jc w:val="both"/>
        <w:rPr>
          <w:b/>
          <w:sz w:val="20"/>
          <w:szCs w:val="20"/>
          <w:lang w:val="es-AR" w:eastAsia="es-ES"/>
        </w:rPr>
      </w:pPr>
      <w:r w:rsidRPr="00015FEF">
        <w:rPr>
          <w:b/>
          <w:sz w:val="20"/>
          <w:szCs w:val="20"/>
          <w:lang w:val="es-AR" w:eastAsia="es-ES"/>
        </w:rPr>
        <w:t>Activos financieros medidos a costo amortizado</w:t>
      </w:r>
    </w:p>
    <w:p w14:paraId="0AF0CC15" w14:textId="77777777" w:rsidR="00A93D15" w:rsidRPr="00015FEF" w:rsidRDefault="00A93D15" w:rsidP="00961C9F">
      <w:pPr>
        <w:pStyle w:val="Prrafodelista"/>
        <w:ind w:left="851" w:right="141"/>
        <w:jc w:val="both"/>
        <w:rPr>
          <w:b/>
          <w:sz w:val="20"/>
          <w:szCs w:val="20"/>
          <w:lang w:val="es-AR" w:eastAsia="es-ES"/>
        </w:rPr>
      </w:pPr>
    </w:p>
    <w:p w14:paraId="55E340E1" w14:textId="2BDCDC43" w:rsidR="00B37611" w:rsidRPr="00015FEF" w:rsidRDefault="00BF6980" w:rsidP="00B37611">
      <w:pPr>
        <w:pStyle w:val="Prrafodelista"/>
        <w:ind w:left="851" w:right="141"/>
        <w:jc w:val="both"/>
        <w:rPr>
          <w:b/>
          <w:sz w:val="20"/>
          <w:szCs w:val="20"/>
          <w:lang w:val="es-AR" w:eastAsia="es-ES"/>
        </w:rPr>
      </w:pPr>
      <w:r w:rsidRPr="00BF6980">
        <w:rPr>
          <w:noProof/>
          <w:lang w:val="es-AR" w:eastAsia="es-AR"/>
        </w:rPr>
        <w:drawing>
          <wp:inline distT="0" distB="0" distL="0" distR="0" wp14:anchorId="41042CF5" wp14:editId="6D4C84E3">
            <wp:extent cx="6062980" cy="1324473"/>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62980" cy="1324473"/>
                    </a:xfrm>
                    <a:prstGeom prst="rect">
                      <a:avLst/>
                    </a:prstGeom>
                    <a:noFill/>
                    <a:ln>
                      <a:noFill/>
                    </a:ln>
                  </pic:spPr>
                </pic:pic>
              </a:graphicData>
            </a:graphic>
          </wp:inline>
        </w:drawing>
      </w:r>
    </w:p>
    <w:p w14:paraId="57666D5A" w14:textId="77777777" w:rsidR="00A93D15" w:rsidRPr="00015FEF" w:rsidRDefault="00A93D15" w:rsidP="00741E3F">
      <w:pPr>
        <w:ind w:left="633" w:right="140"/>
        <w:jc w:val="both"/>
        <w:rPr>
          <w:rFonts w:ascii="Times New Roman" w:hAnsi="Times New Roman"/>
          <w:sz w:val="20"/>
        </w:rPr>
      </w:pPr>
    </w:p>
    <w:p w14:paraId="30FEE605" w14:textId="35A209D1" w:rsidR="00064C00" w:rsidRPr="00064C00" w:rsidRDefault="002E0C0C" w:rsidP="00064C00">
      <w:pPr>
        <w:pStyle w:val="Prrafodelista"/>
        <w:numPr>
          <w:ilvl w:val="0"/>
          <w:numId w:val="28"/>
        </w:numPr>
        <w:spacing w:after="240"/>
        <w:ind w:left="851" w:right="141" w:hanging="218"/>
        <w:jc w:val="both"/>
        <w:rPr>
          <w:b/>
          <w:sz w:val="20"/>
          <w:szCs w:val="20"/>
          <w:lang w:val="es-AR" w:eastAsia="es-ES"/>
        </w:rPr>
      </w:pPr>
      <w:r w:rsidRPr="00015FEF">
        <w:rPr>
          <w:b/>
          <w:sz w:val="20"/>
          <w:szCs w:val="20"/>
          <w:lang w:val="es-AR" w:eastAsia="es-ES"/>
        </w:rPr>
        <w:t>Activos financieros medidos a valor razonable con cambios en otros resultados integrales</w:t>
      </w:r>
    </w:p>
    <w:p w14:paraId="4342C7DE" w14:textId="0C665A0A" w:rsidR="001D65D2" w:rsidRDefault="00BF6980" w:rsidP="00516052">
      <w:pPr>
        <w:pStyle w:val="Prrafodelista"/>
        <w:ind w:left="851" w:right="141"/>
        <w:jc w:val="both"/>
        <w:rPr>
          <w:b/>
          <w:sz w:val="20"/>
          <w:szCs w:val="20"/>
          <w:lang w:val="es-AR" w:eastAsia="es-ES"/>
        </w:rPr>
      </w:pPr>
      <w:r w:rsidRPr="00BF6980">
        <w:rPr>
          <w:noProof/>
          <w:lang w:val="es-AR" w:eastAsia="es-AR"/>
        </w:rPr>
        <w:drawing>
          <wp:inline distT="0" distB="0" distL="0" distR="0" wp14:anchorId="54A00ABA" wp14:editId="2B92E9C2">
            <wp:extent cx="6061846" cy="1555115"/>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66909" cy="1556414"/>
                    </a:xfrm>
                    <a:prstGeom prst="rect">
                      <a:avLst/>
                    </a:prstGeom>
                    <a:noFill/>
                    <a:ln>
                      <a:noFill/>
                    </a:ln>
                  </pic:spPr>
                </pic:pic>
              </a:graphicData>
            </a:graphic>
          </wp:inline>
        </w:drawing>
      </w:r>
    </w:p>
    <w:p w14:paraId="53B44932" w14:textId="18997609" w:rsidR="001B69E4" w:rsidRDefault="004721BF" w:rsidP="00F07536">
      <w:pPr>
        <w:pStyle w:val="Prrafodelista"/>
        <w:numPr>
          <w:ilvl w:val="0"/>
          <w:numId w:val="50"/>
        </w:numPr>
        <w:ind w:left="1134"/>
        <w:rPr>
          <w:sz w:val="20"/>
          <w:vertAlign w:val="superscript"/>
          <w:lang w:val="es-AR"/>
        </w:rPr>
      </w:pPr>
      <w:r w:rsidRPr="004721BF">
        <w:rPr>
          <w:sz w:val="20"/>
          <w:vertAlign w:val="superscript"/>
          <w:lang w:val="es-AR"/>
        </w:rPr>
        <w:t xml:space="preserve"> </w:t>
      </w:r>
      <w:r w:rsidR="00713010" w:rsidRPr="004721BF">
        <w:rPr>
          <w:sz w:val="20"/>
          <w:vertAlign w:val="superscript"/>
          <w:lang w:val="es-AR"/>
        </w:rPr>
        <w:t>Expuesto en este rubro de acuerdo con el plan de cuentas establecido por el B.C.R.A.</w:t>
      </w:r>
    </w:p>
    <w:p w14:paraId="245F738B" w14:textId="77777777" w:rsidR="00064C00" w:rsidRDefault="00064C00" w:rsidP="00FC48AC">
      <w:pPr>
        <w:pStyle w:val="Prrafodelista"/>
        <w:ind w:left="1134"/>
        <w:rPr>
          <w:sz w:val="20"/>
          <w:vertAlign w:val="superscript"/>
          <w:lang w:val="es-AR"/>
        </w:rPr>
      </w:pPr>
    </w:p>
    <w:p w14:paraId="69561CF9" w14:textId="77777777" w:rsidR="008056A4" w:rsidRDefault="008056A4" w:rsidP="00FC48AC">
      <w:pPr>
        <w:pStyle w:val="Prrafodelista"/>
        <w:ind w:left="1134"/>
        <w:rPr>
          <w:sz w:val="20"/>
          <w:vertAlign w:val="superscript"/>
          <w:lang w:val="es-AR"/>
        </w:rPr>
      </w:pPr>
    </w:p>
    <w:p w14:paraId="27A2794A" w14:textId="77777777" w:rsidR="008056A4" w:rsidRDefault="008056A4" w:rsidP="00FC48AC">
      <w:pPr>
        <w:pStyle w:val="Prrafodelista"/>
        <w:ind w:left="1134"/>
        <w:rPr>
          <w:sz w:val="20"/>
          <w:vertAlign w:val="superscript"/>
          <w:lang w:val="es-AR"/>
        </w:rPr>
      </w:pPr>
    </w:p>
    <w:p w14:paraId="1F13D6E3" w14:textId="77777777" w:rsidR="008056A4" w:rsidRDefault="008056A4" w:rsidP="00FC48AC">
      <w:pPr>
        <w:pStyle w:val="Prrafodelista"/>
        <w:ind w:left="1134"/>
        <w:rPr>
          <w:sz w:val="20"/>
          <w:vertAlign w:val="superscript"/>
          <w:lang w:val="es-AR"/>
        </w:rPr>
      </w:pPr>
    </w:p>
    <w:p w14:paraId="0961A108" w14:textId="77777777" w:rsidR="00E2117F" w:rsidRPr="00D9070E" w:rsidRDefault="00E2117F" w:rsidP="0060229B">
      <w:pPr>
        <w:pStyle w:val="Prrafodelista"/>
        <w:numPr>
          <w:ilvl w:val="0"/>
          <w:numId w:val="26"/>
        </w:numPr>
        <w:spacing w:before="120" w:after="120"/>
        <w:ind w:left="697" w:right="-425" w:hanging="357"/>
        <w:jc w:val="both"/>
        <w:rPr>
          <w:b/>
          <w:sz w:val="20"/>
          <w:szCs w:val="20"/>
          <w:lang w:val="es-AR"/>
        </w:rPr>
      </w:pPr>
      <w:r w:rsidRPr="00D9070E">
        <w:rPr>
          <w:b/>
          <w:sz w:val="20"/>
          <w:szCs w:val="20"/>
          <w:lang w:val="es-AR"/>
        </w:rPr>
        <w:t>Activos financieros entregados en garantía</w:t>
      </w:r>
    </w:p>
    <w:p w14:paraId="0F85BBA4" w14:textId="381F911C" w:rsidR="00E2117F" w:rsidRDefault="002F281A" w:rsidP="004344BD">
      <w:pPr>
        <w:ind w:left="697" w:right="140"/>
        <w:jc w:val="both"/>
        <w:rPr>
          <w:rFonts w:ascii="Times New Roman" w:hAnsi="Times New Roman"/>
          <w:sz w:val="20"/>
        </w:rPr>
      </w:pPr>
      <w:r w:rsidRPr="00D9070E">
        <w:rPr>
          <w:rFonts w:ascii="Times New Roman" w:hAnsi="Times New Roman"/>
          <w:sz w:val="20"/>
        </w:rPr>
        <w:t xml:space="preserve">Al </w:t>
      </w:r>
      <w:r w:rsidR="00A61EFA" w:rsidRPr="00D9070E">
        <w:rPr>
          <w:rFonts w:ascii="Times New Roman" w:hAnsi="Times New Roman"/>
          <w:sz w:val="20"/>
        </w:rPr>
        <w:t>3</w:t>
      </w:r>
      <w:r w:rsidR="00E35B6A" w:rsidRPr="00D9070E">
        <w:rPr>
          <w:rFonts w:ascii="Times New Roman" w:hAnsi="Times New Roman"/>
          <w:sz w:val="20"/>
        </w:rPr>
        <w:t>0</w:t>
      </w:r>
      <w:r w:rsidR="00F200C4" w:rsidRPr="00D9070E">
        <w:rPr>
          <w:rFonts w:ascii="Times New Roman" w:hAnsi="Times New Roman"/>
          <w:sz w:val="20"/>
        </w:rPr>
        <w:t xml:space="preserve"> de </w:t>
      </w:r>
      <w:r w:rsidR="00815454" w:rsidRPr="00D9070E">
        <w:rPr>
          <w:rFonts w:ascii="Times New Roman" w:hAnsi="Times New Roman"/>
          <w:sz w:val="20"/>
        </w:rPr>
        <w:t>septiembre</w:t>
      </w:r>
      <w:r w:rsidR="00FE7DF9" w:rsidRPr="00D9070E">
        <w:rPr>
          <w:rFonts w:ascii="Times New Roman" w:hAnsi="Times New Roman"/>
          <w:sz w:val="20"/>
        </w:rPr>
        <w:t xml:space="preserve"> </w:t>
      </w:r>
      <w:r w:rsidR="00F200C4" w:rsidRPr="00D9070E">
        <w:rPr>
          <w:rFonts w:ascii="Times New Roman" w:hAnsi="Times New Roman"/>
          <w:sz w:val="20"/>
        </w:rPr>
        <w:t>de 20</w:t>
      </w:r>
      <w:r w:rsidR="00677B8D" w:rsidRPr="00D9070E">
        <w:rPr>
          <w:rFonts w:ascii="Times New Roman" w:hAnsi="Times New Roman"/>
          <w:sz w:val="20"/>
        </w:rPr>
        <w:t>2</w:t>
      </w:r>
      <w:r w:rsidR="003F7CF3" w:rsidRPr="00D9070E">
        <w:rPr>
          <w:rFonts w:ascii="Times New Roman" w:hAnsi="Times New Roman"/>
          <w:sz w:val="20"/>
        </w:rPr>
        <w:t>1 y al 31 de diciembre</w:t>
      </w:r>
      <w:r w:rsidR="000256EA" w:rsidRPr="00D9070E">
        <w:rPr>
          <w:rFonts w:ascii="Times New Roman" w:hAnsi="Times New Roman"/>
          <w:sz w:val="20"/>
        </w:rPr>
        <w:t xml:space="preserve"> 20</w:t>
      </w:r>
      <w:r w:rsidR="003F7CF3" w:rsidRPr="00D9070E">
        <w:rPr>
          <w:rFonts w:ascii="Times New Roman" w:hAnsi="Times New Roman"/>
          <w:sz w:val="20"/>
        </w:rPr>
        <w:t>20</w:t>
      </w:r>
      <w:r w:rsidR="00E2117F" w:rsidRPr="00D9070E">
        <w:rPr>
          <w:rFonts w:ascii="Times New Roman" w:hAnsi="Times New Roman"/>
          <w:sz w:val="20"/>
        </w:rPr>
        <w:t>, la Entidad entregó como garantía los activos financieros que se detallan a continuación:</w:t>
      </w:r>
    </w:p>
    <w:p w14:paraId="5727957C" w14:textId="77777777" w:rsidR="008056A4" w:rsidRPr="00D9070E" w:rsidRDefault="008056A4" w:rsidP="004344BD">
      <w:pPr>
        <w:ind w:left="697" w:right="140"/>
        <w:jc w:val="both"/>
        <w:rPr>
          <w:rFonts w:ascii="Times New Roman" w:hAnsi="Times New Roman"/>
          <w:sz w:val="20"/>
        </w:rPr>
      </w:pPr>
    </w:p>
    <w:p w14:paraId="7829BDB2" w14:textId="77777777" w:rsidR="00E56BBC" w:rsidRPr="00D9070E" w:rsidRDefault="00E56BBC" w:rsidP="004344BD">
      <w:pPr>
        <w:ind w:left="697" w:right="140"/>
        <w:jc w:val="both"/>
        <w:rPr>
          <w:rFonts w:ascii="Times New Roman" w:hAnsi="Times New Roman"/>
          <w:sz w:val="20"/>
        </w:rPr>
      </w:pPr>
    </w:p>
    <w:p w14:paraId="187C2DAA" w14:textId="342E5270" w:rsidR="00E2117F" w:rsidRPr="00D9070E" w:rsidRDefault="001C18B9" w:rsidP="00E56BBC">
      <w:pPr>
        <w:ind w:left="709"/>
        <w:jc w:val="both"/>
        <w:rPr>
          <w:rFonts w:ascii="Times New Roman" w:hAnsi="Times New Roman"/>
          <w:noProof/>
          <w:sz w:val="20"/>
          <w:lang w:eastAsia="es-AR"/>
        </w:rPr>
      </w:pPr>
      <w:r w:rsidRPr="00D9070E">
        <w:rPr>
          <w:noProof/>
          <w:lang w:eastAsia="es-AR"/>
        </w:rPr>
        <w:drawing>
          <wp:inline distT="0" distB="0" distL="0" distR="0" wp14:anchorId="5681666D" wp14:editId="3E1E8387">
            <wp:extent cx="6062980" cy="1397246"/>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62980" cy="1397246"/>
                    </a:xfrm>
                    <a:prstGeom prst="rect">
                      <a:avLst/>
                    </a:prstGeom>
                    <a:noFill/>
                    <a:ln>
                      <a:noFill/>
                    </a:ln>
                  </pic:spPr>
                </pic:pic>
              </a:graphicData>
            </a:graphic>
          </wp:inline>
        </w:drawing>
      </w:r>
    </w:p>
    <w:p w14:paraId="53B02E90" w14:textId="14D359EC" w:rsidR="002E0C0C" w:rsidRPr="00D9070E" w:rsidRDefault="002E0C0C" w:rsidP="002E0C0C">
      <w:pPr>
        <w:ind w:left="567" w:right="-517"/>
        <w:jc w:val="both"/>
        <w:rPr>
          <w:rFonts w:ascii="Times New Roman" w:hAnsi="Times New Roman"/>
          <w:noProof/>
          <w:sz w:val="20"/>
          <w:lang w:eastAsia="es-AR"/>
        </w:rPr>
      </w:pPr>
    </w:p>
    <w:p w14:paraId="6EF0A2BE" w14:textId="77777777" w:rsidR="00E2117F" w:rsidRPr="00D9070E" w:rsidRDefault="00E2117F" w:rsidP="002E0C0C">
      <w:pPr>
        <w:pStyle w:val="Prrafodelista"/>
        <w:numPr>
          <w:ilvl w:val="0"/>
          <w:numId w:val="29"/>
        </w:numPr>
        <w:ind w:right="-567"/>
        <w:jc w:val="both"/>
        <w:rPr>
          <w:sz w:val="16"/>
          <w:szCs w:val="20"/>
          <w:lang w:val="es-AR" w:eastAsia="es-ES"/>
        </w:rPr>
      </w:pPr>
      <w:r w:rsidRPr="00D9070E">
        <w:rPr>
          <w:sz w:val="16"/>
          <w:szCs w:val="20"/>
          <w:lang w:val="es-AR" w:eastAsia="es-ES"/>
        </w:rPr>
        <w:t>Cuentas corrientes especiales de garantía abiertas en el B.C.R.A. por las operaciones vinculadas con las cámaras electrónicas de compensación y otras asimilables.</w:t>
      </w:r>
    </w:p>
    <w:p w14:paraId="277542FE" w14:textId="73360622" w:rsidR="00987190" w:rsidRPr="00D9070E" w:rsidRDefault="00987190" w:rsidP="00987190">
      <w:pPr>
        <w:pStyle w:val="Prrafodelista"/>
        <w:numPr>
          <w:ilvl w:val="0"/>
          <w:numId w:val="29"/>
        </w:numPr>
        <w:ind w:right="-567"/>
        <w:jc w:val="both"/>
        <w:rPr>
          <w:sz w:val="16"/>
          <w:szCs w:val="20"/>
          <w:lang w:val="es-AR" w:eastAsia="es-ES"/>
        </w:rPr>
      </w:pPr>
      <w:r w:rsidRPr="00D9070E">
        <w:rPr>
          <w:sz w:val="16"/>
          <w:szCs w:val="20"/>
          <w:lang w:val="es-AR" w:eastAsia="es-ES"/>
        </w:rPr>
        <w:t>Constituidas como garantí</w:t>
      </w:r>
      <w:r w:rsidR="00D9070E" w:rsidRPr="00D9070E">
        <w:rPr>
          <w:sz w:val="16"/>
          <w:szCs w:val="20"/>
          <w:lang w:val="es-AR" w:eastAsia="es-ES"/>
        </w:rPr>
        <w:t>a para operar con Rosario Futuro</w:t>
      </w:r>
      <w:r w:rsidRPr="00D9070E">
        <w:rPr>
          <w:sz w:val="16"/>
          <w:szCs w:val="20"/>
          <w:lang w:val="es-AR" w:eastAsia="es-ES"/>
        </w:rPr>
        <w:t>s Exchange (ROFEX), Bolsas y Mercados Argentinos S</w:t>
      </w:r>
      <w:r w:rsidR="000B52F6">
        <w:rPr>
          <w:sz w:val="16"/>
          <w:szCs w:val="20"/>
          <w:lang w:val="es-AR" w:eastAsia="es-ES"/>
        </w:rPr>
        <w:t>.</w:t>
      </w:r>
      <w:r w:rsidRPr="00D9070E">
        <w:rPr>
          <w:sz w:val="16"/>
          <w:szCs w:val="20"/>
          <w:lang w:val="es-AR" w:eastAsia="es-ES"/>
        </w:rPr>
        <w:t>A</w:t>
      </w:r>
      <w:r w:rsidR="000B52F6">
        <w:rPr>
          <w:sz w:val="16"/>
          <w:szCs w:val="20"/>
          <w:lang w:val="es-AR" w:eastAsia="es-ES"/>
        </w:rPr>
        <w:t>.</w:t>
      </w:r>
      <w:r w:rsidRPr="00D9070E">
        <w:rPr>
          <w:sz w:val="16"/>
          <w:szCs w:val="20"/>
          <w:lang w:val="es-AR" w:eastAsia="es-ES"/>
        </w:rPr>
        <w:t xml:space="preserve"> (BYMA) y Mercado Abierto Electrónico S.A (MAE) en operaciones compensadas a término y futuros de moneda extranjera. El fideicomiso está compuesto por títulos públicos.</w:t>
      </w:r>
    </w:p>
    <w:p w14:paraId="7DADC46B" w14:textId="2C953E21" w:rsidR="00E2117F" w:rsidRPr="00D9070E" w:rsidRDefault="00E2117F" w:rsidP="00C7762C">
      <w:pPr>
        <w:pStyle w:val="Prrafodelista"/>
        <w:numPr>
          <w:ilvl w:val="0"/>
          <w:numId w:val="29"/>
        </w:numPr>
        <w:ind w:right="-567"/>
        <w:jc w:val="both"/>
        <w:rPr>
          <w:sz w:val="16"/>
          <w:szCs w:val="20"/>
          <w:lang w:val="es-AR" w:eastAsia="es-ES"/>
        </w:rPr>
      </w:pPr>
      <w:r w:rsidRPr="00D9070E">
        <w:rPr>
          <w:sz w:val="16"/>
          <w:szCs w:val="20"/>
          <w:lang w:val="es-AR" w:eastAsia="es-ES"/>
        </w:rPr>
        <w:t>Depósitos afectados en garantía por actividades vinculadas con la operatoria de tarjetas de créd</w:t>
      </w:r>
      <w:r w:rsidR="003D49B3" w:rsidRPr="00D9070E">
        <w:rPr>
          <w:sz w:val="16"/>
          <w:szCs w:val="20"/>
          <w:lang w:val="es-AR" w:eastAsia="es-ES"/>
        </w:rPr>
        <w:t>ito en el país y en el ext</w:t>
      </w:r>
      <w:r w:rsidR="001B792E" w:rsidRPr="00D9070E">
        <w:rPr>
          <w:sz w:val="16"/>
          <w:szCs w:val="20"/>
          <w:lang w:val="es-AR" w:eastAsia="es-ES"/>
        </w:rPr>
        <w:t>erior, con alquileres</w:t>
      </w:r>
      <w:r w:rsidR="003D49B3" w:rsidRPr="00D9070E">
        <w:rPr>
          <w:sz w:val="16"/>
          <w:szCs w:val="20"/>
          <w:lang w:val="es-AR" w:eastAsia="es-ES"/>
        </w:rPr>
        <w:t xml:space="preserve"> y con operaciones de futuros.</w:t>
      </w:r>
    </w:p>
    <w:p w14:paraId="337A62BE" w14:textId="5C38EAAE" w:rsidR="003D1BCE" w:rsidRPr="00D9070E" w:rsidRDefault="003D1BCE" w:rsidP="003D1BCE">
      <w:pPr>
        <w:pStyle w:val="Prrafodelista"/>
        <w:numPr>
          <w:ilvl w:val="0"/>
          <w:numId w:val="29"/>
        </w:numPr>
        <w:ind w:right="-517"/>
        <w:jc w:val="both"/>
        <w:rPr>
          <w:sz w:val="16"/>
          <w:szCs w:val="20"/>
          <w:lang w:val="es-AR" w:eastAsia="es-ES"/>
        </w:rPr>
      </w:pPr>
      <w:r w:rsidRPr="00D9070E">
        <w:rPr>
          <w:sz w:val="16"/>
          <w:szCs w:val="20"/>
          <w:lang w:val="es-AR" w:eastAsia="es-ES"/>
        </w:rPr>
        <w:t>El fideicomiso está conformado por dólares en efectivo en garantía por actividades vinculadas con la operatoria en el MAE y BYMA.</w:t>
      </w:r>
    </w:p>
    <w:p w14:paraId="36527543" w14:textId="77777777" w:rsidR="001A08E5" w:rsidRDefault="001A08E5" w:rsidP="00A14878">
      <w:pPr>
        <w:tabs>
          <w:tab w:val="left" w:pos="1890"/>
        </w:tabs>
        <w:ind w:right="-517"/>
        <w:jc w:val="both"/>
        <w:rPr>
          <w:rFonts w:ascii="Times New Roman" w:hAnsi="Times New Roman"/>
          <w:sz w:val="20"/>
        </w:rPr>
      </w:pPr>
    </w:p>
    <w:p w14:paraId="5EFA8F91" w14:textId="77777777" w:rsidR="00A93D15" w:rsidRDefault="00A93D15" w:rsidP="00A14878">
      <w:pPr>
        <w:tabs>
          <w:tab w:val="left" w:pos="1890"/>
        </w:tabs>
        <w:ind w:right="-517"/>
        <w:jc w:val="both"/>
        <w:rPr>
          <w:rFonts w:ascii="Times New Roman" w:hAnsi="Times New Roman"/>
          <w:sz w:val="20"/>
        </w:rPr>
      </w:pPr>
    </w:p>
    <w:p w14:paraId="7CE05317" w14:textId="77777777" w:rsidR="00064C00" w:rsidRDefault="00064C00" w:rsidP="00A14878">
      <w:pPr>
        <w:tabs>
          <w:tab w:val="left" w:pos="1890"/>
        </w:tabs>
        <w:ind w:right="-517"/>
        <w:jc w:val="both"/>
        <w:rPr>
          <w:rFonts w:ascii="Times New Roman" w:hAnsi="Times New Roman"/>
          <w:sz w:val="20"/>
        </w:rPr>
      </w:pPr>
    </w:p>
    <w:p w14:paraId="7D8245B9" w14:textId="77777777" w:rsidR="00A93D15" w:rsidRPr="00110E8B" w:rsidRDefault="00A93D15" w:rsidP="00A14878">
      <w:pPr>
        <w:tabs>
          <w:tab w:val="left" w:pos="1890"/>
        </w:tabs>
        <w:ind w:right="-517"/>
        <w:jc w:val="both"/>
        <w:rPr>
          <w:rFonts w:ascii="Times New Roman" w:hAnsi="Times New Roman"/>
          <w:sz w:val="20"/>
        </w:rPr>
      </w:pPr>
    </w:p>
    <w:p w14:paraId="247D9DEE" w14:textId="158B3312" w:rsidR="00E2117F" w:rsidRPr="008056A4" w:rsidRDefault="00677FEC" w:rsidP="0060229B">
      <w:pPr>
        <w:pStyle w:val="Prrafodelista"/>
        <w:numPr>
          <w:ilvl w:val="0"/>
          <w:numId w:val="26"/>
        </w:numPr>
        <w:spacing w:after="120"/>
        <w:ind w:left="697" w:right="-425" w:hanging="357"/>
        <w:jc w:val="both"/>
        <w:rPr>
          <w:b/>
          <w:sz w:val="20"/>
          <w:szCs w:val="20"/>
          <w:lang w:val="es-AR"/>
        </w:rPr>
      </w:pPr>
      <w:r w:rsidRPr="008056A4">
        <w:rPr>
          <w:b/>
          <w:sz w:val="20"/>
          <w:szCs w:val="20"/>
          <w:lang w:val="es-AR"/>
        </w:rPr>
        <w:t>Impuesto</w:t>
      </w:r>
      <w:r w:rsidR="00E72561" w:rsidRPr="008056A4">
        <w:rPr>
          <w:b/>
          <w:sz w:val="20"/>
          <w:szCs w:val="20"/>
          <w:lang w:val="es-AR"/>
        </w:rPr>
        <w:t xml:space="preserve"> </w:t>
      </w:r>
      <w:r w:rsidR="00821A1B" w:rsidRPr="008056A4">
        <w:rPr>
          <w:b/>
          <w:sz w:val="20"/>
          <w:szCs w:val="20"/>
          <w:lang w:val="es-AR"/>
        </w:rPr>
        <w:t>a las ganancias</w:t>
      </w:r>
    </w:p>
    <w:p w14:paraId="0ABBE5B1" w14:textId="77777777" w:rsidR="00B710C2" w:rsidRPr="008056A4" w:rsidRDefault="00B710C2" w:rsidP="00B710C2">
      <w:pPr>
        <w:pStyle w:val="Prrafodelista"/>
        <w:spacing w:before="120" w:after="120" w:line="240" w:lineRule="exact"/>
        <w:ind w:left="709"/>
        <w:contextualSpacing/>
        <w:jc w:val="both"/>
        <w:rPr>
          <w:b/>
          <w:color w:val="000000"/>
          <w:sz w:val="20"/>
          <w:szCs w:val="20"/>
          <w:lang w:val="es-AR"/>
        </w:rPr>
      </w:pPr>
    </w:p>
    <w:p w14:paraId="0625D062" w14:textId="17B37B31" w:rsidR="00B710C2" w:rsidRPr="008056A4" w:rsidRDefault="00B710C2" w:rsidP="00B710C2">
      <w:pPr>
        <w:pStyle w:val="Prrafodelista"/>
        <w:spacing w:before="120" w:after="120" w:line="240" w:lineRule="exact"/>
        <w:ind w:left="709"/>
        <w:contextualSpacing/>
        <w:jc w:val="both"/>
        <w:rPr>
          <w:b/>
          <w:color w:val="000000"/>
          <w:sz w:val="20"/>
          <w:szCs w:val="20"/>
          <w:lang w:val="es-AR"/>
        </w:rPr>
      </w:pPr>
      <w:r w:rsidRPr="008056A4">
        <w:rPr>
          <w:b/>
          <w:color w:val="000000"/>
          <w:sz w:val="20"/>
          <w:szCs w:val="20"/>
          <w:lang w:val="es-AR"/>
        </w:rPr>
        <w:t>a)   Activo por impuesto a las ganancias corriente</w:t>
      </w:r>
    </w:p>
    <w:p w14:paraId="73B800A3" w14:textId="77777777" w:rsidR="00B710C2" w:rsidRPr="008056A4" w:rsidRDefault="00B710C2" w:rsidP="00B710C2">
      <w:pPr>
        <w:spacing w:after="120" w:line="260" w:lineRule="exact"/>
        <w:ind w:left="709"/>
        <w:rPr>
          <w:rFonts w:ascii="Times New Roman" w:hAnsi="Times New Roman"/>
          <w:color w:val="000000"/>
          <w:sz w:val="20"/>
        </w:rPr>
      </w:pPr>
      <w:r w:rsidRPr="008056A4">
        <w:rPr>
          <w:rFonts w:ascii="Times New Roman" w:hAnsi="Times New Roman"/>
          <w:color w:val="000000"/>
          <w:sz w:val="20"/>
        </w:rPr>
        <w:t>La composición del rubro es la siguiente:</w:t>
      </w:r>
      <w:r w:rsidRPr="008056A4">
        <w:rPr>
          <w:rFonts w:ascii="Times New Roman" w:hAnsi="Times New Roman"/>
          <w:color w:val="000000"/>
          <w:sz w:val="20"/>
        </w:rPr>
        <w:tab/>
      </w:r>
    </w:p>
    <w:p w14:paraId="74FD6087" w14:textId="147ED8A5" w:rsidR="00B710C2" w:rsidRPr="00D22760" w:rsidRDefault="00DA4686" w:rsidP="005B3156">
      <w:pPr>
        <w:tabs>
          <w:tab w:val="left" w:pos="5520"/>
        </w:tabs>
        <w:ind w:left="720" w:right="425" w:hanging="11"/>
        <w:jc w:val="both"/>
        <w:rPr>
          <w:rFonts w:ascii="Times New Roman" w:hAnsi="Times New Roman"/>
          <w:color w:val="000000"/>
          <w:sz w:val="20"/>
        </w:rPr>
      </w:pPr>
      <w:r w:rsidRPr="008056A4">
        <w:rPr>
          <w:noProof/>
          <w:lang w:eastAsia="es-AR"/>
        </w:rPr>
        <w:drawing>
          <wp:inline distT="0" distB="0" distL="0" distR="0" wp14:anchorId="18BF07BD" wp14:editId="33A8B9E5">
            <wp:extent cx="5354955" cy="78295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54955" cy="782955"/>
                    </a:xfrm>
                    <a:prstGeom prst="rect">
                      <a:avLst/>
                    </a:prstGeom>
                    <a:noFill/>
                    <a:ln>
                      <a:noFill/>
                    </a:ln>
                  </pic:spPr>
                </pic:pic>
              </a:graphicData>
            </a:graphic>
          </wp:inline>
        </w:drawing>
      </w:r>
    </w:p>
    <w:p w14:paraId="44E09104" w14:textId="77777777" w:rsidR="00064C00" w:rsidRDefault="00064C00" w:rsidP="008E4876">
      <w:pPr>
        <w:pStyle w:val="Prrafodelista"/>
        <w:spacing w:before="120" w:after="120" w:line="240" w:lineRule="exact"/>
        <w:ind w:left="709"/>
        <w:contextualSpacing/>
        <w:jc w:val="both"/>
        <w:rPr>
          <w:b/>
          <w:color w:val="000000"/>
          <w:sz w:val="20"/>
          <w:szCs w:val="20"/>
          <w:lang w:val="es-AR"/>
        </w:rPr>
      </w:pPr>
    </w:p>
    <w:p w14:paraId="76282370" w14:textId="77777777" w:rsidR="00064C00" w:rsidRDefault="00064C00" w:rsidP="008E4876">
      <w:pPr>
        <w:pStyle w:val="Prrafodelista"/>
        <w:spacing w:before="120" w:after="120" w:line="240" w:lineRule="exact"/>
        <w:ind w:left="709"/>
        <w:contextualSpacing/>
        <w:jc w:val="both"/>
        <w:rPr>
          <w:b/>
          <w:color w:val="000000"/>
          <w:sz w:val="20"/>
          <w:szCs w:val="20"/>
          <w:lang w:val="es-AR"/>
        </w:rPr>
      </w:pPr>
    </w:p>
    <w:p w14:paraId="7CE4697C" w14:textId="77777777" w:rsidR="00064C00" w:rsidRDefault="00064C00" w:rsidP="008E4876">
      <w:pPr>
        <w:pStyle w:val="Prrafodelista"/>
        <w:spacing w:before="120" w:after="120" w:line="240" w:lineRule="exact"/>
        <w:ind w:left="709"/>
        <w:contextualSpacing/>
        <w:jc w:val="both"/>
        <w:rPr>
          <w:b/>
          <w:color w:val="000000"/>
          <w:sz w:val="20"/>
          <w:szCs w:val="20"/>
          <w:lang w:val="es-AR"/>
        </w:rPr>
      </w:pPr>
    </w:p>
    <w:p w14:paraId="05405267" w14:textId="77777777" w:rsidR="00064C00" w:rsidRDefault="00064C00" w:rsidP="008E4876">
      <w:pPr>
        <w:pStyle w:val="Prrafodelista"/>
        <w:spacing w:before="120" w:after="120" w:line="240" w:lineRule="exact"/>
        <w:ind w:left="709"/>
        <w:contextualSpacing/>
        <w:jc w:val="both"/>
        <w:rPr>
          <w:b/>
          <w:color w:val="000000"/>
          <w:sz w:val="20"/>
          <w:szCs w:val="20"/>
          <w:lang w:val="es-AR"/>
        </w:rPr>
      </w:pPr>
    </w:p>
    <w:p w14:paraId="19F267FB" w14:textId="37DA252B" w:rsidR="00E2117F" w:rsidRPr="00D22760" w:rsidRDefault="00B710C2" w:rsidP="008E4876">
      <w:pPr>
        <w:pStyle w:val="Prrafodelista"/>
        <w:spacing w:before="120" w:after="120" w:line="240" w:lineRule="exact"/>
        <w:ind w:left="709"/>
        <w:contextualSpacing/>
        <w:jc w:val="both"/>
        <w:rPr>
          <w:b/>
          <w:color w:val="000000"/>
          <w:sz w:val="20"/>
          <w:szCs w:val="20"/>
          <w:lang w:val="es-AR"/>
        </w:rPr>
      </w:pPr>
      <w:r w:rsidRPr="00D22760">
        <w:rPr>
          <w:b/>
          <w:color w:val="000000"/>
          <w:sz w:val="20"/>
          <w:szCs w:val="20"/>
          <w:lang w:val="es-AR"/>
        </w:rPr>
        <w:t xml:space="preserve">b)   </w:t>
      </w:r>
      <w:r w:rsidR="00E2117F" w:rsidRPr="00D22760">
        <w:rPr>
          <w:b/>
          <w:color w:val="000000"/>
          <w:sz w:val="20"/>
          <w:szCs w:val="20"/>
          <w:lang w:val="es-AR"/>
        </w:rPr>
        <w:t>Pasivo por impuesto a las ganancias corriente</w:t>
      </w:r>
    </w:p>
    <w:p w14:paraId="54936D5A" w14:textId="05B975A8" w:rsidR="008320EC" w:rsidRDefault="00E2117F" w:rsidP="008E4876">
      <w:pPr>
        <w:spacing w:after="120" w:line="260" w:lineRule="exact"/>
        <w:ind w:left="709"/>
        <w:rPr>
          <w:rFonts w:ascii="Times New Roman" w:hAnsi="Times New Roman"/>
          <w:color w:val="000000"/>
          <w:sz w:val="20"/>
        </w:rPr>
      </w:pPr>
      <w:r w:rsidRPr="00D22760">
        <w:rPr>
          <w:rFonts w:ascii="Times New Roman" w:hAnsi="Times New Roman"/>
          <w:color w:val="000000"/>
          <w:sz w:val="20"/>
        </w:rPr>
        <w:t>La composición del rubro es la siguiente:</w:t>
      </w:r>
      <w:r w:rsidR="00D86336" w:rsidRPr="00D22760">
        <w:rPr>
          <w:rFonts w:ascii="Times New Roman" w:hAnsi="Times New Roman"/>
          <w:color w:val="000000"/>
          <w:sz w:val="20"/>
        </w:rPr>
        <w:tab/>
      </w:r>
    </w:p>
    <w:p w14:paraId="5051B33D" w14:textId="77777777" w:rsidR="008056A4" w:rsidRPr="00D22760" w:rsidRDefault="008056A4" w:rsidP="008E4876">
      <w:pPr>
        <w:spacing w:after="120" w:line="260" w:lineRule="exact"/>
        <w:ind w:left="709"/>
        <w:rPr>
          <w:rFonts w:ascii="Times New Roman" w:hAnsi="Times New Roman"/>
          <w:color w:val="000000"/>
          <w:sz w:val="20"/>
        </w:rPr>
      </w:pPr>
    </w:p>
    <w:p w14:paraId="4E2D5873" w14:textId="09BD4E05" w:rsidR="003856CC" w:rsidRDefault="00DA4686" w:rsidP="00604812">
      <w:pPr>
        <w:tabs>
          <w:tab w:val="left" w:pos="5520"/>
        </w:tabs>
        <w:ind w:left="709" w:right="425" w:hanging="11"/>
        <w:jc w:val="both"/>
        <w:rPr>
          <w:rFonts w:ascii="Times New Roman" w:hAnsi="Times New Roman"/>
          <w:color w:val="000000"/>
          <w:sz w:val="20"/>
        </w:rPr>
      </w:pPr>
      <w:r w:rsidRPr="008056A4">
        <w:rPr>
          <w:noProof/>
          <w:lang w:eastAsia="es-AR"/>
        </w:rPr>
        <w:drawing>
          <wp:inline distT="0" distB="0" distL="0" distR="0" wp14:anchorId="67F4DF98" wp14:editId="6AF05696">
            <wp:extent cx="5354955" cy="108267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54955" cy="1082675"/>
                    </a:xfrm>
                    <a:prstGeom prst="rect">
                      <a:avLst/>
                    </a:prstGeom>
                    <a:noFill/>
                    <a:ln>
                      <a:noFill/>
                    </a:ln>
                  </pic:spPr>
                </pic:pic>
              </a:graphicData>
            </a:graphic>
          </wp:inline>
        </w:drawing>
      </w:r>
    </w:p>
    <w:p w14:paraId="35AE5857" w14:textId="77777777" w:rsidR="008056A4" w:rsidRPr="008056A4" w:rsidRDefault="008056A4" w:rsidP="00604812">
      <w:pPr>
        <w:tabs>
          <w:tab w:val="left" w:pos="5520"/>
        </w:tabs>
        <w:ind w:left="709" w:right="425" w:hanging="11"/>
        <w:jc w:val="both"/>
        <w:rPr>
          <w:rFonts w:ascii="Times New Roman" w:hAnsi="Times New Roman"/>
          <w:color w:val="000000"/>
          <w:sz w:val="20"/>
        </w:rPr>
      </w:pPr>
    </w:p>
    <w:p w14:paraId="6E589FCF" w14:textId="13F8017B" w:rsidR="008320EC" w:rsidRPr="008056A4" w:rsidRDefault="00B710C2" w:rsidP="008E4876">
      <w:pPr>
        <w:pStyle w:val="Prrafodelista"/>
        <w:spacing w:before="120" w:after="120" w:line="240" w:lineRule="exact"/>
        <w:ind w:left="709"/>
        <w:contextualSpacing/>
        <w:jc w:val="both"/>
        <w:rPr>
          <w:b/>
          <w:color w:val="000000"/>
          <w:sz w:val="20"/>
          <w:szCs w:val="20"/>
          <w:lang w:val="es-AR"/>
        </w:rPr>
      </w:pPr>
      <w:r w:rsidRPr="008056A4">
        <w:rPr>
          <w:b/>
          <w:color w:val="000000"/>
          <w:sz w:val="20"/>
          <w:szCs w:val="20"/>
          <w:lang w:val="es-AR"/>
        </w:rPr>
        <w:t>c</w:t>
      </w:r>
      <w:r w:rsidR="000C4679">
        <w:rPr>
          <w:b/>
          <w:color w:val="000000"/>
          <w:sz w:val="20"/>
          <w:szCs w:val="20"/>
          <w:lang w:val="es-AR"/>
        </w:rPr>
        <w:t>) I</w:t>
      </w:r>
      <w:r w:rsidR="00451175" w:rsidRPr="008056A4">
        <w:rPr>
          <w:b/>
          <w:color w:val="000000"/>
          <w:sz w:val="20"/>
          <w:szCs w:val="20"/>
          <w:lang w:val="es-AR"/>
        </w:rPr>
        <w:t>mpuesto a las ganancias</w:t>
      </w:r>
    </w:p>
    <w:p w14:paraId="30A876D6" w14:textId="50554D04" w:rsidR="004D44CF" w:rsidRPr="008056A4" w:rsidRDefault="005E2B9B" w:rsidP="00604812">
      <w:pPr>
        <w:ind w:left="709" w:right="424" w:hanging="11"/>
        <w:jc w:val="both"/>
        <w:rPr>
          <w:rFonts w:ascii="Times New Roman" w:hAnsi="Times New Roman"/>
          <w:color w:val="000000"/>
          <w:sz w:val="20"/>
        </w:rPr>
      </w:pPr>
      <w:r w:rsidRPr="008056A4">
        <w:rPr>
          <w:rFonts w:ascii="Times New Roman" w:hAnsi="Times New Roman"/>
          <w:sz w:val="20"/>
        </w:rPr>
        <w:softHyphen/>
      </w:r>
      <w:r w:rsidR="00F515DC" w:rsidRPr="008056A4">
        <w:rPr>
          <w:rFonts w:ascii="Times New Roman" w:hAnsi="Times New Roman"/>
          <w:color w:val="000000"/>
          <w:sz w:val="20"/>
        </w:rPr>
        <w:t xml:space="preserve">El </w:t>
      </w:r>
      <w:r w:rsidR="00604812" w:rsidRPr="008056A4">
        <w:rPr>
          <w:rFonts w:ascii="Times New Roman" w:hAnsi="Times New Roman"/>
          <w:color w:val="000000"/>
          <w:sz w:val="20"/>
        </w:rPr>
        <w:t>beneficio /</w:t>
      </w:r>
      <w:r w:rsidR="0054483E" w:rsidRPr="008056A4">
        <w:rPr>
          <w:rFonts w:ascii="Times New Roman" w:hAnsi="Times New Roman"/>
          <w:color w:val="000000"/>
          <w:sz w:val="20"/>
        </w:rPr>
        <w:t xml:space="preserve"> </w:t>
      </w:r>
      <w:r w:rsidR="00604812" w:rsidRPr="008056A4">
        <w:rPr>
          <w:rFonts w:ascii="Times New Roman" w:hAnsi="Times New Roman"/>
          <w:color w:val="000000"/>
          <w:sz w:val="20"/>
        </w:rPr>
        <w:t>(</w:t>
      </w:r>
      <w:r w:rsidR="00F515DC" w:rsidRPr="008056A4">
        <w:rPr>
          <w:rFonts w:ascii="Times New Roman" w:hAnsi="Times New Roman"/>
          <w:color w:val="000000"/>
          <w:sz w:val="20"/>
        </w:rPr>
        <w:t>cargo</w:t>
      </w:r>
      <w:r w:rsidR="00604812" w:rsidRPr="008056A4">
        <w:rPr>
          <w:rFonts w:ascii="Times New Roman" w:hAnsi="Times New Roman"/>
          <w:color w:val="000000"/>
          <w:sz w:val="20"/>
        </w:rPr>
        <w:t>)</w:t>
      </w:r>
      <w:r w:rsidR="00F515DC" w:rsidRPr="008056A4">
        <w:rPr>
          <w:rFonts w:ascii="Times New Roman" w:hAnsi="Times New Roman"/>
          <w:color w:val="000000"/>
          <w:sz w:val="20"/>
        </w:rPr>
        <w:t xml:space="preserve"> por impuesto a las ganancias se compone de los siguientes conceptos:</w:t>
      </w:r>
      <w:r w:rsidR="004D44CF" w:rsidRPr="008056A4">
        <w:rPr>
          <w:rFonts w:ascii="Times New Roman" w:hAnsi="Times New Roman"/>
          <w:sz w:val="20"/>
        </w:rPr>
        <w:t xml:space="preserve"> </w:t>
      </w:r>
    </w:p>
    <w:p w14:paraId="6ADFB4FB" w14:textId="77777777" w:rsidR="00CA21B4" w:rsidRDefault="00CA21B4" w:rsidP="008E4876">
      <w:pPr>
        <w:ind w:left="709" w:right="424" w:hanging="11"/>
        <w:jc w:val="both"/>
        <w:rPr>
          <w:rFonts w:ascii="Times New Roman" w:hAnsi="Times New Roman"/>
          <w:sz w:val="20"/>
        </w:rPr>
      </w:pPr>
    </w:p>
    <w:p w14:paraId="7C7FDD17" w14:textId="77777777" w:rsidR="008056A4" w:rsidRPr="008056A4" w:rsidRDefault="008056A4" w:rsidP="008E4876">
      <w:pPr>
        <w:ind w:left="709" w:right="424" w:hanging="11"/>
        <w:jc w:val="both"/>
        <w:rPr>
          <w:rFonts w:ascii="Times New Roman" w:hAnsi="Times New Roman"/>
          <w:sz w:val="20"/>
        </w:rPr>
      </w:pPr>
    </w:p>
    <w:p w14:paraId="42D912E9" w14:textId="5932F208" w:rsidR="00F515DC" w:rsidRPr="008056A4" w:rsidRDefault="00DA4686" w:rsidP="00451DBE">
      <w:pPr>
        <w:spacing w:after="240"/>
        <w:ind w:left="709" w:right="424"/>
        <w:jc w:val="both"/>
        <w:rPr>
          <w:rFonts w:ascii="Times New Roman" w:hAnsi="Times New Roman"/>
          <w:noProof/>
          <w:sz w:val="20"/>
          <w:lang w:eastAsia="es-AR"/>
        </w:rPr>
      </w:pPr>
      <w:r w:rsidRPr="008056A4">
        <w:rPr>
          <w:noProof/>
          <w:lang w:eastAsia="es-AR"/>
        </w:rPr>
        <w:drawing>
          <wp:inline distT="0" distB="0" distL="0" distR="0" wp14:anchorId="04C086DC" wp14:editId="2136B4E0">
            <wp:extent cx="5354955" cy="88519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54955" cy="885190"/>
                    </a:xfrm>
                    <a:prstGeom prst="rect">
                      <a:avLst/>
                    </a:prstGeom>
                    <a:noFill/>
                    <a:ln>
                      <a:noFill/>
                    </a:ln>
                  </pic:spPr>
                </pic:pic>
              </a:graphicData>
            </a:graphic>
          </wp:inline>
        </w:drawing>
      </w:r>
    </w:p>
    <w:p w14:paraId="6571337E" w14:textId="200E34DD" w:rsidR="00A216D1" w:rsidRPr="008056A4" w:rsidRDefault="00A216D1" w:rsidP="00A216D1">
      <w:pPr>
        <w:tabs>
          <w:tab w:val="left" w:pos="9211"/>
        </w:tabs>
        <w:autoSpaceDE w:val="0"/>
        <w:autoSpaceDN w:val="0"/>
        <w:adjustRightInd w:val="0"/>
        <w:ind w:left="709" w:right="50"/>
        <w:jc w:val="both"/>
        <w:rPr>
          <w:rFonts w:ascii="Times New Roman" w:hAnsi="Times New Roman"/>
          <w:sz w:val="20"/>
        </w:rPr>
      </w:pPr>
      <w:r w:rsidRPr="008056A4">
        <w:rPr>
          <w:rFonts w:ascii="Times New Roman" w:hAnsi="Times New Roman"/>
          <w:sz w:val="20"/>
        </w:rPr>
        <w:t xml:space="preserve">El beneficio por impuesto a las ganancias por el período finalizado el 30 de </w:t>
      </w:r>
      <w:r w:rsidR="000424EC" w:rsidRPr="008056A4">
        <w:rPr>
          <w:rFonts w:ascii="Times New Roman" w:hAnsi="Times New Roman"/>
          <w:sz w:val="20"/>
        </w:rPr>
        <w:t>septiembre</w:t>
      </w:r>
      <w:r w:rsidRPr="008056A4">
        <w:rPr>
          <w:rFonts w:ascii="Times New Roman" w:hAnsi="Times New Roman"/>
          <w:sz w:val="20"/>
        </w:rPr>
        <w:t xml:space="preserve"> de 2021 incluye el efecto del cómputo del ajuste por inflación impositivo, así como la desafectación de la provisión requerida por el B.C.R.A. según lo comentado en el apartado Impuesto a las ganancias - Ajuste por inflación impositivo. Ejercicios Fiscales 2016, 2017 y 2018 de la Nota 15.c) a los estados financieros intermedios consolidados condensados.</w:t>
      </w:r>
    </w:p>
    <w:p w14:paraId="0BD3D67B" w14:textId="77777777" w:rsidR="0017260A" w:rsidRPr="008056A4" w:rsidRDefault="0017260A" w:rsidP="00604812">
      <w:pPr>
        <w:tabs>
          <w:tab w:val="left" w:pos="9211"/>
        </w:tabs>
        <w:autoSpaceDE w:val="0"/>
        <w:autoSpaceDN w:val="0"/>
        <w:adjustRightInd w:val="0"/>
        <w:ind w:left="709" w:right="50"/>
        <w:jc w:val="both"/>
        <w:rPr>
          <w:rFonts w:ascii="Times New Roman" w:hAnsi="Times New Roman"/>
          <w:sz w:val="20"/>
        </w:rPr>
      </w:pPr>
    </w:p>
    <w:p w14:paraId="2402DFC4" w14:textId="7E51335B" w:rsidR="00D400DE" w:rsidRPr="008056A4" w:rsidRDefault="00A079E2" w:rsidP="00F546A7">
      <w:pPr>
        <w:pStyle w:val="Prrafodelista"/>
        <w:ind w:left="709" w:right="50"/>
        <w:contextualSpacing/>
        <w:jc w:val="both"/>
        <w:rPr>
          <w:sz w:val="20"/>
          <w:szCs w:val="20"/>
          <w:lang w:val="es-AR"/>
        </w:rPr>
      </w:pPr>
      <w:r w:rsidRPr="008056A4">
        <w:rPr>
          <w:sz w:val="20"/>
          <w:szCs w:val="20"/>
          <w:lang w:val="es-AR"/>
        </w:rPr>
        <w:t xml:space="preserve">La tasa efectiva del </w:t>
      </w:r>
      <w:r w:rsidR="00C04ABB" w:rsidRPr="008056A4">
        <w:rPr>
          <w:sz w:val="20"/>
          <w:szCs w:val="20"/>
          <w:lang w:val="es-AR"/>
        </w:rPr>
        <w:t>Banco</w:t>
      </w:r>
      <w:r w:rsidRPr="008056A4">
        <w:rPr>
          <w:sz w:val="20"/>
          <w:szCs w:val="20"/>
          <w:lang w:val="es-AR"/>
        </w:rPr>
        <w:t xml:space="preserve"> por el </w:t>
      </w:r>
      <w:r w:rsidR="00EE2E51" w:rsidRPr="008056A4">
        <w:rPr>
          <w:sz w:val="20"/>
          <w:szCs w:val="20"/>
          <w:lang w:val="es-AR"/>
        </w:rPr>
        <w:t>per</w:t>
      </w:r>
      <w:r w:rsidR="00F43735" w:rsidRPr="008056A4">
        <w:rPr>
          <w:sz w:val="20"/>
          <w:szCs w:val="20"/>
          <w:lang w:val="es-AR"/>
        </w:rPr>
        <w:t>í</w:t>
      </w:r>
      <w:r w:rsidR="00EE2E51" w:rsidRPr="008056A4">
        <w:rPr>
          <w:sz w:val="20"/>
          <w:szCs w:val="20"/>
          <w:lang w:val="es-AR"/>
        </w:rPr>
        <w:t xml:space="preserve">odo </w:t>
      </w:r>
      <w:r w:rsidR="00765195" w:rsidRPr="008056A4">
        <w:rPr>
          <w:sz w:val="20"/>
          <w:szCs w:val="20"/>
          <w:lang w:val="es-AR"/>
        </w:rPr>
        <w:t>finalizado el 3</w:t>
      </w:r>
      <w:r w:rsidR="00E35B6A" w:rsidRPr="008056A4">
        <w:rPr>
          <w:sz w:val="20"/>
          <w:szCs w:val="20"/>
          <w:lang w:val="es-AR"/>
        </w:rPr>
        <w:t>0</w:t>
      </w:r>
      <w:r w:rsidR="00BD450D" w:rsidRPr="008056A4">
        <w:rPr>
          <w:sz w:val="20"/>
          <w:szCs w:val="20"/>
          <w:lang w:val="es-AR"/>
        </w:rPr>
        <w:t xml:space="preserve"> de </w:t>
      </w:r>
      <w:r w:rsidR="000424EC" w:rsidRPr="008056A4">
        <w:rPr>
          <w:sz w:val="20"/>
          <w:szCs w:val="20"/>
          <w:lang w:val="es-AR"/>
        </w:rPr>
        <w:t>septiembre</w:t>
      </w:r>
      <w:r w:rsidR="00AE00D0" w:rsidRPr="008056A4">
        <w:rPr>
          <w:sz w:val="20"/>
          <w:szCs w:val="20"/>
          <w:lang w:val="es-AR"/>
        </w:rPr>
        <w:t xml:space="preserve"> </w:t>
      </w:r>
      <w:r w:rsidR="00BD450D" w:rsidRPr="008056A4">
        <w:rPr>
          <w:sz w:val="20"/>
          <w:szCs w:val="20"/>
          <w:lang w:val="es-AR"/>
        </w:rPr>
        <w:t>de 20</w:t>
      </w:r>
      <w:r w:rsidR="003F7CF3" w:rsidRPr="008056A4">
        <w:rPr>
          <w:sz w:val="20"/>
          <w:szCs w:val="20"/>
          <w:lang w:val="es-AR"/>
        </w:rPr>
        <w:t>20</w:t>
      </w:r>
      <w:r w:rsidR="00BD450D" w:rsidRPr="008056A4">
        <w:rPr>
          <w:sz w:val="20"/>
          <w:szCs w:val="20"/>
          <w:lang w:val="es-AR"/>
        </w:rPr>
        <w:t xml:space="preserve"> fue </w:t>
      </w:r>
      <w:r w:rsidR="00DA4686" w:rsidRPr="008056A4">
        <w:rPr>
          <w:sz w:val="20"/>
          <w:szCs w:val="20"/>
          <w:lang w:val="es-AR"/>
        </w:rPr>
        <w:t>36</w:t>
      </w:r>
      <w:r w:rsidR="00513622" w:rsidRPr="008056A4">
        <w:rPr>
          <w:sz w:val="20"/>
          <w:szCs w:val="20"/>
          <w:lang w:val="es-AR"/>
        </w:rPr>
        <w:t>%</w:t>
      </w:r>
      <w:r w:rsidR="00BD450D" w:rsidRPr="008056A4">
        <w:rPr>
          <w:sz w:val="20"/>
          <w:szCs w:val="20"/>
          <w:lang w:val="es-AR"/>
        </w:rPr>
        <w:t>.</w:t>
      </w:r>
    </w:p>
    <w:p w14:paraId="203B29E5" w14:textId="77777777" w:rsidR="00F73248" w:rsidRPr="008056A4" w:rsidRDefault="00F73248" w:rsidP="00F73248">
      <w:pPr>
        <w:tabs>
          <w:tab w:val="left" w:pos="9211"/>
        </w:tabs>
        <w:autoSpaceDE w:val="0"/>
        <w:autoSpaceDN w:val="0"/>
        <w:adjustRightInd w:val="0"/>
        <w:ind w:left="709" w:right="50"/>
        <w:jc w:val="both"/>
        <w:rPr>
          <w:rFonts w:ascii="Times New Roman" w:hAnsi="Times New Roman"/>
          <w:sz w:val="20"/>
        </w:rPr>
      </w:pPr>
    </w:p>
    <w:p w14:paraId="63647721" w14:textId="28889321" w:rsidR="00F73248" w:rsidRDefault="00F73248" w:rsidP="00F73248">
      <w:pPr>
        <w:tabs>
          <w:tab w:val="left" w:pos="9211"/>
        </w:tabs>
        <w:autoSpaceDE w:val="0"/>
        <w:autoSpaceDN w:val="0"/>
        <w:adjustRightInd w:val="0"/>
        <w:ind w:left="709" w:right="50"/>
        <w:jc w:val="both"/>
        <w:rPr>
          <w:rFonts w:ascii="Times New Roman" w:hAnsi="Times New Roman"/>
          <w:sz w:val="20"/>
        </w:rPr>
      </w:pPr>
      <w:r w:rsidRPr="008056A4">
        <w:rPr>
          <w:rFonts w:ascii="Times New Roman" w:hAnsi="Times New Roman"/>
          <w:sz w:val="20"/>
        </w:rPr>
        <w:t xml:space="preserve">La política sobre el reconocimiento del </w:t>
      </w:r>
      <w:r w:rsidR="00F43735" w:rsidRPr="008056A4">
        <w:rPr>
          <w:rFonts w:ascii="Times New Roman" w:hAnsi="Times New Roman"/>
          <w:sz w:val="20"/>
        </w:rPr>
        <w:t>impuesto a las ganancias en perí</w:t>
      </w:r>
      <w:r w:rsidRPr="008056A4">
        <w:rPr>
          <w:rFonts w:ascii="Times New Roman" w:hAnsi="Times New Roman"/>
          <w:sz w:val="20"/>
        </w:rPr>
        <w:t>odos intermedios se describe en Nota 15.c) a los estados financieros intermedios consolidados condensados.</w:t>
      </w:r>
    </w:p>
    <w:p w14:paraId="5DEB0E53" w14:textId="77777777" w:rsidR="00504A05" w:rsidRDefault="00504A05" w:rsidP="00F546A7">
      <w:pPr>
        <w:pStyle w:val="Prrafodelista"/>
        <w:ind w:left="709" w:right="50"/>
        <w:contextualSpacing/>
        <w:jc w:val="both"/>
        <w:rPr>
          <w:sz w:val="20"/>
          <w:szCs w:val="20"/>
          <w:lang w:val="es-AR"/>
        </w:rPr>
      </w:pPr>
    </w:p>
    <w:p w14:paraId="12D2C425" w14:textId="77777777" w:rsidR="00126FAD" w:rsidRDefault="00126FAD" w:rsidP="00F546A7">
      <w:pPr>
        <w:tabs>
          <w:tab w:val="left" w:pos="9211"/>
        </w:tabs>
        <w:autoSpaceDE w:val="0"/>
        <w:autoSpaceDN w:val="0"/>
        <w:adjustRightInd w:val="0"/>
        <w:ind w:left="709" w:right="50"/>
        <w:jc w:val="both"/>
        <w:rPr>
          <w:rFonts w:ascii="Times New Roman" w:hAnsi="Times New Roman"/>
          <w:sz w:val="20"/>
          <w:lang w:val="es-ES"/>
        </w:rPr>
      </w:pPr>
    </w:p>
    <w:p w14:paraId="1311F019" w14:textId="77777777" w:rsidR="00064C00" w:rsidRDefault="00064C00" w:rsidP="00F546A7">
      <w:pPr>
        <w:tabs>
          <w:tab w:val="left" w:pos="9211"/>
        </w:tabs>
        <w:autoSpaceDE w:val="0"/>
        <w:autoSpaceDN w:val="0"/>
        <w:adjustRightInd w:val="0"/>
        <w:ind w:left="709" w:right="50"/>
        <w:jc w:val="both"/>
        <w:rPr>
          <w:rFonts w:ascii="Times New Roman" w:hAnsi="Times New Roman"/>
          <w:sz w:val="20"/>
          <w:lang w:val="es-ES"/>
        </w:rPr>
      </w:pPr>
    </w:p>
    <w:p w14:paraId="32CF7092" w14:textId="77777777" w:rsidR="00E2117F" w:rsidRPr="00003D14" w:rsidRDefault="00E2117F" w:rsidP="008E4876">
      <w:pPr>
        <w:pStyle w:val="Prrafodelista"/>
        <w:numPr>
          <w:ilvl w:val="0"/>
          <w:numId w:val="26"/>
        </w:numPr>
        <w:spacing w:after="240"/>
        <w:ind w:right="-427"/>
        <w:jc w:val="both"/>
        <w:rPr>
          <w:b/>
          <w:sz w:val="20"/>
          <w:szCs w:val="20"/>
          <w:lang w:val="es-AR"/>
        </w:rPr>
      </w:pPr>
      <w:r w:rsidRPr="00003D14">
        <w:rPr>
          <w:b/>
          <w:sz w:val="20"/>
          <w:szCs w:val="20"/>
          <w:lang w:val="es-AR"/>
        </w:rPr>
        <w:t>Inversiones en instrumentos de patrimonio</w:t>
      </w:r>
    </w:p>
    <w:p w14:paraId="5B1E561F" w14:textId="45E98187" w:rsidR="00E2117F" w:rsidRPr="00110E8B" w:rsidRDefault="00C47F79" w:rsidP="00C47F79">
      <w:pPr>
        <w:ind w:left="709" w:right="50"/>
        <w:jc w:val="both"/>
        <w:rPr>
          <w:rFonts w:ascii="Times New Roman" w:hAnsi="Times New Roman"/>
          <w:color w:val="000000"/>
          <w:sz w:val="20"/>
        </w:rPr>
      </w:pPr>
      <w:r w:rsidRPr="00110E8B">
        <w:rPr>
          <w:rFonts w:ascii="Times New Roman" w:hAnsi="Times New Roman"/>
          <w:color w:val="000000"/>
          <w:sz w:val="20"/>
        </w:rPr>
        <w:t>Las inversiones en instrumentos de patrimonio, en las cuales el Banco no ejerce control, control conjunto ni influencia significativa se miden a su valor razonable con cambios en resultados y a valor razonable con cambios en otros resultados integrales.</w:t>
      </w:r>
      <w:r w:rsidR="00B524AD" w:rsidRPr="00110E8B">
        <w:rPr>
          <w:rFonts w:ascii="Times New Roman" w:hAnsi="Times New Roman"/>
          <w:color w:val="000000"/>
          <w:sz w:val="20"/>
        </w:rPr>
        <w:t xml:space="preserve"> La composición del rubro es la siguiente:</w:t>
      </w:r>
    </w:p>
    <w:p w14:paraId="7D85E13D" w14:textId="77777777" w:rsidR="00FC48AC" w:rsidRDefault="00FC48AC" w:rsidP="00C47F79">
      <w:pPr>
        <w:ind w:left="709" w:right="-427"/>
        <w:jc w:val="both"/>
        <w:rPr>
          <w:rFonts w:ascii="Times New Roman" w:hAnsi="Times New Roman"/>
          <w:b/>
          <w:sz w:val="20"/>
          <w:lang w:eastAsia="en-US"/>
        </w:rPr>
      </w:pPr>
    </w:p>
    <w:p w14:paraId="3EC26F50" w14:textId="55B1D036" w:rsidR="003B12CB" w:rsidRDefault="00C47F79" w:rsidP="00C47F79">
      <w:pPr>
        <w:ind w:left="709" w:right="-427"/>
        <w:jc w:val="both"/>
        <w:rPr>
          <w:rFonts w:ascii="Times New Roman" w:hAnsi="Times New Roman"/>
          <w:b/>
          <w:sz w:val="20"/>
          <w:lang w:eastAsia="en-US"/>
        </w:rPr>
      </w:pPr>
      <w:r w:rsidRPr="00110E8B">
        <w:rPr>
          <w:rFonts w:ascii="Times New Roman" w:hAnsi="Times New Roman"/>
          <w:b/>
          <w:sz w:val="20"/>
          <w:lang w:eastAsia="en-US"/>
        </w:rPr>
        <w:t>13.1 Inversiones en instrumentos de patrimonio con cambios en resultados</w:t>
      </w:r>
    </w:p>
    <w:p w14:paraId="1D77A66C" w14:textId="0903C6D9" w:rsidR="00B9071E" w:rsidRDefault="00B9071E" w:rsidP="00C47F79">
      <w:pPr>
        <w:ind w:left="709" w:right="-427"/>
        <w:jc w:val="both"/>
        <w:rPr>
          <w:noProof/>
          <w:lang w:eastAsia="es-AR"/>
        </w:rPr>
      </w:pPr>
    </w:p>
    <w:p w14:paraId="70F030F3" w14:textId="6E6F8065" w:rsidR="001C18B9" w:rsidRDefault="001C18B9" w:rsidP="00C47F79">
      <w:pPr>
        <w:ind w:left="709" w:right="-427"/>
        <w:jc w:val="both"/>
        <w:rPr>
          <w:rFonts w:ascii="Times New Roman" w:hAnsi="Times New Roman"/>
          <w:b/>
          <w:sz w:val="20"/>
          <w:lang w:eastAsia="en-US"/>
        </w:rPr>
      </w:pPr>
      <w:r w:rsidRPr="001C18B9">
        <w:rPr>
          <w:noProof/>
          <w:lang w:eastAsia="es-AR"/>
        </w:rPr>
        <w:drawing>
          <wp:inline distT="0" distB="0" distL="0" distR="0" wp14:anchorId="00DBD4B7" wp14:editId="4AC5BCEE">
            <wp:extent cx="6062980" cy="1093539"/>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62980" cy="1093539"/>
                    </a:xfrm>
                    <a:prstGeom prst="rect">
                      <a:avLst/>
                    </a:prstGeom>
                    <a:noFill/>
                    <a:ln>
                      <a:noFill/>
                    </a:ln>
                  </pic:spPr>
                </pic:pic>
              </a:graphicData>
            </a:graphic>
          </wp:inline>
        </w:drawing>
      </w:r>
    </w:p>
    <w:p w14:paraId="10D5ABD5" w14:textId="77777777" w:rsidR="0047532C" w:rsidRDefault="0047532C" w:rsidP="00C47F79">
      <w:pPr>
        <w:ind w:left="709" w:right="-427"/>
        <w:jc w:val="both"/>
        <w:rPr>
          <w:rFonts w:ascii="Times New Roman" w:hAnsi="Times New Roman"/>
          <w:b/>
          <w:sz w:val="20"/>
          <w:lang w:eastAsia="en-US"/>
        </w:rPr>
      </w:pPr>
    </w:p>
    <w:p w14:paraId="03603ADB" w14:textId="3EC9616A" w:rsidR="00C47F79" w:rsidRDefault="00C47F79" w:rsidP="00C47F79">
      <w:pPr>
        <w:ind w:left="709" w:right="-427"/>
        <w:jc w:val="both"/>
        <w:rPr>
          <w:rFonts w:ascii="Times New Roman" w:hAnsi="Times New Roman"/>
          <w:b/>
          <w:sz w:val="20"/>
          <w:lang w:eastAsia="en-US"/>
        </w:rPr>
      </w:pPr>
      <w:r w:rsidRPr="00110E8B">
        <w:rPr>
          <w:rFonts w:ascii="Times New Roman" w:hAnsi="Times New Roman"/>
          <w:b/>
          <w:sz w:val="20"/>
          <w:lang w:eastAsia="en-US"/>
        </w:rPr>
        <w:t>13.2 Inversiones en instrumentos de patrimonio con cambios en otros resultados integrales</w:t>
      </w:r>
    </w:p>
    <w:p w14:paraId="690796B3" w14:textId="77777777" w:rsidR="00A3154B" w:rsidRPr="00110E8B" w:rsidRDefault="00A3154B" w:rsidP="00C47F79">
      <w:pPr>
        <w:ind w:left="709" w:right="-427"/>
        <w:jc w:val="both"/>
        <w:rPr>
          <w:rFonts w:ascii="Times New Roman" w:hAnsi="Times New Roman"/>
          <w:b/>
          <w:sz w:val="20"/>
          <w:lang w:eastAsia="en-US"/>
        </w:rPr>
      </w:pPr>
    </w:p>
    <w:p w14:paraId="592E6308" w14:textId="162E7E23" w:rsidR="00186C8D" w:rsidRDefault="001C18B9" w:rsidP="00C47F79">
      <w:pPr>
        <w:ind w:left="709" w:right="-427"/>
        <w:jc w:val="both"/>
        <w:rPr>
          <w:rFonts w:ascii="Times New Roman" w:hAnsi="Times New Roman"/>
          <w:b/>
          <w:sz w:val="20"/>
          <w:lang w:eastAsia="en-US"/>
        </w:rPr>
      </w:pPr>
      <w:r w:rsidRPr="001C18B9">
        <w:rPr>
          <w:noProof/>
          <w:lang w:eastAsia="es-AR"/>
        </w:rPr>
        <w:drawing>
          <wp:inline distT="0" distB="0" distL="0" distR="0" wp14:anchorId="0F0BE638" wp14:editId="1EEDE236">
            <wp:extent cx="6062980" cy="911121"/>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62980" cy="911121"/>
                    </a:xfrm>
                    <a:prstGeom prst="rect">
                      <a:avLst/>
                    </a:prstGeom>
                    <a:noFill/>
                    <a:ln>
                      <a:noFill/>
                    </a:ln>
                  </pic:spPr>
                </pic:pic>
              </a:graphicData>
            </a:graphic>
          </wp:inline>
        </w:drawing>
      </w:r>
    </w:p>
    <w:p w14:paraId="7205FD04" w14:textId="77777777" w:rsidR="001C18B9" w:rsidRDefault="001C18B9" w:rsidP="00C47F79">
      <w:pPr>
        <w:ind w:left="709" w:right="-427"/>
        <w:jc w:val="both"/>
        <w:rPr>
          <w:rFonts w:ascii="Times New Roman" w:hAnsi="Times New Roman"/>
          <w:b/>
          <w:sz w:val="20"/>
          <w:lang w:eastAsia="en-US"/>
        </w:rPr>
      </w:pPr>
    </w:p>
    <w:p w14:paraId="3234AE66" w14:textId="77777777" w:rsidR="00064C00" w:rsidRPr="00110E8B" w:rsidRDefault="00064C00" w:rsidP="00C47F79">
      <w:pPr>
        <w:ind w:left="709" w:right="-427"/>
        <w:jc w:val="both"/>
        <w:rPr>
          <w:rFonts w:ascii="Times New Roman" w:hAnsi="Times New Roman"/>
          <w:b/>
          <w:sz w:val="20"/>
          <w:lang w:eastAsia="en-US"/>
        </w:rPr>
      </w:pPr>
    </w:p>
    <w:p w14:paraId="7E49BE5E" w14:textId="1E96049C" w:rsidR="00E2117F" w:rsidRPr="00AA5DD2" w:rsidRDefault="00E2117F" w:rsidP="003D415B">
      <w:pPr>
        <w:pStyle w:val="Prrafodelista"/>
        <w:numPr>
          <w:ilvl w:val="0"/>
          <w:numId w:val="26"/>
        </w:numPr>
        <w:ind w:right="-427"/>
        <w:jc w:val="both"/>
        <w:rPr>
          <w:b/>
          <w:sz w:val="20"/>
          <w:szCs w:val="20"/>
          <w:lang w:val="es-AR"/>
        </w:rPr>
      </w:pPr>
      <w:r w:rsidRPr="00AA5DD2">
        <w:rPr>
          <w:b/>
          <w:sz w:val="20"/>
          <w:szCs w:val="20"/>
          <w:lang w:val="es-AR"/>
        </w:rPr>
        <w:t xml:space="preserve">Inversiones en </w:t>
      </w:r>
      <w:r w:rsidR="001B6BD1" w:rsidRPr="00AA5DD2">
        <w:rPr>
          <w:b/>
          <w:sz w:val="20"/>
          <w:szCs w:val="20"/>
          <w:lang w:val="es-AR"/>
        </w:rPr>
        <w:t>subsidiarias y</w:t>
      </w:r>
      <w:r w:rsidRPr="00AA5DD2">
        <w:rPr>
          <w:b/>
          <w:sz w:val="20"/>
          <w:szCs w:val="20"/>
          <w:lang w:val="es-AR"/>
        </w:rPr>
        <w:t xml:space="preserve"> asociadas</w:t>
      </w:r>
      <w:r w:rsidR="00385AAF" w:rsidRPr="00AA5DD2">
        <w:rPr>
          <w:b/>
          <w:sz w:val="20"/>
          <w:szCs w:val="20"/>
          <w:lang w:val="es-AR"/>
        </w:rPr>
        <w:t xml:space="preserve"> </w:t>
      </w:r>
    </w:p>
    <w:p w14:paraId="76D5F98A" w14:textId="77777777" w:rsidR="00A3154B" w:rsidRPr="00CF0E90" w:rsidRDefault="00A3154B" w:rsidP="00A3154B">
      <w:pPr>
        <w:pStyle w:val="Prrafodelista"/>
        <w:ind w:left="700" w:right="-427"/>
        <w:jc w:val="both"/>
        <w:rPr>
          <w:b/>
          <w:sz w:val="20"/>
          <w:szCs w:val="20"/>
          <w:lang w:val="es-AR"/>
        </w:rPr>
      </w:pPr>
    </w:p>
    <w:p w14:paraId="39BE885D" w14:textId="2251CCEF" w:rsidR="004D0330" w:rsidRDefault="00E2117F" w:rsidP="00A3154B">
      <w:pPr>
        <w:tabs>
          <w:tab w:val="left" w:pos="9781"/>
        </w:tabs>
        <w:spacing w:before="120"/>
        <w:ind w:left="709" w:right="425"/>
        <w:jc w:val="both"/>
        <w:rPr>
          <w:rFonts w:ascii="Times New Roman" w:hAnsi="Times New Roman"/>
          <w:color w:val="000000"/>
          <w:sz w:val="20"/>
        </w:rPr>
      </w:pPr>
      <w:r w:rsidRPr="00110E8B">
        <w:rPr>
          <w:rFonts w:ascii="Times New Roman" w:hAnsi="Times New Roman"/>
          <w:color w:val="000000"/>
          <w:sz w:val="20"/>
        </w:rPr>
        <w:t>El Banco tiene inversiones en las siguientes entidades sobre las cuales ejerce control o influencia significativa, y por lo tanto, las mide aplicando el método de la participación:</w:t>
      </w:r>
    </w:p>
    <w:p w14:paraId="40521CE0" w14:textId="77777777" w:rsidR="00064C00" w:rsidRDefault="00064C00" w:rsidP="00A3154B">
      <w:pPr>
        <w:tabs>
          <w:tab w:val="left" w:pos="9781"/>
        </w:tabs>
        <w:spacing w:before="120"/>
        <w:ind w:left="709" w:right="425"/>
        <w:jc w:val="both"/>
        <w:rPr>
          <w:rFonts w:ascii="Times New Roman" w:hAnsi="Times New Roman"/>
          <w:color w:val="000000"/>
          <w:sz w:val="20"/>
        </w:rPr>
      </w:pPr>
    </w:p>
    <w:p w14:paraId="784F6D7C" w14:textId="6E3031F6" w:rsidR="000A219F" w:rsidRDefault="001C18B9" w:rsidP="000A219F">
      <w:pPr>
        <w:tabs>
          <w:tab w:val="left" w:pos="9781"/>
        </w:tabs>
        <w:spacing w:before="120"/>
        <w:ind w:left="426" w:right="425"/>
        <w:jc w:val="both"/>
        <w:rPr>
          <w:rFonts w:ascii="Times New Roman" w:hAnsi="Times New Roman"/>
          <w:color w:val="000000"/>
          <w:sz w:val="20"/>
        </w:rPr>
      </w:pPr>
      <w:r w:rsidRPr="001C18B9">
        <w:rPr>
          <w:noProof/>
          <w:lang w:eastAsia="es-AR"/>
        </w:rPr>
        <w:drawing>
          <wp:inline distT="0" distB="0" distL="0" distR="0" wp14:anchorId="0A42CD77" wp14:editId="270BECBD">
            <wp:extent cx="6062980" cy="2205029"/>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62980" cy="2205029"/>
                    </a:xfrm>
                    <a:prstGeom prst="rect">
                      <a:avLst/>
                    </a:prstGeom>
                    <a:noFill/>
                    <a:ln>
                      <a:noFill/>
                    </a:ln>
                  </pic:spPr>
                </pic:pic>
              </a:graphicData>
            </a:graphic>
          </wp:inline>
        </w:drawing>
      </w:r>
    </w:p>
    <w:p w14:paraId="5E48588C" w14:textId="77777777" w:rsidR="00FC48AC" w:rsidRDefault="00FC48AC" w:rsidP="00DC4CE3">
      <w:pPr>
        <w:pStyle w:val="Prrafodelista"/>
        <w:ind w:left="1222" w:right="-427"/>
        <w:jc w:val="both"/>
        <w:rPr>
          <w:color w:val="000000"/>
          <w:sz w:val="16"/>
          <w:szCs w:val="16"/>
          <w:lang w:val="es-AR"/>
        </w:rPr>
      </w:pPr>
    </w:p>
    <w:p w14:paraId="2A134530" w14:textId="77777777" w:rsidR="00064C00" w:rsidRDefault="00064C00" w:rsidP="00DC4CE3">
      <w:pPr>
        <w:pStyle w:val="Prrafodelista"/>
        <w:ind w:left="1222" w:right="-427"/>
        <w:jc w:val="both"/>
        <w:rPr>
          <w:color w:val="000000"/>
          <w:sz w:val="16"/>
          <w:szCs w:val="16"/>
          <w:lang w:val="es-AR"/>
        </w:rPr>
      </w:pPr>
    </w:p>
    <w:p w14:paraId="3C5BB361" w14:textId="49771B97" w:rsidR="00E2117F" w:rsidRPr="00AA5DD2" w:rsidRDefault="00923BCE" w:rsidP="0060229B">
      <w:pPr>
        <w:pStyle w:val="Prrafodelista"/>
        <w:numPr>
          <w:ilvl w:val="0"/>
          <w:numId w:val="26"/>
        </w:numPr>
        <w:spacing w:before="120" w:after="120"/>
        <w:ind w:left="697" w:right="-425" w:hanging="357"/>
        <w:jc w:val="both"/>
        <w:rPr>
          <w:b/>
          <w:sz w:val="20"/>
          <w:szCs w:val="20"/>
        </w:rPr>
      </w:pPr>
      <w:r w:rsidRPr="00AA5DD2">
        <w:rPr>
          <w:b/>
          <w:sz w:val="20"/>
          <w:szCs w:val="20"/>
        </w:rPr>
        <w:t xml:space="preserve">Propiedad </w:t>
      </w:r>
      <w:r w:rsidR="00E2117F" w:rsidRPr="00AA5DD2">
        <w:rPr>
          <w:b/>
          <w:sz w:val="20"/>
          <w:szCs w:val="20"/>
        </w:rPr>
        <w:t>y equipo</w:t>
      </w:r>
    </w:p>
    <w:p w14:paraId="033AAE24" w14:textId="2E73D267" w:rsidR="00504A05" w:rsidRDefault="00B71D48" w:rsidP="00D250DF">
      <w:pPr>
        <w:pStyle w:val="Prrafodelista"/>
        <w:ind w:left="607" w:right="-427"/>
        <w:jc w:val="both"/>
        <w:rPr>
          <w:b/>
          <w:sz w:val="20"/>
          <w:szCs w:val="20"/>
          <w:lang w:val="es-AR"/>
        </w:rPr>
      </w:pPr>
      <w:r w:rsidRPr="005F1F0A">
        <w:rPr>
          <w:b/>
          <w:sz w:val="20"/>
          <w:szCs w:val="20"/>
          <w:lang w:val="es-AR"/>
        </w:rPr>
        <w:tab/>
      </w:r>
      <w:r w:rsidR="001C18B9" w:rsidRPr="001C18B9">
        <w:rPr>
          <w:noProof/>
          <w:lang w:val="es-AR" w:eastAsia="es-AR"/>
        </w:rPr>
        <w:drawing>
          <wp:inline distT="0" distB="0" distL="0" distR="0" wp14:anchorId="1CCE399E" wp14:editId="0F85CE34">
            <wp:extent cx="6062980" cy="1500584"/>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62980" cy="1500584"/>
                    </a:xfrm>
                    <a:prstGeom prst="rect">
                      <a:avLst/>
                    </a:prstGeom>
                    <a:noFill/>
                    <a:ln>
                      <a:noFill/>
                    </a:ln>
                  </pic:spPr>
                </pic:pic>
              </a:graphicData>
            </a:graphic>
          </wp:inline>
        </w:drawing>
      </w:r>
    </w:p>
    <w:p w14:paraId="7D881A21" w14:textId="77777777" w:rsidR="00CD300F" w:rsidRPr="005F1F0A" w:rsidRDefault="00CD300F" w:rsidP="00D250DF">
      <w:pPr>
        <w:pStyle w:val="Prrafodelista"/>
        <w:ind w:left="607" w:right="-427"/>
        <w:jc w:val="both"/>
        <w:rPr>
          <w:b/>
          <w:sz w:val="20"/>
          <w:szCs w:val="20"/>
          <w:lang w:val="es-AR"/>
        </w:rPr>
      </w:pPr>
    </w:p>
    <w:p w14:paraId="52C5EB08" w14:textId="059B70AD" w:rsidR="004944DF" w:rsidRPr="005F1F0A" w:rsidRDefault="004944DF" w:rsidP="008860A8">
      <w:pPr>
        <w:pStyle w:val="Prrafodelista"/>
        <w:ind w:left="700" w:right="50"/>
        <w:jc w:val="both"/>
        <w:rPr>
          <w:sz w:val="20"/>
          <w:szCs w:val="20"/>
          <w:lang w:val="es-AR"/>
        </w:rPr>
      </w:pPr>
      <w:r w:rsidRPr="005F1F0A">
        <w:rPr>
          <w:sz w:val="20"/>
          <w:szCs w:val="20"/>
          <w:lang w:val="es-AR"/>
        </w:rPr>
        <w:t>El detalle de la información sobre activos y pasivos por arrendamiento</w:t>
      </w:r>
      <w:r w:rsidR="00385308" w:rsidRPr="005F1F0A">
        <w:rPr>
          <w:sz w:val="20"/>
          <w:szCs w:val="20"/>
          <w:lang w:val="es-AR"/>
        </w:rPr>
        <w:t>s</w:t>
      </w:r>
      <w:r w:rsidRPr="005F1F0A">
        <w:rPr>
          <w:sz w:val="20"/>
          <w:szCs w:val="20"/>
          <w:lang w:val="es-AR"/>
        </w:rPr>
        <w:t xml:space="preserve"> así como los intereses y diferencia de cotización reconocidos en resultado se revela en Nota </w:t>
      </w:r>
      <w:r w:rsidR="000B044A" w:rsidRPr="005F1F0A">
        <w:rPr>
          <w:sz w:val="20"/>
          <w:szCs w:val="20"/>
          <w:lang w:val="es-AR"/>
        </w:rPr>
        <w:t>25</w:t>
      </w:r>
      <w:r w:rsidRPr="005F1F0A">
        <w:rPr>
          <w:sz w:val="20"/>
          <w:szCs w:val="20"/>
          <w:lang w:val="es-AR"/>
        </w:rPr>
        <w:t xml:space="preserve"> a los </w:t>
      </w:r>
      <w:r w:rsidR="000B044A" w:rsidRPr="005F1F0A">
        <w:rPr>
          <w:sz w:val="20"/>
          <w:szCs w:val="20"/>
          <w:lang w:val="es-AR"/>
        </w:rPr>
        <w:t xml:space="preserve">presentes </w:t>
      </w:r>
      <w:r w:rsidRPr="005F1F0A">
        <w:rPr>
          <w:sz w:val="20"/>
          <w:szCs w:val="20"/>
          <w:lang w:val="es-AR"/>
        </w:rPr>
        <w:t>estados financieros</w:t>
      </w:r>
      <w:r w:rsidR="003B7F8B" w:rsidRPr="005F1F0A">
        <w:rPr>
          <w:sz w:val="20"/>
          <w:szCs w:val="20"/>
          <w:lang w:val="es-AR"/>
        </w:rPr>
        <w:t xml:space="preserve"> </w:t>
      </w:r>
      <w:r w:rsidR="00F73248">
        <w:rPr>
          <w:sz w:val="20"/>
          <w:szCs w:val="20"/>
          <w:lang w:val="es-AR"/>
        </w:rPr>
        <w:t xml:space="preserve">intermedios </w:t>
      </w:r>
      <w:r w:rsidR="000B044A" w:rsidRPr="005F1F0A">
        <w:rPr>
          <w:sz w:val="20"/>
          <w:szCs w:val="20"/>
          <w:lang w:val="es-AR"/>
        </w:rPr>
        <w:t>separados</w:t>
      </w:r>
      <w:r w:rsidR="00F73248">
        <w:rPr>
          <w:sz w:val="20"/>
          <w:szCs w:val="20"/>
          <w:lang w:val="es-AR"/>
        </w:rPr>
        <w:t xml:space="preserve"> condensados</w:t>
      </w:r>
      <w:r w:rsidR="000E3D93" w:rsidRPr="005F1F0A">
        <w:rPr>
          <w:sz w:val="20"/>
          <w:szCs w:val="20"/>
          <w:lang w:val="es-AR"/>
        </w:rPr>
        <w:t>.</w:t>
      </w:r>
    </w:p>
    <w:p w14:paraId="0CFB3835" w14:textId="77777777" w:rsidR="00045152" w:rsidRDefault="00045152" w:rsidP="00660E12">
      <w:pPr>
        <w:pStyle w:val="Prrafodelista"/>
        <w:ind w:left="700" w:right="192"/>
        <w:jc w:val="both"/>
        <w:rPr>
          <w:sz w:val="20"/>
          <w:szCs w:val="20"/>
          <w:lang w:val="es-AR"/>
        </w:rPr>
      </w:pPr>
    </w:p>
    <w:p w14:paraId="7CC8C9EB" w14:textId="77777777" w:rsidR="001C18B9" w:rsidRDefault="001C18B9" w:rsidP="00660E12">
      <w:pPr>
        <w:pStyle w:val="Prrafodelista"/>
        <w:ind w:left="700" w:right="192"/>
        <w:jc w:val="both"/>
        <w:rPr>
          <w:sz w:val="20"/>
          <w:szCs w:val="20"/>
          <w:lang w:val="es-AR"/>
        </w:rPr>
      </w:pPr>
    </w:p>
    <w:p w14:paraId="3EA3D0A7" w14:textId="706CE963" w:rsidR="00E2117F" w:rsidRPr="00AA5DD2" w:rsidRDefault="00E2117F" w:rsidP="009F1A99">
      <w:pPr>
        <w:pStyle w:val="Prrafodelista"/>
        <w:numPr>
          <w:ilvl w:val="0"/>
          <w:numId w:val="26"/>
        </w:numPr>
        <w:ind w:right="-427"/>
        <w:jc w:val="both"/>
        <w:rPr>
          <w:b/>
          <w:sz w:val="20"/>
          <w:szCs w:val="20"/>
        </w:rPr>
      </w:pPr>
      <w:r w:rsidRPr="00AA5DD2">
        <w:rPr>
          <w:b/>
          <w:sz w:val="20"/>
          <w:szCs w:val="20"/>
        </w:rPr>
        <w:t>Activos intangibles</w:t>
      </w:r>
    </w:p>
    <w:p w14:paraId="1A1BA505" w14:textId="77777777" w:rsidR="00A3154B" w:rsidRPr="00A3154B" w:rsidRDefault="00A3154B" w:rsidP="00A3154B">
      <w:pPr>
        <w:pStyle w:val="Prrafodelista"/>
        <w:ind w:left="700" w:right="-427"/>
        <w:jc w:val="both"/>
        <w:rPr>
          <w:b/>
          <w:sz w:val="20"/>
          <w:szCs w:val="20"/>
          <w:highlight w:val="green"/>
        </w:rPr>
      </w:pPr>
    </w:p>
    <w:p w14:paraId="645E6190" w14:textId="6F9B1738" w:rsidR="00A3154B" w:rsidRPr="009171D9" w:rsidRDefault="00372BD0" w:rsidP="00FD013D">
      <w:pPr>
        <w:pStyle w:val="Prrafodelista"/>
        <w:ind w:left="567" w:right="50"/>
        <w:rPr>
          <w:sz w:val="20"/>
          <w:szCs w:val="20"/>
        </w:rPr>
      </w:pPr>
      <w:r w:rsidRPr="00372BD0">
        <w:rPr>
          <w:noProof/>
          <w:lang w:val="es-AR" w:eastAsia="es-AR"/>
        </w:rPr>
        <w:drawing>
          <wp:inline distT="0" distB="0" distL="0" distR="0" wp14:anchorId="6F020B67" wp14:editId="1B445591">
            <wp:extent cx="6062980" cy="747138"/>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62980" cy="747138"/>
                    </a:xfrm>
                    <a:prstGeom prst="rect">
                      <a:avLst/>
                    </a:prstGeom>
                    <a:noFill/>
                    <a:ln>
                      <a:noFill/>
                    </a:ln>
                  </pic:spPr>
                </pic:pic>
              </a:graphicData>
            </a:graphic>
          </wp:inline>
        </w:drawing>
      </w:r>
    </w:p>
    <w:p w14:paraId="09B571A5" w14:textId="77777777" w:rsidR="00AB4E19" w:rsidRDefault="00AB4E19" w:rsidP="003D415B">
      <w:pPr>
        <w:pStyle w:val="Prrafodelista"/>
        <w:ind w:left="851" w:right="50" w:hanging="142"/>
        <w:rPr>
          <w:sz w:val="20"/>
          <w:szCs w:val="20"/>
        </w:rPr>
      </w:pPr>
    </w:p>
    <w:p w14:paraId="4A8317F2" w14:textId="77777777" w:rsidR="0047532C" w:rsidRPr="00110E8B" w:rsidRDefault="0047532C" w:rsidP="003D415B">
      <w:pPr>
        <w:pStyle w:val="Prrafodelista"/>
        <w:ind w:left="851" w:right="50" w:hanging="142"/>
        <w:rPr>
          <w:sz w:val="20"/>
          <w:szCs w:val="20"/>
        </w:rPr>
      </w:pPr>
    </w:p>
    <w:p w14:paraId="35CAB7E0" w14:textId="77777777" w:rsidR="00E2117F" w:rsidRDefault="00E2117F" w:rsidP="009F1A99">
      <w:pPr>
        <w:pStyle w:val="Prrafodelista"/>
        <w:numPr>
          <w:ilvl w:val="0"/>
          <w:numId w:val="26"/>
        </w:numPr>
        <w:ind w:right="-427"/>
        <w:jc w:val="both"/>
        <w:rPr>
          <w:b/>
          <w:sz w:val="20"/>
          <w:szCs w:val="20"/>
          <w:lang w:val="es-AR"/>
        </w:rPr>
      </w:pPr>
      <w:r w:rsidRPr="00AA5DD2">
        <w:rPr>
          <w:b/>
          <w:sz w:val="20"/>
          <w:szCs w:val="20"/>
          <w:lang w:val="es-AR"/>
        </w:rPr>
        <w:t>Otros activos no financieros</w:t>
      </w:r>
    </w:p>
    <w:p w14:paraId="3F2AF797" w14:textId="77777777" w:rsidR="001F5262" w:rsidRPr="00AA5DD2" w:rsidRDefault="001F5262" w:rsidP="001F5262">
      <w:pPr>
        <w:pStyle w:val="Prrafodelista"/>
        <w:ind w:left="700" w:right="-427"/>
        <w:jc w:val="both"/>
        <w:rPr>
          <w:b/>
          <w:sz w:val="20"/>
          <w:szCs w:val="20"/>
          <w:lang w:val="es-AR"/>
        </w:rPr>
      </w:pPr>
    </w:p>
    <w:p w14:paraId="6A0106BC" w14:textId="7A35A4A4" w:rsidR="00DE0AEB" w:rsidRPr="00DD25F9" w:rsidRDefault="00372BD0" w:rsidP="001F5262">
      <w:pPr>
        <w:ind w:left="567" w:right="282"/>
        <w:jc w:val="both"/>
        <w:rPr>
          <w:rFonts w:ascii="Times New Roman" w:hAnsi="Times New Roman"/>
          <w:noProof/>
          <w:sz w:val="20"/>
          <w:lang w:eastAsia="es-AR"/>
        </w:rPr>
      </w:pPr>
      <w:r w:rsidRPr="00372BD0">
        <w:rPr>
          <w:noProof/>
          <w:lang w:eastAsia="es-AR"/>
        </w:rPr>
        <w:drawing>
          <wp:inline distT="0" distB="0" distL="0" distR="0" wp14:anchorId="0DC79C18" wp14:editId="279369C1">
            <wp:extent cx="6062980" cy="1780033"/>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62980" cy="1780033"/>
                    </a:xfrm>
                    <a:prstGeom prst="rect">
                      <a:avLst/>
                    </a:prstGeom>
                    <a:noFill/>
                    <a:ln>
                      <a:noFill/>
                    </a:ln>
                  </pic:spPr>
                </pic:pic>
              </a:graphicData>
            </a:graphic>
          </wp:inline>
        </w:drawing>
      </w:r>
    </w:p>
    <w:p w14:paraId="3DA07034" w14:textId="557367CC" w:rsidR="00E2117F" w:rsidRDefault="00E2117F" w:rsidP="00D250DF">
      <w:pPr>
        <w:ind w:left="607" w:right="282"/>
        <w:jc w:val="both"/>
        <w:rPr>
          <w:rFonts w:ascii="Times New Roman" w:hAnsi="Times New Roman"/>
          <w:color w:val="000000"/>
          <w:sz w:val="20"/>
        </w:rPr>
      </w:pPr>
    </w:p>
    <w:p w14:paraId="0B356980" w14:textId="1CDFD4D9" w:rsidR="00D87D4D" w:rsidRPr="00DD25F9" w:rsidRDefault="00D87D4D" w:rsidP="00AB4E19">
      <w:pPr>
        <w:ind w:left="709"/>
        <w:jc w:val="both"/>
        <w:rPr>
          <w:rFonts w:ascii="Times New Roman" w:hAnsi="Times New Roman"/>
          <w:color w:val="000000"/>
          <w:sz w:val="20"/>
        </w:rPr>
      </w:pPr>
      <w:r w:rsidRPr="00DD25F9">
        <w:rPr>
          <w:rFonts w:ascii="Times New Roman" w:hAnsi="Times New Roman"/>
          <w:color w:val="000000"/>
          <w:sz w:val="20"/>
        </w:rPr>
        <w:lastRenderedPageBreak/>
        <w:t>Las propiedades de inversión incluyen una serie de inmuebles que son arrendados a terceros. El plazo promedio de los arrendamientos es 6 años. Las renovaciones posteriores son negociadas con el arrendatario. El Grupo ha clasificado estos arrendamientos como arrendamientos operativos ya que no transfieren sustancialmente todos los riesgos y ventajas inherentes a la propiedad de los activos. Los ingresos procedentes del arrendamiento se reconocen en el rubro “Otros ingresos operativos” de forma lineal a lo largo del plazo del arrendamiento.</w:t>
      </w:r>
    </w:p>
    <w:p w14:paraId="1B1D0661" w14:textId="77777777" w:rsidR="00D87D4D" w:rsidRDefault="00D87D4D" w:rsidP="00D87D4D">
      <w:pPr>
        <w:ind w:left="567"/>
        <w:jc w:val="both"/>
        <w:rPr>
          <w:rFonts w:ascii="Times New Roman" w:hAnsi="Times New Roman"/>
          <w:color w:val="000000"/>
          <w:sz w:val="20"/>
        </w:rPr>
      </w:pPr>
    </w:p>
    <w:p w14:paraId="43686066" w14:textId="77777777" w:rsidR="00C110AD" w:rsidRPr="00DD25F9" w:rsidRDefault="00C110AD" w:rsidP="00D87D4D">
      <w:pPr>
        <w:ind w:left="567"/>
        <w:jc w:val="both"/>
        <w:rPr>
          <w:rFonts w:ascii="Times New Roman" w:hAnsi="Times New Roman"/>
          <w:color w:val="000000"/>
          <w:sz w:val="20"/>
        </w:rPr>
      </w:pPr>
    </w:p>
    <w:p w14:paraId="551EF3F8" w14:textId="77777777" w:rsidR="00E2117F" w:rsidRPr="00AA5DD2" w:rsidRDefault="00E2117F" w:rsidP="009F1A99">
      <w:pPr>
        <w:pStyle w:val="Prrafodelista"/>
        <w:numPr>
          <w:ilvl w:val="0"/>
          <w:numId w:val="26"/>
        </w:numPr>
        <w:ind w:right="-1"/>
        <w:jc w:val="both"/>
        <w:rPr>
          <w:b/>
          <w:sz w:val="20"/>
          <w:szCs w:val="20"/>
          <w:lang w:val="es-AR"/>
        </w:rPr>
      </w:pPr>
      <w:r w:rsidRPr="00AA5DD2">
        <w:rPr>
          <w:b/>
          <w:sz w:val="20"/>
          <w:szCs w:val="20"/>
          <w:lang w:val="es-AR"/>
        </w:rPr>
        <w:t>Activos no corrientes mantenidos para la venta</w:t>
      </w:r>
    </w:p>
    <w:p w14:paraId="7281A398" w14:textId="77777777" w:rsidR="0080194E" w:rsidRPr="00110E8B" w:rsidRDefault="0080194E" w:rsidP="0080194E">
      <w:pPr>
        <w:pStyle w:val="Prrafodelista"/>
        <w:ind w:left="700" w:right="-1"/>
        <w:jc w:val="both"/>
        <w:rPr>
          <w:b/>
          <w:sz w:val="20"/>
          <w:szCs w:val="20"/>
          <w:lang w:val="es-AR"/>
        </w:rPr>
      </w:pPr>
    </w:p>
    <w:p w14:paraId="32C61C3C" w14:textId="2AC96E89" w:rsidR="000244E1" w:rsidRDefault="0054483E" w:rsidP="0054483E">
      <w:pPr>
        <w:pStyle w:val="Prrafodelista"/>
        <w:ind w:left="709" w:right="-91"/>
        <w:jc w:val="both"/>
        <w:rPr>
          <w:sz w:val="20"/>
          <w:szCs w:val="20"/>
          <w:lang w:val="es-AR" w:eastAsia="es-ES"/>
        </w:rPr>
      </w:pPr>
      <w:r w:rsidRPr="00781BAE">
        <w:rPr>
          <w:sz w:val="20"/>
          <w:szCs w:val="20"/>
          <w:lang w:val="es-AR" w:eastAsia="es-ES"/>
        </w:rPr>
        <w:t xml:space="preserve">Incluye cierto grupo de inmuebles ubicados </w:t>
      </w:r>
      <w:r w:rsidR="005B1B6A">
        <w:rPr>
          <w:sz w:val="20"/>
          <w:szCs w:val="20"/>
          <w:lang w:val="es-AR" w:eastAsia="es-ES"/>
        </w:rPr>
        <w:t xml:space="preserve">en la República Argentina, los cuales </w:t>
      </w:r>
      <w:r w:rsidRPr="00781BAE">
        <w:rPr>
          <w:sz w:val="20"/>
          <w:szCs w:val="20"/>
          <w:lang w:val="es-AR" w:eastAsia="es-ES"/>
        </w:rPr>
        <w:t>el Directorio de la Entidad se comprometió a vender en el corto plazo.</w:t>
      </w:r>
    </w:p>
    <w:p w14:paraId="4E255A23" w14:textId="77777777" w:rsidR="00CD300F" w:rsidRDefault="00CD300F" w:rsidP="0054483E">
      <w:pPr>
        <w:pStyle w:val="Prrafodelista"/>
        <w:ind w:left="709" w:right="-91"/>
        <w:jc w:val="both"/>
        <w:rPr>
          <w:sz w:val="20"/>
          <w:szCs w:val="20"/>
          <w:lang w:val="es-AR" w:eastAsia="es-ES"/>
        </w:rPr>
      </w:pPr>
    </w:p>
    <w:p w14:paraId="0ADB80D5" w14:textId="77777777" w:rsidR="003E402D" w:rsidRDefault="003E402D" w:rsidP="0054483E">
      <w:pPr>
        <w:pStyle w:val="Prrafodelista"/>
        <w:ind w:left="709" w:right="-91"/>
        <w:jc w:val="both"/>
        <w:rPr>
          <w:sz w:val="20"/>
          <w:szCs w:val="20"/>
          <w:lang w:val="es-AR" w:eastAsia="es-ES"/>
        </w:rPr>
      </w:pPr>
    </w:p>
    <w:p w14:paraId="3196742E" w14:textId="1754FA5C" w:rsidR="00A3154B" w:rsidRDefault="00C110AD" w:rsidP="00372BD0">
      <w:pPr>
        <w:pStyle w:val="Prrafodelista"/>
        <w:ind w:left="607" w:right="-91"/>
        <w:jc w:val="both"/>
        <w:rPr>
          <w:sz w:val="20"/>
          <w:szCs w:val="20"/>
          <w:lang w:val="es-AR" w:eastAsia="es-ES"/>
        </w:rPr>
      </w:pPr>
      <w:r w:rsidRPr="00C110AD">
        <w:rPr>
          <w:noProof/>
          <w:lang w:val="es-AR" w:eastAsia="es-AR"/>
        </w:rPr>
        <w:drawing>
          <wp:inline distT="0" distB="0" distL="0" distR="0" wp14:anchorId="6B017686" wp14:editId="5D4CCEED">
            <wp:extent cx="6120765" cy="82772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20765" cy="827726"/>
                    </a:xfrm>
                    <a:prstGeom prst="rect">
                      <a:avLst/>
                    </a:prstGeom>
                    <a:noFill/>
                    <a:ln>
                      <a:noFill/>
                    </a:ln>
                  </pic:spPr>
                </pic:pic>
              </a:graphicData>
            </a:graphic>
          </wp:inline>
        </w:drawing>
      </w:r>
    </w:p>
    <w:p w14:paraId="714E9BE2" w14:textId="77777777" w:rsidR="00C15CB6" w:rsidRDefault="00C15CB6" w:rsidP="0054483E">
      <w:pPr>
        <w:pStyle w:val="Prrafodelista"/>
        <w:ind w:left="709" w:right="-91"/>
        <w:jc w:val="both"/>
        <w:rPr>
          <w:sz w:val="20"/>
          <w:szCs w:val="20"/>
          <w:lang w:val="es-AR" w:eastAsia="es-ES"/>
        </w:rPr>
      </w:pPr>
    </w:p>
    <w:p w14:paraId="00EFCEC1" w14:textId="77777777" w:rsidR="003E402D" w:rsidRPr="0054483E" w:rsidRDefault="003E402D" w:rsidP="0054483E">
      <w:pPr>
        <w:pStyle w:val="Prrafodelista"/>
        <w:ind w:left="709" w:right="-91"/>
        <w:jc w:val="both"/>
        <w:rPr>
          <w:sz w:val="20"/>
          <w:szCs w:val="20"/>
          <w:lang w:val="es-AR" w:eastAsia="es-ES"/>
        </w:rPr>
      </w:pPr>
    </w:p>
    <w:p w14:paraId="041E033A" w14:textId="77777777" w:rsidR="00E2117F" w:rsidRPr="00C110AD" w:rsidRDefault="00E2117F" w:rsidP="009F1A99">
      <w:pPr>
        <w:pStyle w:val="Prrafodelista"/>
        <w:numPr>
          <w:ilvl w:val="0"/>
          <w:numId w:val="26"/>
        </w:numPr>
        <w:tabs>
          <w:tab w:val="left" w:pos="851"/>
        </w:tabs>
        <w:ind w:right="-427"/>
        <w:jc w:val="both"/>
        <w:rPr>
          <w:b/>
          <w:sz w:val="20"/>
          <w:szCs w:val="20"/>
        </w:rPr>
      </w:pPr>
      <w:r w:rsidRPr="00C110AD">
        <w:rPr>
          <w:b/>
          <w:sz w:val="20"/>
          <w:szCs w:val="20"/>
        </w:rPr>
        <w:t>Depósitos</w:t>
      </w:r>
    </w:p>
    <w:p w14:paraId="0E6E7149" w14:textId="77777777" w:rsidR="00E2117F" w:rsidRPr="00110E8B" w:rsidRDefault="00E2117F" w:rsidP="00E2117F">
      <w:pPr>
        <w:tabs>
          <w:tab w:val="left" w:pos="851"/>
        </w:tabs>
        <w:ind w:right="-427"/>
        <w:jc w:val="both"/>
        <w:rPr>
          <w:rFonts w:ascii="Times New Roman" w:hAnsi="Times New Roman"/>
          <w:b/>
          <w:sz w:val="20"/>
        </w:rPr>
      </w:pPr>
    </w:p>
    <w:p w14:paraId="34F9138C" w14:textId="674A3DE7" w:rsidR="003F6D02" w:rsidRDefault="00E2117F" w:rsidP="00E2117F">
      <w:pPr>
        <w:pStyle w:val="Prrafodelista"/>
        <w:ind w:left="709" w:right="141"/>
        <w:jc w:val="both"/>
        <w:rPr>
          <w:sz w:val="20"/>
          <w:szCs w:val="20"/>
          <w:lang w:val="es-AR" w:eastAsia="es-ES"/>
        </w:rPr>
      </w:pPr>
      <w:r w:rsidRPr="00110E8B">
        <w:rPr>
          <w:sz w:val="20"/>
          <w:szCs w:val="20"/>
          <w:lang w:val="es-AR" w:eastAsia="es-ES"/>
        </w:rPr>
        <w:t>La información sobre concentración de depósitos se presenta en el Anexo H. La composición del rubro es la siguiente:</w:t>
      </w:r>
    </w:p>
    <w:p w14:paraId="577C8690" w14:textId="77777777" w:rsidR="00C4031C" w:rsidRDefault="00C4031C" w:rsidP="00E2117F">
      <w:pPr>
        <w:pStyle w:val="Prrafodelista"/>
        <w:ind w:left="709" w:right="141"/>
        <w:jc w:val="both"/>
        <w:rPr>
          <w:sz w:val="20"/>
          <w:szCs w:val="20"/>
          <w:lang w:val="es-AR" w:eastAsia="es-ES"/>
        </w:rPr>
      </w:pPr>
    </w:p>
    <w:p w14:paraId="1CC78F71" w14:textId="3E57119F" w:rsidR="003856CC" w:rsidRPr="00110E8B" w:rsidRDefault="00C110AD" w:rsidP="00A3154B">
      <w:pPr>
        <w:pStyle w:val="Prrafodelista"/>
        <w:ind w:left="709" w:right="141"/>
        <w:jc w:val="both"/>
        <w:rPr>
          <w:sz w:val="20"/>
          <w:szCs w:val="20"/>
          <w:lang w:val="es-AR" w:eastAsia="es-ES"/>
        </w:rPr>
      </w:pPr>
      <w:r w:rsidRPr="00C110AD">
        <w:rPr>
          <w:noProof/>
          <w:lang w:val="es-AR" w:eastAsia="es-AR"/>
        </w:rPr>
        <w:drawing>
          <wp:inline distT="0" distB="0" distL="0" distR="0" wp14:anchorId="236E3A3D" wp14:editId="66AB54AE">
            <wp:extent cx="6120765" cy="17969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20765" cy="1796998"/>
                    </a:xfrm>
                    <a:prstGeom prst="rect">
                      <a:avLst/>
                    </a:prstGeom>
                    <a:noFill/>
                    <a:ln>
                      <a:noFill/>
                    </a:ln>
                  </pic:spPr>
                </pic:pic>
              </a:graphicData>
            </a:graphic>
          </wp:inline>
        </w:drawing>
      </w:r>
    </w:p>
    <w:p w14:paraId="7B752220" w14:textId="77777777" w:rsidR="00FA1420" w:rsidRDefault="00FA1420" w:rsidP="008C5121">
      <w:pPr>
        <w:pStyle w:val="Prrafodelista"/>
        <w:ind w:left="607" w:right="141"/>
        <w:jc w:val="both"/>
        <w:rPr>
          <w:sz w:val="20"/>
          <w:szCs w:val="20"/>
          <w:lang w:val="es-AR" w:eastAsia="es-ES"/>
        </w:rPr>
      </w:pPr>
    </w:p>
    <w:p w14:paraId="69E613F3" w14:textId="77777777" w:rsidR="003E402D" w:rsidRDefault="003E402D" w:rsidP="008C5121">
      <w:pPr>
        <w:pStyle w:val="Prrafodelista"/>
        <w:ind w:left="607" w:right="141"/>
        <w:jc w:val="both"/>
        <w:rPr>
          <w:sz w:val="20"/>
          <w:szCs w:val="20"/>
          <w:lang w:val="es-AR" w:eastAsia="es-ES"/>
        </w:rPr>
      </w:pPr>
    </w:p>
    <w:p w14:paraId="3A984B1D" w14:textId="77777777" w:rsidR="003E402D" w:rsidRDefault="003E402D" w:rsidP="008C5121">
      <w:pPr>
        <w:pStyle w:val="Prrafodelista"/>
        <w:ind w:left="607" w:right="141"/>
        <w:jc w:val="both"/>
        <w:rPr>
          <w:sz w:val="20"/>
          <w:szCs w:val="20"/>
          <w:lang w:val="es-AR" w:eastAsia="es-ES"/>
        </w:rPr>
      </w:pPr>
    </w:p>
    <w:p w14:paraId="7F865858" w14:textId="77777777" w:rsidR="003E402D" w:rsidRDefault="003E402D" w:rsidP="008C5121">
      <w:pPr>
        <w:pStyle w:val="Prrafodelista"/>
        <w:ind w:left="607" w:right="141"/>
        <w:jc w:val="both"/>
        <w:rPr>
          <w:sz w:val="20"/>
          <w:szCs w:val="20"/>
          <w:lang w:val="es-AR" w:eastAsia="es-ES"/>
        </w:rPr>
      </w:pPr>
    </w:p>
    <w:p w14:paraId="5FF82CBD" w14:textId="77777777" w:rsidR="003E402D" w:rsidRDefault="003E402D" w:rsidP="008C5121">
      <w:pPr>
        <w:pStyle w:val="Prrafodelista"/>
        <w:ind w:left="607" w:right="141"/>
        <w:jc w:val="both"/>
        <w:rPr>
          <w:sz w:val="20"/>
          <w:szCs w:val="20"/>
          <w:lang w:val="es-AR" w:eastAsia="es-ES"/>
        </w:rPr>
      </w:pPr>
    </w:p>
    <w:p w14:paraId="4ED949C4" w14:textId="77777777" w:rsidR="003E402D" w:rsidRDefault="003E402D" w:rsidP="008C5121">
      <w:pPr>
        <w:pStyle w:val="Prrafodelista"/>
        <w:ind w:left="607" w:right="141"/>
        <w:jc w:val="both"/>
        <w:rPr>
          <w:sz w:val="20"/>
          <w:szCs w:val="20"/>
          <w:lang w:val="es-AR" w:eastAsia="es-ES"/>
        </w:rPr>
      </w:pPr>
    </w:p>
    <w:p w14:paraId="21724BE3" w14:textId="77777777" w:rsidR="00C15CB6" w:rsidRDefault="00C15CB6" w:rsidP="008C5121">
      <w:pPr>
        <w:pStyle w:val="Prrafodelista"/>
        <w:ind w:left="607" w:right="141"/>
        <w:jc w:val="both"/>
        <w:rPr>
          <w:sz w:val="20"/>
          <w:szCs w:val="20"/>
          <w:lang w:val="es-AR" w:eastAsia="es-ES"/>
        </w:rPr>
      </w:pPr>
    </w:p>
    <w:p w14:paraId="3548603A" w14:textId="6F5AD0D0" w:rsidR="008A2E86" w:rsidRPr="007925F0" w:rsidRDefault="008A2E86" w:rsidP="009F1A99">
      <w:pPr>
        <w:pStyle w:val="Prrafodelista"/>
        <w:numPr>
          <w:ilvl w:val="0"/>
          <w:numId w:val="26"/>
        </w:numPr>
        <w:tabs>
          <w:tab w:val="left" w:pos="851"/>
          <w:tab w:val="left" w:pos="993"/>
        </w:tabs>
        <w:ind w:right="-427"/>
        <w:jc w:val="both"/>
        <w:rPr>
          <w:b/>
          <w:sz w:val="20"/>
          <w:szCs w:val="20"/>
          <w:lang w:val="es-AR"/>
        </w:rPr>
      </w:pPr>
      <w:r w:rsidRPr="007925F0">
        <w:rPr>
          <w:b/>
          <w:sz w:val="20"/>
          <w:szCs w:val="20"/>
          <w:lang w:val="es-AR"/>
        </w:rPr>
        <w:t>Pasivos a valor razonable con cambios en resultados</w:t>
      </w:r>
    </w:p>
    <w:p w14:paraId="72839DE9" w14:textId="77777777" w:rsidR="00CA07C4" w:rsidRPr="00110E8B" w:rsidRDefault="00CA07C4" w:rsidP="009216D1">
      <w:pPr>
        <w:pStyle w:val="Prrafodelista"/>
        <w:tabs>
          <w:tab w:val="left" w:pos="851"/>
          <w:tab w:val="left" w:pos="993"/>
          <w:tab w:val="left" w:pos="4395"/>
        </w:tabs>
        <w:ind w:left="700" w:right="-427"/>
        <w:jc w:val="both"/>
        <w:rPr>
          <w:b/>
          <w:sz w:val="20"/>
          <w:szCs w:val="20"/>
          <w:lang w:val="es-AR"/>
        </w:rPr>
      </w:pPr>
    </w:p>
    <w:p w14:paraId="5B2B3E8F" w14:textId="4CD420A1" w:rsidR="005078C8" w:rsidRPr="00110E8B" w:rsidRDefault="00C15CB6" w:rsidP="009216D1">
      <w:pPr>
        <w:pStyle w:val="Prrafodelista"/>
        <w:tabs>
          <w:tab w:val="left" w:pos="851"/>
          <w:tab w:val="left" w:pos="993"/>
          <w:tab w:val="left" w:pos="4395"/>
        </w:tabs>
        <w:ind w:left="700" w:right="-427"/>
        <w:jc w:val="both"/>
        <w:rPr>
          <w:b/>
          <w:sz w:val="20"/>
          <w:szCs w:val="20"/>
          <w:lang w:val="es-AR"/>
        </w:rPr>
      </w:pPr>
      <w:r w:rsidRPr="00C15CB6">
        <w:rPr>
          <w:noProof/>
          <w:lang w:val="es-AR" w:eastAsia="es-AR"/>
        </w:rPr>
        <w:drawing>
          <wp:inline distT="0" distB="0" distL="0" distR="0" wp14:anchorId="00EBFE2F" wp14:editId="55DC7758">
            <wp:extent cx="6120765" cy="75425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20765" cy="754259"/>
                    </a:xfrm>
                    <a:prstGeom prst="rect">
                      <a:avLst/>
                    </a:prstGeom>
                    <a:noFill/>
                    <a:ln>
                      <a:noFill/>
                    </a:ln>
                  </pic:spPr>
                </pic:pic>
              </a:graphicData>
            </a:graphic>
          </wp:inline>
        </w:drawing>
      </w:r>
    </w:p>
    <w:p w14:paraId="6557B062" w14:textId="77777777" w:rsidR="00FC48AC" w:rsidRDefault="00FC48AC" w:rsidP="009216D1">
      <w:pPr>
        <w:pStyle w:val="Prrafodelista"/>
        <w:tabs>
          <w:tab w:val="left" w:pos="851"/>
          <w:tab w:val="left" w:pos="993"/>
          <w:tab w:val="left" w:pos="4395"/>
        </w:tabs>
        <w:ind w:left="700" w:right="-427"/>
        <w:jc w:val="both"/>
        <w:rPr>
          <w:b/>
          <w:sz w:val="20"/>
          <w:szCs w:val="20"/>
          <w:lang w:val="es-AR"/>
        </w:rPr>
      </w:pPr>
    </w:p>
    <w:p w14:paraId="5DE24846" w14:textId="77777777" w:rsidR="00E2117F" w:rsidRPr="007925F0" w:rsidRDefault="00E2117F" w:rsidP="009F1A99">
      <w:pPr>
        <w:pStyle w:val="Prrafodelista"/>
        <w:numPr>
          <w:ilvl w:val="0"/>
          <w:numId w:val="26"/>
        </w:numPr>
        <w:tabs>
          <w:tab w:val="left" w:pos="851"/>
          <w:tab w:val="left" w:pos="993"/>
        </w:tabs>
        <w:ind w:right="-427"/>
        <w:jc w:val="both"/>
        <w:rPr>
          <w:b/>
          <w:sz w:val="20"/>
          <w:szCs w:val="20"/>
        </w:rPr>
      </w:pPr>
      <w:r w:rsidRPr="007925F0">
        <w:rPr>
          <w:b/>
          <w:sz w:val="20"/>
          <w:szCs w:val="20"/>
        </w:rPr>
        <w:t>Otros pasivos financieros</w:t>
      </w:r>
    </w:p>
    <w:p w14:paraId="4919B83B" w14:textId="2FB4A0B8" w:rsidR="003D415B" w:rsidRDefault="003D415B" w:rsidP="00E2117F">
      <w:pPr>
        <w:pStyle w:val="Prrafodelista"/>
        <w:ind w:left="709" w:right="141"/>
        <w:jc w:val="both"/>
        <w:rPr>
          <w:sz w:val="20"/>
          <w:szCs w:val="20"/>
          <w:lang w:val="es-AR" w:eastAsia="es-ES"/>
        </w:rPr>
      </w:pPr>
    </w:p>
    <w:p w14:paraId="0BE5DE03" w14:textId="5684E313" w:rsidR="00A3154B" w:rsidRPr="00110E8B" w:rsidRDefault="003E402D" w:rsidP="00E2117F">
      <w:pPr>
        <w:pStyle w:val="Prrafodelista"/>
        <w:ind w:left="709" w:right="141"/>
        <w:jc w:val="both"/>
        <w:rPr>
          <w:sz w:val="20"/>
          <w:szCs w:val="20"/>
          <w:lang w:val="es-AR" w:eastAsia="es-ES"/>
        </w:rPr>
      </w:pPr>
      <w:r w:rsidRPr="003E402D">
        <w:rPr>
          <w:noProof/>
          <w:lang w:val="es-AR" w:eastAsia="es-AR"/>
        </w:rPr>
        <w:drawing>
          <wp:inline distT="0" distB="0" distL="0" distR="0" wp14:anchorId="7439949D" wp14:editId="05DB4689">
            <wp:extent cx="6120765" cy="1778387"/>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20765" cy="1778387"/>
                    </a:xfrm>
                    <a:prstGeom prst="rect">
                      <a:avLst/>
                    </a:prstGeom>
                    <a:noFill/>
                    <a:ln>
                      <a:noFill/>
                    </a:ln>
                  </pic:spPr>
                </pic:pic>
              </a:graphicData>
            </a:graphic>
          </wp:inline>
        </w:drawing>
      </w:r>
    </w:p>
    <w:p w14:paraId="0BAFE0CD" w14:textId="77777777" w:rsidR="00D87D4D" w:rsidRDefault="00D87D4D" w:rsidP="00E2117F">
      <w:pPr>
        <w:pStyle w:val="Prrafodelista"/>
        <w:ind w:left="709" w:right="141"/>
        <w:jc w:val="both"/>
        <w:rPr>
          <w:sz w:val="20"/>
          <w:szCs w:val="20"/>
          <w:lang w:val="es-AR" w:eastAsia="es-ES"/>
        </w:rPr>
      </w:pPr>
    </w:p>
    <w:p w14:paraId="735B0F21" w14:textId="77777777" w:rsidR="00DC29BF" w:rsidRPr="00110E8B" w:rsidRDefault="00DC29BF" w:rsidP="00E2117F">
      <w:pPr>
        <w:pStyle w:val="Prrafodelista"/>
        <w:ind w:left="709" w:right="141"/>
        <w:jc w:val="both"/>
        <w:rPr>
          <w:sz w:val="20"/>
          <w:szCs w:val="20"/>
          <w:lang w:val="es-AR" w:eastAsia="es-ES"/>
        </w:rPr>
      </w:pPr>
    </w:p>
    <w:p w14:paraId="5D653EC0" w14:textId="471E70C9" w:rsidR="00E2117F" w:rsidRDefault="00E2117F" w:rsidP="009F1A99">
      <w:pPr>
        <w:pStyle w:val="Prrafodelista"/>
        <w:numPr>
          <w:ilvl w:val="0"/>
          <w:numId w:val="26"/>
        </w:numPr>
        <w:tabs>
          <w:tab w:val="left" w:pos="851"/>
          <w:tab w:val="left" w:pos="993"/>
        </w:tabs>
        <w:ind w:right="-427"/>
        <w:jc w:val="both"/>
        <w:rPr>
          <w:b/>
          <w:sz w:val="20"/>
          <w:szCs w:val="20"/>
          <w:lang w:val="es-AR"/>
        </w:rPr>
      </w:pPr>
      <w:r w:rsidRPr="004B5A24">
        <w:rPr>
          <w:b/>
          <w:sz w:val="20"/>
          <w:szCs w:val="20"/>
          <w:lang w:val="es-AR"/>
        </w:rPr>
        <w:t>Financiaciones recibidas del B.C.R.A. y otras instituciones financieras</w:t>
      </w:r>
    </w:p>
    <w:p w14:paraId="7790C198" w14:textId="77777777" w:rsidR="0047532C" w:rsidRDefault="0047532C" w:rsidP="0047532C">
      <w:pPr>
        <w:pStyle w:val="Prrafodelista"/>
        <w:tabs>
          <w:tab w:val="left" w:pos="851"/>
          <w:tab w:val="left" w:pos="993"/>
        </w:tabs>
        <w:ind w:left="700" w:right="-427"/>
        <w:jc w:val="both"/>
        <w:rPr>
          <w:b/>
          <w:sz w:val="20"/>
          <w:szCs w:val="20"/>
          <w:lang w:val="es-AR"/>
        </w:rPr>
      </w:pPr>
    </w:p>
    <w:p w14:paraId="20C2FC70" w14:textId="2E601D50" w:rsidR="00DC29BF" w:rsidRDefault="003E402D" w:rsidP="003856CC">
      <w:pPr>
        <w:pStyle w:val="Prrafodelista"/>
        <w:tabs>
          <w:tab w:val="left" w:pos="3765"/>
        </w:tabs>
        <w:ind w:left="700" w:right="-427"/>
        <w:jc w:val="both"/>
        <w:rPr>
          <w:b/>
          <w:sz w:val="20"/>
          <w:szCs w:val="20"/>
          <w:lang w:val="es-AR"/>
        </w:rPr>
      </w:pPr>
      <w:r w:rsidRPr="003E402D">
        <w:rPr>
          <w:noProof/>
          <w:lang w:val="es-AR" w:eastAsia="es-AR"/>
        </w:rPr>
        <w:drawing>
          <wp:inline distT="0" distB="0" distL="0" distR="0" wp14:anchorId="2BB15DFF" wp14:editId="482DA7E5">
            <wp:extent cx="6120765" cy="1139533"/>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20765" cy="1139533"/>
                    </a:xfrm>
                    <a:prstGeom prst="rect">
                      <a:avLst/>
                    </a:prstGeom>
                    <a:noFill/>
                    <a:ln>
                      <a:noFill/>
                    </a:ln>
                  </pic:spPr>
                </pic:pic>
              </a:graphicData>
            </a:graphic>
          </wp:inline>
        </w:drawing>
      </w:r>
    </w:p>
    <w:p w14:paraId="025AFC61" w14:textId="77777777" w:rsidR="0047532C" w:rsidRDefault="0047532C" w:rsidP="003856CC">
      <w:pPr>
        <w:pStyle w:val="Prrafodelista"/>
        <w:tabs>
          <w:tab w:val="left" w:pos="3765"/>
        </w:tabs>
        <w:ind w:left="700" w:right="-427"/>
        <w:jc w:val="both"/>
        <w:rPr>
          <w:b/>
          <w:sz w:val="20"/>
          <w:szCs w:val="20"/>
          <w:lang w:val="es-AR"/>
        </w:rPr>
      </w:pPr>
    </w:p>
    <w:p w14:paraId="7B37A4EA" w14:textId="77777777" w:rsidR="003E402D" w:rsidRDefault="003E402D" w:rsidP="003856CC">
      <w:pPr>
        <w:pStyle w:val="Prrafodelista"/>
        <w:tabs>
          <w:tab w:val="left" w:pos="3765"/>
        </w:tabs>
        <w:ind w:left="700" w:right="-427"/>
        <w:jc w:val="both"/>
        <w:rPr>
          <w:b/>
          <w:sz w:val="20"/>
          <w:szCs w:val="20"/>
          <w:lang w:val="es-AR"/>
        </w:rPr>
      </w:pPr>
    </w:p>
    <w:p w14:paraId="2F910F3A" w14:textId="77777777" w:rsidR="00E2117F" w:rsidRPr="00176154" w:rsidRDefault="00E2117F" w:rsidP="009F1A99">
      <w:pPr>
        <w:pStyle w:val="Prrafodelista"/>
        <w:numPr>
          <w:ilvl w:val="0"/>
          <w:numId w:val="26"/>
        </w:numPr>
        <w:tabs>
          <w:tab w:val="left" w:pos="851"/>
          <w:tab w:val="left" w:pos="993"/>
        </w:tabs>
        <w:ind w:right="-427"/>
        <w:jc w:val="both"/>
        <w:rPr>
          <w:b/>
          <w:sz w:val="20"/>
          <w:szCs w:val="20"/>
        </w:rPr>
      </w:pPr>
      <w:r w:rsidRPr="00176154">
        <w:rPr>
          <w:b/>
          <w:sz w:val="20"/>
          <w:szCs w:val="20"/>
        </w:rPr>
        <w:t>Obligaciones negociables emitidas</w:t>
      </w:r>
    </w:p>
    <w:p w14:paraId="6B01DDD6" w14:textId="77777777" w:rsidR="00E2117F" w:rsidRPr="00110E8B" w:rsidRDefault="00E2117F" w:rsidP="00E2117F">
      <w:pPr>
        <w:ind w:left="862" w:right="-427"/>
        <w:jc w:val="both"/>
        <w:rPr>
          <w:rFonts w:ascii="Times New Roman" w:hAnsi="Times New Roman"/>
          <w:b/>
          <w:sz w:val="20"/>
        </w:rPr>
      </w:pPr>
    </w:p>
    <w:p w14:paraId="521631A6" w14:textId="77777777" w:rsidR="00AE1F0C" w:rsidRPr="00110E8B" w:rsidRDefault="00AE1F0C" w:rsidP="00AE1F0C">
      <w:pPr>
        <w:pStyle w:val="Prrafodelista"/>
        <w:tabs>
          <w:tab w:val="left" w:pos="851"/>
          <w:tab w:val="left" w:pos="993"/>
          <w:tab w:val="left" w:pos="4395"/>
        </w:tabs>
        <w:ind w:left="700" w:right="-427"/>
        <w:jc w:val="both"/>
        <w:rPr>
          <w:b/>
          <w:sz w:val="20"/>
          <w:szCs w:val="20"/>
          <w:lang w:val="es-AR"/>
        </w:rPr>
      </w:pPr>
      <w:r>
        <w:rPr>
          <w:sz w:val="20"/>
          <w:szCs w:val="20"/>
          <w:lang w:val="es-AR" w:eastAsia="es-ES"/>
        </w:rPr>
        <w:t>No se registran operaciones para este período.</w:t>
      </w:r>
    </w:p>
    <w:p w14:paraId="430E90AF" w14:textId="10BE57D9" w:rsidR="00127E19" w:rsidRDefault="00127E19" w:rsidP="004D5F0D">
      <w:pPr>
        <w:tabs>
          <w:tab w:val="left" w:pos="2260"/>
        </w:tabs>
        <w:ind w:left="567" w:right="142"/>
        <w:jc w:val="both"/>
        <w:rPr>
          <w:rFonts w:ascii="Times New Roman" w:hAnsi="Times New Roman"/>
          <w:sz w:val="20"/>
        </w:rPr>
      </w:pPr>
    </w:p>
    <w:p w14:paraId="487FDD22" w14:textId="1E39F128" w:rsidR="00AE1F0C" w:rsidRDefault="00AE1F0C" w:rsidP="00A3154B">
      <w:pPr>
        <w:rPr>
          <w:rFonts w:ascii="Times New Roman" w:hAnsi="Times New Roman"/>
          <w:sz w:val="18"/>
          <w:szCs w:val="18"/>
        </w:rPr>
      </w:pPr>
    </w:p>
    <w:p w14:paraId="21EA2022" w14:textId="77777777" w:rsidR="003E402D" w:rsidRDefault="003E402D" w:rsidP="00A3154B">
      <w:pPr>
        <w:rPr>
          <w:rFonts w:ascii="Times New Roman" w:hAnsi="Times New Roman"/>
          <w:sz w:val="18"/>
          <w:szCs w:val="18"/>
        </w:rPr>
      </w:pPr>
    </w:p>
    <w:p w14:paraId="2DDF7289" w14:textId="77777777" w:rsidR="003E402D" w:rsidRDefault="003E402D" w:rsidP="00A3154B">
      <w:pPr>
        <w:rPr>
          <w:rFonts w:ascii="Times New Roman" w:hAnsi="Times New Roman"/>
          <w:sz w:val="18"/>
          <w:szCs w:val="18"/>
        </w:rPr>
      </w:pPr>
    </w:p>
    <w:p w14:paraId="0DDD3E2F" w14:textId="77777777" w:rsidR="003E402D" w:rsidRPr="009264FA" w:rsidRDefault="003E402D" w:rsidP="00A3154B">
      <w:pPr>
        <w:rPr>
          <w:rFonts w:ascii="Times New Roman" w:hAnsi="Times New Roman"/>
          <w:sz w:val="18"/>
          <w:szCs w:val="18"/>
        </w:rPr>
      </w:pPr>
    </w:p>
    <w:p w14:paraId="1B621AED" w14:textId="77777777" w:rsidR="00E2117F" w:rsidRPr="004B5A24" w:rsidRDefault="00E2117F" w:rsidP="009F1A99">
      <w:pPr>
        <w:pStyle w:val="Prrafodelista"/>
        <w:numPr>
          <w:ilvl w:val="0"/>
          <w:numId w:val="26"/>
        </w:numPr>
        <w:ind w:right="-427"/>
        <w:jc w:val="both"/>
        <w:rPr>
          <w:b/>
          <w:sz w:val="20"/>
          <w:szCs w:val="20"/>
        </w:rPr>
      </w:pPr>
      <w:r w:rsidRPr="004B5A24">
        <w:rPr>
          <w:b/>
          <w:sz w:val="20"/>
          <w:szCs w:val="20"/>
        </w:rPr>
        <w:t>Otros pasivos no financieros</w:t>
      </w:r>
    </w:p>
    <w:p w14:paraId="4FEAD9FB" w14:textId="77777777" w:rsidR="00530417" w:rsidRPr="006405D1" w:rsidRDefault="00530417" w:rsidP="00530417">
      <w:pPr>
        <w:pStyle w:val="Prrafodelista"/>
        <w:ind w:left="700" w:right="-427"/>
        <w:jc w:val="both"/>
        <w:rPr>
          <w:b/>
          <w:sz w:val="20"/>
          <w:szCs w:val="20"/>
        </w:rPr>
      </w:pPr>
    </w:p>
    <w:p w14:paraId="4D995DA6" w14:textId="118F8113" w:rsidR="009244FB" w:rsidRDefault="001C740A" w:rsidP="0047532C">
      <w:pPr>
        <w:ind w:left="709" w:right="-427"/>
        <w:jc w:val="both"/>
        <w:rPr>
          <w:noProof/>
          <w:lang w:eastAsia="es-AR"/>
        </w:rPr>
      </w:pPr>
      <w:r w:rsidRPr="001C740A">
        <w:rPr>
          <w:noProof/>
          <w:lang w:eastAsia="es-AR"/>
        </w:rPr>
        <w:drawing>
          <wp:inline distT="0" distB="0" distL="0" distR="0" wp14:anchorId="1D1726A3" wp14:editId="1A8EE9E4">
            <wp:extent cx="6120765" cy="2092979"/>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20765" cy="2092979"/>
                    </a:xfrm>
                    <a:prstGeom prst="rect">
                      <a:avLst/>
                    </a:prstGeom>
                    <a:noFill/>
                    <a:ln>
                      <a:noFill/>
                    </a:ln>
                  </pic:spPr>
                </pic:pic>
              </a:graphicData>
            </a:graphic>
          </wp:inline>
        </w:drawing>
      </w:r>
    </w:p>
    <w:p w14:paraId="4CAFE971" w14:textId="1A2DF704" w:rsidR="006E4247" w:rsidRDefault="006E4247" w:rsidP="001C740A">
      <w:pPr>
        <w:pStyle w:val="Prrafodelista"/>
        <w:numPr>
          <w:ilvl w:val="0"/>
          <w:numId w:val="45"/>
        </w:numPr>
        <w:ind w:left="1134" w:right="-427" w:hanging="359"/>
        <w:jc w:val="both"/>
        <w:rPr>
          <w:sz w:val="16"/>
          <w:szCs w:val="20"/>
          <w:lang w:val="es-AR"/>
        </w:rPr>
      </w:pPr>
      <w:r w:rsidRPr="002C628F">
        <w:rPr>
          <w:sz w:val="16"/>
          <w:szCs w:val="20"/>
          <w:lang w:val="es-AR"/>
        </w:rPr>
        <w:t xml:space="preserve">Ver Nota 30 a los estados financieros </w:t>
      </w:r>
      <w:r w:rsidR="00F27348">
        <w:rPr>
          <w:sz w:val="16"/>
          <w:szCs w:val="20"/>
          <w:lang w:val="es-AR"/>
        </w:rPr>
        <w:t>intermedios consolidados condensados.</w:t>
      </w:r>
    </w:p>
    <w:p w14:paraId="676E4D35" w14:textId="77777777" w:rsidR="00D87D4D" w:rsidRDefault="00D87D4D" w:rsidP="00D87D4D">
      <w:pPr>
        <w:pStyle w:val="Prrafodelista"/>
        <w:ind w:left="927" w:right="-427"/>
        <w:jc w:val="both"/>
        <w:rPr>
          <w:sz w:val="16"/>
          <w:szCs w:val="20"/>
          <w:lang w:val="es-AR"/>
        </w:rPr>
      </w:pPr>
    </w:p>
    <w:p w14:paraId="3AA32835" w14:textId="77777777" w:rsidR="00EE2E51" w:rsidRDefault="00EE2E51" w:rsidP="00D87D4D">
      <w:pPr>
        <w:pStyle w:val="Prrafodelista"/>
        <w:ind w:left="927" w:right="-427"/>
        <w:jc w:val="both"/>
        <w:rPr>
          <w:sz w:val="16"/>
          <w:szCs w:val="20"/>
          <w:lang w:val="es-AR"/>
        </w:rPr>
      </w:pPr>
    </w:p>
    <w:p w14:paraId="40ACF0D1" w14:textId="77777777" w:rsidR="0058144B" w:rsidRDefault="0058144B" w:rsidP="00D87D4D">
      <w:pPr>
        <w:pStyle w:val="Prrafodelista"/>
        <w:ind w:left="927" w:right="-427"/>
        <w:jc w:val="both"/>
        <w:rPr>
          <w:sz w:val="16"/>
          <w:szCs w:val="20"/>
          <w:lang w:val="es-AR"/>
        </w:rPr>
      </w:pPr>
    </w:p>
    <w:p w14:paraId="459F5FA9" w14:textId="77777777" w:rsidR="0058144B" w:rsidRDefault="0058144B" w:rsidP="00D87D4D">
      <w:pPr>
        <w:pStyle w:val="Prrafodelista"/>
        <w:ind w:left="927" w:right="-427"/>
        <w:jc w:val="both"/>
        <w:rPr>
          <w:sz w:val="16"/>
          <w:szCs w:val="20"/>
          <w:lang w:val="es-AR"/>
        </w:rPr>
      </w:pPr>
    </w:p>
    <w:p w14:paraId="75BDEABC" w14:textId="0205F64B" w:rsidR="00031339" w:rsidRPr="0058144B" w:rsidRDefault="00031339" w:rsidP="009F1A99">
      <w:pPr>
        <w:pStyle w:val="Prrafodelista"/>
        <w:numPr>
          <w:ilvl w:val="0"/>
          <w:numId w:val="26"/>
        </w:numPr>
        <w:ind w:right="-427"/>
        <w:jc w:val="both"/>
        <w:rPr>
          <w:b/>
          <w:sz w:val="20"/>
          <w:szCs w:val="20"/>
        </w:rPr>
      </w:pPr>
      <w:r w:rsidRPr="0058144B">
        <w:rPr>
          <w:b/>
          <w:sz w:val="20"/>
          <w:szCs w:val="20"/>
          <w:lang w:val="es-AR"/>
        </w:rPr>
        <w:t>Arrendamientos</w:t>
      </w:r>
    </w:p>
    <w:p w14:paraId="3D7EA430" w14:textId="77777777" w:rsidR="00C9293D" w:rsidRPr="00D66266" w:rsidRDefault="00C9293D" w:rsidP="00C9293D">
      <w:pPr>
        <w:ind w:right="-427"/>
        <w:jc w:val="both"/>
        <w:rPr>
          <w:rFonts w:ascii="Times New Roman" w:hAnsi="Times New Roman"/>
          <w:b/>
          <w:sz w:val="20"/>
        </w:rPr>
      </w:pPr>
    </w:p>
    <w:p w14:paraId="115A2A7F" w14:textId="27F86EAB" w:rsidR="00334500" w:rsidRPr="00D66266" w:rsidRDefault="00236547" w:rsidP="00236547">
      <w:pPr>
        <w:ind w:left="700" w:right="141"/>
        <w:jc w:val="both"/>
        <w:rPr>
          <w:rFonts w:ascii="Times New Roman" w:hAnsi="Times New Roman"/>
          <w:sz w:val="20"/>
          <w:u w:val="single"/>
        </w:rPr>
      </w:pPr>
      <w:r w:rsidRPr="00D66266">
        <w:rPr>
          <w:rFonts w:ascii="Times New Roman" w:hAnsi="Times New Roman"/>
          <w:sz w:val="20"/>
          <w:u w:val="single"/>
        </w:rPr>
        <w:t>Banco como</w:t>
      </w:r>
      <w:r w:rsidR="00334500" w:rsidRPr="00D66266">
        <w:rPr>
          <w:rFonts w:ascii="Times New Roman" w:hAnsi="Times New Roman"/>
          <w:sz w:val="20"/>
          <w:u w:val="single"/>
        </w:rPr>
        <w:t xml:space="preserve"> arrendatario</w:t>
      </w:r>
    </w:p>
    <w:p w14:paraId="3470883B" w14:textId="732F7161" w:rsidR="00334500" w:rsidRPr="00D66266" w:rsidRDefault="00334500" w:rsidP="00FD013D">
      <w:pPr>
        <w:tabs>
          <w:tab w:val="left" w:pos="2260"/>
        </w:tabs>
        <w:spacing w:before="240" w:after="240"/>
        <w:ind w:left="709" w:right="49"/>
        <w:jc w:val="both"/>
        <w:rPr>
          <w:rFonts w:ascii="Times New Roman" w:hAnsi="Times New Roman"/>
          <w:sz w:val="20"/>
        </w:rPr>
      </w:pPr>
      <w:r w:rsidRPr="00D66266">
        <w:rPr>
          <w:rFonts w:ascii="Times New Roman" w:hAnsi="Times New Roman"/>
          <w:sz w:val="20"/>
        </w:rPr>
        <w:t xml:space="preserve">A continuación se detallan los importes correspondientes a los </w:t>
      </w:r>
      <w:r w:rsidRPr="00D66266">
        <w:rPr>
          <w:rFonts w:ascii="Times New Roman" w:hAnsi="Times New Roman"/>
          <w:color w:val="000000"/>
          <w:sz w:val="20"/>
        </w:rPr>
        <w:t xml:space="preserve">activos </w:t>
      </w:r>
      <w:r w:rsidR="00236547" w:rsidRPr="00D66266">
        <w:rPr>
          <w:rFonts w:ascii="Times New Roman" w:hAnsi="Times New Roman"/>
          <w:color w:val="000000"/>
          <w:sz w:val="20"/>
        </w:rPr>
        <w:t xml:space="preserve">por derechos de uso </w:t>
      </w:r>
      <w:r w:rsidRPr="00D66266">
        <w:rPr>
          <w:rFonts w:ascii="Times New Roman" w:hAnsi="Times New Roman"/>
          <w:color w:val="000000"/>
          <w:sz w:val="20"/>
        </w:rPr>
        <w:t>y pasivos por arrendamientos</w:t>
      </w:r>
      <w:r w:rsidRPr="00D66266">
        <w:rPr>
          <w:rFonts w:ascii="Times New Roman" w:hAnsi="Times New Roman"/>
          <w:sz w:val="20"/>
        </w:rPr>
        <w:t xml:space="preserve"> vigentes al</w:t>
      </w:r>
      <w:r w:rsidRPr="00D66266">
        <w:rPr>
          <w:rFonts w:ascii="Times New Roman" w:hAnsi="Times New Roman"/>
          <w:sz w:val="20"/>
          <w:lang w:val="es-ES_tradnl"/>
        </w:rPr>
        <w:t xml:space="preserve"> </w:t>
      </w:r>
      <w:r w:rsidRPr="00D66266">
        <w:rPr>
          <w:rFonts w:ascii="Times New Roman" w:hAnsi="Times New Roman"/>
          <w:sz w:val="20"/>
        </w:rPr>
        <w:t>3</w:t>
      </w:r>
      <w:r w:rsidR="00E35B6A">
        <w:rPr>
          <w:rFonts w:ascii="Times New Roman" w:hAnsi="Times New Roman"/>
          <w:sz w:val="20"/>
        </w:rPr>
        <w:t>0</w:t>
      </w:r>
      <w:r w:rsidRPr="00D66266">
        <w:rPr>
          <w:rFonts w:ascii="Times New Roman" w:hAnsi="Times New Roman"/>
          <w:sz w:val="20"/>
        </w:rPr>
        <w:t xml:space="preserve"> de </w:t>
      </w:r>
      <w:r w:rsidR="000424EC">
        <w:rPr>
          <w:rFonts w:ascii="Times New Roman" w:hAnsi="Times New Roman"/>
          <w:sz w:val="20"/>
        </w:rPr>
        <w:t>septiembre</w:t>
      </w:r>
      <w:r w:rsidRPr="00D66266">
        <w:rPr>
          <w:rFonts w:ascii="Times New Roman" w:hAnsi="Times New Roman"/>
          <w:sz w:val="20"/>
        </w:rPr>
        <w:t xml:space="preserve"> de 20</w:t>
      </w:r>
      <w:r w:rsidR="001F7608" w:rsidRPr="00D66266">
        <w:rPr>
          <w:rFonts w:ascii="Times New Roman" w:hAnsi="Times New Roman"/>
          <w:sz w:val="20"/>
        </w:rPr>
        <w:t>2</w:t>
      </w:r>
      <w:r w:rsidR="005F2AA6">
        <w:rPr>
          <w:rFonts w:ascii="Times New Roman" w:hAnsi="Times New Roman"/>
          <w:sz w:val="20"/>
        </w:rPr>
        <w:t>1</w:t>
      </w:r>
      <w:r w:rsidR="009264FA" w:rsidRPr="00D66266">
        <w:rPr>
          <w:rFonts w:ascii="Times New Roman" w:hAnsi="Times New Roman"/>
          <w:sz w:val="20"/>
        </w:rPr>
        <w:t xml:space="preserve"> y</w:t>
      </w:r>
      <w:r w:rsidR="005F2AA6">
        <w:rPr>
          <w:rFonts w:ascii="Times New Roman" w:hAnsi="Times New Roman"/>
          <w:sz w:val="20"/>
        </w:rPr>
        <w:t xml:space="preserve"> al 31 de diciembre</w:t>
      </w:r>
      <w:r w:rsidR="009264FA" w:rsidRPr="00D66266">
        <w:rPr>
          <w:rFonts w:ascii="Times New Roman" w:hAnsi="Times New Roman"/>
          <w:sz w:val="20"/>
        </w:rPr>
        <w:t xml:space="preserve"> 20</w:t>
      </w:r>
      <w:r w:rsidR="005F2AA6">
        <w:rPr>
          <w:rFonts w:ascii="Times New Roman" w:hAnsi="Times New Roman"/>
          <w:sz w:val="20"/>
        </w:rPr>
        <w:t>20</w:t>
      </w:r>
      <w:r w:rsidRPr="00D66266">
        <w:rPr>
          <w:rFonts w:ascii="Times New Roman" w:hAnsi="Times New Roman"/>
          <w:sz w:val="20"/>
        </w:rPr>
        <w:t>:</w:t>
      </w:r>
    </w:p>
    <w:p w14:paraId="102538EC" w14:textId="77777777" w:rsidR="00A37276" w:rsidRDefault="00A37276" w:rsidP="00334500">
      <w:pPr>
        <w:tabs>
          <w:tab w:val="left" w:pos="2260"/>
        </w:tabs>
        <w:ind w:left="709" w:right="49"/>
        <w:jc w:val="both"/>
        <w:rPr>
          <w:rFonts w:ascii="Times New Roman" w:hAnsi="Times New Roman"/>
          <w:b/>
          <w:sz w:val="20"/>
        </w:rPr>
      </w:pPr>
    </w:p>
    <w:p w14:paraId="24BCFDE1" w14:textId="77777777" w:rsidR="00334500" w:rsidRPr="00D66266" w:rsidRDefault="00236547" w:rsidP="00334500">
      <w:pPr>
        <w:tabs>
          <w:tab w:val="left" w:pos="2260"/>
        </w:tabs>
        <w:ind w:left="709" w:right="49"/>
        <w:jc w:val="both"/>
        <w:rPr>
          <w:rFonts w:ascii="Times New Roman" w:hAnsi="Times New Roman"/>
          <w:b/>
          <w:sz w:val="20"/>
        </w:rPr>
      </w:pPr>
      <w:r w:rsidRPr="00D66266">
        <w:rPr>
          <w:rFonts w:ascii="Times New Roman" w:hAnsi="Times New Roman"/>
          <w:b/>
          <w:sz w:val="20"/>
        </w:rPr>
        <w:t>Derechos de uso por arrendamientos</w:t>
      </w:r>
    </w:p>
    <w:p w14:paraId="066E1998" w14:textId="6E801208" w:rsidR="00277B12" w:rsidRDefault="00277B12" w:rsidP="00334500">
      <w:pPr>
        <w:tabs>
          <w:tab w:val="left" w:pos="2260"/>
        </w:tabs>
        <w:ind w:left="709" w:right="49"/>
        <w:jc w:val="both"/>
        <w:rPr>
          <w:rFonts w:ascii="Times New Roman" w:hAnsi="Times New Roman"/>
          <w:sz w:val="20"/>
        </w:rPr>
      </w:pPr>
    </w:p>
    <w:p w14:paraId="7F0565C3" w14:textId="77777777" w:rsidR="00A37276" w:rsidRPr="00D66266" w:rsidRDefault="00A37276" w:rsidP="00334500">
      <w:pPr>
        <w:tabs>
          <w:tab w:val="left" w:pos="2260"/>
        </w:tabs>
        <w:ind w:left="709" w:right="49"/>
        <w:jc w:val="both"/>
        <w:rPr>
          <w:rFonts w:ascii="Times New Roman" w:hAnsi="Times New Roman"/>
          <w:sz w:val="20"/>
        </w:rPr>
      </w:pPr>
    </w:p>
    <w:p w14:paraId="03D11332" w14:textId="0D0D964D" w:rsidR="00334500" w:rsidRDefault="006A61BB" w:rsidP="00417723">
      <w:pPr>
        <w:tabs>
          <w:tab w:val="left" w:pos="2260"/>
        </w:tabs>
        <w:ind w:left="607" w:right="49"/>
        <w:jc w:val="center"/>
        <w:rPr>
          <w:rFonts w:ascii="Times New Roman" w:hAnsi="Times New Roman"/>
          <w:sz w:val="20"/>
        </w:rPr>
      </w:pPr>
      <w:r w:rsidRPr="006A61BB">
        <w:rPr>
          <w:noProof/>
          <w:lang w:eastAsia="es-AR"/>
        </w:rPr>
        <w:drawing>
          <wp:inline distT="0" distB="0" distL="0" distR="0" wp14:anchorId="728671F4" wp14:editId="77AF804E">
            <wp:extent cx="6120765" cy="99427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20765" cy="994272"/>
                    </a:xfrm>
                    <a:prstGeom prst="rect">
                      <a:avLst/>
                    </a:prstGeom>
                    <a:noFill/>
                    <a:ln>
                      <a:noFill/>
                    </a:ln>
                  </pic:spPr>
                </pic:pic>
              </a:graphicData>
            </a:graphic>
          </wp:inline>
        </w:drawing>
      </w:r>
    </w:p>
    <w:p w14:paraId="4B9E849B" w14:textId="77777777" w:rsidR="006F1C15" w:rsidRDefault="006F1C15" w:rsidP="00334500">
      <w:pPr>
        <w:tabs>
          <w:tab w:val="left" w:pos="2260"/>
        </w:tabs>
        <w:ind w:left="709" w:right="49"/>
        <w:jc w:val="both"/>
        <w:rPr>
          <w:rFonts w:ascii="Times New Roman" w:hAnsi="Times New Roman"/>
          <w:b/>
          <w:sz w:val="20"/>
        </w:rPr>
      </w:pPr>
    </w:p>
    <w:p w14:paraId="48E50272" w14:textId="77777777" w:rsidR="00726F81" w:rsidRDefault="00726F81" w:rsidP="00334500">
      <w:pPr>
        <w:tabs>
          <w:tab w:val="left" w:pos="2260"/>
        </w:tabs>
        <w:ind w:left="709" w:right="49"/>
        <w:jc w:val="both"/>
        <w:rPr>
          <w:rFonts w:ascii="Times New Roman" w:hAnsi="Times New Roman"/>
          <w:b/>
          <w:sz w:val="20"/>
        </w:rPr>
      </w:pPr>
    </w:p>
    <w:p w14:paraId="2EF287C5" w14:textId="77777777" w:rsidR="003E402D" w:rsidRDefault="003E402D" w:rsidP="00334500">
      <w:pPr>
        <w:tabs>
          <w:tab w:val="left" w:pos="2260"/>
        </w:tabs>
        <w:ind w:left="709" w:right="49"/>
        <w:jc w:val="both"/>
        <w:rPr>
          <w:rFonts w:ascii="Times New Roman" w:hAnsi="Times New Roman"/>
          <w:b/>
          <w:sz w:val="20"/>
        </w:rPr>
      </w:pPr>
    </w:p>
    <w:p w14:paraId="294F6D54" w14:textId="77777777" w:rsidR="003E402D" w:rsidRDefault="003E402D" w:rsidP="00334500">
      <w:pPr>
        <w:tabs>
          <w:tab w:val="left" w:pos="2260"/>
        </w:tabs>
        <w:ind w:left="709" w:right="49"/>
        <w:jc w:val="both"/>
        <w:rPr>
          <w:rFonts w:ascii="Times New Roman" w:hAnsi="Times New Roman"/>
          <w:b/>
          <w:sz w:val="20"/>
        </w:rPr>
      </w:pPr>
    </w:p>
    <w:p w14:paraId="14794E2C" w14:textId="77777777" w:rsidR="001C740A" w:rsidRDefault="001C740A" w:rsidP="00334500">
      <w:pPr>
        <w:tabs>
          <w:tab w:val="left" w:pos="2260"/>
        </w:tabs>
        <w:ind w:left="709" w:right="49"/>
        <w:jc w:val="both"/>
        <w:rPr>
          <w:rFonts w:ascii="Times New Roman" w:hAnsi="Times New Roman"/>
          <w:b/>
          <w:sz w:val="20"/>
        </w:rPr>
      </w:pPr>
    </w:p>
    <w:p w14:paraId="67220468" w14:textId="77777777" w:rsidR="003E402D" w:rsidRDefault="003E402D" w:rsidP="00334500">
      <w:pPr>
        <w:tabs>
          <w:tab w:val="left" w:pos="2260"/>
        </w:tabs>
        <w:ind w:left="709" w:right="49"/>
        <w:jc w:val="both"/>
        <w:rPr>
          <w:rFonts w:ascii="Times New Roman" w:hAnsi="Times New Roman"/>
          <w:b/>
          <w:sz w:val="20"/>
        </w:rPr>
      </w:pPr>
    </w:p>
    <w:p w14:paraId="6CEB6860" w14:textId="77777777" w:rsidR="00334500" w:rsidRPr="00110E8B" w:rsidRDefault="00334500" w:rsidP="00334500">
      <w:pPr>
        <w:tabs>
          <w:tab w:val="left" w:pos="2260"/>
        </w:tabs>
        <w:ind w:left="709" w:right="49"/>
        <w:jc w:val="both"/>
        <w:rPr>
          <w:rFonts w:ascii="Times New Roman" w:hAnsi="Times New Roman"/>
          <w:b/>
          <w:sz w:val="20"/>
        </w:rPr>
      </w:pPr>
      <w:r w:rsidRPr="00110E8B">
        <w:rPr>
          <w:rFonts w:ascii="Times New Roman" w:hAnsi="Times New Roman"/>
          <w:b/>
          <w:sz w:val="20"/>
        </w:rPr>
        <w:t>Pasivos por arrendamientos</w:t>
      </w:r>
    </w:p>
    <w:p w14:paraId="5F712EA4" w14:textId="77777777" w:rsidR="003D415B" w:rsidRPr="00110E8B" w:rsidRDefault="003D415B" w:rsidP="00334500">
      <w:pPr>
        <w:tabs>
          <w:tab w:val="left" w:pos="2260"/>
        </w:tabs>
        <w:ind w:left="709" w:right="49"/>
        <w:jc w:val="both"/>
        <w:rPr>
          <w:rFonts w:ascii="Times New Roman" w:hAnsi="Times New Roman"/>
          <w:b/>
          <w:sz w:val="20"/>
        </w:rPr>
      </w:pPr>
    </w:p>
    <w:p w14:paraId="6DECA907" w14:textId="77777777" w:rsidR="00334500" w:rsidRDefault="00334500" w:rsidP="00334500">
      <w:pPr>
        <w:tabs>
          <w:tab w:val="left" w:pos="2260"/>
        </w:tabs>
        <w:ind w:left="709" w:right="49"/>
        <w:jc w:val="both"/>
        <w:rPr>
          <w:rFonts w:ascii="Times New Roman" w:hAnsi="Times New Roman"/>
          <w:color w:val="000000"/>
          <w:sz w:val="20"/>
        </w:rPr>
      </w:pPr>
      <w:r w:rsidRPr="00110E8B">
        <w:rPr>
          <w:rFonts w:ascii="Times New Roman" w:hAnsi="Times New Roman"/>
          <w:color w:val="000000"/>
          <w:sz w:val="20"/>
        </w:rPr>
        <w:t>Los pagos mínimos futuros por contratos de arrendamientos, son los siguientes:</w:t>
      </w:r>
    </w:p>
    <w:p w14:paraId="2F1C5D02" w14:textId="77777777" w:rsidR="00163C6C" w:rsidRDefault="00163C6C" w:rsidP="00334500">
      <w:pPr>
        <w:tabs>
          <w:tab w:val="left" w:pos="2260"/>
        </w:tabs>
        <w:ind w:left="709" w:right="49"/>
        <w:jc w:val="both"/>
        <w:rPr>
          <w:rFonts w:ascii="Times New Roman" w:hAnsi="Times New Roman"/>
          <w:color w:val="000000"/>
          <w:sz w:val="20"/>
        </w:rPr>
      </w:pPr>
    </w:p>
    <w:p w14:paraId="28B383AA" w14:textId="77777777" w:rsidR="00EE2E51" w:rsidRDefault="00EE2E51" w:rsidP="00334500">
      <w:pPr>
        <w:tabs>
          <w:tab w:val="left" w:pos="2260"/>
        </w:tabs>
        <w:ind w:left="709" w:right="49"/>
        <w:jc w:val="both"/>
        <w:rPr>
          <w:rFonts w:ascii="Times New Roman" w:hAnsi="Times New Roman"/>
          <w:color w:val="000000"/>
          <w:sz w:val="20"/>
        </w:rPr>
      </w:pPr>
    </w:p>
    <w:p w14:paraId="200107D5" w14:textId="004BC5B2" w:rsidR="00334500" w:rsidRDefault="000F5175" w:rsidP="00694385">
      <w:pPr>
        <w:ind w:left="1821" w:right="49"/>
        <w:rPr>
          <w:rFonts w:ascii="Times New Roman" w:hAnsi="Times New Roman"/>
          <w:color w:val="000000"/>
          <w:sz w:val="20"/>
        </w:rPr>
      </w:pPr>
      <w:r w:rsidRPr="0058144B">
        <w:rPr>
          <w:noProof/>
          <w:lang w:eastAsia="es-AR"/>
        </w:rPr>
        <w:drawing>
          <wp:inline distT="0" distB="0" distL="0" distR="0" wp14:anchorId="5CA7DD91" wp14:editId="22DA1E2F">
            <wp:extent cx="4238045" cy="15532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55843" cy="1559770"/>
                    </a:xfrm>
                    <a:prstGeom prst="rect">
                      <a:avLst/>
                    </a:prstGeom>
                    <a:noFill/>
                    <a:ln>
                      <a:noFill/>
                    </a:ln>
                  </pic:spPr>
                </pic:pic>
              </a:graphicData>
            </a:graphic>
          </wp:inline>
        </w:drawing>
      </w:r>
    </w:p>
    <w:p w14:paraId="45841A80" w14:textId="77777777" w:rsidR="00EE2E51" w:rsidRDefault="00EE2E51" w:rsidP="00334500">
      <w:pPr>
        <w:tabs>
          <w:tab w:val="left" w:pos="2260"/>
        </w:tabs>
        <w:ind w:left="709" w:right="49"/>
        <w:jc w:val="both"/>
        <w:rPr>
          <w:rFonts w:ascii="Times New Roman" w:hAnsi="Times New Roman"/>
          <w:b/>
          <w:sz w:val="20"/>
        </w:rPr>
      </w:pPr>
    </w:p>
    <w:p w14:paraId="4E924872" w14:textId="77777777" w:rsidR="00334500" w:rsidRPr="0058144B" w:rsidRDefault="00334500" w:rsidP="00334500">
      <w:pPr>
        <w:tabs>
          <w:tab w:val="left" w:pos="2260"/>
        </w:tabs>
        <w:ind w:left="709" w:right="49"/>
        <w:jc w:val="both"/>
        <w:rPr>
          <w:rFonts w:ascii="Times New Roman" w:hAnsi="Times New Roman"/>
          <w:b/>
          <w:sz w:val="20"/>
        </w:rPr>
      </w:pPr>
      <w:r w:rsidRPr="0058144B">
        <w:rPr>
          <w:rFonts w:ascii="Times New Roman" w:hAnsi="Times New Roman"/>
          <w:b/>
          <w:sz w:val="20"/>
        </w:rPr>
        <w:t>Intereses y diferencia de cotización reconocidos en resultados</w:t>
      </w:r>
    </w:p>
    <w:p w14:paraId="36FC38D6" w14:textId="77777777" w:rsidR="00D12A00" w:rsidRPr="0058144B" w:rsidRDefault="00D12A00" w:rsidP="00334500">
      <w:pPr>
        <w:tabs>
          <w:tab w:val="left" w:pos="2260"/>
        </w:tabs>
        <w:ind w:left="709" w:right="49"/>
        <w:jc w:val="both"/>
        <w:rPr>
          <w:rFonts w:ascii="Times New Roman" w:hAnsi="Times New Roman"/>
          <w:b/>
          <w:sz w:val="20"/>
        </w:rPr>
      </w:pPr>
    </w:p>
    <w:p w14:paraId="051D32CD" w14:textId="56ABEFBF" w:rsidR="00D12A00" w:rsidRPr="0058144B" w:rsidRDefault="000F5175" w:rsidP="00694385">
      <w:pPr>
        <w:tabs>
          <w:tab w:val="left" w:pos="2260"/>
        </w:tabs>
        <w:ind w:left="607" w:right="49"/>
        <w:jc w:val="center"/>
        <w:rPr>
          <w:rFonts w:ascii="Times New Roman" w:hAnsi="Times New Roman"/>
          <w:b/>
          <w:sz w:val="20"/>
        </w:rPr>
      </w:pPr>
      <w:r w:rsidRPr="0058144B">
        <w:rPr>
          <w:noProof/>
          <w:lang w:eastAsia="es-AR"/>
        </w:rPr>
        <w:drawing>
          <wp:inline distT="0" distB="0" distL="0" distR="0" wp14:anchorId="4CCF0E24" wp14:editId="24C4AFA4">
            <wp:extent cx="4341412" cy="133914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65344" cy="1346524"/>
                    </a:xfrm>
                    <a:prstGeom prst="rect">
                      <a:avLst/>
                    </a:prstGeom>
                    <a:noFill/>
                    <a:ln>
                      <a:noFill/>
                    </a:ln>
                  </pic:spPr>
                </pic:pic>
              </a:graphicData>
            </a:graphic>
          </wp:inline>
        </w:drawing>
      </w:r>
    </w:p>
    <w:p w14:paraId="4C3299C5" w14:textId="77777777" w:rsidR="00D12A00" w:rsidRPr="0058144B" w:rsidRDefault="00D12A00" w:rsidP="00334500">
      <w:pPr>
        <w:tabs>
          <w:tab w:val="left" w:pos="2260"/>
        </w:tabs>
        <w:ind w:left="709" w:right="49"/>
        <w:jc w:val="both"/>
        <w:rPr>
          <w:rFonts w:ascii="Times New Roman" w:hAnsi="Times New Roman"/>
          <w:b/>
          <w:sz w:val="20"/>
        </w:rPr>
      </w:pPr>
    </w:p>
    <w:p w14:paraId="55D55691" w14:textId="405FD1B1" w:rsidR="00001305" w:rsidRPr="0058144B" w:rsidRDefault="00D12A00" w:rsidP="00334500">
      <w:pPr>
        <w:tabs>
          <w:tab w:val="left" w:pos="2260"/>
        </w:tabs>
        <w:ind w:left="709" w:right="49"/>
        <w:jc w:val="both"/>
        <w:rPr>
          <w:rFonts w:ascii="Times New Roman" w:hAnsi="Times New Roman"/>
          <w:b/>
          <w:sz w:val="20"/>
        </w:rPr>
      </w:pPr>
      <w:r w:rsidRPr="0058144B">
        <w:rPr>
          <w:rFonts w:ascii="Times New Roman" w:hAnsi="Times New Roman"/>
          <w:b/>
          <w:sz w:val="20"/>
        </w:rPr>
        <w:t>Otros gastos</w:t>
      </w:r>
    </w:p>
    <w:p w14:paraId="4F2AE202" w14:textId="11108CBF" w:rsidR="00334500" w:rsidRPr="0058144B" w:rsidRDefault="00786C18" w:rsidP="00DC29BF">
      <w:pPr>
        <w:pStyle w:val="Prrafodelista"/>
        <w:ind w:left="1214" w:right="141"/>
        <w:rPr>
          <w:sz w:val="20"/>
          <w:szCs w:val="20"/>
          <w:lang w:val="es-AR"/>
        </w:rPr>
      </w:pPr>
      <w:r w:rsidRPr="0058144B">
        <w:rPr>
          <w:sz w:val="20"/>
          <w:szCs w:val="20"/>
          <w:lang w:val="es-AR"/>
        </w:rPr>
        <w:t xml:space="preserve"> </w:t>
      </w:r>
    </w:p>
    <w:p w14:paraId="0B982751" w14:textId="7083B0AD" w:rsidR="00EE2E51" w:rsidRDefault="000F5175" w:rsidP="00A47E6A">
      <w:pPr>
        <w:ind w:left="284" w:right="-427"/>
        <w:jc w:val="center"/>
        <w:rPr>
          <w:rFonts w:ascii="Times New Roman" w:hAnsi="Times New Roman"/>
          <w:sz w:val="20"/>
        </w:rPr>
      </w:pPr>
      <w:r w:rsidRPr="0058144B">
        <w:rPr>
          <w:noProof/>
          <w:lang w:eastAsia="es-AR"/>
        </w:rPr>
        <w:drawing>
          <wp:inline distT="0" distB="0" distL="0" distR="0" wp14:anchorId="2D258023" wp14:editId="2892F3C2">
            <wp:extent cx="4436828" cy="15451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14013" cy="164169"/>
                    </a:xfrm>
                    <a:prstGeom prst="rect">
                      <a:avLst/>
                    </a:prstGeom>
                    <a:noFill/>
                    <a:ln>
                      <a:noFill/>
                    </a:ln>
                  </pic:spPr>
                </pic:pic>
              </a:graphicData>
            </a:graphic>
          </wp:inline>
        </w:drawing>
      </w:r>
    </w:p>
    <w:p w14:paraId="3C5BDBE4" w14:textId="77777777" w:rsidR="00A37276" w:rsidRDefault="00A37276" w:rsidP="00A47E6A">
      <w:pPr>
        <w:ind w:left="284" w:right="-427"/>
        <w:jc w:val="center"/>
        <w:rPr>
          <w:rFonts w:ascii="Times New Roman" w:hAnsi="Times New Roman"/>
          <w:sz w:val="20"/>
        </w:rPr>
      </w:pPr>
    </w:p>
    <w:p w14:paraId="2FE5509E" w14:textId="77777777" w:rsidR="00A3154B" w:rsidRDefault="00A3154B" w:rsidP="00A47E6A">
      <w:pPr>
        <w:ind w:left="284" w:right="-427"/>
        <w:jc w:val="center"/>
        <w:rPr>
          <w:rFonts w:ascii="Times New Roman" w:hAnsi="Times New Roman"/>
          <w:sz w:val="20"/>
        </w:rPr>
      </w:pPr>
    </w:p>
    <w:p w14:paraId="58728E19" w14:textId="77777777" w:rsidR="00857426" w:rsidRDefault="00857426" w:rsidP="00A47E6A">
      <w:pPr>
        <w:ind w:left="284" w:right="-427"/>
        <w:jc w:val="center"/>
        <w:rPr>
          <w:rFonts w:ascii="Times New Roman" w:hAnsi="Times New Roman"/>
          <w:sz w:val="20"/>
        </w:rPr>
      </w:pPr>
    </w:p>
    <w:p w14:paraId="0126457A" w14:textId="77777777" w:rsidR="00857426" w:rsidRDefault="00857426" w:rsidP="00A47E6A">
      <w:pPr>
        <w:ind w:left="284" w:right="-427"/>
        <w:jc w:val="center"/>
        <w:rPr>
          <w:rFonts w:ascii="Times New Roman" w:hAnsi="Times New Roman"/>
          <w:sz w:val="20"/>
        </w:rPr>
      </w:pPr>
    </w:p>
    <w:p w14:paraId="67EB75DA" w14:textId="77777777" w:rsidR="00E2117F" w:rsidRPr="0058144B" w:rsidRDefault="00E2117F" w:rsidP="009F1A99">
      <w:pPr>
        <w:pStyle w:val="Prrafodelista"/>
        <w:numPr>
          <w:ilvl w:val="0"/>
          <w:numId w:val="26"/>
        </w:numPr>
        <w:ind w:right="-427"/>
        <w:jc w:val="both"/>
        <w:rPr>
          <w:b/>
          <w:sz w:val="20"/>
          <w:szCs w:val="20"/>
        </w:rPr>
      </w:pPr>
      <w:r w:rsidRPr="0058144B">
        <w:rPr>
          <w:b/>
          <w:sz w:val="20"/>
          <w:szCs w:val="20"/>
        </w:rPr>
        <w:t>Capital Social</w:t>
      </w:r>
    </w:p>
    <w:p w14:paraId="4F15261A" w14:textId="77777777" w:rsidR="00E2117F" w:rsidRPr="00BA7B29" w:rsidRDefault="00E2117F" w:rsidP="00E2117F">
      <w:pPr>
        <w:ind w:right="-427"/>
        <w:jc w:val="both"/>
        <w:rPr>
          <w:rFonts w:ascii="Times New Roman" w:hAnsi="Times New Roman"/>
          <w:b/>
          <w:sz w:val="20"/>
        </w:rPr>
      </w:pPr>
    </w:p>
    <w:p w14:paraId="6C08F497" w14:textId="77777777" w:rsidR="005F2AA6" w:rsidRDefault="005F2AA6" w:rsidP="005F2AA6">
      <w:pPr>
        <w:ind w:left="709" w:right="-427"/>
        <w:jc w:val="both"/>
        <w:rPr>
          <w:rFonts w:ascii="Times New Roman" w:hAnsi="Times New Roman"/>
          <w:sz w:val="20"/>
          <w:lang w:val="es-ES_tradnl"/>
        </w:rPr>
      </w:pPr>
      <w:r w:rsidRPr="00BA7B29">
        <w:rPr>
          <w:rFonts w:ascii="Times New Roman" w:hAnsi="Times New Roman"/>
          <w:sz w:val="20"/>
          <w:lang w:val="es-ES_tradnl"/>
        </w:rPr>
        <w:t xml:space="preserve">La información sobre el capital social se presenta en la Nota 30 de los </w:t>
      </w:r>
      <w:r w:rsidRPr="00BA7B29">
        <w:rPr>
          <w:rFonts w:ascii="Times New Roman" w:hAnsi="Times New Roman"/>
          <w:sz w:val="20"/>
        </w:rPr>
        <w:t>estados financieros intermedios consolidados condensados</w:t>
      </w:r>
      <w:r w:rsidRPr="00BA7B29">
        <w:rPr>
          <w:rFonts w:ascii="Times New Roman" w:hAnsi="Times New Roman"/>
          <w:sz w:val="20"/>
          <w:lang w:val="es-ES_tradnl"/>
        </w:rPr>
        <w:t>.</w:t>
      </w:r>
    </w:p>
    <w:p w14:paraId="549500D9" w14:textId="0702FC8D" w:rsidR="006F1C15" w:rsidRDefault="00E2117F" w:rsidP="0041599F">
      <w:pPr>
        <w:tabs>
          <w:tab w:val="left" w:pos="4347"/>
        </w:tabs>
        <w:ind w:right="-427"/>
        <w:jc w:val="both"/>
        <w:rPr>
          <w:rFonts w:ascii="Times New Roman" w:hAnsi="Times New Roman"/>
          <w:b/>
          <w:sz w:val="20"/>
        </w:rPr>
      </w:pPr>
      <w:r w:rsidRPr="00503874">
        <w:rPr>
          <w:rFonts w:ascii="Times New Roman" w:hAnsi="Times New Roman"/>
          <w:b/>
          <w:sz w:val="20"/>
        </w:rPr>
        <w:t xml:space="preserve">      </w:t>
      </w:r>
      <w:r w:rsidR="0041599F">
        <w:rPr>
          <w:rFonts w:ascii="Times New Roman" w:hAnsi="Times New Roman"/>
          <w:b/>
          <w:sz w:val="20"/>
        </w:rPr>
        <w:tab/>
      </w:r>
    </w:p>
    <w:p w14:paraId="7BAB7745" w14:textId="77777777" w:rsidR="00FC48AC" w:rsidRDefault="00FC48AC" w:rsidP="0041599F">
      <w:pPr>
        <w:tabs>
          <w:tab w:val="left" w:pos="4347"/>
        </w:tabs>
        <w:ind w:right="-427"/>
        <w:jc w:val="both"/>
        <w:rPr>
          <w:rFonts w:ascii="Times New Roman" w:hAnsi="Times New Roman"/>
          <w:b/>
          <w:sz w:val="20"/>
        </w:rPr>
      </w:pPr>
    </w:p>
    <w:p w14:paraId="250E1510" w14:textId="77777777" w:rsidR="00E56BBC" w:rsidRDefault="00E56BBC" w:rsidP="0041599F">
      <w:pPr>
        <w:tabs>
          <w:tab w:val="left" w:pos="4347"/>
        </w:tabs>
        <w:ind w:right="-427"/>
        <w:jc w:val="both"/>
        <w:rPr>
          <w:rFonts w:ascii="Times New Roman" w:hAnsi="Times New Roman"/>
          <w:b/>
          <w:sz w:val="20"/>
        </w:rPr>
      </w:pPr>
    </w:p>
    <w:p w14:paraId="6FFC649E" w14:textId="77777777" w:rsidR="0058144B" w:rsidRDefault="0058144B" w:rsidP="0041599F">
      <w:pPr>
        <w:tabs>
          <w:tab w:val="left" w:pos="4347"/>
        </w:tabs>
        <w:ind w:right="-427"/>
        <w:jc w:val="both"/>
        <w:rPr>
          <w:rFonts w:ascii="Times New Roman" w:hAnsi="Times New Roman"/>
          <w:b/>
          <w:sz w:val="20"/>
        </w:rPr>
      </w:pPr>
    </w:p>
    <w:p w14:paraId="4939D76A" w14:textId="77777777" w:rsidR="00E56BBC" w:rsidRDefault="00E56BBC" w:rsidP="0041599F">
      <w:pPr>
        <w:tabs>
          <w:tab w:val="left" w:pos="4347"/>
        </w:tabs>
        <w:ind w:right="-427"/>
        <w:jc w:val="both"/>
        <w:rPr>
          <w:rFonts w:ascii="Times New Roman" w:hAnsi="Times New Roman"/>
          <w:b/>
          <w:sz w:val="20"/>
        </w:rPr>
      </w:pPr>
    </w:p>
    <w:p w14:paraId="5876CCEC" w14:textId="77777777" w:rsidR="00E2117F" w:rsidRPr="00F205F8" w:rsidRDefault="00E2117F" w:rsidP="009F1A99">
      <w:pPr>
        <w:pStyle w:val="Prrafodelista"/>
        <w:numPr>
          <w:ilvl w:val="0"/>
          <w:numId w:val="26"/>
        </w:numPr>
        <w:ind w:right="-427"/>
        <w:jc w:val="both"/>
        <w:rPr>
          <w:b/>
          <w:sz w:val="20"/>
          <w:szCs w:val="20"/>
        </w:rPr>
      </w:pPr>
      <w:r w:rsidRPr="00F205F8">
        <w:rPr>
          <w:b/>
          <w:sz w:val="20"/>
          <w:szCs w:val="20"/>
        </w:rPr>
        <w:t>Ingresos por intereses</w:t>
      </w:r>
    </w:p>
    <w:p w14:paraId="189F5D1B" w14:textId="77777777" w:rsidR="0041599F" w:rsidRPr="00503874" w:rsidRDefault="0041599F" w:rsidP="0041599F">
      <w:pPr>
        <w:pStyle w:val="Prrafodelista"/>
        <w:ind w:left="700" w:right="-427"/>
        <w:jc w:val="both"/>
        <w:rPr>
          <w:b/>
          <w:sz w:val="20"/>
          <w:szCs w:val="20"/>
        </w:rPr>
      </w:pPr>
    </w:p>
    <w:p w14:paraId="646A44B0" w14:textId="6A726299" w:rsidR="00887C47" w:rsidRDefault="00514BF1" w:rsidP="00C80CCE">
      <w:pPr>
        <w:pStyle w:val="Prrafodelista"/>
        <w:ind w:left="700" w:right="707"/>
        <w:jc w:val="both"/>
        <w:rPr>
          <w:b/>
          <w:sz w:val="20"/>
          <w:szCs w:val="20"/>
        </w:rPr>
      </w:pPr>
      <w:r w:rsidRPr="00857426">
        <w:rPr>
          <w:noProof/>
          <w:lang w:val="es-AR" w:eastAsia="es-AR"/>
        </w:rPr>
        <w:drawing>
          <wp:inline distT="0" distB="0" distL="0" distR="0" wp14:anchorId="68B0AC64" wp14:editId="289E1067">
            <wp:extent cx="6120765" cy="3131144"/>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20765" cy="3131144"/>
                    </a:xfrm>
                    <a:prstGeom prst="rect">
                      <a:avLst/>
                    </a:prstGeom>
                    <a:noFill/>
                    <a:ln>
                      <a:noFill/>
                    </a:ln>
                  </pic:spPr>
                </pic:pic>
              </a:graphicData>
            </a:graphic>
          </wp:inline>
        </w:drawing>
      </w:r>
    </w:p>
    <w:p w14:paraId="54461DD2" w14:textId="77777777" w:rsidR="00E56BBC" w:rsidRDefault="00E56BBC" w:rsidP="00C80CCE">
      <w:pPr>
        <w:pStyle w:val="Prrafodelista"/>
        <w:ind w:left="700" w:right="707"/>
        <w:jc w:val="both"/>
        <w:rPr>
          <w:b/>
          <w:sz w:val="20"/>
          <w:szCs w:val="20"/>
        </w:rPr>
      </w:pPr>
    </w:p>
    <w:p w14:paraId="76B77293" w14:textId="77777777" w:rsidR="00E54EA3" w:rsidRDefault="00E54EA3" w:rsidP="00C80CCE">
      <w:pPr>
        <w:pStyle w:val="Prrafodelista"/>
        <w:ind w:left="700" w:right="707"/>
        <w:jc w:val="both"/>
        <w:rPr>
          <w:b/>
          <w:sz w:val="20"/>
          <w:szCs w:val="20"/>
        </w:rPr>
      </w:pPr>
    </w:p>
    <w:p w14:paraId="21D373D5" w14:textId="614F6641" w:rsidR="00E2117F" w:rsidRPr="00F205F8" w:rsidRDefault="00E2117F" w:rsidP="009F1A99">
      <w:pPr>
        <w:pStyle w:val="Prrafodelista"/>
        <w:numPr>
          <w:ilvl w:val="0"/>
          <w:numId w:val="26"/>
        </w:numPr>
        <w:ind w:right="-427"/>
        <w:jc w:val="both"/>
        <w:rPr>
          <w:b/>
          <w:sz w:val="20"/>
          <w:szCs w:val="20"/>
        </w:rPr>
      </w:pPr>
      <w:r w:rsidRPr="00F205F8">
        <w:rPr>
          <w:b/>
          <w:sz w:val="20"/>
          <w:szCs w:val="20"/>
        </w:rPr>
        <w:t>Egresos por intereses</w:t>
      </w:r>
    </w:p>
    <w:p w14:paraId="0103C7FA" w14:textId="31BEE500" w:rsidR="002C6B2B" w:rsidRPr="00503874" w:rsidRDefault="002C6B2B" w:rsidP="00FD59FB">
      <w:pPr>
        <w:pStyle w:val="Prrafodelista"/>
        <w:ind w:left="700" w:right="-427"/>
        <w:jc w:val="both"/>
        <w:rPr>
          <w:b/>
          <w:sz w:val="20"/>
          <w:szCs w:val="20"/>
        </w:rPr>
      </w:pPr>
    </w:p>
    <w:p w14:paraId="12599119" w14:textId="7D7E427F" w:rsidR="00EE2E51" w:rsidRDefault="00514BF1" w:rsidP="00FD59FB">
      <w:pPr>
        <w:pStyle w:val="Prrafodelista"/>
        <w:ind w:left="700" w:right="-427"/>
        <w:jc w:val="both"/>
        <w:rPr>
          <w:b/>
          <w:sz w:val="20"/>
          <w:szCs w:val="20"/>
        </w:rPr>
      </w:pPr>
      <w:r w:rsidRPr="00E54EA3">
        <w:rPr>
          <w:noProof/>
          <w:lang w:val="es-AR" w:eastAsia="es-AR"/>
        </w:rPr>
        <w:drawing>
          <wp:inline distT="0" distB="0" distL="0" distR="0" wp14:anchorId="11552B2F" wp14:editId="52E7F85D">
            <wp:extent cx="6120765" cy="179964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20765" cy="1799649"/>
                    </a:xfrm>
                    <a:prstGeom prst="rect">
                      <a:avLst/>
                    </a:prstGeom>
                    <a:noFill/>
                    <a:ln>
                      <a:noFill/>
                    </a:ln>
                  </pic:spPr>
                </pic:pic>
              </a:graphicData>
            </a:graphic>
          </wp:inline>
        </w:drawing>
      </w:r>
    </w:p>
    <w:p w14:paraId="1A4D4CC5" w14:textId="77777777" w:rsidR="00EE2E51" w:rsidRDefault="00EE2E51" w:rsidP="00FD59FB">
      <w:pPr>
        <w:pStyle w:val="Prrafodelista"/>
        <w:ind w:left="700" w:right="-427"/>
        <w:jc w:val="both"/>
        <w:rPr>
          <w:b/>
          <w:sz w:val="20"/>
          <w:szCs w:val="20"/>
        </w:rPr>
      </w:pPr>
    </w:p>
    <w:p w14:paraId="5FC4D8A1" w14:textId="77777777" w:rsidR="00E56BBC" w:rsidRDefault="00E56BBC" w:rsidP="00FD59FB">
      <w:pPr>
        <w:pStyle w:val="Prrafodelista"/>
        <w:ind w:left="700" w:right="-427"/>
        <w:jc w:val="both"/>
        <w:rPr>
          <w:b/>
          <w:sz w:val="20"/>
          <w:szCs w:val="20"/>
        </w:rPr>
      </w:pPr>
    </w:p>
    <w:p w14:paraId="4BF6EC62" w14:textId="77777777" w:rsidR="00E56BBC" w:rsidRDefault="00E56BBC" w:rsidP="00FD59FB">
      <w:pPr>
        <w:pStyle w:val="Prrafodelista"/>
        <w:ind w:left="700" w:right="-427"/>
        <w:jc w:val="both"/>
        <w:rPr>
          <w:b/>
          <w:sz w:val="20"/>
          <w:szCs w:val="20"/>
        </w:rPr>
      </w:pPr>
    </w:p>
    <w:p w14:paraId="0DE8F8A4" w14:textId="77777777" w:rsidR="00E2117F" w:rsidRPr="00F205F8" w:rsidRDefault="00E2117F" w:rsidP="009F1A99">
      <w:pPr>
        <w:pStyle w:val="Prrafodelista"/>
        <w:numPr>
          <w:ilvl w:val="0"/>
          <w:numId w:val="26"/>
        </w:numPr>
        <w:ind w:right="-427"/>
        <w:jc w:val="both"/>
        <w:rPr>
          <w:b/>
          <w:sz w:val="20"/>
          <w:szCs w:val="20"/>
        </w:rPr>
      </w:pPr>
      <w:r w:rsidRPr="00F205F8">
        <w:rPr>
          <w:b/>
          <w:sz w:val="20"/>
          <w:szCs w:val="20"/>
        </w:rPr>
        <w:t>Ingresos por comisiones</w:t>
      </w:r>
    </w:p>
    <w:p w14:paraId="44059E07" w14:textId="77777777" w:rsidR="00D919F7" w:rsidRPr="00F205F8" w:rsidRDefault="00D919F7" w:rsidP="00D919F7">
      <w:pPr>
        <w:pStyle w:val="Prrafodelista"/>
        <w:ind w:left="700" w:right="-427"/>
        <w:jc w:val="both"/>
        <w:rPr>
          <w:b/>
          <w:sz w:val="20"/>
          <w:szCs w:val="20"/>
        </w:rPr>
      </w:pPr>
    </w:p>
    <w:p w14:paraId="1603372B" w14:textId="3F2A37A2" w:rsidR="002C6B2B" w:rsidRPr="00F205F8" w:rsidRDefault="00514BF1" w:rsidP="00D84B58">
      <w:pPr>
        <w:ind w:right="-427" w:firstLine="709"/>
        <w:jc w:val="both"/>
        <w:rPr>
          <w:rFonts w:ascii="Times New Roman" w:hAnsi="Times New Roman"/>
          <w:b/>
          <w:sz w:val="20"/>
        </w:rPr>
      </w:pPr>
      <w:r w:rsidRPr="00E54EA3">
        <w:rPr>
          <w:noProof/>
          <w:lang w:eastAsia="es-AR"/>
        </w:rPr>
        <w:drawing>
          <wp:inline distT="0" distB="0" distL="0" distR="0" wp14:anchorId="67924D8C" wp14:editId="282FE36D">
            <wp:extent cx="6120765" cy="1636089"/>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20765" cy="1636089"/>
                    </a:xfrm>
                    <a:prstGeom prst="rect">
                      <a:avLst/>
                    </a:prstGeom>
                    <a:noFill/>
                    <a:ln>
                      <a:noFill/>
                    </a:ln>
                  </pic:spPr>
                </pic:pic>
              </a:graphicData>
            </a:graphic>
          </wp:inline>
        </w:drawing>
      </w:r>
    </w:p>
    <w:p w14:paraId="5BA07302" w14:textId="77777777" w:rsidR="00D919F7" w:rsidRPr="00F205F8" w:rsidRDefault="00D919F7" w:rsidP="00D84B58">
      <w:pPr>
        <w:ind w:right="-427" w:firstLine="709"/>
        <w:jc w:val="both"/>
        <w:rPr>
          <w:rFonts w:ascii="Times New Roman" w:hAnsi="Times New Roman"/>
          <w:b/>
          <w:sz w:val="20"/>
        </w:rPr>
      </w:pPr>
    </w:p>
    <w:p w14:paraId="16932291" w14:textId="77777777" w:rsidR="00E2117F" w:rsidRPr="00F205F8" w:rsidRDefault="00E2117F" w:rsidP="009F1A99">
      <w:pPr>
        <w:pStyle w:val="Prrafodelista"/>
        <w:numPr>
          <w:ilvl w:val="0"/>
          <w:numId w:val="26"/>
        </w:numPr>
        <w:ind w:right="-427"/>
        <w:jc w:val="both"/>
        <w:rPr>
          <w:b/>
          <w:sz w:val="20"/>
          <w:szCs w:val="20"/>
        </w:rPr>
      </w:pPr>
      <w:r w:rsidRPr="00F205F8">
        <w:rPr>
          <w:b/>
          <w:sz w:val="20"/>
          <w:szCs w:val="20"/>
        </w:rPr>
        <w:t>Egresos por comisiones</w:t>
      </w:r>
    </w:p>
    <w:p w14:paraId="49887D59" w14:textId="30C45A2D" w:rsidR="00E2117F" w:rsidRDefault="00E2117F" w:rsidP="009F56C7">
      <w:pPr>
        <w:ind w:right="-427" w:firstLine="709"/>
        <w:jc w:val="both"/>
        <w:rPr>
          <w:noProof/>
          <w:lang w:eastAsia="es-AR"/>
        </w:rPr>
      </w:pPr>
    </w:p>
    <w:p w14:paraId="715A3763" w14:textId="3FF680BE" w:rsidR="00503874" w:rsidRDefault="00514BF1" w:rsidP="009F56C7">
      <w:pPr>
        <w:ind w:right="-427" w:firstLine="709"/>
        <w:jc w:val="both"/>
        <w:rPr>
          <w:rFonts w:ascii="Times New Roman" w:hAnsi="Times New Roman"/>
          <w:b/>
          <w:sz w:val="20"/>
        </w:rPr>
      </w:pPr>
      <w:r w:rsidRPr="006812D0">
        <w:rPr>
          <w:noProof/>
          <w:lang w:eastAsia="es-AR"/>
        </w:rPr>
        <w:drawing>
          <wp:inline distT="0" distB="0" distL="0" distR="0" wp14:anchorId="324070A3" wp14:editId="503485B1">
            <wp:extent cx="6120765" cy="1647352"/>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20765" cy="1647352"/>
                    </a:xfrm>
                    <a:prstGeom prst="rect">
                      <a:avLst/>
                    </a:prstGeom>
                    <a:noFill/>
                    <a:ln>
                      <a:noFill/>
                    </a:ln>
                  </pic:spPr>
                </pic:pic>
              </a:graphicData>
            </a:graphic>
          </wp:inline>
        </w:drawing>
      </w:r>
    </w:p>
    <w:p w14:paraId="1B69E745" w14:textId="77777777" w:rsidR="001B6C41" w:rsidRDefault="001B6C41" w:rsidP="009F56C7">
      <w:pPr>
        <w:ind w:right="-427" w:firstLine="709"/>
        <w:jc w:val="both"/>
        <w:rPr>
          <w:rFonts w:ascii="Times New Roman" w:hAnsi="Times New Roman"/>
          <w:b/>
          <w:sz w:val="20"/>
        </w:rPr>
      </w:pPr>
    </w:p>
    <w:p w14:paraId="636587B2" w14:textId="77777777" w:rsidR="00E2117F" w:rsidRPr="001B6C41" w:rsidRDefault="00E2117F" w:rsidP="009F1A99">
      <w:pPr>
        <w:pStyle w:val="Prrafodelista"/>
        <w:numPr>
          <w:ilvl w:val="0"/>
          <w:numId w:val="26"/>
        </w:numPr>
        <w:ind w:right="-427"/>
        <w:jc w:val="both"/>
        <w:rPr>
          <w:b/>
          <w:sz w:val="20"/>
          <w:szCs w:val="20"/>
          <w:lang w:val="es-AR"/>
        </w:rPr>
      </w:pPr>
      <w:r w:rsidRPr="001B6C41">
        <w:rPr>
          <w:b/>
          <w:sz w:val="20"/>
          <w:szCs w:val="20"/>
          <w:lang w:val="es-AR"/>
        </w:rPr>
        <w:t>Resultado neto por medición de instrumentos financieros a valor razonable con cambios en resultados</w:t>
      </w:r>
    </w:p>
    <w:p w14:paraId="114B7650" w14:textId="1B27BBD2" w:rsidR="00E2117F" w:rsidRDefault="004006D5" w:rsidP="006F1C15">
      <w:pPr>
        <w:pStyle w:val="Prrafodelista"/>
        <w:tabs>
          <w:tab w:val="left" w:pos="6590"/>
        </w:tabs>
        <w:ind w:left="700" w:right="-427"/>
        <w:jc w:val="both"/>
        <w:rPr>
          <w:b/>
          <w:sz w:val="20"/>
          <w:szCs w:val="20"/>
          <w:lang w:val="es-AR"/>
        </w:rPr>
      </w:pPr>
      <w:r w:rsidRPr="00503874">
        <w:rPr>
          <w:b/>
          <w:sz w:val="20"/>
          <w:szCs w:val="20"/>
          <w:lang w:val="es-AR"/>
        </w:rPr>
        <w:tab/>
      </w:r>
    </w:p>
    <w:p w14:paraId="41CC8F49" w14:textId="213F0115" w:rsidR="001B6C41" w:rsidRPr="00503874" w:rsidRDefault="00514BF1" w:rsidP="006F1C15">
      <w:pPr>
        <w:pStyle w:val="Prrafodelista"/>
        <w:tabs>
          <w:tab w:val="left" w:pos="6590"/>
        </w:tabs>
        <w:ind w:left="700" w:right="-427"/>
        <w:jc w:val="both"/>
        <w:rPr>
          <w:b/>
          <w:sz w:val="20"/>
          <w:szCs w:val="20"/>
          <w:lang w:val="es-AR"/>
        </w:rPr>
      </w:pPr>
      <w:r w:rsidRPr="00767871">
        <w:rPr>
          <w:noProof/>
          <w:lang w:val="es-AR" w:eastAsia="es-AR"/>
        </w:rPr>
        <w:drawing>
          <wp:inline distT="0" distB="0" distL="0" distR="0" wp14:anchorId="5B6E88FF" wp14:editId="09F9C0E1">
            <wp:extent cx="6120765" cy="1793772"/>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0765" cy="1793772"/>
                    </a:xfrm>
                    <a:prstGeom prst="rect">
                      <a:avLst/>
                    </a:prstGeom>
                    <a:noFill/>
                    <a:ln>
                      <a:noFill/>
                    </a:ln>
                  </pic:spPr>
                </pic:pic>
              </a:graphicData>
            </a:graphic>
          </wp:inline>
        </w:drawing>
      </w:r>
    </w:p>
    <w:p w14:paraId="5494FABA" w14:textId="63B0C38D" w:rsidR="002672A1" w:rsidRDefault="002672A1" w:rsidP="00E2117F">
      <w:pPr>
        <w:pStyle w:val="Prrafodelista"/>
        <w:ind w:left="700" w:right="-427"/>
        <w:jc w:val="both"/>
        <w:rPr>
          <w:b/>
          <w:sz w:val="20"/>
          <w:szCs w:val="20"/>
          <w:lang w:val="es-AR"/>
        </w:rPr>
      </w:pPr>
    </w:p>
    <w:p w14:paraId="009C2D84" w14:textId="77777777" w:rsidR="00467819" w:rsidRDefault="00467819" w:rsidP="00E2117F">
      <w:pPr>
        <w:pStyle w:val="Prrafodelista"/>
        <w:ind w:left="700" w:right="-427"/>
        <w:jc w:val="both"/>
        <w:rPr>
          <w:b/>
          <w:sz w:val="20"/>
          <w:szCs w:val="20"/>
          <w:lang w:val="es-AR"/>
        </w:rPr>
      </w:pPr>
    </w:p>
    <w:p w14:paraId="3DB953BD" w14:textId="77777777" w:rsidR="00514BF1" w:rsidRPr="00503874" w:rsidRDefault="00514BF1" w:rsidP="00E2117F">
      <w:pPr>
        <w:pStyle w:val="Prrafodelista"/>
        <w:ind w:left="700" w:right="-427"/>
        <w:jc w:val="both"/>
        <w:rPr>
          <w:b/>
          <w:sz w:val="20"/>
          <w:szCs w:val="20"/>
          <w:lang w:val="es-AR"/>
        </w:rPr>
      </w:pPr>
    </w:p>
    <w:p w14:paraId="51D7B563" w14:textId="14FAE4D1" w:rsidR="00DD40C4" w:rsidRPr="00121D60" w:rsidRDefault="00AD0021" w:rsidP="009F1A99">
      <w:pPr>
        <w:pStyle w:val="Prrafodelista"/>
        <w:numPr>
          <w:ilvl w:val="0"/>
          <w:numId w:val="26"/>
        </w:numPr>
        <w:ind w:right="191"/>
        <w:jc w:val="both"/>
        <w:rPr>
          <w:b/>
          <w:sz w:val="20"/>
          <w:szCs w:val="20"/>
          <w:lang w:val="es-AR"/>
        </w:rPr>
      </w:pPr>
      <w:r w:rsidRPr="00121D60">
        <w:rPr>
          <w:b/>
          <w:sz w:val="20"/>
          <w:szCs w:val="20"/>
          <w:lang w:val="es-AR"/>
        </w:rPr>
        <w:t>Resultado por baja de activos medidos a costo amortizado</w:t>
      </w:r>
      <w:r w:rsidR="003D71D4" w:rsidRPr="00121D60">
        <w:rPr>
          <w:b/>
          <w:sz w:val="20"/>
          <w:szCs w:val="20"/>
          <w:lang w:val="es-AR"/>
        </w:rPr>
        <w:t xml:space="preserve"> y a va</w:t>
      </w:r>
      <w:r w:rsidR="004A2D33" w:rsidRPr="00121D60">
        <w:rPr>
          <w:b/>
          <w:sz w:val="20"/>
          <w:szCs w:val="20"/>
          <w:lang w:val="es-AR"/>
        </w:rPr>
        <w:t>lor razonable con cambios en otros resultados integrales</w:t>
      </w:r>
    </w:p>
    <w:p w14:paraId="2A5386C6" w14:textId="18BF5157" w:rsidR="00424FAB" w:rsidRDefault="00424FAB" w:rsidP="00AD0021">
      <w:pPr>
        <w:ind w:right="-427" w:firstLine="709"/>
        <w:jc w:val="both"/>
        <w:rPr>
          <w:rFonts w:ascii="Times New Roman" w:hAnsi="Times New Roman"/>
          <w:b/>
          <w:sz w:val="20"/>
        </w:rPr>
      </w:pPr>
    </w:p>
    <w:p w14:paraId="371D40A0" w14:textId="1703FE95" w:rsidR="00EB1EB6" w:rsidRDefault="00514BF1" w:rsidP="00AD0021">
      <w:pPr>
        <w:ind w:right="-427" w:firstLine="709"/>
        <w:jc w:val="both"/>
        <w:rPr>
          <w:rFonts w:ascii="Times New Roman" w:hAnsi="Times New Roman"/>
          <w:b/>
          <w:sz w:val="20"/>
        </w:rPr>
      </w:pPr>
      <w:r w:rsidRPr="00767871">
        <w:rPr>
          <w:noProof/>
          <w:lang w:eastAsia="es-AR"/>
        </w:rPr>
        <w:drawing>
          <wp:inline distT="0" distB="0" distL="0" distR="0" wp14:anchorId="37270DC0" wp14:editId="4D692897">
            <wp:extent cx="6120765" cy="902518"/>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20765" cy="902518"/>
                    </a:xfrm>
                    <a:prstGeom prst="rect">
                      <a:avLst/>
                    </a:prstGeom>
                    <a:noFill/>
                    <a:ln>
                      <a:noFill/>
                    </a:ln>
                  </pic:spPr>
                </pic:pic>
              </a:graphicData>
            </a:graphic>
          </wp:inline>
        </w:drawing>
      </w:r>
    </w:p>
    <w:p w14:paraId="09CE42A5" w14:textId="77777777" w:rsidR="00514BF1" w:rsidRDefault="00514BF1" w:rsidP="00AD0021">
      <w:pPr>
        <w:ind w:right="-427" w:firstLine="709"/>
        <w:jc w:val="both"/>
        <w:rPr>
          <w:rFonts w:ascii="Times New Roman" w:hAnsi="Times New Roman"/>
          <w:b/>
          <w:sz w:val="20"/>
        </w:rPr>
      </w:pPr>
    </w:p>
    <w:p w14:paraId="028ABF3A" w14:textId="77777777" w:rsidR="00467819" w:rsidRPr="00503874" w:rsidRDefault="00467819" w:rsidP="00AD0021">
      <w:pPr>
        <w:ind w:right="-427" w:firstLine="709"/>
        <w:jc w:val="both"/>
        <w:rPr>
          <w:rFonts w:ascii="Times New Roman" w:hAnsi="Times New Roman"/>
          <w:b/>
          <w:sz w:val="20"/>
        </w:rPr>
      </w:pPr>
    </w:p>
    <w:p w14:paraId="7449765C" w14:textId="77777777" w:rsidR="00E2117F" w:rsidRDefault="00E2117F" w:rsidP="009F1A99">
      <w:pPr>
        <w:pStyle w:val="Prrafodelista"/>
        <w:numPr>
          <w:ilvl w:val="0"/>
          <w:numId w:val="26"/>
        </w:numPr>
        <w:ind w:right="-427"/>
        <w:jc w:val="both"/>
        <w:rPr>
          <w:b/>
          <w:sz w:val="20"/>
          <w:szCs w:val="20"/>
          <w:lang w:val="es-AR"/>
        </w:rPr>
      </w:pPr>
      <w:r w:rsidRPr="00121D60">
        <w:rPr>
          <w:b/>
          <w:sz w:val="20"/>
          <w:szCs w:val="20"/>
          <w:lang w:val="es-AR"/>
        </w:rPr>
        <w:t>Diferencia de cotización de oro y moneda extranjera</w:t>
      </w:r>
    </w:p>
    <w:p w14:paraId="38052AF7" w14:textId="77777777" w:rsidR="00514BF1" w:rsidRPr="00503874" w:rsidRDefault="00514BF1" w:rsidP="00514BF1">
      <w:pPr>
        <w:pStyle w:val="Prrafodelista"/>
        <w:ind w:left="700" w:right="-427"/>
        <w:jc w:val="both"/>
        <w:rPr>
          <w:b/>
          <w:sz w:val="20"/>
          <w:szCs w:val="20"/>
          <w:lang w:val="es-AR"/>
        </w:rPr>
      </w:pPr>
    </w:p>
    <w:p w14:paraId="72051175" w14:textId="594D2F75" w:rsidR="00F2729D" w:rsidRPr="00503874" w:rsidRDefault="00514BF1" w:rsidP="00F2729D">
      <w:pPr>
        <w:pStyle w:val="Prrafodelista"/>
        <w:ind w:left="700" w:right="-427"/>
        <w:jc w:val="both"/>
        <w:rPr>
          <w:b/>
          <w:sz w:val="20"/>
          <w:szCs w:val="20"/>
          <w:lang w:val="es-AR"/>
        </w:rPr>
      </w:pPr>
      <w:r w:rsidRPr="00767871">
        <w:rPr>
          <w:noProof/>
          <w:lang w:val="es-AR" w:eastAsia="es-AR"/>
        </w:rPr>
        <w:drawing>
          <wp:inline distT="0" distB="0" distL="0" distR="0" wp14:anchorId="2E2E195F" wp14:editId="5647132D">
            <wp:extent cx="6120765" cy="902518"/>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0765" cy="902518"/>
                    </a:xfrm>
                    <a:prstGeom prst="rect">
                      <a:avLst/>
                    </a:prstGeom>
                    <a:noFill/>
                    <a:ln>
                      <a:noFill/>
                    </a:ln>
                  </pic:spPr>
                </pic:pic>
              </a:graphicData>
            </a:graphic>
          </wp:inline>
        </w:drawing>
      </w:r>
    </w:p>
    <w:p w14:paraId="1FD6D63C" w14:textId="77777777" w:rsidR="00467819" w:rsidRDefault="00467819" w:rsidP="00E2117F">
      <w:pPr>
        <w:ind w:right="-427" w:firstLine="709"/>
        <w:jc w:val="both"/>
        <w:rPr>
          <w:rFonts w:ascii="Times New Roman" w:hAnsi="Times New Roman"/>
          <w:b/>
          <w:sz w:val="20"/>
        </w:rPr>
      </w:pPr>
    </w:p>
    <w:p w14:paraId="3D168AFA" w14:textId="77777777" w:rsidR="00514BF1" w:rsidRPr="00503874" w:rsidRDefault="00514BF1" w:rsidP="00E2117F">
      <w:pPr>
        <w:ind w:right="-427" w:firstLine="709"/>
        <w:jc w:val="both"/>
        <w:rPr>
          <w:rFonts w:ascii="Times New Roman" w:hAnsi="Times New Roman"/>
          <w:b/>
          <w:sz w:val="20"/>
        </w:rPr>
      </w:pPr>
    </w:p>
    <w:p w14:paraId="66040458" w14:textId="5DF9AAFD" w:rsidR="002A7583" w:rsidRDefault="00E2117F" w:rsidP="00186D0A">
      <w:pPr>
        <w:pStyle w:val="Prrafodelista"/>
        <w:numPr>
          <w:ilvl w:val="0"/>
          <w:numId w:val="26"/>
        </w:numPr>
        <w:ind w:right="-427"/>
        <w:jc w:val="both"/>
        <w:rPr>
          <w:b/>
          <w:sz w:val="20"/>
          <w:szCs w:val="20"/>
        </w:rPr>
      </w:pPr>
      <w:r w:rsidRPr="00121D60">
        <w:rPr>
          <w:b/>
          <w:sz w:val="20"/>
          <w:szCs w:val="20"/>
        </w:rPr>
        <w:t>Otros ingresos operativos</w:t>
      </w:r>
    </w:p>
    <w:p w14:paraId="2F225F4E" w14:textId="77777777" w:rsidR="00514BF1" w:rsidRPr="00121D60" w:rsidRDefault="00514BF1" w:rsidP="00514BF1">
      <w:pPr>
        <w:pStyle w:val="Prrafodelista"/>
        <w:ind w:left="700" w:right="-427"/>
        <w:jc w:val="both"/>
        <w:rPr>
          <w:b/>
          <w:sz w:val="20"/>
          <w:szCs w:val="20"/>
        </w:rPr>
      </w:pPr>
    </w:p>
    <w:p w14:paraId="19805592" w14:textId="4F59D448" w:rsidR="0041599F" w:rsidRDefault="00514BF1" w:rsidP="009E5A91">
      <w:pPr>
        <w:ind w:right="-427" w:firstLine="567"/>
        <w:jc w:val="center"/>
        <w:rPr>
          <w:rFonts w:ascii="Times New Roman" w:hAnsi="Times New Roman"/>
          <w:b/>
          <w:sz w:val="20"/>
        </w:rPr>
      </w:pPr>
      <w:r w:rsidRPr="00203F17">
        <w:rPr>
          <w:noProof/>
          <w:lang w:eastAsia="es-AR"/>
        </w:rPr>
        <w:drawing>
          <wp:inline distT="0" distB="0" distL="0" distR="0" wp14:anchorId="40F4F009" wp14:editId="7FB79BE1">
            <wp:extent cx="6120765" cy="1799649"/>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20765" cy="1799649"/>
                    </a:xfrm>
                    <a:prstGeom prst="rect">
                      <a:avLst/>
                    </a:prstGeom>
                    <a:noFill/>
                    <a:ln>
                      <a:noFill/>
                    </a:ln>
                  </pic:spPr>
                </pic:pic>
              </a:graphicData>
            </a:graphic>
          </wp:inline>
        </w:drawing>
      </w:r>
    </w:p>
    <w:p w14:paraId="0FE589B0" w14:textId="77777777" w:rsidR="00467819" w:rsidRDefault="00467819" w:rsidP="009E5A91">
      <w:pPr>
        <w:ind w:right="-427" w:firstLine="567"/>
        <w:jc w:val="center"/>
        <w:rPr>
          <w:rFonts w:ascii="Times New Roman" w:hAnsi="Times New Roman"/>
          <w:b/>
          <w:sz w:val="20"/>
        </w:rPr>
      </w:pPr>
    </w:p>
    <w:p w14:paraId="24DE5F7B" w14:textId="77777777" w:rsidR="00514BF1" w:rsidRDefault="00514BF1" w:rsidP="009E5A91">
      <w:pPr>
        <w:ind w:right="-427" w:firstLine="567"/>
        <w:jc w:val="center"/>
        <w:rPr>
          <w:rFonts w:ascii="Times New Roman" w:hAnsi="Times New Roman"/>
          <w:b/>
          <w:sz w:val="20"/>
        </w:rPr>
      </w:pPr>
    </w:p>
    <w:p w14:paraId="0201B02E" w14:textId="77777777" w:rsidR="00514BF1" w:rsidRDefault="00514BF1" w:rsidP="009E5A91">
      <w:pPr>
        <w:ind w:right="-427" w:firstLine="567"/>
        <w:jc w:val="center"/>
        <w:rPr>
          <w:rFonts w:ascii="Times New Roman" w:hAnsi="Times New Roman"/>
          <w:b/>
          <w:sz w:val="20"/>
        </w:rPr>
      </w:pPr>
    </w:p>
    <w:p w14:paraId="15D0748F" w14:textId="77777777" w:rsidR="00514BF1" w:rsidRDefault="00514BF1" w:rsidP="009E5A91">
      <w:pPr>
        <w:ind w:right="-427" w:firstLine="567"/>
        <w:jc w:val="center"/>
        <w:rPr>
          <w:rFonts w:ascii="Times New Roman" w:hAnsi="Times New Roman"/>
          <w:b/>
          <w:sz w:val="20"/>
        </w:rPr>
      </w:pPr>
    </w:p>
    <w:p w14:paraId="79144CFE" w14:textId="77777777" w:rsidR="00514BF1" w:rsidRDefault="00514BF1" w:rsidP="009E5A91">
      <w:pPr>
        <w:ind w:right="-427" w:firstLine="567"/>
        <w:jc w:val="center"/>
        <w:rPr>
          <w:rFonts w:ascii="Times New Roman" w:hAnsi="Times New Roman"/>
          <w:b/>
          <w:sz w:val="20"/>
        </w:rPr>
      </w:pPr>
    </w:p>
    <w:p w14:paraId="1ADAA237" w14:textId="77777777" w:rsidR="00514BF1" w:rsidRDefault="00514BF1" w:rsidP="009E5A91">
      <w:pPr>
        <w:ind w:right="-427" w:firstLine="567"/>
        <w:jc w:val="center"/>
        <w:rPr>
          <w:rFonts w:ascii="Times New Roman" w:hAnsi="Times New Roman"/>
          <w:b/>
          <w:sz w:val="20"/>
        </w:rPr>
      </w:pPr>
    </w:p>
    <w:p w14:paraId="6A391F62" w14:textId="77777777" w:rsidR="00514BF1" w:rsidRDefault="00514BF1" w:rsidP="009E5A91">
      <w:pPr>
        <w:ind w:right="-427" w:firstLine="567"/>
        <w:jc w:val="center"/>
        <w:rPr>
          <w:rFonts w:ascii="Times New Roman" w:hAnsi="Times New Roman"/>
          <w:b/>
          <w:sz w:val="20"/>
        </w:rPr>
      </w:pPr>
    </w:p>
    <w:p w14:paraId="68BC73AC" w14:textId="77777777" w:rsidR="00203F17" w:rsidRDefault="00203F17" w:rsidP="009E5A91">
      <w:pPr>
        <w:ind w:right="-427" w:firstLine="567"/>
        <w:jc w:val="center"/>
        <w:rPr>
          <w:rFonts w:ascii="Times New Roman" w:hAnsi="Times New Roman"/>
          <w:b/>
          <w:sz w:val="20"/>
        </w:rPr>
      </w:pPr>
    </w:p>
    <w:p w14:paraId="5DF62201" w14:textId="77777777" w:rsidR="00E2117F" w:rsidRPr="00CC4A8E" w:rsidRDefault="00E2117F" w:rsidP="009F1A99">
      <w:pPr>
        <w:pStyle w:val="Prrafodelista"/>
        <w:numPr>
          <w:ilvl w:val="0"/>
          <w:numId w:val="26"/>
        </w:numPr>
        <w:ind w:right="-427"/>
        <w:jc w:val="both"/>
        <w:rPr>
          <w:b/>
          <w:sz w:val="20"/>
          <w:szCs w:val="20"/>
        </w:rPr>
      </w:pPr>
      <w:r w:rsidRPr="00CC4A8E">
        <w:rPr>
          <w:b/>
          <w:sz w:val="20"/>
          <w:szCs w:val="20"/>
        </w:rPr>
        <w:t>Beneficios al personal</w:t>
      </w:r>
    </w:p>
    <w:p w14:paraId="3A369629" w14:textId="27ADE015" w:rsidR="00163C6C" w:rsidRDefault="00163C6C" w:rsidP="00163C6C">
      <w:pPr>
        <w:pStyle w:val="Prrafodelista"/>
        <w:ind w:left="700" w:right="-427"/>
        <w:jc w:val="both"/>
        <w:rPr>
          <w:noProof/>
          <w:lang w:val="es-AR" w:eastAsia="es-AR"/>
        </w:rPr>
      </w:pPr>
    </w:p>
    <w:p w14:paraId="547A4AB6" w14:textId="15924D3B" w:rsidR="00E56BBC" w:rsidRPr="00CC4A8E" w:rsidRDefault="00514BF1" w:rsidP="00163C6C">
      <w:pPr>
        <w:pStyle w:val="Prrafodelista"/>
        <w:ind w:left="700" w:right="-427"/>
        <w:jc w:val="both"/>
        <w:rPr>
          <w:b/>
          <w:sz w:val="20"/>
          <w:szCs w:val="20"/>
        </w:rPr>
      </w:pPr>
      <w:r w:rsidRPr="00203F17">
        <w:rPr>
          <w:noProof/>
          <w:lang w:val="es-AR" w:eastAsia="es-AR"/>
        </w:rPr>
        <w:drawing>
          <wp:inline distT="0" distB="0" distL="0" distR="0" wp14:anchorId="7FCB3266" wp14:editId="41E41494">
            <wp:extent cx="6120765" cy="1647352"/>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20765" cy="1647352"/>
                    </a:xfrm>
                    <a:prstGeom prst="rect">
                      <a:avLst/>
                    </a:prstGeom>
                    <a:noFill/>
                    <a:ln>
                      <a:noFill/>
                    </a:ln>
                  </pic:spPr>
                </pic:pic>
              </a:graphicData>
            </a:graphic>
          </wp:inline>
        </w:drawing>
      </w:r>
    </w:p>
    <w:p w14:paraId="7BF203D5" w14:textId="77777777" w:rsidR="00E64EC9" w:rsidRDefault="00E64EC9" w:rsidP="00F2729D">
      <w:pPr>
        <w:pStyle w:val="Prrafodelista"/>
        <w:ind w:left="700" w:right="-427"/>
        <w:jc w:val="both"/>
        <w:rPr>
          <w:b/>
          <w:sz w:val="20"/>
          <w:szCs w:val="20"/>
        </w:rPr>
      </w:pPr>
    </w:p>
    <w:p w14:paraId="59929DCC" w14:textId="77777777" w:rsidR="00203F17" w:rsidRPr="00CC4A8E" w:rsidRDefault="00203F17" w:rsidP="00F2729D">
      <w:pPr>
        <w:pStyle w:val="Prrafodelista"/>
        <w:ind w:left="700" w:right="-427"/>
        <w:jc w:val="both"/>
        <w:rPr>
          <w:b/>
          <w:sz w:val="20"/>
          <w:szCs w:val="20"/>
        </w:rPr>
      </w:pPr>
    </w:p>
    <w:p w14:paraId="11C450D2" w14:textId="77777777" w:rsidR="00E2117F" w:rsidRPr="00CC4A8E" w:rsidRDefault="00E2117F" w:rsidP="009F1A99">
      <w:pPr>
        <w:pStyle w:val="Prrafodelista"/>
        <w:numPr>
          <w:ilvl w:val="0"/>
          <w:numId w:val="26"/>
        </w:numPr>
        <w:ind w:right="-427"/>
        <w:jc w:val="both"/>
        <w:rPr>
          <w:b/>
          <w:sz w:val="20"/>
          <w:szCs w:val="20"/>
        </w:rPr>
      </w:pPr>
      <w:r w:rsidRPr="00CC4A8E">
        <w:rPr>
          <w:b/>
          <w:sz w:val="20"/>
          <w:szCs w:val="20"/>
        </w:rPr>
        <w:t>Gastos de administración</w:t>
      </w:r>
    </w:p>
    <w:p w14:paraId="3EBCE17D" w14:textId="77777777" w:rsidR="00796AC7" w:rsidRPr="00CC4A8E" w:rsidRDefault="00796AC7" w:rsidP="00796AC7">
      <w:pPr>
        <w:pStyle w:val="Prrafodelista"/>
        <w:ind w:left="700" w:right="-427"/>
        <w:jc w:val="both"/>
        <w:rPr>
          <w:b/>
          <w:sz w:val="20"/>
          <w:szCs w:val="20"/>
        </w:rPr>
      </w:pPr>
    </w:p>
    <w:p w14:paraId="2509486B" w14:textId="0233D872" w:rsidR="002A7583" w:rsidRPr="00503874" w:rsidRDefault="00514BF1" w:rsidP="00E2117F">
      <w:pPr>
        <w:ind w:right="-427" w:firstLine="709"/>
        <w:jc w:val="both"/>
        <w:rPr>
          <w:rFonts w:ascii="Times New Roman" w:hAnsi="Times New Roman"/>
          <w:b/>
          <w:sz w:val="20"/>
        </w:rPr>
      </w:pPr>
      <w:r w:rsidRPr="00203F17">
        <w:rPr>
          <w:noProof/>
          <w:lang w:eastAsia="es-AR"/>
        </w:rPr>
        <w:drawing>
          <wp:inline distT="0" distB="0" distL="0" distR="0" wp14:anchorId="3C9A165D" wp14:editId="65F645C2">
            <wp:extent cx="6120765" cy="267964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20765" cy="2679640"/>
                    </a:xfrm>
                    <a:prstGeom prst="rect">
                      <a:avLst/>
                    </a:prstGeom>
                    <a:noFill/>
                    <a:ln>
                      <a:noFill/>
                    </a:ln>
                  </pic:spPr>
                </pic:pic>
              </a:graphicData>
            </a:graphic>
          </wp:inline>
        </w:drawing>
      </w:r>
    </w:p>
    <w:p w14:paraId="16846DDF" w14:textId="77777777" w:rsidR="00163C6C" w:rsidRDefault="00163C6C" w:rsidP="00E2117F">
      <w:pPr>
        <w:ind w:right="-427" w:firstLine="709"/>
        <w:jc w:val="both"/>
        <w:rPr>
          <w:rFonts w:ascii="Times New Roman" w:hAnsi="Times New Roman"/>
          <w:b/>
          <w:sz w:val="20"/>
        </w:rPr>
      </w:pPr>
    </w:p>
    <w:p w14:paraId="0CA3F52B" w14:textId="77777777" w:rsidR="00203F17" w:rsidRDefault="00203F17" w:rsidP="00E2117F">
      <w:pPr>
        <w:ind w:right="-427" w:firstLine="709"/>
        <w:jc w:val="both"/>
        <w:rPr>
          <w:rFonts w:ascii="Times New Roman" w:hAnsi="Times New Roman"/>
          <w:b/>
          <w:sz w:val="20"/>
        </w:rPr>
      </w:pPr>
    </w:p>
    <w:p w14:paraId="7CF1B96D" w14:textId="77777777" w:rsidR="00203F17" w:rsidRDefault="00203F17" w:rsidP="00E2117F">
      <w:pPr>
        <w:ind w:right="-427" w:firstLine="709"/>
        <w:jc w:val="both"/>
        <w:rPr>
          <w:rFonts w:ascii="Times New Roman" w:hAnsi="Times New Roman"/>
          <w:b/>
          <w:sz w:val="20"/>
        </w:rPr>
      </w:pPr>
    </w:p>
    <w:p w14:paraId="60638FE5" w14:textId="77777777" w:rsidR="00203F17" w:rsidRDefault="00203F17" w:rsidP="00E2117F">
      <w:pPr>
        <w:ind w:right="-427" w:firstLine="709"/>
        <w:jc w:val="both"/>
        <w:rPr>
          <w:rFonts w:ascii="Times New Roman" w:hAnsi="Times New Roman"/>
          <w:b/>
          <w:sz w:val="20"/>
        </w:rPr>
      </w:pPr>
    </w:p>
    <w:p w14:paraId="6694236C" w14:textId="77777777" w:rsidR="00203F17" w:rsidRDefault="00203F17" w:rsidP="00E2117F">
      <w:pPr>
        <w:ind w:right="-427" w:firstLine="709"/>
        <w:jc w:val="both"/>
        <w:rPr>
          <w:rFonts w:ascii="Times New Roman" w:hAnsi="Times New Roman"/>
          <w:b/>
          <w:sz w:val="20"/>
        </w:rPr>
      </w:pPr>
    </w:p>
    <w:p w14:paraId="5C1FE144" w14:textId="77777777" w:rsidR="00203F17" w:rsidRDefault="00203F17" w:rsidP="00E2117F">
      <w:pPr>
        <w:ind w:right="-427" w:firstLine="709"/>
        <w:jc w:val="both"/>
        <w:rPr>
          <w:rFonts w:ascii="Times New Roman" w:hAnsi="Times New Roman"/>
          <w:b/>
          <w:sz w:val="20"/>
        </w:rPr>
      </w:pPr>
    </w:p>
    <w:p w14:paraId="4E11D148" w14:textId="77777777" w:rsidR="00203F17" w:rsidRDefault="00203F17" w:rsidP="00E2117F">
      <w:pPr>
        <w:ind w:right="-427" w:firstLine="709"/>
        <w:jc w:val="both"/>
        <w:rPr>
          <w:rFonts w:ascii="Times New Roman" w:hAnsi="Times New Roman"/>
          <w:b/>
          <w:sz w:val="20"/>
        </w:rPr>
      </w:pPr>
    </w:p>
    <w:p w14:paraId="027193FD" w14:textId="2EE94C76" w:rsidR="00E2117F" w:rsidRDefault="00E2117F" w:rsidP="009F1A99">
      <w:pPr>
        <w:pStyle w:val="Prrafodelista"/>
        <w:numPr>
          <w:ilvl w:val="0"/>
          <w:numId w:val="26"/>
        </w:numPr>
        <w:ind w:right="-427"/>
        <w:jc w:val="both"/>
        <w:rPr>
          <w:b/>
          <w:sz w:val="20"/>
          <w:szCs w:val="20"/>
          <w:lang w:val="es-AR"/>
        </w:rPr>
      </w:pPr>
      <w:r w:rsidRPr="00CC4A8E">
        <w:rPr>
          <w:b/>
          <w:sz w:val="20"/>
          <w:szCs w:val="20"/>
          <w:lang w:val="es-AR"/>
        </w:rPr>
        <w:t xml:space="preserve">Depreciaciones </w:t>
      </w:r>
      <w:r w:rsidR="00D076B6" w:rsidRPr="00CC4A8E">
        <w:rPr>
          <w:b/>
          <w:sz w:val="20"/>
          <w:szCs w:val="20"/>
          <w:lang w:val="es-AR"/>
        </w:rPr>
        <w:t>y desvalorizaciones de bienes</w:t>
      </w:r>
    </w:p>
    <w:p w14:paraId="38D46F73" w14:textId="1EA116FC" w:rsidR="0041599F" w:rsidRDefault="00514BF1" w:rsidP="00E64EC9">
      <w:pPr>
        <w:ind w:left="607"/>
        <w:rPr>
          <w:noProof/>
          <w:lang w:eastAsia="es-AR"/>
        </w:rPr>
      </w:pPr>
      <w:r w:rsidRPr="00203F17">
        <w:rPr>
          <w:noProof/>
          <w:lang w:eastAsia="es-AR"/>
        </w:rPr>
        <w:drawing>
          <wp:inline distT="0" distB="0" distL="0" distR="0" wp14:anchorId="6A077479" wp14:editId="33DF1512">
            <wp:extent cx="6120765" cy="1212988"/>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20765" cy="1212988"/>
                    </a:xfrm>
                    <a:prstGeom prst="rect">
                      <a:avLst/>
                    </a:prstGeom>
                    <a:noFill/>
                    <a:ln>
                      <a:noFill/>
                    </a:ln>
                  </pic:spPr>
                </pic:pic>
              </a:graphicData>
            </a:graphic>
          </wp:inline>
        </w:drawing>
      </w:r>
    </w:p>
    <w:p w14:paraId="13E0C57F" w14:textId="77777777" w:rsidR="00E56BBC" w:rsidRDefault="00E56BBC" w:rsidP="00E64EC9">
      <w:pPr>
        <w:ind w:left="607"/>
        <w:rPr>
          <w:rFonts w:ascii="Times New Roman" w:hAnsi="Times New Roman"/>
          <w:b/>
          <w:sz w:val="20"/>
          <w:lang w:eastAsia="en-US"/>
        </w:rPr>
      </w:pPr>
    </w:p>
    <w:p w14:paraId="417B2359" w14:textId="77777777" w:rsidR="00E2117F" w:rsidRPr="00CC4A8E" w:rsidRDefault="00E2117F" w:rsidP="009F1A99">
      <w:pPr>
        <w:pStyle w:val="Prrafodelista"/>
        <w:numPr>
          <w:ilvl w:val="0"/>
          <w:numId w:val="26"/>
        </w:numPr>
        <w:ind w:right="-427"/>
        <w:jc w:val="both"/>
        <w:rPr>
          <w:b/>
          <w:sz w:val="20"/>
          <w:szCs w:val="20"/>
        </w:rPr>
      </w:pPr>
      <w:r w:rsidRPr="00CC4A8E">
        <w:rPr>
          <w:b/>
          <w:sz w:val="20"/>
          <w:szCs w:val="20"/>
        </w:rPr>
        <w:t>Otros gastos operativos</w:t>
      </w:r>
    </w:p>
    <w:p w14:paraId="708FD887" w14:textId="6FDE2B4C" w:rsidR="002A7583" w:rsidRDefault="002A7583" w:rsidP="006546F4">
      <w:pPr>
        <w:ind w:right="-427" w:firstLine="709"/>
        <w:jc w:val="both"/>
        <w:rPr>
          <w:noProof/>
          <w:lang w:eastAsia="es-AR"/>
        </w:rPr>
      </w:pPr>
    </w:p>
    <w:p w14:paraId="392FF374" w14:textId="7CB5DCA1" w:rsidR="00796AC7" w:rsidRPr="00110E8B" w:rsidRDefault="00514BF1" w:rsidP="006546F4">
      <w:pPr>
        <w:ind w:right="-427" w:firstLine="709"/>
        <w:jc w:val="both"/>
        <w:rPr>
          <w:rFonts w:ascii="Times New Roman" w:hAnsi="Times New Roman"/>
          <w:b/>
          <w:sz w:val="20"/>
        </w:rPr>
      </w:pPr>
      <w:r w:rsidRPr="00203F17">
        <w:rPr>
          <w:noProof/>
          <w:lang w:eastAsia="es-AR"/>
        </w:rPr>
        <w:drawing>
          <wp:inline distT="0" distB="0" distL="0" distR="0" wp14:anchorId="20952730" wp14:editId="1038151B">
            <wp:extent cx="6120765" cy="1816299"/>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20765" cy="1816299"/>
                    </a:xfrm>
                    <a:prstGeom prst="rect">
                      <a:avLst/>
                    </a:prstGeom>
                    <a:noFill/>
                    <a:ln>
                      <a:noFill/>
                    </a:ln>
                  </pic:spPr>
                </pic:pic>
              </a:graphicData>
            </a:graphic>
          </wp:inline>
        </w:drawing>
      </w:r>
    </w:p>
    <w:p w14:paraId="47EF736F" w14:textId="77777777" w:rsidR="00894F4A" w:rsidRDefault="00894F4A" w:rsidP="006546F4">
      <w:pPr>
        <w:ind w:right="-427" w:firstLine="709"/>
        <w:jc w:val="both"/>
        <w:rPr>
          <w:rFonts w:ascii="Times New Roman" w:hAnsi="Times New Roman"/>
          <w:b/>
          <w:sz w:val="20"/>
        </w:rPr>
      </w:pPr>
    </w:p>
    <w:p w14:paraId="69832DAC" w14:textId="77777777" w:rsidR="00C44086" w:rsidRPr="00110E8B" w:rsidRDefault="00C44086" w:rsidP="006546F4">
      <w:pPr>
        <w:ind w:right="-427" w:firstLine="709"/>
        <w:jc w:val="both"/>
        <w:rPr>
          <w:rFonts w:ascii="Times New Roman" w:hAnsi="Times New Roman"/>
          <w:b/>
          <w:sz w:val="20"/>
        </w:rPr>
      </w:pPr>
    </w:p>
    <w:p w14:paraId="4DC80C11" w14:textId="77777777" w:rsidR="00E2117F" w:rsidRPr="00046CEC" w:rsidRDefault="00E2117F" w:rsidP="009F1A99">
      <w:pPr>
        <w:pStyle w:val="Prrafodelista"/>
        <w:numPr>
          <w:ilvl w:val="0"/>
          <w:numId w:val="26"/>
        </w:numPr>
        <w:ind w:right="-427"/>
        <w:jc w:val="both"/>
        <w:rPr>
          <w:b/>
          <w:sz w:val="20"/>
          <w:szCs w:val="20"/>
        </w:rPr>
      </w:pPr>
      <w:r w:rsidRPr="00046CEC">
        <w:rPr>
          <w:b/>
          <w:sz w:val="20"/>
          <w:szCs w:val="20"/>
        </w:rPr>
        <w:t xml:space="preserve">Partes relacionadas </w:t>
      </w:r>
    </w:p>
    <w:p w14:paraId="0E83D2CD" w14:textId="77777777" w:rsidR="00E2117F" w:rsidRPr="00110E8B" w:rsidRDefault="00E2117F" w:rsidP="00E2117F">
      <w:pPr>
        <w:ind w:left="567" w:right="-427"/>
        <w:jc w:val="both"/>
        <w:rPr>
          <w:rFonts w:ascii="Times New Roman" w:hAnsi="Times New Roman"/>
          <w:sz w:val="20"/>
        </w:rPr>
      </w:pPr>
    </w:p>
    <w:p w14:paraId="38ED4668" w14:textId="77777777" w:rsidR="005F2AA6" w:rsidRDefault="005F2AA6" w:rsidP="005F2AA6">
      <w:pPr>
        <w:spacing w:after="120" w:line="240" w:lineRule="exact"/>
        <w:ind w:left="567" w:firstLine="142"/>
        <w:rPr>
          <w:rFonts w:ascii="Times New Roman" w:hAnsi="Times New Roman"/>
          <w:sz w:val="20"/>
        </w:rPr>
      </w:pPr>
      <w:r w:rsidRPr="00642E74">
        <w:rPr>
          <w:rFonts w:ascii="Times New Roman" w:hAnsi="Times New Roman"/>
          <w:sz w:val="20"/>
        </w:rPr>
        <w:t xml:space="preserve">Ver Nota 46 de los Estados Financieros </w:t>
      </w:r>
      <w:r>
        <w:rPr>
          <w:rFonts w:ascii="Times New Roman" w:hAnsi="Times New Roman"/>
          <w:sz w:val="20"/>
        </w:rPr>
        <w:t>Intermedios Consolidados Condensados.</w:t>
      </w:r>
    </w:p>
    <w:p w14:paraId="233704DC" w14:textId="77777777" w:rsidR="00726F81" w:rsidRDefault="00726F81" w:rsidP="005F2AA6">
      <w:pPr>
        <w:spacing w:after="120" w:line="240" w:lineRule="exact"/>
        <w:ind w:left="567" w:firstLine="142"/>
        <w:rPr>
          <w:rFonts w:ascii="Times New Roman" w:hAnsi="Times New Roman"/>
          <w:sz w:val="20"/>
        </w:rPr>
      </w:pPr>
    </w:p>
    <w:p w14:paraId="54E164EB" w14:textId="5886FCA3" w:rsidR="00E2117F" w:rsidRPr="00894F4A" w:rsidRDefault="00E2117F" w:rsidP="009F1A99">
      <w:pPr>
        <w:pStyle w:val="Prrafodelista"/>
        <w:numPr>
          <w:ilvl w:val="0"/>
          <w:numId w:val="26"/>
        </w:numPr>
        <w:spacing w:before="240" w:after="120" w:line="240" w:lineRule="exact"/>
        <w:rPr>
          <w:b/>
          <w:color w:val="000000"/>
          <w:sz w:val="20"/>
          <w:szCs w:val="20"/>
          <w:lang w:val="es-AR"/>
        </w:rPr>
      </w:pPr>
      <w:r w:rsidRPr="00894F4A">
        <w:rPr>
          <w:b/>
          <w:color w:val="000000"/>
          <w:sz w:val="20"/>
          <w:szCs w:val="20"/>
          <w:lang w:val="es-AR"/>
        </w:rPr>
        <w:t xml:space="preserve">Restricciones al pago de dividendos </w:t>
      </w:r>
    </w:p>
    <w:p w14:paraId="4759FE02" w14:textId="77777777" w:rsidR="005F2AA6" w:rsidRPr="00894F4A" w:rsidRDefault="005F2AA6" w:rsidP="005F2AA6">
      <w:pPr>
        <w:pStyle w:val="Prrafodelista"/>
        <w:ind w:left="700" w:right="140"/>
        <w:jc w:val="both"/>
        <w:rPr>
          <w:color w:val="000000"/>
          <w:sz w:val="20"/>
          <w:lang w:val="es-AR"/>
        </w:rPr>
      </w:pPr>
      <w:r w:rsidRPr="00894F4A">
        <w:rPr>
          <w:color w:val="000000"/>
          <w:sz w:val="20"/>
          <w:lang w:val="es-AR"/>
        </w:rPr>
        <w:t>Ver Nota 48 de los estados financieros intermedios consolidados</w:t>
      </w:r>
      <w:r w:rsidRPr="00894F4A" w:rsidDel="009A79C2">
        <w:rPr>
          <w:color w:val="000000"/>
          <w:sz w:val="20"/>
          <w:lang w:val="es-AR"/>
        </w:rPr>
        <w:t xml:space="preserve"> </w:t>
      </w:r>
      <w:r w:rsidRPr="00894F4A">
        <w:rPr>
          <w:color w:val="000000"/>
          <w:sz w:val="20"/>
          <w:lang w:val="es-AR"/>
        </w:rPr>
        <w:t xml:space="preserve">condensados con relación a las restricciones al pago de dividendos. </w:t>
      </w:r>
    </w:p>
    <w:p w14:paraId="1385515F" w14:textId="77777777" w:rsidR="00894F4A" w:rsidRDefault="00894F4A" w:rsidP="005F2AA6">
      <w:pPr>
        <w:pStyle w:val="Prrafodelista"/>
        <w:ind w:left="700" w:right="140"/>
        <w:jc w:val="both"/>
        <w:rPr>
          <w:color w:val="000000"/>
          <w:sz w:val="20"/>
          <w:lang w:val="es-AR"/>
        </w:rPr>
      </w:pPr>
    </w:p>
    <w:p w14:paraId="20AE8226" w14:textId="77777777" w:rsidR="00203F17" w:rsidRDefault="00203F17" w:rsidP="005F2AA6">
      <w:pPr>
        <w:pStyle w:val="Prrafodelista"/>
        <w:ind w:left="700" w:right="140"/>
        <w:jc w:val="both"/>
        <w:rPr>
          <w:color w:val="000000"/>
          <w:sz w:val="20"/>
          <w:lang w:val="es-AR"/>
        </w:rPr>
      </w:pPr>
    </w:p>
    <w:p w14:paraId="1089C612" w14:textId="77777777" w:rsidR="00C44086" w:rsidRDefault="00C44086" w:rsidP="005F2AA6">
      <w:pPr>
        <w:pStyle w:val="Prrafodelista"/>
        <w:ind w:left="700" w:right="140"/>
        <w:jc w:val="both"/>
        <w:rPr>
          <w:color w:val="000000"/>
          <w:sz w:val="20"/>
          <w:lang w:val="es-AR"/>
        </w:rPr>
      </w:pPr>
    </w:p>
    <w:p w14:paraId="10805F7B" w14:textId="77777777" w:rsidR="00C44086" w:rsidRDefault="00C44086" w:rsidP="005F2AA6">
      <w:pPr>
        <w:pStyle w:val="Prrafodelista"/>
        <w:ind w:left="700" w:right="140"/>
        <w:jc w:val="both"/>
        <w:rPr>
          <w:color w:val="000000"/>
          <w:sz w:val="20"/>
          <w:lang w:val="es-AR"/>
        </w:rPr>
      </w:pPr>
    </w:p>
    <w:p w14:paraId="27DBBB57" w14:textId="77777777" w:rsidR="00C44086" w:rsidRDefault="00C44086" w:rsidP="005F2AA6">
      <w:pPr>
        <w:pStyle w:val="Prrafodelista"/>
        <w:ind w:left="700" w:right="140"/>
        <w:jc w:val="both"/>
        <w:rPr>
          <w:color w:val="000000"/>
          <w:sz w:val="20"/>
          <w:lang w:val="es-AR"/>
        </w:rPr>
      </w:pPr>
    </w:p>
    <w:p w14:paraId="33AEC149" w14:textId="77777777" w:rsidR="00C44086" w:rsidRDefault="00C44086" w:rsidP="005F2AA6">
      <w:pPr>
        <w:pStyle w:val="Prrafodelista"/>
        <w:ind w:left="700" w:right="140"/>
        <w:jc w:val="both"/>
        <w:rPr>
          <w:color w:val="000000"/>
          <w:sz w:val="20"/>
          <w:lang w:val="es-AR"/>
        </w:rPr>
      </w:pPr>
    </w:p>
    <w:p w14:paraId="5239EEB3" w14:textId="77777777" w:rsidR="00C44086" w:rsidRDefault="00C44086" w:rsidP="005F2AA6">
      <w:pPr>
        <w:pStyle w:val="Prrafodelista"/>
        <w:ind w:left="700" w:right="140"/>
        <w:jc w:val="both"/>
        <w:rPr>
          <w:color w:val="000000"/>
          <w:sz w:val="20"/>
          <w:lang w:val="es-AR"/>
        </w:rPr>
      </w:pPr>
    </w:p>
    <w:p w14:paraId="1387396C" w14:textId="77777777" w:rsidR="00C44086" w:rsidRDefault="00C44086" w:rsidP="005F2AA6">
      <w:pPr>
        <w:pStyle w:val="Prrafodelista"/>
        <w:ind w:left="700" w:right="140"/>
        <w:jc w:val="both"/>
        <w:rPr>
          <w:color w:val="000000"/>
          <w:sz w:val="20"/>
          <w:lang w:val="es-AR"/>
        </w:rPr>
      </w:pPr>
    </w:p>
    <w:p w14:paraId="45B2A965" w14:textId="77777777" w:rsidR="00C44086" w:rsidRDefault="00C44086" w:rsidP="005F2AA6">
      <w:pPr>
        <w:pStyle w:val="Prrafodelista"/>
        <w:ind w:left="700" w:right="140"/>
        <w:jc w:val="both"/>
        <w:rPr>
          <w:color w:val="000000"/>
          <w:sz w:val="20"/>
          <w:lang w:val="es-AR"/>
        </w:rPr>
      </w:pPr>
    </w:p>
    <w:p w14:paraId="4048A2C0" w14:textId="327C80A0" w:rsidR="000D2D3F" w:rsidRPr="00884747" w:rsidRDefault="00E2117F" w:rsidP="009F1A99">
      <w:pPr>
        <w:pStyle w:val="Prrafodelista"/>
        <w:numPr>
          <w:ilvl w:val="0"/>
          <w:numId w:val="26"/>
        </w:numPr>
        <w:spacing w:before="240" w:after="120" w:line="240" w:lineRule="exact"/>
        <w:rPr>
          <w:b/>
          <w:color w:val="000000"/>
          <w:sz w:val="20"/>
          <w:szCs w:val="20"/>
          <w:lang w:val="es-AR"/>
        </w:rPr>
      </w:pPr>
      <w:r w:rsidRPr="00884747">
        <w:rPr>
          <w:b/>
          <w:color w:val="000000"/>
          <w:sz w:val="20"/>
          <w:szCs w:val="20"/>
          <w:lang w:val="es-AR"/>
        </w:rPr>
        <w:t xml:space="preserve">Activos de disponibilidad restringida </w:t>
      </w:r>
    </w:p>
    <w:p w14:paraId="16CCEF52" w14:textId="229C1BB3" w:rsidR="000D2D3F" w:rsidRPr="00884747" w:rsidRDefault="000D2D3F" w:rsidP="000D2D3F">
      <w:pPr>
        <w:spacing w:after="120"/>
        <w:ind w:left="709" w:right="142"/>
        <w:jc w:val="both"/>
        <w:rPr>
          <w:rFonts w:ascii="Times New Roman" w:hAnsi="Times New Roman"/>
          <w:sz w:val="20"/>
        </w:rPr>
      </w:pPr>
      <w:r w:rsidRPr="00884747">
        <w:rPr>
          <w:rFonts w:ascii="Times New Roman" w:hAnsi="Times New Roman"/>
          <w:sz w:val="20"/>
          <w:lang w:val="es-ES_tradnl"/>
        </w:rPr>
        <w:t xml:space="preserve">Al </w:t>
      </w:r>
      <w:r w:rsidR="005C7AD2" w:rsidRPr="00884747">
        <w:rPr>
          <w:rFonts w:ascii="Times New Roman" w:hAnsi="Times New Roman"/>
          <w:sz w:val="20"/>
        </w:rPr>
        <w:t>3</w:t>
      </w:r>
      <w:r w:rsidR="00E35B6A" w:rsidRPr="00884747">
        <w:rPr>
          <w:rFonts w:ascii="Times New Roman" w:hAnsi="Times New Roman"/>
          <w:sz w:val="20"/>
        </w:rPr>
        <w:t>0</w:t>
      </w:r>
      <w:r w:rsidRPr="00884747">
        <w:rPr>
          <w:rFonts w:ascii="Times New Roman" w:hAnsi="Times New Roman"/>
          <w:sz w:val="20"/>
        </w:rPr>
        <w:t xml:space="preserve"> de </w:t>
      </w:r>
      <w:r w:rsidR="000424EC" w:rsidRPr="00884747">
        <w:rPr>
          <w:rFonts w:ascii="Times New Roman" w:hAnsi="Times New Roman"/>
          <w:sz w:val="20"/>
        </w:rPr>
        <w:t>septiembre</w:t>
      </w:r>
      <w:r w:rsidR="005F2AA6" w:rsidRPr="00884747">
        <w:rPr>
          <w:rFonts w:ascii="Times New Roman" w:hAnsi="Times New Roman"/>
          <w:sz w:val="20"/>
        </w:rPr>
        <w:t xml:space="preserve"> </w:t>
      </w:r>
      <w:r w:rsidRPr="00884747">
        <w:rPr>
          <w:rFonts w:ascii="Times New Roman" w:hAnsi="Times New Roman"/>
          <w:sz w:val="20"/>
        </w:rPr>
        <w:t>de 20</w:t>
      </w:r>
      <w:r w:rsidR="009A79C2" w:rsidRPr="00884747">
        <w:rPr>
          <w:rFonts w:ascii="Times New Roman" w:hAnsi="Times New Roman"/>
          <w:sz w:val="20"/>
        </w:rPr>
        <w:t>2</w:t>
      </w:r>
      <w:r w:rsidR="005F2AA6" w:rsidRPr="00884747">
        <w:rPr>
          <w:rFonts w:ascii="Times New Roman" w:hAnsi="Times New Roman"/>
          <w:sz w:val="20"/>
        </w:rPr>
        <w:t xml:space="preserve">1 y al 31 de diciembre </w:t>
      </w:r>
      <w:r w:rsidR="00747066" w:rsidRPr="00884747">
        <w:rPr>
          <w:rFonts w:ascii="Times New Roman" w:hAnsi="Times New Roman"/>
          <w:sz w:val="20"/>
        </w:rPr>
        <w:t>20</w:t>
      </w:r>
      <w:r w:rsidR="005F2AA6" w:rsidRPr="00884747">
        <w:rPr>
          <w:rFonts w:ascii="Times New Roman" w:hAnsi="Times New Roman"/>
          <w:sz w:val="20"/>
        </w:rPr>
        <w:t>20</w:t>
      </w:r>
      <w:r w:rsidRPr="00884747">
        <w:rPr>
          <w:rFonts w:ascii="Times New Roman" w:hAnsi="Times New Roman"/>
          <w:sz w:val="20"/>
        </w:rPr>
        <w:t xml:space="preserve">, existen activos del Banco que se encuentran restringidos de acuerdo con el siguiente detalle: </w:t>
      </w:r>
    </w:p>
    <w:p w14:paraId="6BD35523" w14:textId="7BAB100D" w:rsidR="00747066" w:rsidRPr="00884747" w:rsidRDefault="000D2D3F" w:rsidP="004721BF">
      <w:pPr>
        <w:pStyle w:val="Prrafodelista"/>
        <w:numPr>
          <w:ilvl w:val="0"/>
          <w:numId w:val="38"/>
        </w:numPr>
        <w:spacing w:after="120"/>
        <w:ind w:right="142"/>
        <w:jc w:val="both"/>
        <w:rPr>
          <w:sz w:val="20"/>
          <w:szCs w:val="20"/>
          <w:lang w:val="es-ES_tradnl"/>
        </w:rPr>
      </w:pPr>
      <w:r w:rsidRPr="00884747">
        <w:rPr>
          <w:sz w:val="20"/>
          <w:szCs w:val="20"/>
          <w:lang w:val="es-ES_tradnl"/>
        </w:rPr>
        <w:t xml:space="preserve">La Entidad afectó </w:t>
      </w:r>
      <w:r w:rsidR="00133857" w:rsidRPr="00884747">
        <w:rPr>
          <w:sz w:val="20"/>
          <w:szCs w:val="20"/>
          <w:lang w:val="es-ES_tradnl"/>
        </w:rPr>
        <w:t xml:space="preserve">los siguientes activos </w:t>
      </w:r>
      <w:r w:rsidRPr="00884747">
        <w:rPr>
          <w:sz w:val="20"/>
          <w:szCs w:val="20"/>
          <w:lang w:val="es-ES_tradnl"/>
        </w:rPr>
        <w:t>en garantía de préstamos acordados bajo el Programa Global de Crédito a micro, pequeña y mediana empresas otorgados por el Banco Interamericano de Desarrollo (B.I.D.).</w:t>
      </w:r>
      <w:r w:rsidR="00747066" w:rsidRPr="00884747">
        <w:rPr>
          <w:sz w:val="20"/>
          <w:lang w:val="es-ES_tradnl"/>
        </w:rPr>
        <w:t xml:space="preserve"> </w:t>
      </w:r>
    </w:p>
    <w:p w14:paraId="55361206" w14:textId="023ECD47" w:rsidR="00151268" w:rsidRPr="00884747" w:rsidRDefault="001E5A33" w:rsidP="00151268">
      <w:pPr>
        <w:pStyle w:val="Prrafodelista"/>
        <w:spacing w:after="120"/>
        <w:ind w:left="1125" w:right="142"/>
        <w:jc w:val="both"/>
        <w:rPr>
          <w:sz w:val="20"/>
          <w:szCs w:val="20"/>
          <w:lang w:val="es-ES_tradnl"/>
        </w:rPr>
      </w:pPr>
      <w:r w:rsidRPr="00884747">
        <w:rPr>
          <w:noProof/>
          <w:lang w:val="es-AR" w:eastAsia="es-AR"/>
        </w:rPr>
        <w:drawing>
          <wp:inline distT="0" distB="0" distL="0" distR="0" wp14:anchorId="3E55C1BC" wp14:editId="528E5DD0">
            <wp:extent cx="4813300" cy="116459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13300" cy="1164590"/>
                    </a:xfrm>
                    <a:prstGeom prst="rect">
                      <a:avLst/>
                    </a:prstGeom>
                    <a:noFill/>
                    <a:ln>
                      <a:noFill/>
                    </a:ln>
                  </pic:spPr>
                </pic:pic>
              </a:graphicData>
            </a:graphic>
          </wp:inline>
        </w:drawing>
      </w:r>
    </w:p>
    <w:p w14:paraId="2F583841" w14:textId="04C036BC" w:rsidR="000D2D3F" w:rsidRPr="00884747" w:rsidRDefault="000D2D3F" w:rsidP="004721BF">
      <w:pPr>
        <w:pStyle w:val="Prrafodelista"/>
        <w:numPr>
          <w:ilvl w:val="0"/>
          <w:numId w:val="38"/>
        </w:numPr>
        <w:spacing w:after="120"/>
        <w:ind w:right="142"/>
        <w:jc w:val="both"/>
        <w:rPr>
          <w:sz w:val="20"/>
          <w:szCs w:val="20"/>
          <w:lang w:val="es-ES_tradnl"/>
        </w:rPr>
      </w:pPr>
      <w:r w:rsidRPr="00884747">
        <w:rPr>
          <w:sz w:val="20"/>
          <w:szCs w:val="20"/>
          <w:lang w:val="es-ES_tradnl"/>
        </w:rPr>
        <w:t>La Entidad p</w:t>
      </w:r>
      <w:r w:rsidR="00873E2C" w:rsidRPr="00884747">
        <w:rPr>
          <w:sz w:val="20"/>
          <w:szCs w:val="20"/>
          <w:lang w:val="es-ES_tradnl"/>
        </w:rPr>
        <w:t>osee además cuentas, depósitos</w:t>
      </w:r>
      <w:r w:rsidRPr="00884747">
        <w:rPr>
          <w:sz w:val="20"/>
          <w:szCs w:val="20"/>
          <w:lang w:val="es-ES_tradnl"/>
        </w:rPr>
        <w:t xml:space="preserve"> y fideicomisos afectados en garantía por actividades vinculadas a la operatoria de tarjetas de crédito, con cámaras electrónicas de compensaciones, operaciones compensadas a término, futuros de moneda extranjera y alquileres por </w:t>
      </w:r>
      <w:r w:rsidR="001E5A33" w:rsidRPr="00884747">
        <w:rPr>
          <w:sz w:val="20"/>
          <w:szCs w:val="20"/>
          <w:lang w:val="es-ES_tradnl"/>
        </w:rPr>
        <w:t>16.010.757</w:t>
      </w:r>
      <w:r w:rsidR="005F2AA6" w:rsidRPr="00884747">
        <w:rPr>
          <w:sz w:val="20"/>
          <w:szCs w:val="20"/>
          <w:lang w:val="es-ES_tradnl"/>
        </w:rPr>
        <w:t xml:space="preserve"> y</w:t>
      </w:r>
      <w:r w:rsidR="00786A5F" w:rsidRPr="00884747">
        <w:rPr>
          <w:sz w:val="20"/>
          <w:szCs w:val="20"/>
          <w:lang w:val="es-ES_tradnl"/>
        </w:rPr>
        <w:t xml:space="preserve"> </w:t>
      </w:r>
      <w:r w:rsidR="001E5A33" w:rsidRPr="00884747">
        <w:rPr>
          <w:sz w:val="20"/>
          <w:szCs w:val="20"/>
          <w:lang w:val="es-ES_tradnl"/>
        </w:rPr>
        <w:t>24.532.103</w:t>
      </w:r>
      <w:r w:rsidR="00786A5F" w:rsidRPr="00884747">
        <w:rPr>
          <w:sz w:val="20"/>
          <w:szCs w:val="20"/>
          <w:lang w:val="es-ES_tradnl"/>
        </w:rPr>
        <w:t xml:space="preserve"> </w:t>
      </w:r>
      <w:r w:rsidR="005F2AA6" w:rsidRPr="00884747">
        <w:rPr>
          <w:sz w:val="20"/>
          <w:szCs w:val="20"/>
          <w:lang w:val="es-ES_tradnl"/>
        </w:rPr>
        <w:t>a</w:t>
      </w:r>
      <w:r w:rsidR="00F316CD" w:rsidRPr="00884747">
        <w:rPr>
          <w:sz w:val="20"/>
          <w:szCs w:val="20"/>
          <w:lang w:val="es-ES_tradnl"/>
        </w:rPr>
        <w:t>l 3</w:t>
      </w:r>
      <w:r w:rsidR="00E35B6A" w:rsidRPr="00884747">
        <w:rPr>
          <w:sz w:val="20"/>
          <w:szCs w:val="20"/>
          <w:lang w:val="es-ES_tradnl"/>
        </w:rPr>
        <w:t>0</w:t>
      </w:r>
      <w:r w:rsidRPr="00884747">
        <w:rPr>
          <w:sz w:val="20"/>
          <w:szCs w:val="20"/>
          <w:lang w:val="es-ES_tradnl"/>
        </w:rPr>
        <w:t xml:space="preserve"> de </w:t>
      </w:r>
      <w:r w:rsidR="000424EC" w:rsidRPr="00884747">
        <w:rPr>
          <w:sz w:val="20"/>
          <w:szCs w:val="20"/>
          <w:lang w:val="es-ES_tradnl"/>
        </w:rPr>
        <w:t>septiembre</w:t>
      </w:r>
      <w:r w:rsidR="00000F6F" w:rsidRPr="00884747">
        <w:rPr>
          <w:sz w:val="20"/>
          <w:szCs w:val="20"/>
          <w:lang w:val="es-ES_tradnl"/>
        </w:rPr>
        <w:t xml:space="preserve"> </w:t>
      </w:r>
      <w:r w:rsidRPr="00884747">
        <w:rPr>
          <w:sz w:val="20"/>
          <w:szCs w:val="20"/>
          <w:lang w:val="es-ES_tradnl"/>
        </w:rPr>
        <w:t xml:space="preserve">de </w:t>
      </w:r>
      <w:r w:rsidR="00000F6F" w:rsidRPr="00884747">
        <w:rPr>
          <w:sz w:val="20"/>
          <w:szCs w:val="20"/>
          <w:lang w:val="es-ES_tradnl"/>
        </w:rPr>
        <w:t>202</w:t>
      </w:r>
      <w:r w:rsidR="005F2AA6" w:rsidRPr="00884747">
        <w:rPr>
          <w:sz w:val="20"/>
          <w:szCs w:val="20"/>
          <w:lang w:val="es-ES_tradnl"/>
        </w:rPr>
        <w:t>1 y al 31 de diciembre</w:t>
      </w:r>
      <w:r w:rsidR="00786A5F" w:rsidRPr="00884747">
        <w:rPr>
          <w:sz w:val="20"/>
          <w:szCs w:val="20"/>
          <w:lang w:val="es-ES_tradnl"/>
        </w:rPr>
        <w:t xml:space="preserve"> </w:t>
      </w:r>
      <w:r w:rsidR="00000F6F" w:rsidRPr="00884747">
        <w:rPr>
          <w:sz w:val="20"/>
          <w:szCs w:val="20"/>
          <w:lang w:val="es-ES_tradnl"/>
        </w:rPr>
        <w:t>20</w:t>
      </w:r>
      <w:r w:rsidR="005F2AA6" w:rsidRPr="00884747">
        <w:rPr>
          <w:sz w:val="20"/>
          <w:szCs w:val="20"/>
          <w:lang w:val="es-ES_tradnl"/>
        </w:rPr>
        <w:t>20</w:t>
      </w:r>
      <w:r w:rsidRPr="00884747">
        <w:rPr>
          <w:sz w:val="20"/>
          <w:szCs w:val="20"/>
          <w:lang w:val="es-ES_tradnl"/>
        </w:rPr>
        <w:t>, respectivamente</w:t>
      </w:r>
      <w:r w:rsidR="00E4331B" w:rsidRPr="00884747">
        <w:rPr>
          <w:sz w:val="20"/>
          <w:szCs w:val="20"/>
          <w:lang w:val="es-ES_tradnl"/>
        </w:rPr>
        <w:t xml:space="preserve"> (ver Nota 11</w:t>
      </w:r>
      <w:r w:rsidR="005F2AA6" w:rsidRPr="00884747">
        <w:rPr>
          <w:sz w:val="20"/>
          <w:szCs w:val="20"/>
          <w:lang w:val="es-ES_tradnl"/>
        </w:rPr>
        <w:t xml:space="preserve"> a los presentes </w:t>
      </w:r>
      <w:r w:rsidR="005F2AA6" w:rsidRPr="00884747">
        <w:rPr>
          <w:sz w:val="20"/>
          <w:lang w:val="es-AR"/>
        </w:rPr>
        <w:t>estados financieros intermedios separados condensados</w:t>
      </w:r>
      <w:r w:rsidR="00E4331B" w:rsidRPr="00884747">
        <w:rPr>
          <w:sz w:val="20"/>
          <w:szCs w:val="20"/>
          <w:lang w:val="es-ES_tradnl"/>
        </w:rPr>
        <w:t>)</w:t>
      </w:r>
      <w:r w:rsidRPr="00884747">
        <w:rPr>
          <w:sz w:val="20"/>
          <w:szCs w:val="20"/>
          <w:lang w:val="es-ES_tradnl"/>
        </w:rPr>
        <w:t xml:space="preserve">. </w:t>
      </w:r>
    </w:p>
    <w:p w14:paraId="06673CE0" w14:textId="2359D544" w:rsidR="00924229" w:rsidRDefault="00924229" w:rsidP="00924229">
      <w:pPr>
        <w:pStyle w:val="Prrafodelista"/>
        <w:spacing w:after="120"/>
        <w:ind w:left="1125" w:right="142"/>
        <w:jc w:val="both"/>
        <w:rPr>
          <w:sz w:val="20"/>
          <w:szCs w:val="20"/>
          <w:lang w:val="es-ES_tradnl"/>
        </w:rPr>
      </w:pPr>
    </w:p>
    <w:p w14:paraId="5E91C514" w14:textId="77777777" w:rsidR="00C44086" w:rsidRPr="00786A5F" w:rsidRDefault="00C44086" w:rsidP="00924229">
      <w:pPr>
        <w:pStyle w:val="Prrafodelista"/>
        <w:spacing w:after="120"/>
        <w:ind w:left="1125" w:right="142"/>
        <w:jc w:val="both"/>
        <w:rPr>
          <w:sz w:val="20"/>
          <w:szCs w:val="20"/>
          <w:lang w:val="es-ES_tradnl"/>
        </w:rPr>
      </w:pPr>
    </w:p>
    <w:p w14:paraId="1E6D8A1F" w14:textId="32540946" w:rsidR="00E2117F" w:rsidRPr="00C44086" w:rsidRDefault="00DD1C72" w:rsidP="009F1A99">
      <w:pPr>
        <w:pStyle w:val="Prrafodelista"/>
        <w:numPr>
          <w:ilvl w:val="0"/>
          <w:numId w:val="26"/>
        </w:numPr>
        <w:spacing w:before="240" w:after="120" w:line="240" w:lineRule="exact"/>
        <w:rPr>
          <w:b/>
          <w:color w:val="000000"/>
          <w:sz w:val="20"/>
          <w:szCs w:val="20"/>
          <w:lang w:val="es-AR"/>
        </w:rPr>
      </w:pPr>
      <w:r w:rsidRPr="00C44086">
        <w:rPr>
          <w:b/>
          <w:color w:val="000000"/>
          <w:sz w:val="20"/>
          <w:szCs w:val="20"/>
          <w:lang w:val="es-AR"/>
        </w:rPr>
        <w:t>E</w:t>
      </w:r>
      <w:r w:rsidR="00E2117F" w:rsidRPr="00C44086">
        <w:rPr>
          <w:b/>
          <w:color w:val="000000"/>
          <w:sz w:val="20"/>
          <w:szCs w:val="20"/>
          <w:lang w:val="es-AR"/>
        </w:rPr>
        <w:t>fectivo mínimo y capitales mínimos</w:t>
      </w:r>
    </w:p>
    <w:p w14:paraId="2EDEEFE0" w14:textId="77777777" w:rsidR="00DF678F" w:rsidRPr="00C44086" w:rsidRDefault="00DF678F" w:rsidP="00E2117F">
      <w:pPr>
        <w:spacing w:before="120" w:after="120" w:line="240" w:lineRule="exact"/>
        <w:ind w:left="709"/>
        <w:rPr>
          <w:rFonts w:ascii="Times New Roman" w:hAnsi="Times New Roman"/>
          <w:b/>
          <w:color w:val="000000"/>
          <w:sz w:val="20"/>
        </w:rPr>
      </w:pPr>
    </w:p>
    <w:p w14:paraId="6B5880E1" w14:textId="63E21093" w:rsidR="00E2117F" w:rsidRPr="00C44086" w:rsidRDefault="00921290" w:rsidP="00E2117F">
      <w:pPr>
        <w:spacing w:before="120" w:after="120" w:line="240" w:lineRule="exact"/>
        <w:ind w:left="709"/>
        <w:rPr>
          <w:rFonts w:ascii="Times New Roman" w:hAnsi="Times New Roman"/>
          <w:b/>
          <w:color w:val="000000"/>
          <w:sz w:val="20"/>
        </w:rPr>
      </w:pPr>
      <w:r w:rsidRPr="00C44086">
        <w:rPr>
          <w:rFonts w:ascii="Times New Roman" w:hAnsi="Times New Roman"/>
          <w:b/>
          <w:color w:val="000000"/>
          <w:sz w:val="20"/>
        </w:rPr>
        <w:t>4</w:t>
      </w:r>
      <w:r w:rsidR="00BB4249" w:rsidRPr="00C44086">
        <w:rPr>
          <w:rFonts w:ascii="Times New Roman" w:hAnsi="Times New Roman"/>
          <w:b/>
          <w:color w:val="000000"/>
          <w:sz w:val="20"/>
        </w:rPr>
        <w:t>2</w:t>
      </w:r>
      <w:r w:rsidR="00442144" w:rsidRPr="00C44086">
        <w:rPr>
          <w:rFonts w:ascii="Times New Roman" w:hAnsi="Times New Roman"/>
          <w:b/>
          <w:color w:val="000000"/>
          <w:sz w:val="20"/>
        </w:rPr>
        <w:t xml:space="preserve">.1 </w:t>
      </w:r>
      <w:r w:rsidR="00E2117F" w:rsidRPr="00C44086">
        <w:rPr>
          <w:rFonts w:ascii="Times New Roman" w:hAnsi="Times New Roman"/>
          <w:b/>
          <w:color w:val="000000"/>
          <w:sz w:val="20"/>
        </w:rPr>
        <w:t>Efectivo mínimo</w:t>
      </w:r>
    </w:p>
    <w:p w14:paraId="4AF15BF3" w14:textId="1206A45D" w:rsidR="000D0836" w:rsidRPr="00C44086" w:rsidRDefault="000D0836" w:rsidP="000D0836">
      <w:pPr>
        <w:spacing w:after="120" w:line="240" w:lineRule="exact"/>
        <w:ind w:left="709"/>
        <w:jc w:val="both"/>
        <w:rPr>
          <w:rFonts w:ascii="Times New Roman" w:hAnsi="Times New Roman"/>
          <w:color w:val="000000"/>
          <w:sz w:val="20"/>
        </w:rPr>
      </w:pPr>
      <w:r w:rsidRPr="00C44086">
        <w:rPr>
          <w:rFonts w:ascii="Times New Roman" w:hAnsi="Times New Roman"/>
          <w:color w:val="000000"/>
          <w:sz w:val="20"/>
        </w:rPr>
        <w:t>El B.C.R.A. establece diferentes regulaciones prudenciales a ser observadas por las entidades financieras con respecto, principalmente, a los niveles de solvencia, liquidez y niveles de asistencia crediticia.</w:t>
      </w:r>
    </w:p>
    <w:p w14:paraId="077B5F4E" w14:textId="7189A76E" w:rsidR="00E2117F" w:rsidRPr="00C44086" w:rsidRDefault="000D0836" w:rsidP="000D0836">
      <w:pPr>
        <w:spacing w:after="120" w:line="240" w:lineRule="exact"/>
        <w:ind w:left="709"/>
        <w:jc w:val="both"/>
        <w:rPr>
          <w:rFonts w:ascii="Times New Roman" w:hAnsi="Times New Roman"/>
          <w:color w:val="000000"/>
          <w:sz w:val="20"/>
        </w:rPr>
      </w:pPr>
      <w:r w:rsidRPr="00C44086">
        <w:rPr>
          <w:rFonts w:ascii="Times New Roman" w:hAnsi="Times New Roman"/>
          <w:color w:val="000000"/>
          <w:sz w:val="20"/>
        </w:rPr>
        <w:t>Las normas de efectivo mínimo establecen la exigencia de mantener activos líquidos en relación con los depósitos y otras obligaciones registradas en cada período. Los conceptos computados a efectos de integrar esa exigencia se detallan a continuación:</w:t>
      </w:r>
    </w:p>
    <w:p w14:paraId="00E6B7D1" w14:textId="77777777" w:rsidR="00A45853" w:rsidRDefault="00A45853" w:rsidP="000D0836">
      <w:pPr>
        <w:spacing w:after="120" w:line="240" w:lineRule="exact"/>
        <w:ind w:left="709"/>
        <w:jc w:val="both"/>
        <w:rPr>
          <w:rFonts w:ascii="Times New Roman" w:hAnsi="Times New Roman"/>
          <w:color w:val="000000"/>
          <w:sz w:val="20"/>
        </w:rPr>
      </w:pPr>
    </w:p>
    <w:p w14:paraId="194271E6" w14:textId="77777777" w:rsidR="00C44086" w:rsidRDefault="00C44086" w:rsidP="000D0836">
      <w:pPr>
        <w:spacing w:after="120" w:line="240" w:lineRule="exact"/>
        <w:ind w:left="709"/>
        <w:jc w:val="both"/>
        <w:rPr>
          <w:rFonts w:ascii="Times New Roman" w:hAnsi="Times New Roman"/>
          <w:color w:val="000000"/>
          <w:sz w:val="20"/>
        </w:rPr>
      </w:pPr>
    </w:p>
    <w:p w14:paraId="25185208" w14:textId="77777777" w:rsidR="00C44086" w:rsidRDefault="00C44086" w:rsidP="000D0836">
      <w:pPr>
        <w:spacing w:after="120" w:line="240" w:lineRule="exact"/>
        <w:ind w:left="709"/>
        <w:jc w:val="both"/>
        <w:rPr>
          <w:rFonts w:ascii="Times New Roman" w:hAnsi="Times New Roman"/>
          <w:color w:val="000000"/>
          <w:sz w:val="20"/>
        </w:rPr>
      </w:pPr>
    </w:p>
    <w:p w14:paraId="310FCFB4" w14:textId="77777777" w:rsidR="00C44086" w:rsidRDefault="00C44086" w:rsidP="000D0836">
      <w:pPr>
        <w:spacing w:after="120" w:line="240" w:lineRule="exact"/>
        <w:ind w:left="709"/>
        <w:jc w:val="both"/>
        <w:rPr>
          <w:rFonts w:ascii="Times New Roman" w:hAnsi="Times New Roman"/>
          <w:color w:val="000000"/>
          <w:sz w:val="20"/>
        </w:rPr>
      </w:pPr>
    </w:p>
    <w:p w14:paraId="469FFB37" w14:textId="77777777" w:rsidR="00C44086" w:rsidRPr="00C44086" w:rsidRDefault="00C44086" w:rsidP="000D0836">
      <w:pPr>
        <w:spacing w:after="120" w:line="240" w:lineRule="exact"/>
        <w:ind w:left="709"/>
        <w:jc w:val="both"/>
        <w:rPr>
          <w:rFonts w:ascii="Times New Roman" w:hAnsi="Times New Roman"/>
          <w:color w:val="000000"/>
          <w:sz w:val="20"/>
        </w:rPr>
      </w:pPr>
    </w:p>
    <w:p w14:paraId="33072A7A" w14:textId="7FB53374" w:rsidR="00A45853" w:rsidRPr="00C44086" w:rsidRDefault="001E34FC" w:rsidP="00A45853">
      <w:pPr>
        <w:pStyle w:val="Prrafodelista"/>
        <w:spacing w:after="120"/>
        <w:ind w:left="709" w:right="142"/>
        <w:jc w:val="both"/>
        <w:rPr>
          <w:sz w:val="20"/>
          <w:szCs w:val="20"/>
          <w:lang w:val="es-ES_tradnl"/>
        </w:rPr>
      </w:pPr>
      <w:r w:rsidRPr="001E34FC">
        <w:rPr>
          <w:noProof/>
          <w:lang w:val="es-AR" w:eastAsia="es-AR"/>
        </w:rPr>
        <w:drawing>
          <wp:inline distT="0" distB="0" distL="0" distR="0" wp14:anchorId="155C4262" wp14:editId="0B6F13E6">
            <wp:extent cx="6120765" cy="2310901"/>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20765" cy="2310901"/>
                    </a:xfrm>
                    <a:prstGeom prst="rect">
                      <a:avLst/>
                    </a:prstGeom>
                    <a:noFill/>
                    <a:ln>
                      <a:noFill/>
                    </a:ln>
                  </pic:spPr>
                </pic:pic>
              </a:graphicData>
            </a:graphic>
          </wp:inline>
        </w:drawing>
      </w:r>
    </w:p>
    <w:p w14:paraId="578106D2" w14:textId="6CCC37E8" w:rsidR="00E2117F" w:rsidRPr="00C44086" w:rsidRDefault="003F6391" w:rsidP="00CA1D7E">
      <w:pPr>
        <w:ind w:left="709"/>
        <w:rPr>
          <w:rFonts w:ascii="Times New Roman" w:hAnsi="Times New Roman"/>
          <w:b/>
          <w:color w:val="000000"/>
          <w:sz w:val="20"/>
        </w:rPr>
      </w:pPr>
      <w:r w:rsidRPr="00C44086">
        <w:rPr>
          <w:rFonts w:ascii="Times New Roman" w:hAnsi="Times New Roman"/>
          <w:b/>
          <w:color w:val="000000"/>
          <w:sz w:val="20"/>
        </w:rPr>
        <w:t>42.2 Capitales</w:t>
      </w:r>
      <w:r w:rsidR="00E2117F" w:rsidRPr="00C44086">
        <w:rPr>
          <w:rFonts w:ascii="Times New Roman" w:hAnsi="Times New Roman"/>
          <w:b/>
          <w:color w:val="000000"/>
          <w:sz w:val="20"/>
        </w:rPr>
        <w:t xml:space="preserve"> mínimos</w:t>
      </w:r>
    </w:p>
    <w:p w14:paraId="49538CD4" w14:textId="2852BFF2" w:rsidR="00CA1D7E" w:rsidRPr="00C44086" w:rsidRDefault="00CA1D7E" w:rsidP="00E2117F">
      <w:pPr>
        <w:spacing w:after="120" w:line="240" w:lineRule="exact"/>
        <w:ind w:left="709"/>
        <w:rPr>
          <w:rFonts w:ascii="Times New Roman" w:hAnsi="Times New Roman"/>
          <w:color w:val="000000"/>
          <w:sz w:val="20"/>
        </w:rPr>
      </w:pPr>
    </w:p>
    <w:p w14:paraId="0BEF9124" w14:textId="5864DDD3" w:rsidR="00E2117F" w:rsidRPr="00C44086" w:rsidRDefault="00E2117F" w:rsidP="00E2117F">
      <w:pPr>
        <w:spacing w:after="120" w:line="240" w:lineRule="exact"/>
        <w:ind w:left="709"/>
        <w:rPr>
          <w:rFonts w:ascii="Times New Roman" w:hAnsi="Times New Roman"/>
          <w:color w:val="000000"/>
          <w:sz w:val="20"/>
        </w:rPr>
      </w:pPr>
      <w:r w:rsidRPr="00C44086">
        <w:rPr>
          <w:rFonts w:ascii="Times New Roman" w:hAnsi="Times New Roman"/>
          <w:color w:val="000000"/>
          <w:sz w:val="20"/>
        </w:rPr>
        <w:t xml:space="preserve">La composición </w:t>
      </w:r>
      <w:r w:rsidR="00165F7E" w:rsidRPr="00C44086">
        <w:rPr>
          <w:rFonts w:ascii="Times New Roman" w:hAnsi="Times New Roman"/>
          <w:color w:val="000000"/>
          <w:sz w:val="20"/>
        </w:rPr>
        <w:t xml:space="preserve">regulatoria </w:t>
      </w:r>
      <w:r w:rsidRPr="00C44086">
        <w:rPr>
          <w:rFonts w:ascii="Times New Roman" w:hAnsi="Times New Roman"/>
          <w:color w:val="000000"/>
          <w:sz w:val="20"/>
        </w:rPr>
        <w:t>de capitales mínimos es la siguiente a cada fecha mencionada:</w:t>
      </w:r>
    </w:p>
    <w:p w14:paraId="15EDA309" w14:textId="77777777" w:rsidR="00A45853" w:rsidRPr="00C44086" w:rsidRDefault="00A45853" w:rsidP="00E2117F">
      <w:pPr>
        <w:spacing w:after="120" w:line="240" w:lineRule="exact"/>
        <w:ind w:left="709"/>
        <w:rPr>
          <w:rFonts w:ascii="Times New Roman" w:hAnsi="Times New Roman"/>
          <w:color w:val="000000"/>
          <w:sz w:val="20"/>
        </w:rPr>
      </w:pPr>
    </w:p>
    <w:p w14:paraId="08BCB52A" w14:textId="2D7E10EB" w:rsidR="00A45853" w:rsidRPr="00786A5F" w:rsidRDefault="00F766A2" w:rsidP="00A45853">
      <w:pPr>
        <w:pStyle w:val="Prrafodelista"/>
        <w:spacing w:after="120"/>
        <w:ind w:left="709" w:right="142"/>
        <w:jc w:val="both"/>
        <w:rPr>
          <w:sz w:val="20"/>
          <w:szCs w:val="20"/>
          <w:lang w:val="es-ES_tradnl"/>
        </w:rPr>
      </w:pPr>
      <w:r w:rsidRPr="00F766A2">
        <w:rPr>
          <w:noProof/>
          <w:lang w:val="es-AR" w:eastAsia="es-AR"/>
        </w:rPr>
        <w:drawing>
          <wp:inline distT="0" distB="0" distL="0" distR="0" wp14:anchorId="499E7299" wp14:editId="05A88B2B">
            <wp:extent cx="6120765" cy="12402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20765" cy="1240213"/>
                    </a:xfrm>
                    <a:prstGeom prst="rect">
                      <a:avLst/>
                    </a:prstGeom>
                    <a:noFill/>
                    <a:ln>
                      <a:noFill/>
                    </a:ln>
                  </pic:spPr>
                </pic:pic>
              </a:graphicData>
            </a:graphic>
          </wp:inline>
        </w:drawing>
      </w:r>
    </w:p>
    <w:p w14:paraId="621C878E" w14:textId="2C71C74E" w:rsidR="00C06CA9" w:rsidRDefault="00C06CA9" w:rsidP="00E2117F">
      <w:pPr>
        <w:spacing w:after="120" w:line="240" w:lineRule="exact"/>
        <w:ind w:left="709"/>
        <w:rPr>
          <w:rFonts w:ascii="Times New Roman" w:hAnsi="Times New Roman"/>
          <w:color w:val="000000"/>
          <w:sz w:val="20"/>
        </w:rPr>
      </w:pPr>
    </w:p>
    <w:p w14:paraId="7B893BC8" w14:textId="4A934CBA" w:rsidR="00C06CA9" w:rsidRDefault="00C06CA9" w:rsidP="00E2117F">
      <w:pPr>
        <w:spacing w:after="120" w:line="240" w:lineRule="exact"/>
        <w:ind w:left="709"/>
        <w:rPr>
          <w:rFonts w:ascii="Times New Roman" w:hAnsi="Times New Roman"/>
          <w:color w:val="000000"/>
          <w:sz w:val="20"/>
        </w:rPr>
      </w:pPr>
    </w:p>
    <w:p w14:paraId="26CD45EE" w14:textId="77777777" w:rsidR="001F00E6" w:rsidRDefault="001F00E6" w:rsidP="00702958">
      <w:pPr>
        <w:jc w:val="center"/>
        <w:rPr>
          <w:rFonts w:ascii="Times New Roman" w:hAnsi="Times New Roman"/>
          <w:color w:val="000000"/>
          <w:sz w:val="20"/>
          <w:lang w:eastAsia="es-AR"/>
        </w:rPr>
      </w:pPr>
    </w:p>
    <w:p w14:paraId="4A63BEB8" w14:textId="77777777" w:rsidR="00A45853" w:rsidRDefault="00A45853" w:rsidP="00702958">
      <w:pPr>
        <w:jc w:val="center"/>
        <w:rPr>
          <w:rFonts w:ascii="Times New Roman" w:hAnsi="Times New Roman"/>
          <w:color w:val="000000"/>
          <w:sz w:val="20"/>
          <w:lang w:eastAsia="es-AR"/>
        </w:rPr>
      </w:pPr>
    </w:p>
    <w:p w14:paraId="6F987381" w14:textId="77777777" w:rsidR="00A45853" w:rsidRDefault="00A45853" w:rsidP="00702958">
      <w:pPr>
        <w:jc w:val="center"/>
        <w:rPr>
          <w:rFonts w:ascii="Times New Roman" w:hAnsi="Times New Roman"/>
          <w:color w:val="000000"/>
          <w:sz w:val="20"/>
          <w:lang w:eastAsia="es-AR"/>
        </w:rPr>
      </w:pPr>
    </w:p>
    <w:p w14:paraId="469413D3" w14:textId="77777777" w:rsidR="00A45853" w:rsidRDefault="00A45853" w:rsidP="00702958">
      <w:pPr>
        <w:jc w:val="center"/>
        <w:rPr>
          <w:rFonts w:ascii="Times New Roman" w:hAnsi="Times New Roman"/>
          <w:color w:val="000000"/>
          <w:sz w:val="20"/>
          <w:lang w:eastAsia="es-AR"/>
        </w:rPr>
      </w:pPr>
    </w:p>
    <w:p w14:paraId="39C95826" w14:textId="77777777" w:rsidR="00A45853" w:rsidRDefault="00A45853" w:rsidP="00702958">
      <w:pPr>
        <w:jc w:val="center"/>
        <w:rPr>
          <w:rFonts w:ascii="Times New Roman" w:hAnsi="Times New Roman"/>
          <w:color w:val="000000"/>
          <w:sz w:val="20"/>
          <w:lang w:eastAsia="es-AR"/>
        </w:rPr>
      </w:pPr>
    </w:p>
    <w:p w14:paraId="738D89A5" w14:textId="77777777" w:rsidR="00A45853" w:rsidRDefault="00A45853" w:rsidP="00702958">
      <w:pPr>
        <w:jc w:val="center"/>
        <w:rPr>
          <w:rFonts w:ascii="Times New Roman" w:hAnsi="Times New Roman"/>
          <w:color w:val="000000"/>
          <w:sz w:val="20"/>
          <w:lang w:eastAsia="es-AR"/>
        </w:rPr>
      </w:pPr>
    </w:p>
    <w:p w14:paraId="17E66D63" w14:textId="77777777" w:rsidR="00A45853" w:rsidRDefault="00A45853" w:rsidP="00702958">
      <w:pPr>
        <w:jc w:val="center"/>
        <w:rPr>
          <w:rFonts w:ascii="Times New Roman" w:hAnsi="Times New Roman"/>
          <w:color w:val="000000"/>
          <w:sz w:val="20"/>
          <w:lang w:eastAsia="es-AR"/>
        </w:rPr>
      </w:pPr>
    </w:p>
    <w:p w14:paraId="7DFF3EE9" w14:textId="77777777" w:rsidR="00A45853" w:rsidRDefault="00A45853" w:rsidP="00702958">
      <w:pPr>
        <w:jc w:val="center"/>
        <w:rPr>
          <w:rFonts w:ascii="Times New Roman" w:hAnsi="Times New Roman"/>
          <w:color w:val="000000"/>
          <w:sz w:val="20"/>
          <w:lang w:eastAsia="es-AR"/>
        </w:rPr>
      </w:pPr>
    </w:p>
    <w:p w14:paraId="441D6994" w14:textId="77777777" w:rsidR="00A45853" w:rsidRDefault="00A45853" w:rsidP="00702958">
      <w:pPr>
        <w:jc w:val="center"/>
        <w:rPr>
          <w:rFonts w:ascii="Times New Roman" w:hAnsi="Times New Roman"/>
          <w:color w:val="000000"/>
          <w:sz w:val="20"/>
          <w:lang w:eastAsia="es-AR"/>
        </w:rPr>
      </w:pPr>
    </w:p>
    <w:p w14:paraId="0E1C7309" w14:textId="3377A117" w:rsidR="00E2117F" w:rsidRPr="00110E8B" w:rsidRDefault="00E50935" w:rsidP="00702958">
      <w:pPr>
        <w:jc w:val="center"/>
        <w:rPr>
          <w:rFonts w:ascii="Times New Roman" w:hAnsi="Times New Roman"/>
          <w:color w:val="000000"/>
          <w:sz w:val="20"/>
          <w:lang w:eastAsia="es-AR"/>
        </w:rPr>
      </w:pPr>
      <w:r w:rsidRPr="00E50935">
        <w:rPr>
          <w:noProof/>
          <w:lang w:eastAsia="es-AR"/>
        </w:rPr>
        <w:drawing>
          <wp:inline distT="0" distB="0" distL="0" distR="0" wp14:anchorId="4EAA9308" wp14:editId="118CC09A">
            <wp:extent cx="6120765" cy="37721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20765" cy="3772155"/>
                    </a:xfrm>
                    <a:prstGeom prst="rect">
                      <a:avLst/>
                    </a:prstGeom>
                    <a:noFill/>
                    <a:ln>
                      <a:noFill/>
                    </a:ln>
                  </pic:spPr>
                </pic:pic>
              </a:graphicData>
            </a:graphic>
          </wp:inline>
        </w:drawing>
      </w:r>
      <w:r w:rsidR="00AD0021" w:rsidRPr="00110E8B">
        <w:rPr>
          <w:rFonts w:ascii="Times New Roman" w:hAnsi="Times New Roman"/>
          <w:color w:val="000000"/>
          <w:sz w:val="20"/>
          <w:lang w:eastAsia="es-AR"/>
        </w:rPr>
        <w:br w:type="page"/>
      </w:r>
    </w:p>
    <w:p w14:paraId="69BDD30A" w14:textId="6C2A3329" w:rsidR="00995C4A" w:rsidRPr="00110E8B" w:rsidRDefault="008863B5" w:rsidP="00AA7D7C">
      <w:pPr>
        <w:jc w:val="center"/>
        <w:rPr>
          <w:rFonts w:ascii="Times New Roman" w:hAnsi="Times New Roman"/>
          <w:noProof/>
          <w:sz w:val="20"/>
          <w:lang w:eastAsia="es-AR"/>
        </w:rPr>
      </w:pPr>
      <w:r w:rsidRPr="002C644B">
        <w:rPr>
          <w:noProof/>
          <w:lang w:eastAsia="es-AR"/>
        </w:rPr>
        <w:lastRenderedPageBreak/>
        <w:drawing>
          <wp:inline distT="0" distB="0" distL="0" distR="0" wp14:anchorId="38C7C519" wp14:editId="7A32861E">
            <wp:extent cx="5979381" cy="739400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96070" cy="7414646"/>
                    </a:xfrm>
                    <a:prstGeom prst="rect">
                      <a:avLst/>
                    </a:prstGeom>
                    <a:noFill/>
                    <a:ln>
                      <a:noFill/>
                    </a:ln>
                  </pic:spPr>
                </pic:pic>
              </a:graphicData>
            </a:graphic>
          </wp:inline>
        </w:drawing>
      </w:r>
    </w:p>
    <w:p w14:paraId="4A7F7926" w14:textId="038D1836" w:rsidR="00CC637C" w:rsidRDefault="009D75D3" w:rsidP="00A063F6">
      <w:pPr>
        <w:ind w:left="1214"/>
        <w:rPr>
          <w:rFonts w:ascii="Times New Roman" w:hAnsi="Times New Roman"/>
          <w:noProof/>
          <w:sz w:val="20"/>
          <w:lang w:eastAsia="es-AR"/>
        </w:rPr>
      </w:pPr>
      <w:r w:rsidRPr="00ED410E">
        <w:rPr>
          <w:noProof/>
          <w:lang w:eastAsia="es-AR"/>
        </w:rPr>
        <w:lastRenderedPageBreak/>
        <w:drawing>
          <wp:inline distT="0" distB="0" distL="0" distR="0" wp14:anchorId="3E6C725A" wp14:editId="7F5014AC">
            <wp:extent cx="4646715" cy="622587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50135" cy="6230455"/>
                    </a:xfrm>
                    <a:prstGeom prst="rect">
                      <a:avLst/>
                    </a:prstGeom>
                    <a:noFill/>
                    <a:ln>
                      <a:noFill/>
                    </a:ln>
                  </pic:spPr>
                </pic:pic>
              </a:graphicData>
            </a:graphic>
          </wp:inline>
        </w:drawing>
      </w:r>
    </w:p>
    <w:p w14:paraId="29096BDF" w14:textId="62F57043" w:rsidR="00995C4A" w:rsidRPr="00110E8B" w:rsidRDefault="00995C4A" w:rsidP="003033AF">
      <w:pPr>
        <w:ind w:left="607"/>
        <w:jc w:val="center"/>
        <w:rPr>
          <w:rFonts w:ascii="Times New Roman" w:hAnsi="Times New Roman"/>
          <w:noProof/>
          <w:sz w:val="20"/>
          <w:lang w:eastAsia="es-AR"/>
        </w:rPr>
      </w:pPr>
    </w:p>
    <w:p w14:paraId="697C1251" w14:textId="74F95E2E" w:rsidR="00995C4A" w:rsidRPr="00110E8B" w:rsidRDefault="009D75D3" w:rsidP="00696C49">
      <w:pPr>
        <w:jc w:val="center"/>
        <w:rPr>
          <w:rFonts w:ascii="Times New Roman" w:hAnsi="Times New Roman"/>
          <w:noProof/>
          <w:sz w:val="20"/>
          <w:lang w:eastAsia="es-AR"/>
        </w:rPr>
      </w:pPr>
      <w:r w:rsidRPr="00696C49">
        <w:rPr>
          <w:noProof/>
          <w:lang w:eastAsia="es-AR"/>
        </w:rPr>
        <w:lastRenderedPageBreak/>
        <w:drawing>
          <wp:inline distT="0" distB="0" distL="0" distR="0" wp14:anchorId="2CE29C21" wp14:editId="3E35FA5A">
            <wp:extent cx="4410075" cy="702855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12166" cy="7031889"/>
                    </a:xfrm>
                    <a:prstGeom prst="rect">
                      <a:avLst/>
                    </a:prstGeom>
                    <a:noFill/>
                    <a:ln>
                      <a:noFill/>
                    </a:ln>
                  </pic:spPr>
                </pic:pic>
              </a:graphicData>
            </a:graphic>
          </wp:inline>
        </w:drawing>
      </w:r>
    </w:p>
    <w:p w14:paraId="57D79221" w14:textId="00072DFF" w:rsidR="00995C4A" w:rsidRPr="00110E8B" w:rsidRDefault="00995C4A" w:rsidP="00E2117F">
      <w:pPr>
        <w:ind w:left="851"/>
        <w:jc w:val="center"/>
        <w:rPr>
          <w:rFonts w:ascii="Times New Roman" w:hAnsi="Times New Roman"/>
          <w:noProof/>
          <w:sz w:val="20"/>
          <w:lang w:eastAsia="es-AR"/>
        </w:rPr>
      </w:pPr>
    </w:p>
    <w:p w14:paraId="040DDAA0" w14:textId="77777777" w:rsidR="00995C4A" w:rsidRPr="00110E8B" w:rsidRDefault="00995C4A" w:rsidP="00E2117F">
      <w:pPr>
        <w:ind w:left="851"/>
        <w:jc w:val="center"/>
        <w:rPr>
          <w:rFonts w:ascii="Times New Roman" w:hAnsi="Times New Roman"/>
          <w:noProof/>
          <w:sz w:val="20"/>
          <w:lang w:eastAsia="es-AR"/>
        </w:rPr>
      </w:pPr>
    </w:p>
    <w:p w14:paraId="2288EF6A" w14:textId="572E5D4C" w:rsidR="00995C4A" w:rsidRPr="00110E8B" w:rsidRDefault="009D75D3" w:rsidP="008B5AEE">
      <w:pPr>
        <w:jc w:val="center"/>
        <w:rPr>
          <w:rFonts w:ascii="Times New Roman" w:hAnsi="Times New Roman"/>
          <w:noProof/>
          <w:sz w:val="20"/>
          <w:lang w:eastAsia="es-AR"/>
        </w:rPr>
      </w:pPr>
      <w:r w:rsidRPr="008B5AEE">
        <w:rPr>
          <w:noProof/>
          <w:lang w:eastAsia="es-AR"/>
        </w:rPr>
        <w:drawing>
          <wp:inline distT="0" distB="0" distL="0" distR="0" wp14:anchorId="45D2C7F8" wp14:editId="37D22FE1">
            <wp:extent cx="5150835" cy="4365266"/>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153448" cy="4367481"/>
                    </a:xfrm>
                    <a:prstGeom prst="rect">
                      <a:avLst/>
                    </a:prstGeom>
                    <a:noFill/>
                    <a:ln>
                      <a:noFill/>
                    </a:ln>
                  </pic:spPr>
                </pic:pic>
              </a:graphicData>
            </a:graphic>
          </wp:inline>
        </w:drawing>
      </w:r>
    </w:p>
    <w:p w14:paraId="7A556D53" w14:textId="77777777" w:rsidR="00995C4A" w:rsidRPr="00110E8B" w:rsidRDefault="00995C4A" w:rsidP="00E2117F">
      <w:pPr>
        <w:ind w:left="851"/>
        <w:jc w:val="center"/>
        <w:rPr>
          <w:rFonts w:ascii="Times New Roman" w:hAnsi="Times New Roman"/>
          <w:noProof/>
          <w:sz w:val="20"/>
          <w:lang w:eastAsia="es-AR"/>
        </w:rPr>
      </w:pPr>
    </w:p>
    <w:p w14:paraId="3A5015B8" w14:textId="77777777" w:rsidR="00995C4A" w:rsidRPr="00110E8B" w:rsidRDefault="00995C4A" w:rsidP="00E2117F">
      <w:pPr>
        <w:ind w:left="851"/>
        <w:jc w:val="center"/>
        <w:rPr>
          <w:rFonts w:ascii="Times New Roman" w:hAnsi="Times New Roman"/>
          <w:noProof/>
          <w:sz w:val="20"/>
          <w:lang w:eastAsia="es-AR"/>
        </w:rPr>
      </w:pPr>
    </w:p>
    <w:p w14:paraId="2D5E0465" w14:textId="77777777" w:rsidR="00995C4A" w:rsidRPr="00110E8B" w:rsidRDefault="00995C4A" w:rsidP="00E2117F">
      <w:pPr>
        <w:ind w:left="851"/>
        <w:jc w:val="center"/>
        <w:rPr>
          <w:rFonts w:ascii="Times New Roman" w:hAnsi="Times New Roman"/>
          <w:noProof/>
          <w:sz w:val="20"/>
          <w:lang w:eastAsia="es-AR"/>
        </w:rPr>
      </w:pPr>
    </w:p>
    <w:p w14:paraId="0ADB5449" w14:textId="77777777" w:rsidR="00995C4A" w:rsidRPr="00110E8B" w:rsidRDefault="00995C4A" w:rsidP="00E2117F">
      <w:pPr>
        <w:ind w:left="851"/>
        <w:jc w:val="center"/>
        <w:rPr>
          <w:rFonts w:ascii="Times New Roman" w:hAnsi="Times New Roman"/>
          <w:noProof/>
          <w:sz w:val="20"/>
          <w:lang w:eastAsia="es-AR"/>
        </w:rPr>
      </w:pPr>
    </w:p>
    <w:p w14:paraId="1B3D33D6" w14:textId="77777777" w:rsidR="00995C4A" w:rsidRPr="00110E8B" w:rsidRDefault="00995C4A" w:rsidP="00E2117F">
      <w:pPr>
        <w:ind w:left="851"/>
        <w:jc w:val="center"/>
        <w:rPr>
          <w:rFonts w:ascii="Times New Roman" w:hAnsi="Times New Roman"/>
          <w:noProof/>
          <w:sz w:val="20"/>
          <w:lang w:eastAsia="es-AR"/>
        </w:rPr>
      </w:pPr>
    </w:p>
    <w:p w14:paraId="42A95FCE" w14:textId="686A9339" w:rsidR="00E2117F" w:rsidRPr="00110E8B" w:rsidRDefault="00E2117F" w:rsidP="00E2117F">
      <w:pPr>
        <w:ind w:left="142"/>
        <w:jc w:val="center"/>
        <w:rPr>
          <w:rFonts w:ascii="Times New Roman" w:hAnsi="Times New Roman"/>
          <w:bCs/>
          <w:color w:val="000000"/>
          <w:sz w:val="20"/>
        </w:rPr>
      </w:pPr>
    </w:p>
    <w:p w14:paraId="76CD3C1F" w14:textId="77777777" w:rsidR="00E2117F" w:rsidRPr="00110E8B" w:rsidRDefault="00E2117F" w:rsidP="00E2117F">
      <w:pPr>
        <w:ind w:left="851"/>
        <w:jc w:val="center"/>
        <w:rPr>
          <w:rFonts w:ascii="Times New Roman" w:hAnsi="Times New Roman"/>
          <w:bCs/>
          <w:color w:val="000000"/>
          <w:sz w:val="20"/>
        </w:rPr>
      </w:pPr>
    </w:p>
    <w:p w14:paraId="3A886CBF" w14:textId="77777777" w:rsidR="00E2117F" w:rsidRPr="00110E8B" w:rsidRDefault="00E2117F" w:rsidP="00E2117F">
      <w:pPr>
        <w:ind w:left="851"/>
        <w:jc w:val="center"/>
        <w:rPr>
          <w:rFonts w:ascii="Times New Roman" w:hAnsi="Times New Roman"/>
          <w:bCs/>
          <w:color w:val="000000"/>
          <w:sz w:val="20"/>
        </w:rPr>
      </w:pPr>
    </w:p>
    <w:p w14:paraId="6FCA8CE0" w14:textId="420344C7" w:rsidR="00D03A5C" w:rsidRPr="00110E8B" w:rsidRDefault="00D03A5C" w:rsidP="00E2117F">
      <w:pPr>
        <w:ind w:left="142"/>
        <w:jc w:val="center"/>
        <w:rPr>
          <w:rFonts w:ascii="Times New Roman" w:hAnsi="Times New Roman"/>
          <w:bCs/>
          <w:color w:val="000000"/>
          <w:sz w:val="20"/>
        </w:rPr>
      </w:pPr>
    </w:p>
    <w:p w14:paraId="48DD7367" w14:textId="064FA4A8" w:rsidR="00D8484F" w:rsidRDefault="00D8484F">
      <w:r w:rsidRPr="00110E8B">
        <w:rPr>
          <w:rFonts w:ascii="Times New Roman" w:hAnsi="Times New Roman"/>
          <w:bCs/>
          <w:color w:val="000000"/>
          <w:sz w:val="20"/>
        </w:rPr>
        <w:br w:type="page"/>
      </w:r>
      <w:r w:rsidR="00001253" w:rsidRPr="00001253">
        <w:lastRenderedPageBreak/>
        <w:t xml:space="preserve"> </w:t>
      </w:r>
    </w:p>
    <w:p w14:paraId="7AD5299E" w14:textId="77777777" w:rsidR="00FF2787" w:rsidRDefault="00FF2787"/>
    <w:p w14:paraId="2C864DF2" w14:textId="77777777" w:rsidR="00FF2787" w:rsidRDefault="00FF2787"/>
    <w:p w14:paraId="376902D3" w14:textId="77777777" w:rsidR="00FF2787" w:rsidRPr="00110E8B" w:rsidRDefault="00FF2787">
      <w:pPr>
        <w:rPr>
          <w:rFonts w:ascii="Times New Roman" w:hAnsi="Times New Roman"/>
          <w:bCs/>
          <w:color w:val="000000"/>
          <w:sz w:val="20"/>
        </w:rPr>
      </w:pPr>
    </w:p>
    <w:p w14:paraId="0A283EC2" w14:textId="7AB927E3" w:rsidR="00453472" w:rsidRDefault="00453472" w:rsidP="00E2117F">
      <w:pPr>
        <w:ind w:left="142"/>
        <w:jc w:val="center"/>
        <w:rPr>
          <w:rFonts w:ascii="Times New Roman" w:hAnsi="Times New Roman"/>
          <w:bCs/>
          <w:color w:val="000000"/>
          <w:sz w:val="20"/>
        </w:rPr>
      </w:pPr>
    </w:p>
    <w:p w14:paraId="2D1ADEDC" w14:textId="06F635D3" w:rsidR="00453472" w:rsidRDefault="00702EEB" w:rsidP="00E2117F">
      <w:pPr>
        <w:ind w:left="142"/>
        <w:jc w:val="center"/>
        <w:rPr>
          <w:noProof/>
          <w:highlight w:val="yellow"/>
          <w:lang w:eastAsia="es-AR"/>
        </w:rPr>
      </w:pPr>
      <w:r w:rsidRPr="00702EEB">
        <w:rPr>
          <w:noProof/>
          <w:lang w:eastAsia="es-AR"/>
        </w:rPr>
        <w:drawing>
          <wp:inline distT="0" distB="0" distL="0" distR="0" wp14:anchorId="7C68D827" wp14:editId="158394C5">
            <wp:extent cx="6511940" cy="3427012"/>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521467" cy="3432026"/>
                    </a:xfrm>
                    <a:prstGeom prst="rect">
                      <a:avLst/>
                    </a:prstGeom>
                    <a:noFill/>
                    <a:ln>
                      <a:noFill/>
                    </a:ln>
                  </pic:spPr>
                </pic:pic>
              </a:graphicData>
            </a:graphic>
          </wp:inline>
        </w:drawing>
      </w:r>
    </w:p>
    <w:p w14:paraId="7AE47882" w14:textId="77777777" w:rsidR="00453472" w:rsidRDefault="00453472" w:rsidP="00E2117F">
      <w:pPr>
        <w:ind w:left="142"/>
        <w:jc w:val="center"/>
        <w:rPr>
          <w:noProof/>
          <w:highlight w:val="yellow"/>
          <w:lang w:eastAsia="es-AR"/>
        </w:rPr>
      </w:pPr>
    </w:p>
    <w:p w14:paraId="29F00438" w14:textId="77777777" w:rsidR="00453472" w:rsidRDefault="00453472" w:rsidP="00E2117F">
      <w:pPr>
        <w:ind w:left="142"/>
        <w:jc w:val="center"/>
        <w:rPr>
          <w:noProof/>
          <w:highlight w:val="yellow"/>
          <w:lang w:eastAsia="es-AR"/>
        </w:rPr>
      </w:pPr>
    </w:p>
    <w:p w14:paraId="77DEAEE2" w14:textId="77777777" w:rsidR="00453472" w:rsidRDefault="00453472" w:rsidP="00E2117F">
      <w:pPr>
        <w:ind w:left="142"/>
        <w:jc w:val="center"/>
        <w:rPr>
          <w:noProof/>
          <w:highlight w:val="yellow"/>
          <w:lang w:eastAsia="es-AR"/>
        </w:rPr>
      </w:pPr>
    </w:p>
    <w:p w14:paraId="2869A09B" w14:textId="2C94F51C" w:rsidR="00D8484F" w:rsidRDefault="00D8484F" w:rsidP="00E2117F">
      <w:pPr>
        <w:ind w:left="142"/>
        <w:jc w:val="center"/>
        <w:rPr>
          <w:rFonts w:ascii="Times New Roman" w:hAnsi="Times New Roman"/>
          <w:bCs/>
          <w:color w:val="000000"/>
          <w:sz w:val="20"/>
        </w:rPr>
      </w:pPr>
    </w:p>
    <w:p w14:paraId="1F39B2F6" w14:textId="77777777" w:rsidR="00453472" w:rsidRDefault="00453472" w:rsidP="00E2117F">
      <w:pPr>
        <w:ind w:left="142"/>
        <w:jc w:val="center"/>
        <w:rPr>
          <w:rFonts w:ascii="Times New Roman" w:hAnsi="Times New Roman"/>
          <w:bCs/>
          <w:color w:val="000000"/>
          <w:sz w:val="20"/>
        </w:rPr>
      </w:pPr>
    </w:p>
    <w:p w14:paraId="589557FD" w14:textId="77777777" w:rsidR="007E3998" w:rsidRDefault="007E3998" w:rsidP="00E2117F">
      <w:pPr>
        <w:ind w:left="142"/>
        <w:jc w:val="center"/>
        <w:rPr>
          <w:rFonts w:ascii="Times New Roman" w:hAnsi="Times New Roman"/>
          <w:bCs/>
          <w:color w:val="000000"/>
          <w:sz w:val="20"/>
        </w:rPr>
      </w:pPr>
    </w:p>
    <w:p w14:paraId="67CC80B8" w14:textId="77777777" w:rsidR="007E3998" w:rsidRDefault="007E3998" w:rsidP="00E2117F">
      <w:pPr>
        <w:ind w:left="142"/>
        <w:jc w:val="center"/>
        <w:rPr>
          <w:rFonts w:ascii="Times New Roman" w:hAnsi="Times New Roman"/>
          <w:bCs/>
          <w:color w:val="000000"/>
          <w:sz w:val="20"/>
        </w:rPr>
      </w:pPr>
    </w:p>
    <w:p w14:paraId="2B730D47" w14:textId="77777777" w:rsidR="007E3998" w:rsidRDefault="007E3998" w:rsidP="00E2117F">
      <w:pPr>
        <w:ind w:left="142"/>
        <w:jc w:val="center"/>
        <w:rPr>
          <w:rFonts w:ascii="Times New Roman" w:hAnsi="Times New Roman"/>
          <w:bCs/>
          <w:color w:val="000000"/>
          <w:sz w:val="20"/>
        </w:rPr>
      </w:pPr>
    </w:p>
    <w:p w14:paraId="77D12EFC" w14:textId="77777777" w:rsidR="007E3998" w:rsidRDefault="007E3998" w:rsidP="00E2117F">
      <w:pPr>
        <w:ind w:left="142"/>
        <w:jc w:val="center"/>
        <w:rPr>
          <w:rFonts w:ascii="Times New Roman" w:hAnsi="Times New Roman"/>
          <w:bCs/>
          <w:color w:val="000000"/>
          <w:sz w:val="20"/>
        </w:rPr>
      </w:pPr>
    </w:p>
    <w:p w14:paraId="2F0483B7" w14:textId="77777777" w:rsidR="007E3998" w:rsidRDefault="007E3998" w:rsidP="00E2117F">
      <w:pPr>
        <w:ind w:left="142"/>
        <w:jc w:val="center"/>
        <w:rPr>
          <w:rFonts w:ascii="Times New Roman" w:hAnsi="Times New Roman"/>
          <w:bCs/>
          <w:color w:val="000000"/>
          <w:sz w:val="20"/>
        </w:rPr>
      </w:pPr>
    </w:p>
    <w:p w14:paraId="5B3DDB38" w14:textId="77777777" w:rsidR="007E3998" w:rsidRDefault="007E3998" w:rsidP="00E2117F">
      <w:pPr>
        <w:ind w:left="142"/>
        <w:jc w:val="center"/>
        <w:rPr>
          <w:rFonts w:ascii="Times New Roman" w:hAnsi="Times New Roman"/>
          <w:bCs/>
          <w:color w:val="000000"/>
          <w:sz w:val="20"/>
        </w:rPr>
      </w:pPr>
    </w:p>
    <w:p w14:paraId="6F0FE814" w14:textId="77777777" w:rsidR="007E3998" w:rsidRDefault="007E3998" w:rsidP="00E2117F">
      <w:pPr>
        <w:ind w:left="142"/>
        <w:jc w:val="center"/>
        <w:rPr>
          <w:rFonts w:ascii="Times New Roman" w:hAnsi="Times New Roman"/>
          <w:bCs/>
          <w:color w:val="000000"/>
          <w:sz w:val="20"/>
        </w:rPr>
      </w:pPr>
    </w:p>
    <w:p w14:paraId="50474751" w14:textId="77777777" w:rsidR="007E3998" w:rsidRDefault="007E3998" w:rsidP="00E2117F">
      <w:pPr>
        <w:ind w:left="142"/>
        <w:jc w:val="center"/>
        <w:rPr>
          <w:rFonts w:ascii="Times New Roman" w:hAnsi="Times New Roman"/>
          <w:bCs/>
          <w:color w:val="000000"/>
          <w:sz w:val="20"/>
        </w:rPr>
      </w:pPr>
    </w:p>
    <w:p w14:paraId="5987D899" w14:textId="77777777" w:rsidR="007E3998" w:rsidRDefault="007E3998" w:rsidP="00E2117F">
      <w:pPr>
        <w:ind w:left="142"/>
        <w:jc w:val="center"/>
        <w:rPr>
          <w:rFonts w:ascii="Times New Roman" w:hAnsi="Times New Roman"/>
          <w:bCs/>
          <w:color w:val="000000"/>
          <w:sz w:val="20"/>
        </w:rPr>
      </w:pPr>
    </w:p>
    <w:p w14:paraId="4B8D4E2E" w14:textId="77777777" w:rsidR="007E3998" w:rsidRDefault="007E3998" w:rsidP="00E2117F">
      <w:pPr>
        <w:ind w:left="142"/>
        <w:jc w:val="center"/>
        <w:rPr>
          <w:rFonts w:ascii="Times New Roman" w:hAnsi="Times New Roman"/>
          <w:bCs/>
          <w:color w:val="000000"/>
          <w:sz w:val="20"/>
        </w:rPr>
      </w:pPr>
    </w:p>
    <w:p w14:paraId="06FD2A6F" w14:textId="77777777" w:rsidR="007E3998" w:rsidRDefault="007E3998" w:rsidP="00E2117F">
      <w:pPr>
        <w:ind w:left="142"/>
        <w:jc w:val="center"/>
        <w:rPr>
          <w:rFonts w:ascii="Times New Roman" w:hAnsi="Times New Roman"/>
          <w:bCs/>
          <w:color w:val="000000"/>
          <w:sz w:val="20"/>
        </w:rPr>
      </w:pPr>
    </w:p>
    <w:p w14:paraId="39519122" w14:textId="77777777" w:rsidR="007E3998" w:rsidRDefault="007E3998" w:rsidP="00E2117F">
      <w:pPr>
        <w:ind w:left="142"/>
        <w:jc w:val="center"/>
        <w:rPr>
          <w:rFonts w:ascii="Times New Roman" w:hAnsi="Times New Roman"/>
          <w:bCs/>
          <w:color w:val="000000"/>
          <w:sz w:val="20"/>
        </w:rPr>
      </w:pPr>
    </w:p>
    <w:p w14:paraId="02767222" w14:textId="60DF6164" w:rsidR="00FF2787" w:rsidRDefault="00FF2787" w:rsidP="00E2117F">
      <w:pPr>
        <w:ind w:left="142"/>
        <w:jc w:val="center"/>
        <w:rPr>
          <w:rFonts w:ascii="Times New Roman" w:hAnsi="Times New Roman"/>
          <w:bCs/>
          <w:color w:val="000000"/>
          <w:sz w:val="20"/>
        </w:rPr>
      </w:pPr>
    </w:p>
    <w:p w14:paraId="15052DF6" w14:textId="77777777" w:rsidR="00FF2787" w:rsidRDefault="00FF2787" w:rsidP="00E2117F">
      <w:pPr>
        <w:ind w:left="142"/>
        <w:jc w:val="center"/>
        <w:rPr>
          <w:rFonts w:ascii="Times New Roman" w:hAnsi="Times New Roman"/>
          <w:bCs/>
          <w:color w:val="000000"/>
          <w:sz w:val="20"/>
        </w:rPr>
      </w:pPr>
    </w:p>
    <w:p w14:paraId="02C10546" w14:textId="3EA02E67" w:rsidR="00FF2787" w:rsidRDefault="006E5A6D" w:rsidP="00E2117F">
      <w:pPr>
        <w:ind w:left="142"/>
        <w:jc w:val="center"/>
        <w:rPr>
          <w:rFonts w:ascii="Times New Roman" w:hAnsi="Times New Roman"/>
          <w:bCs/>
          <w:color w:val="000000"/>
          <w:sz w:val="20"/>
        </w:rPr>
      </w:pPr>
      <w:r w:rsidRPr="006E5A6D">
        <w:rPr>
          <w:noProof/>
          <w:lang w:eastAsia="es-AR"/>
        </w:rPr>
        <w:drawing>
          <wp:inline distT="0" distB="0" distL="0" distR="0" wp14:anchorId="68E3661C" wp14:editId="46F84C9E">
            <wp:extent cx="5391150" cy="442087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91150" cy="4420870"/>
                    </a:xfrm>
                    <a:prstGeom prst="rect">
                      <a:avLst/>
                    </a:prstGeom>
                    <a:noFill/>
                    <a:ln>
                      <a:noFill/>
                    </a:ln>
                  </pic:spPr>
                </pic:pic>
              </a:graphicData>
            </a:graphic>
          </wp:inline>
        </w:drawing>
      </w:r>
    </w:p>
    <w:p w14:paraId="41F3FCCF" w14:textId="77777777" w:rsidR="00FF2787" w:rsidRDefault="00FF2787" w:rsidP="00E2117F">
      <w:pPr>
        <w:ind w:left="142"/>
        <w:jc w:val="center"/>
        <w:rPr>
          <w:rFonts w:ascii="Times New Roman" w:hAnsi="Times New Roman"/>
          <w:bCs/>
          <w:color w:val="000000"/>
          <w:sz w:val="20"/>
        </w:rPr>
      </w:pPr>
    </w:p>
    <w:p w14:paraId="48367BC0" w14:textId="77777777" w:rsidR="00FF2787" w:rsidRDefault="00FF2787" w:rsidP="00E2117F">
      <w:pPr>
        <w:ind w:left="142"/>
        <w:jc w:val="center"/>
        <w:rPr>
          <w:rFonts w:ascii="Times New Roman" w:hAnsi="Times New Roman"/>
          <w:bCs/>
          <w:color w:val="000000"/>
          <w:sz w:val="20"/>
        </w:rPr>
      </w:pPr>
    </w:p>
    <w:p w14:paraId="6D364A77" w14:textId="77777777" w:rsidR="00FF2787" w:rsidRDefault="00FF2787" w:rsidP="00E2117F">
      <w:pPr>
        <w:ind w:left="142"/>
        <w:jc w:val="center"/>
        <w:rPr>
          <w:rFonts w:ascii="Times New Roman" w:hAnsi="Times New Roman"/>
          <w:bCs/>
          <w:color w:val="000000"/>
          <w:sz w:val="20"/>
        </w:rPr>
      </w:pPr>
    </w:p>
    <w:p w14:paraId="56D3AFA4" w14:textId="77777777" w:rsidR="00FF2787" w:rsidRDefault="00FF2787" w:rsidP="00E2117F">
      <w:pPr>
        <w:ind w:left="142"/>
        <w:jc w:val="center"/>
        <w:rPr>
          <w:rFonts w:ascii="Times New Roman" w:hAnsi="Times New Roman"/>
          <w:bCs/>
          <w:color w:val="000000"/>
          <w:sz w:val="20"/>
        </w:rPr>
      </w:pPr>
    </w:p>
    <w:p w14:paraId="1205FC86" w14:textId="77777777" w:rsidR="00FF2787" w:rsidRDefault="00FF2787" w:rsidP="00E2117F">
      <w:pPr>
        <w:ind w:left="142"/>
        <w:jc w:val="center"/>
        <w:rPr>
          <w:rFonts w:ascii="Times New Roman" w:hAnsi="Times New Roman"/>
          <w:bCs/>
          <w:color w:val="000000"/>
          <w:sz w:val="20"/>
        </w:rPr>
      </w:pPr>
    </w:p>
    <w:p w14:paraId="0AB56145" w14:textId="77777777" w:rsidR="00FF2787" w:rsidRDefault="00FF2787" w:rsidP="00E2117F">
      <w:pPr>
        <w:ind w:left="142"/>
        <w:jc w:val="center"/>
        <w:rPr>
          <w:rFonts w:ascii="Times New Roman" w:hAnsi="Times New Roman"/>
          <w:bCs/>
          <w:color w:val="000000"/>
          <w:sz w:val="20"/>
        </w:rPr>
      </w:pPr>
    </w:p>
    <w:p w14:paraId="44468BE7" w14:textId="77777777" w:rsidR="005C1B7D" w:rsidRDefault="005C1B7D" w:rsidP="00E2117F">
      <w:pPr>
        <w:ind w:left="142"/>
        <w:jc w:val="center"/>
        <w:rPr>
          <w:rFonts w:ascii="Times New Roman" w:hAnsi="Times New Roman"/>
          <w:bCs/>
          <w:color w:val="000000"/>
          <w:sz w:val="20"/>
        </w:rPr>
      </w:pPr>
    </w:p>
    <w:p w14:paraId="617204C4" w14:textId="77777777" w:rsidR="005C1B7D" w:rsidRDefault="005C1B7D" w:rsidP="00E2117F">
      <w:pPr>
        <w:ind w:left="142"/>
        <w:jc w:val="center"/>
        <w:rPr>
          <w:rFonts w:ascii="Times New Roman" w:hAnsi="Times New Roman"/>
          <w:bCs/>
          <w:color w:val="000000"/>
          <w:sz w:val="20"/>
        </w:rPr>
      </w:pPr>
    </w:p>
    <w:p w14:paraId="6E2DC9F6" w14:textId="77777777" w:rsidR="005C1B7D" w:rsidRDefault="005C1B7D" w:rsidP="00E2117F">
      <w:pPr>
        <w:ind w:left="142"/>
        <w:jc w:val="center"/>
        <w:rPr>
          <w:rFonts w:ascii="Times New Roman" w:hAnsi="Times New Roman"/>
          <w:bCs/>
          <w:color w:val="000000"/>
          <w:sz w:val="20"/>
        </w:rPr>
      </w:pPr>
    </w:p>
    <w:p w14:paraId="6DA9DEBF" w14:textId="77777777" w:rsidR="005C1B7D" w:rsidRDefault="005C1B7D" w:rsidP="00E2117F">
      <w:pPr>
        <w:ind w:left="142"/>
        <w:jc w:val="center"/>
        <w:rPr>
          <w:rFonts w:ascii="Times New Roman" w:hAnsi="Times New Roman"/>
          <w:bCs/>
          <w:color w:val="000000"/>
          <w:sz w:val="20"/>
        </w:rPr>
      </w:pPr>
    </w:p>
    <w:p w14:paraId="28D3334F" w14:textId="77777777" w:rsidR="005C1B7D" w:rsidRDefault="005C1B7D" w:rsidP="00E2117F">
      <w:pPr>
        <w:ind w:left="142"/>
        <w:jc w:val="center"/>
        <w:rPr>
          <w:rFonts w:ascii="Times New Roman" w:hAnsi="Times New Roman"/>
          <w:bCs/>
          <w:color w:val="000000"/>
          <w:sz w:val="20"/>
        </w:rPr>
      </w:pPr>
    </w:p>
    <w:p w14:paraId="49642328" w14:textId="77777777" w:rsidR="005C1B7D" w:rsidRDefault="005C1B7D" w:rsidP="00E2117F">
      <w:pPr>
        <w:ind w:left="142"/>
        <w:jc w:val="center"/>
        <w:rPr>
          <w:rFonts w:ascii="Times New Roman" w:hAnsi="Times New Roman"/>
          <w:bCs/>
          <w:color w:val="000000"/>
          <w:sz w:val="20"/>
        </w:rPr>
      </w:pPr>
    </w:p>
    <w:p w14:paraId="342D54EE" w14:textId="77777777" w:rsidR="00FF2787" w:rsidRDefault="00FF2787" w:rsidP="00E2117F">
      <w:pPr>
        <w:ind w:left="142"/>
        <w:jc w:val="center"/>
        <w:rPr>
          <w:rFonts w:ascii="Times New Roman" w:hAnsi="Times New Roman"/>
          <w:bCs/>
          <w:color w:val="000000"/>
          <w:sz w:val="20"/>
        </w:rPr>
      </w:pPr>
    </w:p>
    <w:p w14:paraId="4A1FFAAA" w14:textId="77777777" w:rsidR="00FF2787" w:rsidRPr="00110E8B" w:rsidRDefault="00FF2787" w:rsidP="00E2117F">
      <w:pPr>
        <w:ind w:left="142"/>
        <w:jc w:val="center"/>
        <w:rPr>
          <w:rFonts w:ascii="Times New Roman" w:hAnsi="Times New Roman"/>
          <w:bCs/>
          <w:color w:val="000000"/>
          <w:sz w:val="20"/>
        </w:rPr>
      </w:pPr>
    </w:p>
    <w:p w14:paraId="0D114DDC" w14:textId="0592AD78" w:rsidR="000D0B31" w:rsidRPr="00110E8B" w:rsidRDefault="000C7738" w:rsidP="00E2117F">
      <w:pPr>
        <w:ind w:left="142"/>
        <w:jc w:val="center"/>
        <w:rPr>
          <w:rFonts w:ascii="Times New Roman" w:hAnsi="Times New Roman"/>
          <w:bCs/>
          <w:color w:val="000000"/>
          <w:sz w:val="20"/>
        </w:rPr>
      </w:pPr>
      <w:r w:rsidRPr="000C7738">
        <w:rPr>
          <w:noProof/>
          <w:lang w:eastAsia="es-AR"/>
        </w:rPr>
        <w:drawing>
          <wp:inline distT="0" distB="0" distL="0" distR="0" wp14:anchorId="30D697A5" wp14:editId="3514C226">
            <wp:extent cx="6561713" cy="3387256"/>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569249" cy="3391146"/>
                    </a:xfrm>
                    <a:prstGeom prst="rect">
                      <a:avLst/>
                    </a:prstGeom>
                    <a:noFill/>
                    <a:ln>
                      <a:noFill/>
                    </a:ln>
                  </pic:spPr>
                </pic:pic>
              </a:graphicData>
            </a:graphic>
          </wp:inline>
        </w:drawing>
      </w:r>
    </w:p>
    <w:p w14:paraId="2A93CEE4" w14:textId="77777777" w:rsidR="004974FE" w:rsidRPr="00110E8B" w:rsidRDefault="004974FE" w:rsidP="00E2117F">
      <w:pPr>
        <w:ind w:left="142"/>
        <w:jc w:val="center"/>
        <w:rPr>
          <w:rFonts w:ascii="Times New Roman" w:hAnsi="Times New Roman"/>
          <w:bCs/>
          <w:color w:val="000000"/>
          <w:sz w:val="20"/>
        </w:rPr>
      </w:pPr>
    </w:p>
    <w:p w14:paraId="73BFD1A5" w14:textId="37135EA8" w:rsidR="00E2117F" w:rsidRPr="00110E8B" w:rsidRDefault="00E2117F" w:rsidP="00E2117F">
      <w:pPr>
        <w:ind w:left="142"/>
        <w:jc w:val="center"/>
        <w:rPr>
          <w:rFonts w:ascii="Times New Roman" w:hAnsi="Times New Roman"/>
          <w:bCs/>
          <w:color w:val="000000"/>
          <w:sz w:val="20"/>
        </w:rPr>
      </w:pPr>
    </w:p>
    <w:p w14:paraId="20DAAB6B" w14:textId="400B703A" w:rsidR="00E2117F" w:rsidRPr="00110E8B" w:rsidRDefault="00E2117F" w:rsidP="00E2117F">
      <w:pPr>
        <w:ind w:left="142"/>
        <w:jc w:val="center"/>
        <w:rPr>
          <w:rFonts w:ascii="Times New Roman" w:hAnsi="Times New Roman"/>
          <w:bCs/>
          <w:color w:val="000000"/>
          <w:sz w:val="20"/>
        </w:rPr>
      </w:pPr>
    </w:p>
    <w:p w14:paraId="7FEEE0BD" w14:textId="2D7BCD54" w:rsidR="00E2117F" w:rsidRPr="00110E8B" w:rsidRDefault="00E2117F" w:rsidP="00E2117F">
      <w:pPr>
        <w:ind w:left="142"/>
        <w:jc w:val="center"/>
        <w:rPr>
          <w:rFonts w:ascii="Times New Roman" w:hAnsi="Times New Roman"/>
          <w:bCs/>
          <w:color w:val="000000"/>
          <w:sz w:val="20"/>
        </w:rPr>
      </w:pPr>
    </w:p>
    <w:p w14:paraId="0A30ADB2" w14:textId="77777777" w:rsidR="00E2117F" w:rsidRPr="00110E8B" w:rsidRDefault="00E2117F" w:rsidP="00E2117F">
      <w:pPr>
        <w:ind w:left="142"/>
        <w:jc w:val="center"/>
        <w:rPr>
          <w:rFonts w:ascii="Times New Roman" w:hAnsi="Times New Roman"/>
          <w:bCs/>
          <w:color w:val="000000"/>
          <w:sz w:val="20"/>
        </w:rPr>
      </w:pPr>
    </w:p>
    <w:p w14:paraId="08844309" w14:textId="77777777" w:rsidR="00E2117F" w:rsidRPr="00110E8B" w:rsidRDefault="00E2117F" w:rsidP="00E2117F">
      <w:pPr>
        <w:ind w:left="142"/>
        <w:jc w:val="center"/>
        <w:rPr>
          <w:rFonts w:ascii="Times New Roman" w:hAnsi="Times New Roman"/>
          <w:bCs/>
          <w:color w:val="000000"/>
          <w:sz w:val="20"/>
        </w:rPr>
      </w:pPr>
    </w:p>
    <w:p w14:paraId="550C5AAE" w14:textId="77777777" w:rsidR="00E2117F" w:rsidRPr="00110E8B" w:rsidRDefault="00E2117F" w:rsidP="00E2117F">
      <w:pPr>
        <w:ind w:left="142"/>
        <w:jc w:val="center"/>
        <w:rPr>
          <w:rFonts w:ascii="Times New Roman" w:hAnsi="Times New Roman"/>
          <w:bCs/>
          <w:color w:val="000000"/>
          <w:sz w:val="20"/>
        </w:rPr>
      </w:pPr>
    </w:p>
    <w:p w14:paraId="3C896F6F" w14:textId="77777777" w:rsidR="00E2117F" w:rsidRPr="00110E8B" w:rsidRDefault="00E2117F" w:rsidP="00E2117F">
      <w:pPr>
        <w:ind w:left="142"/>
        <w:jc w:val="center"/>
        <w:rPr>
          <w:rFonts w:ascii="Times New Roman" w:hAnsi="Times New Roman"/>
          <w:bCs/>
          <w:color w:val="000000"/>
          <w:sz w:val="20"/>
        </w:rPr>
      </w:pPr>
    </w:p>
    <w:p w14:paraId="7F84CB90" w14:textId="10F7EA00" w:rsidR="00E2117F" w:rsidRPr="00110E8B" w:rsidRDefault="00E2117F" w:rsidP="00E2117F">
      <w:pPr>
        <w:ind w:left="142"/>
        <w:jc w:val="center"/>
        <w:rPr>
          <w:rFonts w:ascii="Times New Roman" w:hAnsi="Times New Roman"/>
          <w:bCs/>
          <w:color w:val="000000"/>
          <w:sz w:val="20"/>
        </w:rPr>
      </w:pPr>
    </w:p>
    <w:p w14:paraId="24825624" w14:textId="6F3B35F5" w:rsidR="00E2117F" w:rsidRPr="00110E8B" w:rsidRDefault="00E2117F" w:rsidP="00E2117F">
      <w:pPr>
        <w:ind w:left="142"/>
        <w:jc w:val="center"/>
        <w:rPr>
          <w:rFonts w:ascii="Times New Roman" w:hAnsi="Times New Roman"/>
          <w:bCs/>
          <w:color w:val="000000"/>
          <w:sz w:val="20"/>
        </w:rPr>
      </w:pPr>
    </w:p>
    <w:p w14:paraId="372F5C40" w14:textId="454370E6" w:rsidR="00E2117F" w:rsidRPr="00110E8B" w:rsidRDefault="00E2117F" w:rsidP="00E2117F">
      <w:pPr>
        <w:ind w:left="142"/>
        <w:jc w:val="center"/>
        <w:rPr>
          <w:rFonts w:ascii="Times New Roman" w:hAnsi="Times New Roman"/>
          <w:bCs/>
          <w:color w:val="000000"/>
          <w:sz w:val="20"/>
        </w:rPr>
      </w:pPr>
    </w:p>
    <w:p w14:paraId="2EF2CD6E" w14:textId="354A5194" w:rsidR="00E2117F" w:rsidRPr="00110E8B" w:rsidRDefault="00E2117F" w:rsidP="00E2117F">
      <w:pPr>
        <w:ind w:left="142"/>
        <w:jc w:val="center"/>
        <w:rPr>
          <w:rFonts w:ascii="Times New Roman" w:hAnsi="Times New Roman"/>
          <w:bCs/>
          <w:color w:val="000000"/>
          <w:sz w:val="20"/>
        </w:rPr>
      </w:pPr>
    </w:p>
    <w:p w14:paraId="33BFC80F" w14:textId="77777777" w:rsidR="00E2117F" w:rsidRPr="00110E8B" w:rsidRDefault="00E2117F" w:rsidP="00E2117F">
      <w:pPr>
        <w:ind w:left="142"/>
        <w:jc w:val="center"/>
        <w:rPr>
          <w:rFonts w:ascii="Times New Roman" w:hAnsi="Times New Roman"/>
          <w:bCs/>
          <w:color w:val="000000"/>
          <w:sz w:val="20"/>
        </w:rPr>
      </w:pPr>
    </w:p>
    <w:p w14:paraId="5F6AABC8" w14:textId="31FDAD14" w:rsidR="00E2117F" w:rsidRPr="00110E8B" w:rsidRDefault="00E2117F" w:rsidP="00E2117F">
      <w:pPr>
        <w:ind w:left="142"/>
        <w:jc w:val="center"/>
        <w:rPr>
          <w:rFonts w:ascii="Times New Roman" w:hAnsi="Times New Roman"/>
          <w:bCs/>
          <w:color w:val="000000"/>
          <w:sz w:val="20"/>
        </w:rPr>
      </w:pPr>
    </w:p>
    <w:p w14:paraId="1A4D0AAC" w14:textId="6B96ABF1" w:rsidR="00E2117F" w:rsidRPr="00110E8B" w:rsidRDefault="00E2117F" w:rsidP="00E2117F">
      <w:pPr>
        <w:ind w:left="142"/>
        <w:jc w:val="center"/>
        <w:rPr>
          <w:rFonts w:ascii="Times New Roman" w:hAnsi="Times New Roman"/>
          <w:bCs/>
          <w:color w:val="000000"/>
          <w:sz w:val="20"/>
        </w:rPr>
      </w:pPr>
    </w:p>
    <w:p w14:paraId="189F3B5C" w14:textId="77777777" w:rsidR="00E2117F" w:rsidRPr="00110E8B" w:rsidRDefault="00E2117F" w:rsidP="00E2117F">
      <w:pPr>
        <w:ind w:left="142"/>
        <w:jc w:val="center"/>
        <w:rPr>
          <w:rFonts w:ascii="Times New Roman" w:hAnsi="Times New Roman"/>
          <w:bCs/>
          <w:color w:val="000000"/>
          <w:sz w:val="20"/>
        </w:rPr>
      </w:pPr>
    </w:p>
    <w:p w14:paraId="4204264C" w14:textId="77777777" w:rsidR="00F316CD" w:rsidRPr="00110E8B" w:rsidRDefault="00F316CD" w:rsidP="00E2117F">
      <w:pPr>
        <w:ind w:left="142"/>
        <w:jc w:val="center"/>
        <w:rPr>
          <w:rFonts w:ascii="Times New Roman" w:hAnsi="Times New Roman"/>
          <w:bCs/>
          <w:color w:val="000000"/>
          <w:sz w:val="20"/>
        </w:rPr>
      </w:pPr>
    </w:p>
    <w:p w14:paraId="3E8F87DD" w14:textId="3658FFFA" w:rsidR="00F316CD" w:rsidRPr="00110E8B" w:rsidRDefault="00001253">
      <w:pPr>
        <w:rPr>
          <w:rFonts w:ascii="Times New Roman" w:hAnsi="Times New Roman"/>
          <w:bCs/>
          <w:color w:val="000000"/>
          <w:sz w:val="20"/>
        </w:rPr>
      </w:pPr>
      <w:r w:rsidRPr="00001253">
        <w:t xml:space="preserve"> </w:t>
      </w:r>
    </w:p>
    <w:p w14:paraId="5BD923FC" w14:textId="345C8D71" w:rsidR="00E2117F" w:rsidRPr="00110E8B" w:rsidRDefault="00E2117F" w:rsidP="00E2117F">
      <w:pPr>
        <w:ind w:left="142"/>
        <w:jc w:val="center"/>
        <w:rPr>
          <w:rFonts w:ascii="Times New Roman" w:hAnsi="Times New Roman"/>
          <w:bCs/>
          <w:color w:val="000000"/>
          <w:sz w:val="20"/>
        </w:rPr>
      </w:pPr>
    </w:p>
    <w:p w14:paraId="0C45076E" w14:textId="3B3B3D5C" w:rsidR="00F316CD" w:rsidRPr="00110E8B" w:rsidRDefault="00E536F4" w:rsidP="00732A04">
      <w:pPr>
        <w:jc w:val="center"/>
        <w:rPr>
          <w:rFonts w:ascii="Times New Roman" w:hAnsi="Times New Roman"/>
          <w:bCs/>
          <w:color w:val="000000"/>
          <w:sz w:val="20"/>
        </w:rPr>
      </w:pPr>
      <w:r w:rsidRPr="00E536F4">
        <w:rPr>
          <w:noProof/>
          <w:lang w:eastAsia="es-AR"/>
        </w:rPr>
        <w:drawing>
          <wp:inline distT="0" distB="0" distL="0" distR="0" wp14:anchorId="3092A1FA" wp14:editId="44B2B025">
            <wp:extent cx="6120765" cy="4041021"/>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20765" cy="4041021"/>
                    </a:xfrm>
                    <a:prstGeom prst="rect">
                      <a:avLst/>
                    </a:prstGeom>
                    <a:noFill/>
                    <a:ln>
                      <a:noFill/>
                    </a:ln>
                  </pic:spPr>
                </pic:pic>
              </a:graphicData>
            </a:graphic>
          </wp:inline>
        </w:drawing>
      </w:r>
    </w:p>
    <w:p w14:paraId="150D6A89" w14:textId="790D9463" w:rsidR="00D76975" w:rsidRDefault="00A72937" w:rsidP="00890B4D">
      <w:pPr>
        <w:rPr>
          <w:rFonts w:ascii="Times New Roman" w:hAnsi="Times New Roman"/>
          <w:b/>
          <w:bCs/>
          <w:color w:val="000000"/>
          <w:sz w:val="20"/>
        </w:rPr>
      </w:pPr>
      <w:r w:rsidRPr="00A72937">
        <w:rPr>
          <w:noProof/>
          <w:lang w:eastAsia="es-AR"/>
        </w:rPr>
        <w:lastRenderedPageBreak/>
        <w:drawing>
          <wp:inline distT="0" distB="0" distL="0" distR="0" wp14:anchorId="5A184137" wp14:editId="6DF97468">
            <wp:extent cx="6606933" cy="589191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613844" cy="5898080"/>
                    </a:xfrm>
                    <a:prstGeom prst="rect">
                      <a:avLst/>
                    </a:prstGeom>
                    <a:noFill/>
                    <a:ln>
                      <a:noFill/>
                    </a:ln>
                  </pic:spPr>
                </pic:pic>
              </a:graphicData>
            </a:graphic>
          </wp:inline>
        </w:drawing>
      </w:r>
      <w:r w:rsidR="00F316CD" w:rsidRPr="00110E8B">
        <w:rPr>
          <w:rFonts w:ascii="Times New Roman" w:hAnsi="Times New Roman"/>
          <w:bCs/>
          <w:color w:val="000000"/>
          <w:sz w:val="20"/>
        </w:rPr>
        <w:br w:type="page"/>
      </w:r>
      <w:r w:rsidR="00F316CD" w:rsidRPr="00110E8B">
        <w:rPr>
          <w:rFonts w:ascii="Times New Roman" w:hAnsi="Times New Roman"/>
          <w:b/>
          <w:bCs/>
          <w:color w:val="000000"/>
          <w:sz w:val="20"/>
        </w:rPr>
        <w:lastRenderedPageBreak/>
        <w:t xml:space="preserve"> </w:t>
      </w:r>
      <w:r w:rsidR="00001253" w:rsidRPr="00001253">
        <w:t xml:space="preserve"> </w:t>
      </w:r>
    </w:p>
    <w:p w14:paraId="554464B1" w14:textId="3B68473F" w:rsidR="00E2117F" w:rsidRDefault="00E2117F" w:rsidP="008B5DBD">
      <w:pPr>
        <w:jc w:val="center"/>
        <w:rPr>
          <w:rFonts w:ascii="Times New Roman" w:hAnsi="Times New Roman"/>
          <w:bCs/>
          <w:color w:val="000000"/>
          <w:sz w:val="20"/>
        </w:rPr>
      </w:pPr>
    </w:p>
    <w:p w14:paraId="7E59F8F7" w14:textId="5AF49567" w:rsidR="00DF678F" w:rsidRDefault="00014EBF" w:rsidP="00D5068F">
      <w:pPr>
        <w:ind w:left="-284"/>
        <w:jc w:val="center"/>
        <w:rPr>
          <w:noProof/>
          <w:lang w:eastAsia="es-AR"/>
        </w:rPr>
      </w:pPr>
      <w:r w:rsidRPr="00014EBF">
        <w:rPr>
          <w:noProof/>
          <w:lang w:eastAsia="es-AR"/>
        </w:rPr>
        <w:drawing>
          <wp:inline distT="0" distB="0" distL="0" distR="0" wp14:anchorId="50E3C17C" wp14:editId="6E695DF9">
            <wp:extent cx="6655238" cy="415853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673621" cy="4170020"/>
                    </a:xfrm>
                    <a:prstGeom prst="rect">
                      <a:avLst/>
                    </a:prstGeom>
                    <a:noFill/>
                    <a:ln>
                      <a:noFill/>
                    </a:ln>
                  </pic:spPr>
                </pic:pic>
              </a:graphicData>
            </a:graphic>
          </wp:inline>
        </w:drawing>
      </w:r>
    </w:p>
    <w:p w14:paraId="5CB12A9E" w14:textId="77777777" w:rsidR="00DF678F" w:rsidRDefault="00DF678F" w:rsidP="00D5068F">
      <w:pPr>
        <w:ind w:left="-284"/>
        <w:jc w:val="center"/>
        <w:rPr>
          <w:noProof/>
          <w:lang w:eastAsia="es-AR"/>
        </w:rPr>
      </w:pPr>
    </w:p>
    <w:p w14:paraId="13BCD83A" w14:textId="77777777" w:rsidR="00DF678F" w:rsidRDefault="00DF678F" w:rsidP="00D5068F">
      <w:pPr>
        <w:ind w:left="-284"/>
        <w:jc w:val="center"/>
        <w:rPr>
          <w:noProof/>
          <w:lang w:eastAsia="es-AR"/>
        </w:rPr>
      </w:pPr>
    </w:p>
    <w:p w14:paraId="4EBFE0F7" w14:textId="77777777" w:rsidR="00DF678F" w:rsidRDefault="00DF678F" w:rsidP="00D5068F">
      <w:pPr>
        <w:ind w:left="-284"/>
        <w:jc w:val="center"/>
        <w:rPr>
          <w:rFonts w:ascii="Times New Roman" w:hAnsi="Times New Roman"/>
          <w:bCs/>
          <w:color w:val="000000"/>
          <w:sz w:val="20"/>
        </w:rPr>
      </w:pPr>
    </w:p>
    <w:p w14:paraId="322650E7" w14:textId="77777777" w:rsidR="00DF678F" w:rsidRDefault="00DF678F" w:rsidP="00D5068F">
      <w:pPr>
        <w:ind w:left="-284"/>
        <w:jc w:val="center"/>
        <w:rPr>
          <w:rFonts w:ascii="Times New Roman" w:hAnsi="Times New Roman"/>
          <w:bCs/>
          <w:color w:val="000000"/>
          <w:sz w:val="20"/>
        </w:rPr>
      </w:pPr>
    </w:p>
    <w:p w14:paraId="02FA7A59" w14:textId="77777777" w:rsidR="00DF678F" w:rsidRDefault="00DF678F" w:rsidP="00D5068F">
      <w:pPr>
        <w:ind w:left="-284"/>
        <w:jc w:val="center"/>
        <w:rPr>
          <w:rFonts w:ascii="Times New Roman" w:hAnsi="Times New Roman"/>
          <w:bCs/>
          <w:color w:val="000000"/>
          <w:sz w:val="20"/>
        </w:rPr>
      </w:pPr>
    </w:p>
    <w:p w14:paraId="5E34664C" w14:textId="77777777" w:rsidR="00DF678F" w:rsidRDefault="00DF678F" w:rsidP="00D5068F">
      <w:pPr>
        <w:ind w:left="-284"/>
        <w:jc w:val="center"/>
        <w:rPr>
          <w:rFonts w:ascii="Times New Roman" w:hAnsi="Times New Roman"/>
          <w:bCs/>
          <w:color w:val="000000"/>
          <w:sz w:val="20"/>
        </w:rPr>
      </w:pPr>
    </w:p>
    <w:p w14:paraId="1B4553C5" w14:textId="77777777" w:rsidR="00DF678F" w:rsidRDefault="00DF678F" w:rsidP="00D5068F">
      <w:pPr>
        <w:ind w:left="-284"/>
        <w:jc w:val="center"/>
        <w:rPr>
          <w:rFonts w:ascii="Times New Roman" w:hAnsi="Times New Roman"/>
          <w:bCs/>
          <w:color w:val="000000"/>
          <w:sz w:val="20"/>
        </w:rPr>
      </w:pPr>
    </w:p>
    <w:p w14:paraId="4DAB7519" w14:textId="77777777" w:rsidR="00DF678F" w:rsidRDefault="00DF678F" w:rsidP="00D5068F">
      <w:pPr>
        <w:ind w:left="-284"/>
        <w:jc w:val="center"/>
        <w:rPr>
          <w:rFonts w:ascii="Times New Roman" w:hAnsi="Times New Roman"/>
          <w:bCs/>
          <w:color w:val="000000"/>
          <w:sz w:val="20"/>
        </w:rPr>
      </w:pPr>
    </w:p>
    <w:p w14:paraId="45B81354" w14:textId="77777777" w:rsidR="00DF678F" w:rsidRDefault="00DF678F" w:rsidP="00D5068F">
      <w:pPr>
        <w:ind w:left="-284"/>
        <w:jc w:val="center"/>
        <w:rPr>
          <w:rFonts w:ascii="Times New Roman" w:hAnsi="Times New Roman"/>
          <w:bCs/>
          <w:color w:val="000000"/>
          <w:sz w:val="20"/>
        </w:rPr>
      </w:pPr>
    </w:p>
    <w:p w14:paraId="41CA4FC9" w14:textId="77777777" w:rsidR="00DF678F" w:rsidRDefault="00DF678F" w:rsidP="00D5068F">
      <w:pPr>
        <w:ind w:left="-284"/>
        <w:jc w:val="center"/>
        <w:rPr>
          <w:rFonts w:ascii="Times New Roman" w:hAnsi="Times New Roman"/>
          <w:bCs/>
          <w:color w:val="000000"/>
          <w:sz w:val="20"/>
        </w:rPr>
      </w:pPr>
    </w:p>
    <w:p w14:paraId="431644B9" w14:textId="77777777" w:rsidR="00DF678F" w:rsidRDefault="00DF678F" w:rsidP="00D5068F">
      <w:pPr>
        <w:ind w:left="-284"/>
        <w:jc w:val="center"/>
        <w:rPr>
          <w:rFonts w:ascii="Times New Roman" w:hAnsi="Times New Roman"/>
          <w:bCs/>
          <w:color w:val="000000"/>
          <w:sz w:val="20"/>
        </w:rPr>
      </w:pPr>
    </w:p>
    <w:p w14:paraId="79ACC8FA" w14:textId="1597E2B1" w:rsidR="00AD2C5C" w:rsidRDefault="00705097" w:rsidP="00D5068F">
      <w:pPr>
        <w:ind w:left="-284"/>
        <w:jc w:val="center"/>
        <w:rPr>
          <w:rFonts w:ascii="Times New Roman" w:hAnsi="Times New Roman"/>
          <w:bCs/>
          <w:color w:val="000000"/>
          <w:sz w:val="20"/>
        </w:rPr>
      </w:pPr>
      <w:r w:rsidRPr="0087025D">
        <w:rPr>
          <w:noProof/>
          <w:lang w:eastAsia="es-AR"/>
        </w:rPr>
        <w:lastRenderedPageBreak/>
        <w:drawing>
          <wp:inline distT="0" distB="0" distL="0" distR="0" wp14:anchorId="025F372A" wp14:editId="40CE5A55">
            <wp:extent cx="6715034" cy="35303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720069" cy="3533026"/>
                    </a:xfrm>
                    <a:prstGeom prst="rect">
                      <a:avLst/>
                    </a:prstGeom>
                    <a:noFill/>
                    <a:ln>
                      <a:noFill/>
                    </a:ln>
                  </pic:spPr>
                </pic:pic>
              </a:graphicData>
            </a:graphic>
          </wp:inline>
        </w:drawing>
      </w:r>
    </w:p>
    <w:p w14:paraId="2986C85E" w14:textId="26602055" w:rsidR="00813463" w:rsidRDefault="00813463" w:rsidP="00D5068F">
      <w:pPr>
        <w:ind w:left="-284"/>
        <w:jc w:val="center"/>
        <w:rPr>
          <w:rFonts w:ascii="Times New Roman" w:hAnsi="Times New Roman"/>
          <w:bCs/>
          <w:color w:val="000000"/>
          <w:sz w:val="20"/>
        </w:rPr>
      </w:pPr>
    </w:p>
    <w:p w14:paraId="1A74E5B8" w14:textId="77777777" w:rsidR="00813463" w:rsidRDefault="00813463" w:rsidP="00D5068F">
      <w:pPr>
        <w:ind w:left="-284"/>
        <w:jc w:val="center"/>
        <w:rPr>
          <w:rFonts w:ascii="Times New Roman" w:hAnsi="Times New Roman"/>
          <w:bCs/>
          <w:color w:val="000000"/>
          <w:sz w:val="20"/>
        </w:rPr>
        <w:sectPr w:rsidR="00813463" w:rsidSect="00372BD0">
          <w:headerReference w:type="default" r:id="rId186"/>
          <w:footerReference w:type="default" r:id="rId187"/>
          <w:headerReference w:type="first" r:id="rId188"/>
          <w:footerReference w:type="first" r:id="rId189"/>
          <w:footnotePr>
            <w:numStart w:val="0"/>
          </w:footnotePr>
          <w:pgSz w:w="11907" w:h="16840" w:code="9"/>
          <w:pgMar w:top="1985" w:right="1134" w:bottom="340" w:left="1134" w:header="851" w:footer="215" w:gutter="0"/>
          <w:pgNumType w:fmt="numberInDash" w:chapStyle="1" w:chapSep="enDash"/>
          <w:cols w:space="560"/>
          <w:docGrid w:linePitch="326"/>
        </w:sectPr>
      </w:pPr>
    </w:p>
    <w:p w14:paraId="074EE155" w14:textId="5AB1FFBC" w:rsidR="006E2FEA" w:rsidRPr="00110E8B" w:rsidRDefault="006E2FEA" w:rsidP="00D5068F">
      <w:pPr>
        <w:ind w:left="-284"/>
        <w:jc w:val="center"/>
        <w:rPr>
          <w:rFonts w:ascii="Times New Roman" w:hAnsi="Times New Roman"/>
          <w:bCs/>
          <w:color w:val="000000"/>
          <w:sz w:val="20"/>
        </w:rPr>
      </w:pPr>
    </w:p>
    <w:p w14:paraId="78273B10" w14:textId="77777777" w:rsidR="006E2FEA" w:rsidRPr="00110E8B" w:rsidRDefault="006E2FEA" w:rsidP="00E2117F">
      <w:pPr>
        <w:ind w:left="142"/>
        <w:jc w:val="center"/>
        <w:rPr>
          <w:rFonts w:ascii="Times New Roman" w:hAnsi="Times New Roman"/>
          <w:bCs/>
          <w:color w:val="000000"/>
          <w:sz w:val="20"/>
        </w:rPr>
      </w:pPr>
    </w:p>
    <w:p w14:paraId="1C0914E8" w14:textId="1A9D022F" w:rsidR="008C6D08" w:rsidRPr="00110E8B" w:rsidRDefault="00F5567E" w:rsidP="005D7352">
      <w:pPr>
        <w:autoSpaceDE w:val="0"/>
        <w:autoSpaceDN w:val="0"/>
        <w:adjustRightInd w:val="0"/>
        <w:spacing w:before="20" w:after="220" w:line="240" w:lineRule="atLeast"/>
        <w:jc w:val="both"/>
        <w:rPr>
          <w:rFonts w:ascii="Times New Roman" w:hAnsi="Times New Roman"/>
          <w:b/>
          <w:bCs/>
          <w:color w:val="000000" w:themeColor="text1"/>
          <w:sz w:val="20"/>
        </w:rPr>
        <w:sectPr w:rsidR="008C6D08" w:rsidRPr="00110E8B" w:rsidSect="00A9747C">
          <w:headerReference w:type="default" r:id="rId190"/>
          <w:footerReference w:type="default" r:id="rId191"/>
          <w:footnotePr>
            <w:numStart w:val="0"/>
          </w:footnotePr>
          <w:pgSz w:w="11907" w:h="16840" w:code="9"/>
          <w:pgMar w:top="1985" w:right="1226" w:bottom="340" w:left="1418" w:header="851" w:footer="216" w:gutter="0"/>
          <w:pgNumType w:chapStyle="1" w:chapSep="enDash"/>
          <w:cols w:space="560"/>
          <w:docGrid w:linePitch="326"/>
        </w:sectPr>
      </w:pPr>
      <w:r>
        <w:rPr>
          <w:rFonts w:ascii="Times New Roman" w:eastAsiaTheme="minorEastAsia" w:hAnsi="Times New Roman"/>
          <w:noProof/>
          <w:sz w:val="20"/>
          <w:lang w:eastAsia="es-AR"/>
        </w:rPr>
        <w:pict w14:anchorId="2EDF82F2">
          <v:shape id="_x0000_s1036" type="#_x0000_t202" style="position:absolute;left:0;text-align:left;margin-left:361.25pt;margin-top:-30.2pt;width:97.5pt;height:29.2pt;z-index:2516618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" filled="f" fillcolor="#bbe0e3" stroked="f">
            <v:textbox style="mso-next-textbox:#_x0000_s1036;mso-fit-shape-to-text:t">
              <w:txbxContent>
                <w:p w14:paraId="0058CC67" w14:textId="77777777" w:rsidR="008F2AD9" w:rsidRDefault="008F2AD9" w:rsidP="00822DDC">
                  <w:pPr>
                    <w:autoSpaceDE w:val="0"/>
                    <w:autoSpaceDN w:val="0"/>
                    <w:adjustRightInd w:val="0"/>
                    <w:spacing w:line="220" w:lineRule="exact"/>
                    <w:rPr>
                      <w:rFonts w:ascii="Univers for KPMG" w:hAnsi="Univers for KPMG" w:cs="Arial"/>
                      <w:bCs/>
                      <w:color w:val="000000"/>
                      <w:sz w:val="16"/>
                      <w:szCs w:val="16"/>
                      <w:lang w:val="en-US"/>
                    </w:rPr>
                  </w:pPr>
                </w:p>
                <w:p w14:paraId="171648C2" w14:textId="77777777" w:rsidR="008F2AD9" w:rsidRPr="00E957EE" w:rsidRDefault="008F2AD9" w:rsidP="00822DDC">
                  <w:pPr>
                    <w:autoSpaceDE w:val="0"/>
                    <w:autoSpaceDN w:val="0"/>
                    <w:adjustRightInd w:val="0"/>
                    <w:spacing w:line="220" w:lineRule="exact"/>
                    <w:rPr>
                      <w:rFonts w:ascii="Univers for KPMG" w:hAnsi="Univers for KPMG" w:cs="Arial"/>
                      <w:color w:val="000000"/>
                      <w:sz w:val="15"/>
                      <w:szCs w:val="15"/>
                    </w:rPr>
                  </w:pPr>
                  <w:r w:rsidRPr="00E957EE">
                    <w:rPr>
                      <w:rFonts w:ascii="Univers for KPMG" w:hAnsi="Univers for KPMG" w:cs="Arial"/>
                      <w:bCs/>
                      <w:color w:val="000000"/>
                      <w:sz w:val="16"/>
                      <w:szCs w:val="16"/>
                      <w:lang w:val="en-US"/>
                    </w:rPr>
                    <w:t>+54 11 4316 5700</w:t>
                  </w:r>
                </w:p>
                <w:p w14:paraId="4CF1FD89" w14:textId="77777777" w:rsidR="008F2AD9" w:rsidRPr="000E0F51" w:rsidRDefault="008F2AD9" w:rsidP="00822DDC">
                  <w:pPr>
                    <w:autoSpaceDE w:val="0"/>
                    <w:autoSpaceDN w:val="0"/>
                    <w:adjustRightInd w:val="0"/>
                    <w:spacing w:line="220" w:lineRule="exact"/>
                    <w:rPr>
                      <w:rFonts w:ascii="Univers for KPMG" w:hAnsi="Univers for KPMG" w:cs="Arial"/>
                      <w:color w:val="000000"/>
                      <w:sz w:val="15"/>
                      <w:szCs w:val="15"/>
                    </w:rPr>
                  </w:pPr>
                  <w:r>
                    <w:rPr>
                      <w:rFonts w:ascii="Univers for KPMG" w:hAnsi="Univers for KPMG" w:cs="Arial"/>
                      <w:bCs/>
                      <w:color w:val="000000"/>
                      <w:sz w:val="16"/>
                      <w:szCs w:val="16"/>
                      <w:lang w:val="en-US"/>
                    </w:rPr>
                    <w:t>www.kpmg.com.ar</w:t>
                  </w:r>
                </w:p>
              </w:txbxContent>
            </v:textbox>
            <w10:wrap anchorx="margin" anchory="margin"/>
          </v:shape>
        </w:pict>
      </w:r>
      <w:r>
        <w:rPr>
          <w:rFonts w:ascii="Times New Roman" w:eastAsiaTheme="minorEastAsia" w:hAnsi="Times New Roman"/>
          <w:noProof/>
          <w:sz w:val="20"/>
          <w:lang w:eastAsia="es-AR"/>
        </w:rPr>
        <w:pict w14:anchorId="4E3052A6">
          <v:shape id="_x0000_s1035" type="#_x0000_t202" style="position:absolute;left:0;text-align:left;margin-left:158.4pt;margin-top:-37.45pt;width:160.5pt;height:40.2pt;z-index:2516608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" filled="f" fillcolor="#bbe0e3" stroked="f">
            <v:textbox style="mso-next-textbox:#_x0000_s1035;mso-fit-shape-to-text:t">
              <w:txbxContent>
                <w:p w14:paraId="0B3B78A9" w14:textId="77777777" w:rsidR="008F2AD9" w:rsidRDefault="008F2AD9" w:rsidP="00822DDC">
                  <w:pPr>
                    <w:autoSpaceDE w:val="0"/>
                    <w:autoSpaceDN w:val="0"/>
                    <w:adjustRightInd w:val="0"/>
                    <w:spacing w:line="220" w:lineRule="exact"/>
                    <w:rPr>
                      <w:rFonts w:ascii="Univers for KPMG" w:hAnsi="Univers for KPMG" w:cs="Arial"/>
                      <w:bCs/>
                      <w:color w:val="000000"/>
                      <w:sz w:val="16"/>
                      <w:szCs w:val="16"/>
                    </w:rPr>
                  </w:pPr>
                </w:p>
                <w:p w14:paraId="4FAF532F" w14:textId="77777777" w:rsidR="008F2AD9" w:rsidRPr="002812B0" w:rsidRDefault="008F2AD9" w:rsidP="00822DDC">
                  <w:pPr>
                    <w:autoSpaceDE w:val="0"/>
                    <w:autoSpaceDN w:val="0"/>
                    <w:adjustRightInd w:val="0"/>
                    <w:spacing w:line="220" w:lineRule="exact"/>
                    <w:rPr>
                      <w:rFonts w:ascii="Univers for KPMG" w:hAnsi="Univers for KPMG" w:cs="Arial"/>
                      <w:bCs/>
                      <w:color w:val="000000"/>
                      <w:sz w:val="16"/>
                      <w:szCs w:val="16"/>
                    </w:rPr>
                  </w:pPr>
                  <w:r>
                    <w:rPr>
                      <w:rFonts w:ascii="Univers for KPMG" w:hAnsi="Univers for KPMG" w:cs="Arial"/>
                      <w:bCs/>
                      <w:color w:val="000000"/>
                      <w:sz w:val="16"/>
                      <w:szCs w:val="16"/>
                    </w:rPr>
                    <w:t>KPMG</w:t>
                  </w:r>
                </w:p>
                <w:p w14:paraId="141700AD" w14:textId="77777777" w:rsidR="008F2AD9" w:rsidRPr="00C46E51" w:rsidRDefault="008F2AD9" w:rsidP="00822DDC">
                  <w:pPr>
                    <w:autoSpaceDE w:val="0"/>
                    <w:autoSpaceDN w:val="0"/>
                    <w:adjustRightInd w:val="0"/>
                    <w:spacing w:line="220" w:lineRule="exact"/>
                    <w:rPr>
                      <w:rFonts w:ascii="Univers for KPMG" w:hAnsi="Univers for KPMG" w:cs="Arial"/>
                      <w:bCs/>
                      <w:color w:val="000000"/>
                      <w:sz w:val="16"/>
                      <w:szCs w:val="16"/>
                    </w:rPr>
                  </w:pPr>
                  <w:r w:rsidRPr="00C46E51">
                    <w:rPr>
                      <w:rFonts w:ascii="Univers for KPMG" w:hAnsi="Univers for KPMG" w:cs="Arial"/>
                      <w:bCs/>
                      <w:color w:val="000000"/>
                      <w:sz w:val="16"/>
                      <w:szCs w:val="16"/>
                    </w:rPr>
                    <w:t>Bouchard 710 - 1° piso - C1106ABL</w:t>
                  </w:r>
                </w:p>
                <w:p w14:paraId="5181B514" w14:textId="77777777" w:rsidR="008F2AD9" w:rsidRPr="00C46E51" w:rsidRDefault="008F2AD9" w:rsidP="00822DDC">
                  <w:pPr>
                    <w:autoSpaceDE w:val="0"/>
                    <w:autoSpaceDN w:val="0"/>
                    <w:adjustRightInd w:val="0"/>
                    <w:spacing w:line="220" w:lineRule="exact"/>
                    <w:rPr>
                      <w:rFonts w:ascii="Univers for KPMG" w:hAnsi="Univers for KPMG" w:cs="Arial"/>
                      <w:bCs/>
                      <w:color w:val="000000"/>
                      <w:sz w:val="16"/>
                      <w:szCs w:val="16"/>
                    </w:rPr>
                  </w:pPr>
                  <w:r w:rsidRPr="00C46E51">
                    <w:rPr>
                      <w:rFonts w:ascii="Univers for KPMG" w:hAnsi="Univers for KPMG" w:cs="Arial"/>
                      <w:bCs/>
                      <w:color w:val="000000"/>
                      <w:sz w:val="16"/>
                      <w:szCs w:val="16"/>
                    </w:rPr>
                    <w:t>Buenos Aires, Argentina</w:t>
                  </w:r>
                </w:p>
              </w:txbxContent>
            </v:textbox>
            <w10:wrap anchorx="margin" anchory="margin"/>
          </v:shape>
        </w:pict>
      </w:r>
      <w:r w:rsidR="00822DDC" w:rsidRPr="00110E8B">
        <w:rPr>
          <w:rFonts w:ascii="Times New Roman" w:eastAsiaTheme="minorEastAsia" w:hAnsi="Times New Roman"/>
          <w:noProof/>
          <w:sz w:val="20"/>
          <w:lang w:eastAsia="es-AR"/>
        </w:rPr>
        <w:drawing>
          <wp:anchor distT="0" distB="0" distL="114300" distR="114300" simplePos="0" relativeHeight="251654656" behindDoc="0" locked="0" layoutInCell="1" allowOverlap="1" wp14:anchorId="2168D7ED" wp14:editId="476C3529">
            <wp:simplePos x="0" y="0"/>
            <wp:positionH relativeFrom="column">
              <wp:posOffset>50800</wp:posOffset>
            </wp:positionH>
            <wp:positionV relativeFrom="paragraph">
              <wp:posOffset>-533400</wp:posOffset>
            </wp:positionV>
            <wp:extent cx="1005840" cy="462915"/>
            <wp:effectExtent l="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110">
                      <a:extLst>
                        <a:ext uri="{28A0092B-C50C-407E-A947-70E740481C1C}">
                          <a14:useLocalDpi xmlns:a14="http://schemas.microsoft.com/office/drawing/2010/main" val="0"/>
                        </a:ext>
                      </a:extLst>
                    </a:blip>
                    <a:srcRect l="5399" t="16277"/>
                    <a:stretch>
                      <a:fillRect/>
                    </a:stretch>
                  </pic:blipFill>
                  <pic:spPr bwMode="auto">
                    <a:xfrm>
                      <a:off x="0" y="0"/>
                      <a:ext cx="10058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FFE89" w14:textId="77777777" w:rsidR="00EF64CA" w:rsidRPr="002A345D" w:rsidRDefault="00EF64CA" w:rsidP="009B10A3">
      <w:pPr>
        <w:tabs>
          <w:tab w:val="left" w:pos="2835"/>
        </w:tabs>
        <w:autoSpaceDE w:val="0"/>
        <w:autoSpaceDN w:val="0"/>
        <w:adjustRightInd w:val="0"/>
        <w:spacing w:before="20" w:after="220" w:line="240" w:lineRule="atLeast"/>
        <w:jc w:val="both"/>
        <w:rPr>
          <w:rFonts w:ascii="Times New Roman" w:hAnsi="Times New Roman"/>
          <w:b/>
          <w:bCs/>
          <w:color w:val="000000" w:themeColor="text1"/>
          <w:sz w:val="20"/>
        </w:rPr>
      </w:pPr>
    </w:p>
    <w:p w14:paraId="15979146" w14:textId="77777777" w:rsidR="002A345D" w:rsidRPr="002A345D" w:rsidRDefault="002A345D" w:rsidP="002A345D">
      <w:pPr>
        <w:autoSpaceDE w:val="0"/>
        <w:autoSpaceDN w:val="0"/>
        <w:adjustRightInd w:val="0"/>
        <w:spacing w:before="20" w:after="220" w:line="240" w:lineRule="atLeast"/>
        <w:jc w:val="both"/>
        <w:rPr>
          <w:rFonts w:ascii="Times New Roman" w:hAnsi="Times New Roman"/>
          <w:b/>
          <w:bCs/>
          <w:color w:val="000000" w:themeColor="text1"/>
          <w:sz w:val="20"/>
        </w:rPr>
      </w:pPr>
      <w:r w:rsidRPr="002A345D">
        <w:rPr>
          <w:rFonts w:ascii="Times New Roman" w:hAnsi="Times New Roman"/>
          <w:b/>
          <w:bCs/>
          <w:color w:val="000000" w:themeColor="text1"/>
          <w:sz w:val="20"/>
        </w:rPr>
        <w:t>INFORME DE REVISIÓN DE LOS AUDITORES INDEPENDIENTES SOBRE ESTADOS FINANCIEROS SEPARADOS DE PERIODO INTERMEDIO CONDENSADOS</w:t>
      </w:r>
    </w:p>
    <w:p w14:paraId="72ACEA7E" w14:textId="77777777" w:rsidR="002A345D" w:rsidRPr="002A345D" w:rsidRDefault="002A345D" w:rsidP="002A345D">
      <w:pPr>
        <w:pStyle w:val="Textoindependiente"/>
        <w:keepNext/>
        <w:spacing w:before="20" w:after="220" w:line="240" w:lineRule="atLeast"/>
        <w:jc w:val="left"/>
      </w:pPr>
      <w:r w:rsidRPr="002A345D">
        <w:rPr>
          <w:color w:val="000000" w:themeColor="text1"/>
        </w:rPr>
        <w:t>A los Señores Presidente y Directores de</w:t>
      </w:r>
      <w:r w:rsidRPr="002A345D">
        <w:rPr>
          <w:color w:val="000000" w:themeColor="text1"/>
        </w:rPr>
        <w:br/>
      </w:r>
      <w:r w:rsidRPr="002A345D">
        <w:t>Banco BBVA Argentina S.A.</w:t>
      </w:r>
      <w:r w:rsidRPr="002A345D">
        <w:br/>
        <w:t>Domicilio legal: Av. Córdoba 111</w:t>
      </w:r>
      <w:r w:rsidRPr="002A345D">
        <w:br/>
        <w:t>Ciudad Autónoma de Buenos Aires</w:t>
      </w:r>
      <w:r w:rsidRPr="002A345D">
        <w:br/>
        <w:t>C.U.I.T. N°: 30-50000319-3</w:t>
      </w:r>
    </w:p>
    <w:p w14:paraId="6EACC939" w14:textId="77777777" w:rsidR="002A345D" w:rsidRPr="002A345D" w:rsidRDefault="002A345D" w:rsidP="002A345D">
      <w:pPr>
        <w:pStyle w:val="Texto0"/>
        <w:spacing w:before="20" w:after="220" w:line="240" w:lineRule="exact"/>
        <w:rPr>
          <w:rFonts w:ascii="Times New Roman" w:hAnsi="Times New Roman"/>
          <w:b/>
          <w:i/>
        </w:rPr>
      </w:pPr>
      <w:r w:rsidRPr="002A345D">
        <w:rPr>
          <w:rFonts w:ascii="Times New Roman" w:hAnsi="Times New Roman"/>
          <w:b/>
          <w:i/>
        </w:rPr>
        <w:t xml:space="preserve">Informe sobre los estados financieros </w:t>
      </w:r>
    </w:p>
    <w:p w14:paraId="75B08DCF" w14:textId="77777777" w:rsidR="002A345D" w:rsidRPr="002A345D" w:rsidRDefault="002A345D" w:rsidP="002A345D">
      <w:pPr>
        <w:pStyle w:val="Textoinfaud"/>
        <w:tabs>
          <w:tab w:val="clear" w:pos="720"/>
        </w:tabs>
        <w:spacing w:before="20" w:after="220" w:line="240" w:lineRule="exact"/>
        <w:rPr>
          <w:rFonts w:ascii="Times New Roman" w:hAnsi="Times New Roman"/>
          <w:color w:val="000000" w:themeColor="text1"/>
          <w:lang w:val="es-AR"/>
        </w:rPr>
      </w:pPr>
      <w:r w:rsidRPr="002A345D">
        <w:rPr>
          <w:rFonts w:ascii="Times New Roman" w:eastAsiaTheme="minorEastAsia" w:hAnsi="Times New Roman" w:cstheme="minorBidi"/>
          <w:color w:val="000000" w:themeColor="text1"/>
          <w:lang w:val="es-AR" w:eastAsia="es-AR"/>
        </w:rPr>
        <w:t>Hemos revisado los estados financieros separados de período intermedio condensados adjuntos de Banco BBVA Argentina S.A. (la “Entidad”), los que comprenden el estado separado condensado de situación financiera al 30 de septiembre de 2021, los estados separados condensados de resultados y de otros resultados integrales</w:t>
      </w:r>
      <w:r w:rsidRPr="002A345D">
        <w:rPr>
          <w:rFonts w:ascii="Times New Roman" w:hAnsi="Times New Roman"/>
          <w:color w:val="000000" w:themeColor="text1"/>
          <w:lang w:val="es-AR"/>
        </w:rPr>
        <w:t xml:space="preserve"> por los períodos de nueve y tres meses finalizados en esa fecha y los correspondientes estados</w:t>
      </w:r>
      <w:r w:rsidRPr="002A345D">
        <w:rPr>
          <w:rFonts w:ascii="Times New Roman" w:eastAsiaTheme="minorEastAsia" w:hAnsi="Times New Roman" w:cstheme="minorBidi"/>
          <w:color w:val="000000" w:themeColor="text1"/>
          <w:lang w:val="es-AR" w:eastAsia="es-AR"/>
        </w:rPr>
        <w:t xml:space="preserve"> separados condensados de cambios en el patrimonio y de flujos de</w:t>
      </w:r>
      <w:r w:rsidRPr="002A345D">
        <w:rPr>
          <w:rFonts w:ascii="Times New Roman" w:hAnsi="Times New Roman"/>
          <w:color w:val="000000" w:themeColor="text1"/>
          <w:lang w:val="es-AR"/>
        </w:rPr>
        <w:t xml:space="preserve"> efectivo por el período de nueve meses finalizado el 30 de septiembre de 2021, Anexos y notas explicativas seleccionadas.</w:t>
      </w:r>
    </w:p>
    <w:p w14:paraId="113D3304" w14:textId="77777777" w:rsidR="002A345D" w:rsidRPr="002A345D" w:rsidRDefault="002A345D" w:rsidP="002A345D">
      <w:pPr>
        <w:pStyle w:val="Texto0"/>
        <w:spacing w:before="20" w:after="220" w:line="240" w:lineRule="exact"/>
        <w:rPr>
          <w:rFonts w:ascii="Times New Roman" w:hAnsi="Times New Roman"/>
          <w:i/>
        </w:rPr>
      </w:pPr>
      <w:r w:rsidRPr="002A345D">
        <w:rPr>
          <w:rFonts w:ascii="Times New Roman" w:hAnsi="Times New Roman"/>
          <w:i/>
        </w:rPr>
        <w:t xml:space="preserve">Responsabilidad del Directorio y la Gerencia de la Entidad </w:t>
      </w:r>
    </w:p>
    <w:p w14:paraId="73DADAD2" w14:textId="77777777" w:rsidR="002A345D" w:rsidRPr="002A345D" w:rsidRDefault="002A345D" w:rsidP="002A345D">
      <w:pPr>
        <w:autoSpaceDE w:val="0"/>
        <w:autoSpaceDN w:val="0"/>
        <w:adjustRightInd w:val="0"/>
        <w:spacing w:before="20" w:after="220" w:line="240" w:lineRule="exact"/>
        <w:jc w:val="both"/>
        <w:rPr>
          <w:rFonts w:ascii="Times New Roman" w:hAnsi="Times New Roman"/>
          <w:color w:val="000000" w:themeColor="text1"/>
          <w:sz w:val="20"/>
        </w:rPr>
      </w:pPr>
      <w:r w:rsidRPr="002A345D">
        <w:rPr>
          <w:rFonts w:ascii="Times New Roman" w:hAnsi="Times New Roman"/>
          <w:color w:val="000000" w:themeColor="text1"/>
          <w:sz w:val="20"/>
        </w:rPr>
        <w:t>El Directorio y la Gerencia de la Entidad son responsables por la preparación y presentación de los estados financieros adjuntos de conformidad con el marco de información contable establecido por el Banco Central de la República Argentina (“BCRA”), que, como se indica en la nota 2 a los estados financieros adjuntos, se basa en las Normas Internacionales de Información Financiera (“NIIF”), y en particular para los estados financieros de período intermedio en la Norma Internacional de Contabilidad N° 34 “Información Financiera Intermedia”, tal y como esas normas fueron emitidas por el Consejo de Normas Internacionales de Contabilidad (“IASB” por su sigla en inglés) y adoptadas por la Federación Argentina de Consejos Profesionales de Ciencias Económicas con las excepciones descriptas en la citada nota 2.</w:t>
      </w:r>
      <w:bookmarkStart w:id="0" w:name="_Hlk42093359"/>
      <w:r w:rsidRPr="002A345D">
        <w:rPr>
          <w:rFonts w:ascii="Times New Roman" w:hAnsi="Times New Roman"/>
          <w:color w:val="000000" w:themeColor="text1"/>
          <w:sz w:val="20"/>
        </w:rPr>
        <w:t xml:space="preserve"> </w:t>
      </w:r>
      <w:bookmarkEnd w:id="0"/>
      <w:r w:rsidRPr="002A345D">
        <w:rPr>
          <w:rFonts w:ascii="Times New Roman" w:hAnsi="Times New Roman"/>
          <w:color w:val="000000" w:themeColor="text1"/>
          <w:sz w:val="20"/>
        </w:rPr>
        <w:t>El Directorio y la Gerencia de la Entidad son también responsables del control interno que consideren necesario para permitir la preparación de información financiera de períodos intermedios libre de distorsiones significativas, ya sea debido a errores o irregularidades.</w:t>
      </w:r>
    </w:p>
    <w:p w14:paraId="2E09973C" w14:textId="77777777" w:rsidR="002A345D" w:rsidRPr="002A345D" w:rsidRDefault="002A345D" w:rsidP="002A345D">
      <w:pPr>
        <w:pStyle w:val="Texto0"/>
        <w:spacing w:before="20" w:after="220" w:line="240" w:lineRule="exact"/>
        <w:rPr>
          <w:rFonts w:ascii="Times New Roman" w:hAnsi="Times New Roman"/>
          <w:i/>
        </w:rPr>
      </w:pPr>
      <w:r w:rsidRPr="002A345D">
        <w:rPr>
          <w:rFonts w:ascii="Times New Roman" w:hAnsi="Times New Roman"/>
          <w:i/>
        </w:rPr>
        <w:t>Responsabilidad de los auditores y alcance de la revisión</w:t>
      </w:r>
    </w:p>
    <w:p w14:paraId="40FBB6D5" w14:textId="77777777" w:rsidR="002A345D" w:rsidRPr="002A345D" w:rsidRDefault="002A345D" w:rsidP="002A345D">
      <w:pPr>
        <w:pStyle w:val="Textoinfaud"/>
        <w:tabs>
          <w:tab w:val="clear" w:pos="720"/>
        </w:tabs>
        <w:spacing w:before="20" w:after="220" w:line="240" w:lineRule="exact"/>
        <w:rPr>
          <w:rFonts w:ascii="Times New Roman" w:hAnsi="Times New Roman"/>
          <w:color w:val="000000" w:themeColor="text1"/>
          <w:lang w:val="es-AR"/>
        </w:rPr>
      </w:pPr>
      <w:r w:rsidRPr="002A345D">
        <w:rPr>
          <w:rFonts w:ascii="Times New Roman" w:hAnsi="Times New Roman"/>
          <w:color w:val="000000" w:themeColor="text1"/>
          <w:lang w:val="es-AR"/>
        </w:rPr>
        <w:t>Nuestra responsabilidad consiste en emitir una conclusión sobre los estados financieros separados de período intermedio condensados adjuntos basada en nuestra revisión. Hemos efectuado nuestra revisión de acuerdo con las normas de revisión establecidas en la Resolución Técnica N° 37 de la Federación Argentina de Consejos Profesionales de Ciencias Económicas y con las “Normas mínimas sobre Auditorías Externas” emitidas por el BCRA aplicable a la revisión de estados financieros de períodos intermedios. De acuerdo con dichas normas, una revisión consiste principalmente en aplicar procedimientos analíticos y otros procedimientos de revisión sobre la información contable incluida en los estados financieros intermedios y en efectuar indagaciones a los responsables de su elaboración. El alcance de una revisión es sustancialmente menor al de un examen de auditoría practicado de acuerdo con las normas de auditoría vigentes y, por consiguiente, no permite asegurar que todos los asuntos significativos que podrían ser identificados en una auditoría lleguen a nuestro conocimiento. Por lo tanto, no expresamos una opinión de auditoría sobre los estados financieros separados de período intermedio condensados.</w:t>
      </w:r>
    </w:p>
    <w:p w14:paraId="13A1E1A6" w14:textId="77777777" w:rsidR="002A345D" w:rsidRPr="002A345D" w:rsidRDefault="002A345D" w:rsidP="002A345D">
      <w:pPr>
        <w:pStyle w:val="Texto0"/>
        <w:spacing w:before="20" w:after="220" w:line="240" w:lineRule="exact"/>
        <w:rPr>
          <w:rFonts w:ascii="Times New Roman" w:hAnsi="Times New Roman"/>
          <w:i/>
        </w:rPr>
      </w:pPr>
      <w:r w:rsidRPr="002A345D">
        <w:rPr>
          <w:rFonts w:ascii="Times New Roman" w:hAnsi="Times New Roman"/>
          <w:i/>
        </w:rPr>
        <w:t>Conclusión</w:t>
      </w:r>
    </w:p>
    <w:p w14:paraId="445A4FBB" w14:textId="77777777" w:rsidR="002A345D" w:rsidRPr="002A345D" w:rsidRDefault="002A345D" w:rsidP="002A345D">
      <w:pPr>
        <w:pStyle w:val="Textoinfaud"/>
        <w:tabs>
          <w:tab w:val="clear" w:pos="720"/>
        </w:tabs>
        <w:spacing w:before="20" w:after="220" w:line="240" w:lineRule="exact"/>
        <w:rPr>
          <w:rFonts w:ascii="Times New Roman" w:hAnsi="Times New Roman"/>
          <w:color w:val="000000" w:themeColor="text1"/>
          <w:lang w:val="es-AR"/>
        </w:rPr>
      </w:pPr>
      <w:r w:rsidRPr="002A345D">
        <w:rPr>
          <w:rFonts w:ascii="Times New Roman" w:hAnsi="Times New Roman"/>
          <w:color w:val="000000" w:themeColor="text1"/>
          <w:lang w:val="es-AR"/>
        </w:rPr>
        <w:t>Como resultado de nuestra revisión, nada ha llamado nuestra atención que nos hiciera concluir que los estados financieros separados de período intermedio condensados de Banco BBVA Argentina S.A. que se adjuntan no han sido preparados, en todos sus aspectos significativos, de conformidad con el marco de información contable establecido por el BCRA, que se describe en nota 2 a los estados financieros separados condensados adjuntos.</w:t>
      </w:r>
    </w:p>
    <w:p w14:paraId="65637450" w14:textId="77777777" w:rsidR="006F330E" w:rsidRDefault="006F330E" w:rsidP="002A345D">
      <w:pPr>
        <w:pStyle w:val="Textoinfaud"/>
        <w:tabs>
          <w:tab w:val="clear" w:pos="720"/>
        </w:tabs>
        <w:spacing w:before="20" w:after="220" w:line="240" w:lineRule="exact"/>
        <w:rPr>
          <w:rFonts w:ascii="Times New Roman" w:hAnsi="Times New Roman"/>
          <w:i/>
          <w:lang w:val="es-AR"/>
        </w:rPr>
      </w:pPr>
    </w:p>
    <w:p w14:paraId="337216A0" w14:textId="77777777" w:rsidR="006F330E" w:rsidRDefault="006F330E" w:rsidP="002A345D">
      <w:pPr>
        <w:pStyle w:val="Textoinfaud"/>
        <w:tabs>
          <w:tab w:val="clear" w:pos="720"/>
        </w:tabs>
        <w:spacing w:before="20" w:after="220" w:line="240" w:lineRule="exact"/>
        <w:rPr>
          <w:rFonts w:ascii="Times New Roman" w:hAnsi="Times New Roman"/>
          <w:i/>
          <w:lang w:val="es-AR"/>
        </w:rPr>
      </w:pPr>
    </w:p>
    <w:p w14:paraId="3ADAD1BD" w14:textId="77777777" w:rsidR="006F330E" w:rsidRDefault="006F330E" w:rsidP="002A345D">
      <w:pPr>
        <w:pStyle w:val="Textoinfaud"/>
        <w:tabs>
          <w:tab w:val="clear" w:pos="720"/>
        </w:tabs>
        <w:spacing w:before="20" w:after="220" w:line="240" w:lineRule="exact"/>
        <w:rPr>
          <w:rFonts w:ascii="Times New Roman" w:hAnsi="Times New Roman"/>
          <w:i/>
          <w:lang w:val="es-AR"/>
        </w:rPr>
      </w:pPr>
    </w:p>
    <w:p w14:paraId="77AD22CA" w14:textId="77777777" w:rsidR="006F330E" w:rsidRDefault="006F330E" w:rsidP="002A345D">
      <w:pPr>
        <w:pStyle w:val="Textoinfaud"/>
        <w:tabs>
          <w:tab w:val="clear" w:pos="720"/>
        </w:tabs>
        <w:spacing w:before="20" w:after="220" w:line="240" w:lineRule="exact"/>
        <w:rPr>
          <w:rFonts w:ascii="Times New Roman" w:hAnsi="Times New Roman"/>
          <w:i/>
          <w:lang w:val="es-AR"/>
        </w:rPr>
      </w:pPr>
    </w:p>
    <w:p w14:paraId="57B19C23" w14:textId="77777777" w:rsidR="002A345D" w:rsidRPr="002A345D" w:rsidRDefault="002A345D" w:rsidP="002A345D">
      <w:pPr>
        <w:pStyle w:val="Textoinfaud"/>
        <w:tabs>
          <w:tab w:val="clear" w:pos="720"/>
        </w:tabs>
        <w:spacing w:before="20" w:after="220" w:line="240" w:lineRule="exact"/>
        <w:rPr>
          <w:rFonts w:ascii="Times New Roman" w:hAnsi="Times New Roman"/>
          <w:i/>
          <w:lang w:val="es-AR"/>
        </w:rPr>
      </w:pPr>
      <w:r w:rsidRPr="002A345D">
        <w:rPr>
          <w:rFonts w:ascii="Times New Roman" w:hAnsi="Times New Roman"/>
          <w:i/>
          <w:lang w:val="es-AR"/>
        </w:rPr>
        <w:t>Énfasis sobre ciertas cuestiones reveladas en los estados financieros</w:t>
      </w:r>
    </w:p>
    <w:p w14:paraId="53BFD76F" w14:textId="77777777" w:rsidR="002A345D" w:rsidRPr="002A345D" w:rsidRDefault="002A345D" w:rsidP="002A345D">
      <w:pPr>
        <w:pStyle w:val="Textoinfaud"/>
        <w:tabs>
          <w:tab w:val="clear" w:pos="720"/>
        </w:tabs>
        <w:spacing w:before="20" w:after="220" w:line="240" w:lineRule="exact"/>
        <w:rPr>
          <w:rFonts w:ascii="Times New Roman" w:hAnsi="Times New Roman"/>
          <w:color w:val="000000" w:themeColor="text1"/>
          <w:lang w:val="es-AR"/>
        </w:rPr>
      </w:pPr>
      <w:r w:rsidRPr="002A345D">
        <w:rPr>
          <w:rFonts w:ascii="Times New Roman" w:hAnsi="Times New Roman"/>
          <w:color w:val="000000" w:themeColor="text1"/>
          <w:lang w:val="es-AR"/>
        </w:rPr>
        <w:t>Sin modificar nuestra conclusión, llamamos la atención de los usuarios de este informe sobre la siguiente información revelada en los estados financieros separados de período intermedio condensados adjuntos:</w:t>
      </w:r>
    </w:p>
    <w:p w14:paraId="01B8ACAC" w14:textId="77777777" w:rsidR="002A345D" w:rsidRPr="002A345D" w:rsidRDefault="002A345D" w:rsidP="002A345D">
      <w:pPr>
        <w:pStyle w:val="Textoinfaud"/>
        <w:widowControl/>
        <w:numPr>
          <w:ilvl w:val="0"/>
          <w:numId w:val="72"/>
        </w:numPr>
        <w:tabs>
          <w:tab w:val="clear" w:pos="720"/>
        </w:tabs>
        <w:spacing w:before="20" w:after="220" w:line="240" w:lineRule="exact"/>
        <w:ind w:left="426" w:hanging="284"/>
        <w:rPr>
          <w:rFonts w:ascii="Times New Roman" w:hAnsi="Times New Roman"/>
          <w:color w:val="000000" w:themeColor="text1"/>
          <w:lang w:val="es-AR"/>
        </w:rPr>
      </w:pPr>
      <w:r w:rsidRPr="002A345D">
        <w:rPr>
          <w:rFonts w:ascii="Times New Roman" w:hAnsi="Times New Roman"/>
          <w:color w:val="000000" w:themeColor="text1"/>
          <w:lang w:val="es-AR"/>
        </w:rPr>
        <w:t>como se explica en nota 2 a los estados financieros separados adjuntos, los mismos han sido preparados por el Directorio y la Gerencia de la Entidad de acuerdo con el marco de información contable establecido por el BCRA. Dicho marco de información contable difiere de las NIIF en relación con los aspectos descriptos en las notas 2.a), 2.b) y 2.c).</w:t>
      </w:r>
    </w:p>
    <w:p w14:paraId="24C4F2D1" w14:textId="77777777" w:rsidR="002A345D" w:rsidRPr="002A345D" w:rsidRDefault="002A345D" w:rsidP="002A345D">
      <w:pPr>
        <w:pStyle w:val="Texto0"/>
        <w:spacing w:before="20" w:after="220" w:line="240" w:lineRule="exact"/>
        <w:rPr>
          <w:rFonts w:ascii="Times New Roman" w:hAnsi="Times New Roman"/>
          <w:b/>
        </w:rPr>
      </w:pPr>
      <w:r w:rsidRPr="002A345D">
        <w:rPr>
          <w:rFonts w:ascii="Times New Roman" w:hAnsi="Times New Roman"/>
          <w:b/>
        </w:rPr>
        <w:t xml:space="preserve">Informe sobre otros requerimientos legales y regulatorios </w:t>
      </w:r>
    </w:p>
    <w:p w14:paraId="32A3F579" w14:textId="77777777" w:rsidR="002A345D" w:rsidRPr="002A345D" w:rsidRDefault="002A345D" w:rsidP="002A345D">
      <w:pPr>
        <w:pStyle w:val="Textoinfaud"/>
        <w:tabs>
          <w:tab w:val="clear" w:pos="720"/>
        </w:tabs>
        <w:spacing w:before="20" w:after="220" w:line="240" w:lineRule="exact"/>
        <w:rPr>
          <w:rFonts w:ascii="Times New Roman" w:hAnsi="Times New Roman"/>
          <w:color w:val="000000" w:themeColor="text1"/>
          <w:lang w:val="es-AR"/>
        </w:rPr>
      </w:pPr>
      <w:r w:rsidRPr="002A345D">
        <w:rPr>
          <w:rFonts w:ascii="Times New Roman" w:hAnsi="Times New Roman"/>
          <w:color w:val="000000" w:themeColor="text1"/>
          <w:lang w:val="es-AR"/>
        </w:rPr>
        <w:t>En cumplimiento de disposiciones vigentes informamos que:</w:t>
      </w:r>
    </w:p>
    <w:p w14:paraId="570D009E" w14:textId="77777777" w:rsidR="002A345D" w:rsidRPr="002A345D" w:rsidRDefault="002A345D" w:rsidP="006F330E">
      <w:pPr>
        <w:pStyle w:val="Textoinfaud"/>
        <w:widowControl/>
        <w:numPr>
          <w:ilvl w:val="0"/>
          <w:numId w:val="79"/>
        </w:numPr>
        <w:tabs>
          <w:tab w:val="clear" w:pos="720"/>
        </w:tabs>
        <w:spacing w:before="20" w:after="220" w:line="240" w:lineRule="exact"/>
        <w:rPr>
          <w:rFonts w:ascii="Times New Roman" w:hAnsi="Times New Roman"/>
          <w:color w:val="000000" w:themeColor="text1"/>
          <w:lang w:val="es-AR"/>
        </w:rPr>
      </w:pPr>
      <w:r w:rsidRPr="002A345D">
        <w:rPr>
          <w:rFonts w:ascii="Times New Roman" w:hAnsi="Times New Roman"/>
          <w:color w:val="000000" w:themeColor="text1"/>
          <w:lang w:val="es-AR"/>
        </w:rPr>
        <w:t xml:space="preserve">Los estados financieros separados de período intermedio condensados </w:t>
      </w:r>
      <w:r w:rsidRPr="002A345D">
        <w:rPr>
          <w:rFonts w:ascii="Times New Roman" w:hAnsi="Times New Roman"/>
          <w:lang w:val="es-AR"/>
        </w:rPr>
        <w:t xml:space="preserve">que se adjuntan </w:t>
      </w:r>
      <w:r w:rsidRPr="002A345D">
        <w:rPr>
          <w:rFonts w:ascii="Times New Roman" w:hAnsi="Times New Roman"/>
          <w:color w:val="000000" w:themeColor="text1"/>
          <w:lang w:val="es-AR"/>
        </w:rPr>
        <w:t>se encuentran pendientes de transcripción en el libro Balances Generales de Publicación, y surgen de registros contables también pendientes de transcripción al Libro Diario;</w:t>
      </w:r>
    </w:p>
    <w:p w14:paraId="28DD8930" w14:textId="77777777" w:rsidR="002A345D" w:rsidRPr="002A345D" w:rsidRDefault="002A345D" w:rsidP="006F330E">
      <w:pPr>
        <w:pStyle w:val="Textoinfaud"/>
        <w:widowControl/>
        <w:numPr>
          <w:ilvl w:val="0"/>
          <w:numId w:val="79"/>
        </w:numPr>
        <w:spacing w:before="20" w:after="220" w:line="240" w:lineRule="exact"/>
        <w:ind w:left="357" w:hanging="357"/>
        <w:rPr>
          <w:rFonts w:ascii="Times New Roman" w:hAnsi="Times New Roman"/>
          <w:color w:val="000000" w:themeColor="text1"/>
          <w:lang w:val="es-AR"/>
        </w:rPr>
      </w:pPr>
      <w:r w:rsidRPr="002A345D">
        <w:rPr>
          <w:rFonts w:ascii="Times New Roman" w:hAnsi="Times New Roman"/>
          <w:iCs/>
          <w:color w:val="000000" w:themeColor="text1"/>
          <w:lang w:val="es-AR"/>
        </w:rPr>
        <w:t xml:space="preserve">al </w:t>
      </w:r>
      <w:r w:rsidRPr="002A345D">
        <w:rPr>
          <w:rFonts w:ascii="Times New Roman" w:hAnsi="Times New Roman"/>
          <w:color w:val="000000" w:themeColor="text1"/>
          <w:lang w:val="es-AR"/>
        </w:rPr>
        <w:t>30 de septiembre de 2021</w:t>
      </w:r>
      <w:r w:rsidRPr="002A345D">
        <w:rPr>
          <w:rFonts w:ascii="Times New Roman" w:hAnsi="Times New Roman"/>
          <w:iCs/>
          <w:color w:val="000000" w:themeColor="text1"/>
          <w:lang w:val="es-AR"/>
        </w:rPr>
        <w:t xml:space="preserve">, según surge de la nota 2 a los estados financieros separados de período intermedio </w:t>
      </w:r>
      <w:r w:rsidRPr="002A345D">
        <w:rPr>
          <w:rFonts w:ascii="Times New Roman" w:hAnsi="Times New Roman"/>
          <w:color w:val="000000" w:themeColor="text1"/>
          <w:lang w:val="es-AR"/>
        </w:rPr>
        <w:t xml:space="preserve">condensados </w:t>
      </w:r>
      <w:r w:rsidRPr="002A345D">
        <w:rPr>
          <w:rFonts w:ascii="Times New Roman" w:hAnsi="Times New Roman"/>
          <w:iCs/>
          <w:color w:val="000000" w:themeColor="text1"/>
          <w:lang w:val="es-AR"/>
        </w:rPr>
        <w:t>adjuntos, la Entidad posee un patrimonio neto y una contrapartida en activos elegibles que exceden los importes mínimos requeridos por las normas pertinentes de la Comisión Nacional de Valores para dichos conceptos, y</w:t>
      </w:r>
    </w:p>
    <w:p w14:paraId="55E4BD78" w14:textId="77777777" w:rsidR="002A345D" w:rsidRPr="002A345D" w:rsidRDefault="002A345D" w:rsidP="006F330E">
      <w:pPr>
        <w:pStyle w:val="Textoinfaud"/>
        <w:widowControl/>
        <w:numPr>
          <w:ilvl w:val="0"/>
          <w:numId w:val="79"/>
        </w:numPr>
        <w:tabs>
          <w:tab w:val="clear" w:pos="720"/>
        </w:tabs>
        <w:spacing w:before="20" w:after="220" w:line="240" w:lineRule="exact"/>
        <w:ind w:left="357" w:hanging="357"/>
        <w:rPr>
          <w:rFonts w:ascii="Times New Roman" w:hAnsi="Times New Roman"/>
          <w:color w:val="000000" w:themeColor="text1"/>
          <w:lang w:val="es-AR"/>
        </w:rPr>
      </w:pPr>
      <w:r w:rsidRPr="002A345D">
        <w:rPr>
          <w:rFonts w:ascii="Times New Roman" w:hAnsi="Times New Roman"/>
          <w:color w:val="000000" w:themeColor="text1"/>
          <w:lang w:val="es-AR"/>
        </w:rPr>
        <w:t>al 30 de septiembre de 2021, la deuda devengada en concepto de aportes y contribuciones con destino al Sistema Integrado Previsional Argentino, que surge de los registros contables de la Entidad asciende a $</w:t>
      </w:r>
      <w:bookmarkStart w:id="1" w:name="_Hlk42094149"/>
      <w:r w:rsidRPr="002A345D">
        <w:rPr>
          <w:rFonts w:ascii="Times New Roman" w:hAnsi="Times New Roman"/>
          <w:color w:val="000000" w:themeColor="text1"/>
          <w:lang w:val="es-AR"/>
        </w:rPr>
        <w:t> </w:t>
      </w:r>
      <w:bookmarkEnd w:id="1"/>
      <w:r w:rsidRPr="002A345D">
        <w:rPr>
          <w:rFonts w:ascii="Times New Roman" w:hAnsi="Times New Roman"/>
          <w:color w:val="000000" w:themeColor="text1"/>
          <w:lang w:val="es-AR"/>
        </w:rPr>
        <w:t>391.598.690, no siendo exigible a esa fecha.</w:t>
      </w:r>
    </w:p>
    <w:p w14:paraId="434585ED" w14:textId="77777777" w:rsidR="002A345D" w:rsidRPr="002A345D" w:rsidRDefault="002A345D" w:rsidP="002A345D">
      <w:pPr>
        <w:pStyle w:val="Textoinfaud"/>
        <w:tabs>
          <w:tab w:val="clear" w:pos="720"/>
        </w:tabs>
        <w:spacing w:before="20" w:after="220" w:line="240" w:lineRule="exact"/>
        <w:rPr>
          <w:rFonts w:ascii="Times New Roman" w:hAnsi="Times New Roman"/>
          <w:color w:val="000000" w:themeColor="text1"/>
          <w:lang w:val="es-AR"/>
        </w:rPr>
      </w:pPr>
      <w:bookmarkStart w:id="2" w:name="_Hlk42094297"/>
      <w:r w:rsidRPr="002A345D">
        <w:rPr>
          <w:rFonts w:ascii="Times New Roman" w:hAnsi="Times New Roman"/>
          <w:color w:val="000000" w:themeColor="text1"/>
          <w:lang w:val="es-AR"/>
        </w:rPr>
        <w:t>Ciudad Autónoma de Buenos Aires</w:t>
      </w:r>
      <w:bookmarkEnd w:id="2"/>
      <w:r w:rsidRPr="002A345D">
        <w:rPr>
          <w:rFonts w:ascii="Times New Roman" w:hAnsi="Times New Roman"/>
          <w:color w:val="000000" w:themeColor="text1"/>
          <w:lang w:val="es-AR"/>
        </w:rPr>
        <w:t>, 24 de noviembre de 2021</w:t>
      </w:r>
    </w:p>
    <w:p w14:paraId="5D2FAD10" w14:textId="77777777" w:rsidR="002A345D" w:rsidRPr="002A345D" w:rsidRDefault="002A345D" w:rsidP="002A345D">
      <w:pPr>
        <w:pStyle w:val="Lilianita"/>
        <w:widowControl w:val="0"/>
        <w:tabs>
          <w:tab w:val="center" w:pos="1985"/>
        </w:tabs>
        <w:spacing w:line="240" w:lineRule="atLeast"/>
        <w:rPr>
          <w:rFonts w:ascii="Times New Roman" w:hAnsi="Times New Roman"/>
          <w:lang w:val="es-ES_tradnl"/>
        </w:rPr>
      </w:pPr>
      <w:r w:rsidRPr="002A345D">
        <w:rPr>
          <w:rFonts w:ascii="Times New Roman" w:hAnsi="Times New Roman"/>
          <w:lang w:val="es-ES_tradnl"/>
        </w:rPr>
        <w:tab/>
      </w:r>
      <w:bookmarkStart w:id="3" w:name="_Hlk42094324"/>
      <w:r w:rsidRPr="002A345D">
        <w:rPr>
          <w:rFonts w:ascii="Times New Roman" w:hAnsi="Times New Roman"/>
          <w:lang w:val="es-ES_tradnl"/>
        </w:rPr>
        <w:t>KPMG</w:t>
      </w:r>
    </w:p>
    <w:p w14:paraId="090F2219" w14:textId="77777777" w:rsidR="002A345D" w:rsidRPr="002A345D" w:rsidRDefault="002A345D" w:rsidP="002A345D">
      <w:pPr>
        <w:widowControl w:val="0"/>
        <w:tabs>
          <w:tab w:val="center" w:pos="1985"/>
        </w:tabs>
        <w:spacing w:line="240" w:lineRule="atLeast"/>
        <w:rPr>
          <w:rFonts w:ascii="Times New Roman" w:hAnsi="Times New Roman"/>
          <w:sz w:val="20"/>
          <w:lang w:val="es-ES_tradnl"/>
        </w:rPr>
      </w:pPr>
      <w:r w:rsidRPr="002A345D">
        <w:rPr>
          <w:rFonts w:ascii="Times New Roman" w:hAnsi="Times New Roman"/>
          <w:sz w:val="20"/>
          <w:lang w:val="es-ES_tradnl"/>
        </w:rPr>
        <w:tab/>
        <w:t>Reg. de Asoc. Prof. CPCECABA Tº 2 Fº 6</w:t>
      </w:r>
    </w:p>
    <w:p w14:paraId="249BC00C" w14:textId="77777777" w:rsidR="002A345D" w:rsidRPr="002A345D" w:rsidRDefault="002A345D" w:rsidP="002A345D">
      <w:pPr>
        <w:widowControl w:val="0"/>
        <w:tabs>
          <w:tab w:val="center" w:pos="1985"/>
        </w:tabs>
        <w:spacing w:line="240" w:lineRule="atLeast"/>
        <w:ind w:right="12"/>
        <w:rPr>
          <w:rFonts w:ascii="Times New Roman" w:hAnsi="Times New Roman"/>
          <w:sz w:val="20"/>
          <w:lang w:val="es-ES_tradnl"/>
        </w:rPr>
      </w:pPr>
    </w:p>
    <w:p w14:paraId="06235139" w14:textId="77777777" w:rsidR="002A345D" w:rsidRPr="002A345D" w:rsidRDefault="002A345D" w:rsidP="002A345D">
      <w:pPr>
        <w:widowControl w:val="0"/>
        <w:tabs>
          <w:tab w:val="center" w:pos="1985"/>
        </w:tabs>
        <w:ind w:right="12"/>
        <w:rPr>
          <w:rFonts w:ascii="Times New Roman" w:hAnsi="Times New Roman"/>
          <w:sz w:val="20"/>
          <w:lang w:val="es-ES_tradnl"/>
        </w:rPr>
      </w:pPr>
      <w:r w:rsidRPr="002A345D">
        <w:rPr>
          <w:rFonts w:ascii="Times New Roman" w:hAnsi="Times New Roman"/>
          <w:sz w:val="20"/>
          <w:lang w:val="es-ES_tradnl"/>
        </w:rPr>
        <w:tab/>
        <w:t>Mauricio G. Eidelstein</w:t>
      </w:r>
    </w:p>
    <w:p w14:paraId="13EFA86A" w14:textId="77777777" w:rsidR="002A345D" w:rsidRPr="002A345D" w:rsidRDefault="002A345D" w:rsidP="002A345D">
      <w:pPr>
        <w:widowControl w:val="0"/>
        <w:tabs>
          <w:tab w:val="center" w:pos="1985"/>
        </w:tabs>
        <w:ind w:right="12"/>
        <w:rPr>
          <w:rFonts w:ascii="Times New Roman" w:hAnsi="Times New Roman"/>
          <w:i/>
          <w:sz w:val="20"/>
          <w:lang w:val="es-ES_tradnl"/>
        </w:rPr>
      </w:pPr>
      <w:r w:rsidRPr="002A345D">
        <w:rPr>
          <w:rFonts w:ascii="Times New Roman" w:hAnsi="Times New Roman"/>
          <w:i/>
          <w:sz w:val="20"/>
          <w:lang w:val="es-ES_tradnl"/>
        </w:rPr>
        <w:tab/>
        <w:t>Socio</w:t>
      </w:r>
    </w:p>
    <w:p w14:paraId="6C1CA087" w14:textId="77777777" w:rsidR="002A345D" w:rsidRPr="002A345D" w:rsidRDefault="002A345D" w:rsidP="002A345D">
      <w:pPr>
        <w:widowControl w:val="0"/>
        <w:tabs>
          <w:tab w:val="center" w:pos="1985"/>
        </w:tabs>
        <w:ind w:right="12"/>
        <w:rPr>
          <w:rFonts w:ascii="Times New Roman" w:hAnsi="Times New Roman"/>
          <w:sz w:val="20"/>
          <w:lang w:val="es-ES_tradnl"/>
        </w:rPr>
      </w:pPr>
      <w:r w:rsidRPr="002A345D">
        <w:rPr>
          <w:rFonts w:ascii="Times New Roman" w:hAnsi="Times New Roman"/>
          <w:sz w:val="20"/>
          <w:lang w:val="es-ES_tradnl"/>
        </w:rPr>
        <w:tab/>
        <w:t>Contador Público (UBA)</w:t>
      </w:r>
    </w:p>
    <w:p w14:paraId="214759D3" w14:textId="77777777" w:rsidR="002A345D" w:rsidRPr="002A345D" w:rsidRDefault="002A345D" w:rsidP="002A345D">
      <w:pPr>
        <w:widowControl w:val="0"/>
        <w:tabs>
          <w:tab w:val="center" w:pos="1985"/>
        </w:tabs>
        <w:ind w:right="12"/>
        <w:rPr>
          <w:rFonts w:ascii="Times New Roman" w:hAnsi="Times New Roman"/>
          <w:sz w:val="20"/>
          <w:lang w:val="es-ES_tradnl"/>
        </w:rPr>
      </w:pPr>
      <w:r w:rsidRPr="002A345D">
        <w:rPr>
          <w:rFonts w:ascii="Times New Roman" w:hAnsi="Times New Roman"/>
          <w:sz w:val="20"/>
          <w:lang w:val="es-ES_tradnl"/>
        </w:rPr>
        <w:tab/>
        <w:t>CPCECABA Tº CXX Fº 228</w:t>
      </w:r>
      <w:bookmarkEnd w:id="3"/>
    </w:p>
    <w:p w14:paraId="74AD2105" w14:textId="77777777" w:rsidR="002A345D" w:rsidRPr="002A345D" w:rsidRDefault="002A345D" w:rsidP="00142B84">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30D8B96C" w14:textId="77777777" w:rsidR="002A345D" w:rsidRPr="002A345D" w:rsidRDefault="002A345D" w:rsidP="00142B84">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41C322BE" w14:textId="42660D2F" w:rsidR="00142B84" w:rsidRPr="00142B84" w:rsidRDefault="00142B84" w:rsidP="00142B84">
      <w:pPr>
        <w:widowControl w:val="0"/>
        <w:tabs>
          <w:tab w:val="center" w:pos="1985"/>
        </w:tabs>
        <w:ind w:right="12"/>
        <w:rPr>
          <w:rFonts w:ascii="Times New Roman" w:hAnsi="Times New Roman"/>
          <w:sz w:val="20"/>
          <w:lang w:val="es-ES_tradnl"/>
        </w:rPr>
      </w:pPr>
    </w:p>
    <w:p w14:paraId="72C8D6ED" w14:textId="77777777" w:rsidR="00142B84" w:rsidRPr="00142B84" w:rsidRDefault="00142B84" w:rsidP="006936CE">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1DEA40CE" w14:textId="77777777" w:rsidR="00142B84" w:rsidRPr="00142B84" w:rsidRDefault="00142B84" w:rsidP="006936CE">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782D7453" w14:textId="77777777" w:rsidR="006936CE" w:rsidRDefault="006936CE" w:rsidP="00956BD3">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40C78CB8" w14:textId="77777777" w:rsidR="00142B84" w:rsidRDefault="00142B84" w:rsidP="00956BD3">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426E3AAC" w14:textId="77777777" w:rsidR="00142B84" w:rsidRDefault="00142B84" w:rsidP="00956BD3">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19CDAB6F" w14:textId="77777777" w:rsidR="00142B84" w:rsidRDefault="00142B84" w:rsidP="00956BD3">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023677BA" w14:textId="77777777" w:rsidR="00142B84" w:rsidRDefault="00142B84" w:rsidP="00956BD3">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7E9BC919" w14:textId="77777777" w:rsidR="00142B84" w:rsidRDefault="00142B84" w:rsidP="00956BD3">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397EBC92" w14:textId="77777777" w:rsidR="00142B84" w:rsidRDefault="00142B84" w:rsidP="00956BD3">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4E14FA97" w14:textId="77777777" w:rsidR="00142B84" w:rsidRDefault="00142B84" w:rsidP="00956BD3">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15DE4C9F" w14:textId="77777777" w:rsidR="00142B84" w:rsidRPr="006936CE" w:rsidRDefault="00142B84" w:rsidP="00956BD3">
      <w:pPr>
        <w:autoSpaceDE w:val="0"/>
        <w:autoSpaceDN w:val="0"/>
        <w:adjustRightInd w:val="0"/>
        <w:spacing w:before="20" w:after="220" w:line="240" w:lineRule="atLeast"/>
        <w:jc w:val="both"/>
        <w:rPr>
          <w:rFonts w:ascii="Times New Roman" w:hAnsi="Times New Roman"/>
          <w:b/>
          <w:bCs/>
          <w:color w:val="000000" w:themeColor="text1"/>
          <w:sz w:val="20"/>
          <w:highlight w:val="yellow"/>
        </w:rPr>
      </w:pPr>
    </w:p>
    <w:p w14:paraId="0A6FDC0A" w14:textId="10F9CD42" w:rsidR="003E2E99" w:rsidRDefault="003E2E99">
      <w:pPr>
        <w:rPr>
          <w:rFonts w:ascii="Times New Roman" w:hAnsi="Times New Roman"/>
          <w:b/>
          <w:sz w:val="20"/>
        </w:rPr>
      </w:pPr>
    </w:p>
    <w:p w14:paraId="3FF00B33" w14:textId="77777777" w:rsidR="000C3B7C" w:rsidRPr="00110E8B" w:rsidRDefault="000C3B7C">
      <w:pPr>
        <w:rPr>
          <w:rFonts w:ascii="Times New Roman" w:hAnsi="Times New Roman"/>
          <w:b/>
          <w:sz w:val="20"/>
        </w:rPr>
      </w:pPr>
    </w:p>
    <w:p w14:paraId="1CEE940B" w14:textId="77777777" w:rsidR="000C3B7C" w:rsidRPr="0066025D" w:rsidRDefault="000C3B7C" w:rsidP="000C3B7C">
      <w:pPr>
        <w:jc w:val="center"/>
        <w:rPr>
          <w:rFonts w:ascii="Times New Roman" w:hAnsi="Times New Roman"/>
          <w:b/>
          <w:sz w:val="20"/>
          <w:u w:val="single"/>
        </w:rPr>
      </w:pPr>
      <w:r w:rsidRPr="0066025D">
        <w:rPr>
          <w:rFonts w:ascii="Times New Roman" w:hAnsi="Times New Roman"/>
          <w:b/>
          <w:sz w:val="20"/>
          <w:u w:val="single"/>
        </w:rPr>
        <w:t>INFORME DE LA COMISIÓN FISCALIZADORA</w:t>
      </w:r>
    </w:p>
    <w:p w14:paraId="07B22FAF" w14:textId="77777777" w:rsidR="000C3B7C" w:rsidRPr="00F5567E" w:rsidRDefault="000C3B7C" w:rsidP="000C3B7C">
      <w:pPr>
        <w:jc w:val="both"/>
        <w:rPr>
          <w:rFonts w:ascii="Times New Roman" w:hAnsi="Times New Roman"/>
          <w:sz w:val="20"/>
        </w:rPr>
      </w:pPr>
    </w:p>
    <w:p w14:paraId="1F266D1C" w14:textId="77777777" w:rsidR="00F5567E" w:rsidRPr="00F5567E" w:rsidRDefault="00F5567E" w:rsidP="000C3B7C">
      <w:pPr>
        <w:jc w:val="both"/>
        <w:rPr>
          <w:rFonts w:ascii="Times New Roman" w:hAnsi="Times New Roman"/>
          <w:sz w:val="20"/>
          <w:highlight w:val="yellow"/>
          <w:lang w:val="es-ES_tradnl"/>
        </w:rPr>
      </w:pPr>
    </w:p>
    <w:p w14:paraId="203481F2" w14:textId="77777777" w:rsidR="00F5567E" w:rsidRPr="00F5567E" w:rsidRDefault="00F5567E" w:rsidP="000C3B7C">
      <w:pPr>
        <w:jc w:val="both"/>
        <w:rPr>
          <w:rFonts w:ascii="Times New Roman" w:hAnsi="Times New Roman"/>
          <w:sz w:val="20"/>
          <w:highlight w:val="yellow"/>
          <w:lang w:val="es-ES_tradnl"/>
        </w:rPr>
      </w:pPr>
    </w:p>
    <w:p w14:paraId="4B97F9ED" w14:textId="77777777" w:rsidR="00F5567E" w:rsidRPr="00F5567E" w:rsidRDefault="00F5567E" w:rsidP="00F5567E">
      <w:pPr>
        <w:jc w:val="both"/>
        <w:rPr>
          <w:rFonts w:ascii="Times New Roman" w:hAnsi="Times New Roman"/>
          <w:sz w:val="20"/>
          <w:lang w:val="es-ES_tradnl"/>
        </w:rPr>
      </w:pPr>
      <w:r w:rsidRPr="00F5567E">
        <w:rPr>
          <w:rFonts w:ascii="Times New Roman" w:hAnsi="Times New Roman"/>
          <w:sz w:val="20"/>
          <w:lang w:val="es-ES_tradnl"/>
        </w:rPr>
        <w:t>A los señores Accionistas de</w:t>
      </w:r>
    </w:p>
    <w:p w14:paraId="205BE0A7" w14:textId="77777777" w:rsidR="00F5567E" w:rsidRPr="00F5567E" w:rsidRDefault="00F5567E" w:rsidP="00F5567E">
      <w:pPr>
        <w:jc w:val="both"/>
        <w:rPr>
          <w:rFonts w:ascii="Times New Roman" w:hAnsi="Times New Roman"/>
          <w:b/>
          <w:sz w:val="20"/>
          <w:lang w:val="es-ES_tradnl"/>
        </w:rPr>
      </w:pPr>
      <w:r w:rsidRPr="00F5567E">
        <w:rPr>
          <w:rFonts w:ascii="Times New Roman" w:hAnsi="Times New Roman"/>
          <w:b/>
          <w:sz w:val="20"/>
          <w:lang w:val="es-ES_tradnl"/>
        </w:rPr>
        <w:t>Banco BBVA Argentina S.A.</w:t>
      </w:r>
    </w:p>
    <w:p w14:paraId="7FC626A7" w14:textId="77777777" w:rsidR="00F5567E" w:rsidRPr="00F5567E" w:rsidRDefault="00F5567E" w:rsidP="00F5567E">
      <w:pPr>
        <w:jc w:val="both"/>
        <w:rPr>
          <w:rFonts w:ascii="Times New Roman" w:hAnsi="Times New Roman"/>
          <w:sz w:val="20"/>
          <w:lang w:val="es-ES_tradnl"/>
        </w:rPr>
      </w:pPr>
      <w:r w:rsidRPr="00F5567E">
        <w:rPr>
          <w:rFonts w:ascii="Times New Roman" w:hAnsi="Times New Roman"/>
          <w:sz w:val="20"/>
          <w:lang w:val="es-ES_tradnl"/>
        </w:rPr>
        <w:t>Domicilio Legal: Av. Córdoba 111</w:t>
      </w:r>
    </w:p>
    <w:p w14:paraId="6FC5D983" w14:textId="77777777" w:rsidR="00F5567E" w:rsidRPr="00F5567E" w:rsidRDefault="00F5567E" w:rsidP="00F5567E">
      <w:pPr>
        <w:jc w:val="both"/>
        <w:rPr>
          <w:rFonts w:ascii="Times New Roman" w:hAnsi="Times New Roman"/>
          <w:sz w:val="20"/>
          <w:u w:val="single"/>
          <w:lang w:val="es-ES_tradnl"/>
        </w:rPr>
      </w:pPr>
      <w:r w:rsidRPr="00F5567E">
        <w:rPr>
          <w:rFonts w:ascii="Times New Roman" w:hAnsi="Times New Roman"/>
          <w:sz w:val="20"/>
          <w:u w:val="single"/>
          <w:lang w:val="es-ES_tradnl"/>
        </w:rPr>
        <w:t>Ciudad de Buenos Aires</w:t>
      </w:r>
    </w:p>
    <w:p w14:paraId="143678BE" w14:textId="77777777" w:rsidR="00F5567E" w:rsidRDefault="00F5567E" w:rsidP="00F5567E">
      <w:pPr>
        <w:jc w:val="both"/>
        <w:rPr>
          <w:rFonts w:ascii="Times New Roman" w:hAnsi="Times New Roman"/>
          <w:sz w:val="20"/>
        </w:rPr>
      </w:pPr>
    </w:p>
    <w:p w14:paraId="41AD744B" w14:textId="77777777" w:rsidR="00F5567E" w:rsidRPr="00F5567E" w:rsidRDefault="00F5567E" w:rsidP="00F5567E">
      <w:pPr>
        <w:jc w:val="both"/>
        <w:rPr>
          <w:rFonts w:ascii="Times New Roman" w:hAnsi="Times New Roman"/>
          <w:sz w:val="20"/>
        </w:rPr>
      </w:pPr>
    </w:p>
    <w:p w14:paraId="08C2D822" w14:textId="77777777" w:rsidR="00F5567E" w:rsidRPr="00F5567E" w:rsidRDefault="00F5567E" w:rsidP="00F5567E">
      <w:pPr>
        <w:jc w:val="both"/>
        <w:rPr>
          <w:rFonts w:ascii="Times New Roman" w:hAnsi="Times New Roman"/>
          <w:sz w:val="20"/>
          <w:lang w:val="es-ES"/>
        </w:rPr>
      </w:pPr>
      <w:r w:rsidRPr="00F5567E">
        <w:rPr>
          <w:rFonts w:ascii="Times New Roman" w:hAnsi="Times New Roman"/>
          <w:b/>
          <w:sz w:val="20"/>
          <w:lang w:val="es-ES"/>
        </w:rPr>
        <w:t xml:space="preserve">1.  </w:t>
      </w:r>
      <w:r w:rsidRPr="00F5567E">
        <w:rPr>
          <w:rFonts w:ascii="Times New Roman" w:hAnsi="Times New Roman"/>
          <w:b/>
          <w:sz w:val="20"/>
          <w:u w:val="single"/>
          <w:lang w:val="es-ES"/>
        </w:rPr>
        <w:t xml:space="preserve">Identificación de los estados contables intermedios objeto de la revisión </w:t>
      </w:r>
    </w:p>
    <w:p w14:paraId="365340EE" w14:textId="77777777" w:rsidR="00F5567E" w:rsidRDefault="00F5567E" w:rsidP="00F5567E">
      <w:pPr>
        <w:ind w:firstLine="720"/>
        <w:jc w:val="both"/>
        <w:rPr>
          <w:rFonts w:ascii="Times New Roman" w:hAnsi="Times New Roman"/>
          <w:sz w:val="20"/>
        </w:rPr>
      </w:pPr>
    </w:p>
    <w:p w14:paraId="35EA524A" w14:textId="77777777" w:rsidR="00F5567E" w:rsidRPr="00F5567E" w:rsidRDefault="00F5567E" w:rsidP="00F5567E">
      <w:pPr>
        <w:ind w:firstLine="720"/>
        <w:jc w:val="both"/>
        <w:rPr>
          <w:rFonts w:ascii="Times New Roman" w:hAnsi="Times New Roman"/>
          <w:sz w:val="20"/>
        </w:rPr>
      </w:pPr>
      <w:r w:rsidRPr="00F5567E">
        <w:rPr>
          <w:rFonts w:ascii="Times New Roman" w:hAnsi="Times New Roman"/>
          <w:sz w:val="20"/>
        </w:rPr>
        <w:t xml:space="preserve">En nuestro carácter de integrantes de la Comisión Fiscalizadora de Banco BBVA Argentina S.A. </w:t>
      </w:r>
      <w:r w:rsidRPr="00F5567E">
        <w:rPr>
          <w:rFonts w:ascii="Times New Roman" w:hAnsi="Times New Roman"/>
          <w:sz w:val="20"/>
          <w:lang w:val="es-ES"/>
        </w:rPr>
        <w:t>(en adelante, mencionado indistintamente como “BBVA” o la “Entidad”)</w:t>
      </w:r>
      <w:r w:rsidRPr="00F5567E">
        <w:rPr>
          <w:rFonts w:ascii="Times New Roman" w:hAnsi="Times New Roman"/>
          <w:sz w:val="20"/>
        </w:rPr>
        <w:t xml:space="preserve">, designados por Asamblea General Ordinaria y Extraordinaria de Accionistas celebrada el 20 de abril de 2021 y a efectos de dar cumplimiento a lo dispuesto por el artículo 294 de la Ley General de Sociedades Nº 19.550, hemos procedido a la revisión de los estados financieros consolidados de periodo intermedio condensados y sus sociedades contraladas al 30 de septiembre de 2021, los que comprenden el </w:t>
      </w:r>
      <w:r w:rsidRPr="00F5567E">
        <w:rPr>
          <w:rFonts w:ascii="Times New Roman" w:hAnsi="Times New Roman"/>
          <w:sz w:val="20"/>
          <w:lang w:val="es-MX"/>
        </w:rPr>
        <w:t xml:space="preserve">estado consolidado condensado de situación financiera, </w:t>
      </w:r>
      <w:r w:rsidRPr="00F5567E">
        <w:rPr>
          <w:rFonts w:ascii="Times New Roman" w:hAnsi="Times New Roman"/>
          <w:sz w:val="20"/>
        </w:rPr>
        <w:t xml:space="preserve">los estados consolidados condensado de resultados, de otros resultados integrales, de cambios en el patrimonio y de flujos de efectivo por el período de nueve meses finalizado en esa fecha, y las notas y anexos que los complementan, y de los estados financieros separados condensados de BBVA al 30 de septiembre de 2021, que comprenden </w:t>
      </w:r>
      <w:r w:rsidRPr="00F5567E">
        <w:rPr>
          <w:rFonts w:ascii="Times New Roman" w:hAnsi="Times New Roman"/>
          <w:sz w:val="20"/>
          <w:lang w:val="es-MX"/>
        </w:rPr>
        <w:t>el estado separado de situación financiera condensado,</w:t>
      </w:r>
      <w:r w:rsidRPr="00F5567E">
        <w:rPr>
          <w:rFonts w:ascii="Times New Roman" w:hAnsi="Times New Roman"/>
          <w:sz w:val="20"/>
        </w:rPr>
        <w:t xml:space="preserve"> los estados de resultados, de otros resultados integrales, de cambios en el patrimonio y de flujos de efectivo finalizado en esa fecha, y las notas y anexos explicativas seleccionadas.</w:t>
      </w:r>
    </w:p>
    <w:p w14:paraId="32EEC294" w14:textId="77777777" w:rsidR="00F5567E" w:rsidRDefault="00F5567E" w:rsidP="00F5567E">
      <w:pPr>
        <w:ind w:firstLine="720"/>
        <w:jc w:val="both"/>
        <w:rPr>
          <w:rFonts w:ascii="Times New Roman" w:hAnsi="Times New Roman"/>
          <w:sz w:val="20"/>
          <w:lang w:val="es-ES"/>
        </w:rPr>
      </w:pPr>
    </w:p>
    <w:p w14:paraId="7963B4B9" w14:textId="77777777" w:rsidR="00F5567E" w:rsidRDefault="00F5567E" w:rsidP="00F5567E">
      <w:pPr>
        <w:ind w:firstLine="720"/>
        <w:jc w:val="both"/>
        <w:rPr>
          <w:rFonts w:ascii="Times New Roman" w:hAnsi="Times New Roman"/>
          <w:sz w:val="20"/>
          <w:lang w:val="es-ES"/>
        </w:rPr>
      </w:pPr>
      <w:r w:rsidRPr="00F5567E">
        <w:rPr>
          <w:rFonts w:ascii="Times New Roman" w:hAnsi="Times New Roman"/>
          <w:sz w:val="20"/>
          <w:lang w:val="es-ES"/>
        </w:rPr>
        <w:t xml:space="preserve">La Entidad es responsable de la preparación y presentación de los estados financieros antes mencionados de acuerdo con las normas contables aplicables a Entidades Financieras establecidas por el B.C.R.A., y por el diseño, implementación y mantenimiento del control interno que la Entidad considere necesario para permitir la preparación de estados financieros libres de incorrecciones materiales. </w:t>
      </w:r>
    </w:p>
    <w:p w14:paraId="0CAB729F" w14:textId="77777777" w:rsidR="00F5567E" w:rsidRDefault="00F5567E" w:rsidP="00F5567E">
      <w:pPr>
        <w:ind w:firstLine="720"/>
        <w:jc w:val="both"/>
        <w:rPr>
          <w:rFonts w:ascii="Times New Roman" w:hAnsi="Times New Roman"/>
          <w:sz w:val="20"/>
          <w:lang w:val="es-ES"/>
        </w:rPr>
      </w:pPr>
    </w:p>
    <w:p w14:paraId="285902D9" w14:textId="77777777" w:rsidR="00F5567E" w:rsidRPr="00F5567E" w:rsidRDefault="00F5567E" w:rsidP="00F5567E">
      <w:pPr>
        <w:ind w:firstLine="720"/>
        <w:jc w:val="both"/>
        <w:rPr>
          <w:rFonts w:ascii="Times New Roman" w:hAnsi="Times New Roman"/>
          <w:sz w:val="20"/>
          <w:lang w:val="es-ES_tradnl"/>
        </w:rPr>
      </w:pPr>
    </w:p>
    <w:p w14:paraId="0119273B" w14:textId="77777777" w:rsidR="00F5567E" w:rsidRPr="00F5567E" w:rsidRDefault="00F5567E" w:rsidP="00F5567E">
      <w:pPr>
        <w:jc w:val="both"/>
        <w:rPr>
          <w:rFonts w:ascii="Times New Roman" w:hAnsi="Times New Roman"/>
          <w:b/>
          <w:sz w:val="20"/>
          <w:lang w:val="es-ES"/>
        </w:rPr>
      </w:pPr>
      <w:r w:rsidRPr="00F5567E">
        <w:rPr>
          <w:rFonts w:ascii="Times New Roman" w:hAnsi="Times New Roman"/>
          <w:b/>
          <w:sz w:val="20"/>
          <w:lang w:val="es-ES"/>
        </w:rPr>
        <w:t xml:space="preserve">2.  </w:t>
      </w:r>
      <w:r w:rsidRPr="00F5567E">
        <w:rPr>
          <w:rFonts w:ascii="Times New Roman" w:hAnsi="Times New Roman"/>
          <w:b/>
          <w:sz w:val="20"/>
          <w:u w:val="single"/>
          <w:lang w:val="es-ES"/>
        </w:rPr>
        <w:t>Alcance del trabajo</w:t>
      </w:r>
    </w:p>
    <w:p w14:paraId="79CF0470" w14:textId="77777777" w:rsidR="00F5567E" w:rsidRDefault="00F5567E" w:rsidP="00F5567E">
      <w:pPr>
        <w:ind w:firstLine="720"/>
        <w:jc w:val="both"/>
        <w:rPr>
          <w:rFonts w:ascii="Times New Roman" w:hAnsi="Times New Roman"/>
          <w:sz w:val="20"/>
          <w:lang w:val="es-ES_tradnl"/>
        </w:rPr>
      </w:pPr>
    </w:p>
    <w:p w14:paraId="3D02A606" w14:textId="77777777" w:rsidR="00F5567E" w:rsidRPr="00F5567E" w:rsidRDefault="00F5567E" w:rsidP="00F5567E">
      <w:pPr>
        <w:ind w:firstLine="720"/>
        <w:jc w:val="both"/>
        <w:rPr>
          <w:rFonts w:ascii="Times New Roman" w:hAnsi="Times New Roman"/>
          <w:sz w:val="20"/>
        </w:rPr>
      </w:pPr>
      <w:r w:rsidRPr="00F5567E">
        <w:rPr>
          <w:rFonts w:ascii="Times New Roman" w:hAnsi="Times New Roman"/>
          <w:sz w:val="20"/>
          <w:lang w:val="es-ES_tradnl"/>
        </w:rPr>
        <w:t>Para realizar nuestra tarea profesional, hemos efectuado una revisión del trabajo realizado por los auditores externos independientes de la Sociedad, KPMG</w:t>
      </w:r>
      <w:r w:rsidRPr="00F5567E">
        <w:rPr>
          <w:rFonts w:ascii="Times New Roman" w:hAnsi="Times New Roman"/>
          <w:sz w:val="20"/>
        </w:rPr>
        <w:t xml:space="preserve">, quienes emitieron su informe de revisión sobre estados financieros de períodos intermedios al 30 de septiembre de 2021, sin observaciones con fecha 24 de noviembre de 2021. </w:t>
      </w:r>
    </w:p>
    <w:p w14:paraId="15EA3314" w14:textId="77777777" w:rsidR="00F5567E" w:rsidRDefault="00F5567E" w:rsidP="00F5567E">
      <w:pPr>
        <w:ind w:firstLine="720"/>
        <w:jc w:val="both"/>
        <w:rPr>
          <w:rFonts w:ascii="Times New Roman" w:hAnsi="Times New Roman"/>
          <w:sz w:val="20"/>
          <w:lang w:val="es-ES"/>
        </w:rPr>
      </w:pPr>
    </w:p>
    <w:p w14:paraId="29A818BC" w14:textId="77777777" w:rsidR="00F5567E" w:rsidRPr="00F5567E" w:rsidRDefault="00F5567E" w:rsidP="00F5567E">
      <w:pPr>
        <w:ind w:firstLine="720"/>
        <w:jc w:val="both"/>
        <w:rPr>
          <w:rFonts w:ascii="Times New Roman" w:hAnsi="Times New Roman"/>
          <w:sz w:val="20"/>
          <w:lang w:val="es-ES"/>
        </w:rPr>
      </w:pPr>
      <w:r w:rsidRPr="00F5567E">
        <w:rPr>
          <w:rFonts w:ascii="Times New Roman" w:hAnsi="Times New Roman"/>
          <w:sz w:val="20"/>
          <w:lang w:val="es-ES"/>
        </w:rPr>
        <w:t xml:space="preserve">El alcance de la revisión sobre estados financieros de períodos intermedios realizada por los auditores es significativamente menor que el de una auditoría, y por consiguiente, no permite obtener seguridad de tomar conocimiento de todos los temas significativos que podrían identificarse en una auditoría. Por lo tanto, los auditores no expresan tal opinión sobre los estados financieros mencionados en el capítulo 1. </w:t>
      </w:r>
    </w:p>
    <w:p w14:paraId="54B63971" w14:textId="77777777" w:rsidR="00F5567E" w:rsidRDefault="00F5567E" w:rsidP="00F5567E">
      <w:pPr>
        <w:ind w:firstLine="720"/>
        <w:jc w:val="both"/>
        <w:rPr>
          <w:rFonts w:ascii="Times New Roman" w:hAnsi="Times New Roman"/>
          <w:sz w:val="20"/>
          <w:lang w:val="es-ES"/>
        </w:rPr>
      </w:pPr>
    </w:p>
    <w:p w14:paraId="30C9C076" w14:textId="77777777" w:rsidR="00F5567E" w:rsidRDefault="00F5567E" w:rsidP="00F5567E">
      <w:pPr>
        <w:ind w:firstLine="720"/>
        <w:jc w:val="both"/>
        <w:rPr>
          <w:rFonts w:ascii="Times New Roman" w:hAnsi="Times New Roman"/>
          <w:sz w:val="20"/>
        </w:rPr>
      </w:pPr>
      <w:r w:rsidRPr="00F5567E">
        <w:rPr>
          <w:rFonts w:ascii="Times New Roman" w:hAnsi="Times New Roman"/>
          <w:sz w:val="20"/>
          <w:lang w:val="es-ES"/>
        </w:rPr>
        <w:t>Dado que no es responsabilidad de la Comisión Fiscalizadora efectuar un control de gestión, la revisión no se extendió a los criterios y decisiones empresarias de las diversas áreas de la Entidad, cuestiones que son responsabilidad exclusiva de su Directorio</w:t>
      </w:r>
      <w:r w:rsidRPr="00F5567E">
        <w:rPr>
          <w:rFonts w:ascii="Times New Roman" w:hAnsi="Times New Roman"/>
          <w:sz w:val="20"/>
        </w:rPr>
        <w:t>.</w:t>
      </w:r>
    </w:p>
    <w:p w14:paraId="6DC68036" w14:textId="77777777" w:rsidR="00F5567E" w:rsidRDefault="00F5567E" w:rsidP="00F5567E">
      <w:pPr>
        <w:ind w:firstLine="720"/>
        <w:jc w:val="both"/>
        <w:rPr>
          <w:rFonts w:ascii="Times New Roman" w:hAnsi="Times New Roman"/>
          <w:sz w:val="20"/>
        </w:rPr>
      </w:pPr>
    </w:p>
    <w:p w14:paraId="7331817D" w14:textId="77777777" w:rsidR="00F5567E" w:rsidRPr="00F5567E" w:rsidRDefault="00F5567E" w:rsidP="00F5567E">
      <w:pPr>
        <w:ind w:firstLine="720"/>
        <w:jc w:val="both"/>
        <w:rPr>
          <w:rFonts w:ascii="Times New Roman" w:hAnsi="Times New Roman"/>
          <w:sz w:val="20"/>
        </w:rPr>
      </w:pPr>
    </w:p>
    <w:p w14:paraId="46E93261" w14:textId="77777777" w:rsidR="00F5567E" w:rsidRPr="00F5567E" w:rsidRDefault="00F5567E" w:rsidP="00F5567E">
      <w:pPr>
        <w:jc w:val="both"/>
        <w:rPr>
          <w:rFonts w:ascii="Times New Roman" w:hAnsi="Times New Roman"/>
          <w:sz w:val="20"/>
          <w:lang w:val="es-ES"/>
        </w:rPr>
      </w:pPr>
      <w:r w:rsidRPr="00F5567E">
        <w:rPr>
          <w:rFonts w:ascii="Times New Roman" w:hAnsi="Times New Roman"/>
          <w:b/>
          <w:sz w:val="20"/>
          <w:lang w:val="es-ES"/>
        </w:rPr>
        <w:t xml:space="preserve">3.  </w:t>
      </w:r>
      <w:r w:rsidRPr="00F5567E">
        <w:rPr>
          <w:rFonts w:ascii="Times New Roman" w:hAnsi="Times New Roman"/>
          <w:b/>
          <w:sz w:val="20"/>
          <w:u w:val="single"/>
          <w:lang w:val="es-ES"/>
        </w:rPr>
        <w:t>Manifestación de la Comisión Fiscalizadora</w:t>
      </w:r>
    </w:p>
    <w:p w14:paraId="4D418B93" w14:textId="77777777" w:rsidR="00F5567E" w:rsidRDefault="00F5567E" w:rsidP="00F5567E">
      <w:pPr>
        <w:ind w:firstLine="720"/>
        <w:jc w:val="both"/>
        <w:rPr>
          <w:rFonts w:ascii="Times New Roman" w:hAnsi="Times New Roman"/>
          <w:sz w:val="20"/>
        </w:rPr>
      </w:pPr>
    </w:p>
    <w:p w14:paraId="7B3E7FF6" w14:textId="77777777" w:rsidR="00F5567E" w:rsidRDefault="00F5567E" w:rsidP="00F5567E">
      <w:pPr>
        <w:ind w:firstLine="720"/>
        <w:jc w:val="both"/>
        <w:rPr>
          <w:rFonts w:ascii="Times New Roman" w:hAnsi="Times New Roman"/>
          <w:sz w:val="20"/>
        </w:rPr>
      </w:pPr>
      <w:r w:rsidRPr="00F5567E">
        <w:rPr>
          <w:rFonts w:ascii="Times New Roman" w:hAnsi="Times New Roman"/>
          <w:sz w:val="20"/>
        </w:rPr>
        <w:t xml:space="preserve">Sobre la base de nuestra tarea, no tenemos observaciones que formular, excepto lo establecido en el punto 4, sobre </w:t>
      </w:r>
      <w:r w:rsidRPr="00F5567E">
        <w:rPr>
          <w:rFonts w:ascii="Times New Roman" w:hAnsi="Times New Roman"/>
          <w:sz w:val="20"/>
          <w:lang w:val="es-ES"/>
        </w:rPr>
        <w:t xml:space="preserve">estados financieros </w:t>
      </w:r>
      <w:r w:rsidRPr="00F5567E">
        <w:rPr>
          <w:rFonts w:ascii="Times New Roman" w:hAnsi="Times New Roman"/>
          <w:sz w:val="20"/>
        </w:rPr>
        <w:t xml:space="preserve">intermedios adjuntos de </w:t>
      </w:r>
      <w:r w:rsidRPr="00F5567E">
        <w:rPr>
          <w:rFonts w:ascii="Times New Roman" w:hAnsi="Times New Roman"/>
          <w:sz w:val="20"/>
          <w:lang w:val="es-ES"/>
        </w:rPr>
        <w:t>BBVA</w:t>
      </w:r>
      <w:r w:rsidRPr="00F5567E">
        <w:rPr>
          <w:rFonts w:ascii="Times New Roman" w:hAnsi="Times New Roman"/>
          <w:sz w:val="20"/>
        </w:rPr>
        <w:t xml:space="preserve"> mencionados en el primer párrafo del capítulo 1 de este informe correspondiente al período de nueve meses finalizado el 30 de septiembre 2021. Adicionalmente, los mismos incluyen todos los hechos y circunstancias significativos que son de nuestro conocimiento. </w:t>
      </w:r>
    </w:p>
    <w:p w14:paraId="66946748" w14:textId="77777777" w:rsidR="00F5567E" w:rsidRDefault="00F5567E" w:rsidP="00F5567E">
      <w:pPr>
        <w:ind w:firstLine="720"/>
        <w:jc w:val="both"/>
        <w:rPr>
          <w:rFonts w:ascii="Times New Roman" w:hAnsi="Times New Roman"/>
          <w:sz w:val="20"/>
        </w:rPr>
      </w:pPr>
    </w:p>
    <w:p w14:paraId="664B3009" w14:textId="77777777" w:rsidR="00F5567E" w:rsidRPr="00F5567E" w:rsidRDefault="00F5567E" w:rsidP="00F5567E">
      <w:pPr>
        <w:ind w:firstLine="720"/>
        <w:jc w:val="both"/>
        <w:rPr>
          <w:rFonts w:ascii="Times New Roman" w:hAnsi="Times New Roman"/>
          <w:sz w:val="20"/>
        </w:rPr>
      </w:pPr>
    </w:p>
    <w:p w14:paraId="27C00092" w14:textId="77777777" w:rsidR="00F5567E" w:rsidRPr="00F5567E" w:rsidRDefault="00F5567E" w:rsidP="00F5567E">
      <w:pPr>
        <w:jc w:val="both"/>
        <w:rPr>
          <w:rFonts w:ascii="Times New Roman" w:hAnsi="Times New Roman"/>
          <w:b/>
          <w:sz w:val="20"/>
          <w:u w:val="single"/>
          <w:lang w:val="es-ES"/>
        </w:rPr>
      </w:pPr>
      <w:r w:rsidRPr="00F5567E">
        <w:rPr>
          <w:rFonts w:ascii="Times New Roman" w:hAnsi="Times New Roman"/>
          <w:b/>
          <w:sz w:val="20"/>
          <w:lang w:val="es-ES"/>
        </w:rPr>
        <w:t xml:space="preserve">4.  </w:t>
      </w:r>
      <w:r w:rsidRPr="00F5567E">
        <w:rPr>
          <w:rFonts w:ascii="Times New Roman" w:hAnsi="Times New Roman"/>
          <w:b/>
          <w:sz w:val="20"/>
          <w:u w:val="single"/>
          <w:lang w:val="es-ES"/>
        </w:rPr>
        <w:t>Párrafo de énfasis</w:t>
      </w:r>
    </w:p>
    <w:p w14:paraId="6D7EC546" w14:textId="77777777" w:rsidR="00F5567E" w:rsidRDefault="00F5567E" w:rsidP="00F5567E">
      <w:pPr>
        <w:jc w:val="both"/>
        <w:rPr>
          <w:rFonts w:ascii="Times New Roman" w:hAnsi="Times New Roman"/>
          <w:sz w:val="20"/>
          <w:lang w:val="es-ES"/>
        </w:rPr>
      </w:pPr>
      <w:r w:rsidRPr="00F5567E">
        <w:rPr>
          <w:rFonts w:ascii="Times New Roman" w:hAnsi="Times New Roman"/>
          <w:sz w:val="20"/>
          <w:lang w:val="es-ES"/>
        </w:rPr>
        <w:tab/>
      </w:r>
    </w:p>
    <w:p w14:paraId="0BE2B2CA" w14:textId="715C426A" w:rsidR="00F5567E" w:rsidRPr="00F5567E" w:rsidRDefault="00F5567E" w:rsidP="00F5567E">
      <w:pPr>
        <w:jc w:val="both"/>
        <w:rPr>
          <w:rFonts w:ascii="Times New Roman" w:hAnsi="Times New Roman"/>
          <w:sz w:val="20"/>
        </w:rPr>
      </w:pPr>
      <w:r>
        <w:rPr>
          <w:rFonts w:ascii="Times New Roman" w:hAnsi="Times New Roman"/>
          <w:sz w:val="20"/>
        </w:rPr>
        <w:t xml:space="preserve">                </w:t>
      </w:r>
      <w:r w:rsidRPr="00F5567E">
        <w:rPr>
          <w:rFonts w:ascii="Times New Roman" w:hAnsi="Times New Roman"/>
          <w:sz w:val="20"/>
        </w:rPr>
        <w:t>Como se explica en nota 2 a los estados financieros separados adjuntos y a los estados financieros consolidados, los mismos han sido preparados por el Directorio y la Gerencia de la Entidad de acuerdo con el marco de información contable estableci</w:t>
      </w:r>
      <w:bookmarkStart w:id="4" w:name="_GoBack"/>
      <w:bookmarkEnd w:id="4"/>
      <w:r w:rsidRPr="00F5567E">
        <w:rPr>
          <w:rFonts w:ascii="Times New Roman" w:hAnsi="Times New Roman"/>
          <w:sz w:val="20"/>
        </w:rPr>
        <w:t>do por el BCRA. Dicho marco de información contable difiere de las NIIF en relación con los aspectos descriptos en las notas 2.a), 2.b) y 2.c).</w:t>
      </w:r>
    </w:p>
    <w:p w14:paraId="77FEE826" w14:textId="77777777" w:rsidR="00F5567E" w:rsidRDefault="00F5567E" w:rsidP="00F5567E">
      <w:pPr>
        <w:jc w:val="both"/>
        <w:rPr>
          <w:rFonts w:ascii="Times New Roman" w:hAnsi="Times New Roman"/>
          <w:sz w:val="20"/>
          <w:lang w:val="es-ES"/>
        </w:rPr>
      </w:pPr>
    </w:p>
    <w:p w14:paraId="091CE75B" w14:textId="77777777" w:rsidR="00F5567E" w:rsidRDefault="00F5567E" w:rsidP="00F5567E">
      <w:pPr>
        <w:jc w:val="both"/>
        <w:rPr>
          <w:rFonts w:ascii="Times New Roman" w:hAnsi="Times New Roman"/>
          <w:sz w:val="20"/>
          <w:lang w:val="es-ES"/>
        </w:rPr>
      </w:pPr>
    </w:p>
    <w:p w14:paraId="34E430C0" w14:textId="77777777" w:rsidR="00F5567E" w:rsidRDefault="00F5567E" w:rsidP="00F5567E">
      <w:pPr>
        <w:jc w:val="both"/>
        <w:rPr>
          <w:rFonts w:ascii="Times New Roman" w:hAnsi="Times New Roman"/>
          <w:sz w:val="20"/>
          <w:lang w:val="es-ES"/>
        </w:rPr>
      </w:pPr>
    </w:p>
    <w:p w14:paraId="312F1369" w14:textId="77777777" w:rsidR="00F5567E" w:rsidRPr="00F5567E" w:rsidRDefault="00F5567E" w:rsidP="00F5567E">
      <w:pPr>
        <w:jc w:val="both"/>
        <w:rPr>
          <w:rFonts w:ascii="Times New Roman" w:hAnsi="Times New Roman"/>
          <w:sz w:val="20"/>
        </w:rPr>
      </w:pPr>
    </w:p>
    <w:p w14:paraId="12F1A961" w14:textId="77777777" w:rsidR="00F5567E" w:rsidRPr="00F5567E" w:rsidRDefault="00F5567E" w:rsidP="00F5567E">
      <w:pPr>
        <w:jc w:val="both"/>
        <w:rPr>
          <w:rFonts w:ascii="Times New Roman" w:hAnsi="Times New Roman"/>
          <w:b/>
          <w:sz w:val="20"/>
          <w:u w:val="single"/>
          <w:lang w:val="es-ES"/>
        </w:rPr>
      </w:pPr>
      <w:r w:rsidRPr="00F5567E">
        <w:rPr>
          <w:rFonts w:ascii="Times New Roman" w:hAnsi="Times New Roman"/>
          <w:b/>
          <w:sz w:val="20"/>
          <w:lang w:val="es-ES"/>
        </w:rPr>
        <w:t xml:space="preserve">5.  </w:t>
      </w:r>
      <w:r w:rsidRPr="00F5567E">
        <w:rPr>
          <w:rFonts w:ascii="Times New Roman" w:hAnsi="Times New Roman"/>
          <w:b/>
          <w:sz w:val="20"/>
          <w:u w:val="single"/>
          <w:lang w:val="es-ES"/>
        </w:rPr>
        <w:t>Información requerida por disposiciones vigentes</w:t>
      </w:r>
    </w:p>
    <w:p w14:paraId="76087EEE" w14:textId="77777777" w:rsidR="00F5567E" w:rsidRDefault="00F5567E" w:rsidP="00F5567E">
      <w:pPr>
        <w:ind w:firstLine="720"/>
        <w:jc w:val="both"/>
        <w:rPr>
          <w:rFonts w:ascii="Times New Roman" w:hAnsi="Times New Roman"/>
          <w:sz w:val="20"/>
        </w:rPr>
      </w:pPr>
    </w:p>
    <w:p w14:paraId="5BFBB857" w14:textId="77777777" w:rsidR="00F5567E" w:rsidRPr="00F5567E" w:rsidRDefault="00F5567E" w:rsidP="00F5567E">
      <w:pPr>
        <w:ind w:firstLine="720"/>
        <w:jc w:val="both"/>
        <w:rPr>
          <w:rFonts w:ascii="Times New Roman" w:hAnsi="Times New Roman"/>
          <w:sz w:val="20"/>
        </w:rPr>
      </w:pPr>
      <w:r w:rsidRPr="00F5567E">
        <w:rPr>
          <w:rFonts w:ascii="Times New Roman" w:hAnsi="Times New Roman"/>
          <w:sz w:val="20"/>
        </w:rPr>
        <w:t>Informamos que en cumplimiento de disposiciones vigentes los estados financieros de período intermedio</w:t>
      </w:r>
      <w:r w:rsidRPr="00F5567E" w:rsidDel="009D6752">
        <w:rPr>
          <w:rFonts w:ascii="Times New Roman" w:hAnsi="Times New Roman"/>
          <w:sz w:val="20"/>
        </w:rPr>
        <w:t xml:space="preserve"> </w:t>
      </w:r>
      <w:r w:rsidRPr="00F5567E">
        <w:rPr>
          <w:rFonts w:ascii="Times New Roman" w:hAnsi="Times New Roman"/>
          <w:sz w:val="20"/>
        </w:rPr>
        <w:t>condensados que se adjuntan se encuentran pendientes de transcripción en el libro Balances Generales de Publicación, y surgen de registros contables también pendientes de transcripción al Libro Diario.</w:t>
      </w:r>
    </w:p>
    <w:p w14:paraId="3EFA5DDB" w14:textId="77777777" w:rsidR="00F5567E" w:rsidRDefault="00F5567E" w:rsidP="00F5567E">
      <w:pPr>
        <w:ind w:firstLine="720"/>
        <w:jc w:val="both"/>
        <w:rPr>
          <w:rFonts w:ascii="Times New Roman" w:hAnsi="Times New Roman"/>
          <w:sz w:val="20"/>
        </w:rPr>
      </w:pPr>
    </w:p>
    <w:p w14:paraId="62DBD418" w14:textId="77777777" w:rsidR="00F5567E" w:rsidRPr="00F5567E" w:rsidRDefault="00F5567E" w:rsidP="00F5567E">
      <w:pPr>
        <w:ind w:firstLine="720"/>
        <w:jc w:val="both"/>
        <w:rPr>
          <w:rFonts w:ascii="Times New Roman" w:hAnsi="Times New Roman"/>
          <w:sz w:val="20"/>
        </w:rPr>
      </w:pPr>
      <w:r w:rsidRPr="00F5567E">
        <w:rPr>
          <w:rFonts w:ascii="Times New Roman" w:hAnsi="Times New Roman"/>
          <w:sz w:val="20"/>
        </w:rPr>
        <w:t>Manifestamos que durante el período hemos realizado, en cuanto correspondían, todas las tareas previstas por el artículo 294 de la Ley General de Sociedades N° 19.550.</w:t>
      </w:r>
    </w:p>
    <w:p w14:paraId="25EF7BE4" w14:textId="77777777" w:rsidR="00F5567E" w:rsidRDefault="00F5567E" w:rsidP="00F5567E">
      <w:pPr>
        <w:ind w:firstLine="720"/>
        <w:jc w:val="both"/>
        <w:rPr>
          <w:rFonts w:ascii="Times New Roman" w:hAnsi="Times New Roman"/>
          <w:sz w:val="20"/>
        </w:rPr>
      </w:pPr>
    </w:p>
    <w:p w14:paraId="26648B8A" w14:textId="77777777" w:rsidR="00F5567E" w:rsidRPr="00F5567E" w:rsidRDefault="00F5567E" w:rsidP="00F5567E">
      <w:pPr>
        <w:ind w:firstLine="720"/>
        <w:jc w:val="both"/>
        <w:rPr>
          <w:rFonts w:ascii="Times New Roman" w:hAnsi="Times New Roman"/>
          <w:sz w:val="20"/>
        </w:rPr>
      </w:pPr>
      <w:r w:rsidRPr="00F5567E">
        <w:rPr>
          <w:rFonts w:ascii="Times New Roman" w:hAnsi="Times New Roman"/>
          <w:sz w:val="20"/>
        </w:rPr>
        <w:t>Asimismo, dejamos constancia que autorizamos expresamente a cualquiera de los miembros de la Comisión Fiscalizadora a firmar individualmente en nombre de esta, toda la documentación mencionada en el primer párrafo y las reproducciones del presente informe.</w:t>
      </w:r>
    </w:p>
    <w:p w14:paraId="7A49F968" w14:textId="77777777" w:rsidR="00F5567E" w:rsidRDefault="00F5567E" w:rsidP="00F5567E">
      <w:pPr>
        <w:jc w:val="both"/>
        <w:rPr>
          <w:rFonts w:ascii="Times New Roman" w:hAnsi="Times New Roman"/>
          <w:sz w:val="20"/>
        </w:rPr>
      </w:pPr>
    </w:p>
    <w:p w14:paraId="6F70B1CB" w14:textId="77777777" w:rsidR="00F5567E" w:rsidRPr="00F5567E" w:rsidRDefault="00F5567E" w:rsidP="00F5567E">
      <w:pPr>
        <w:jc w:val="both"/>
        <w:rPr>
          <w:rFonts w:ascii="Times New Roman" w:hAnsi="Times New Roman"/>
          <w:sz w:val="20"/>
        </w:rPr>
      </w:pPr>
    </w:p>
    <w:p w14:paraId="02F2078A" w14:textId="77777777" w:rsidR="00F5567E" w:rsidRPr="00F5567E" w:rsidRDefault="00F5567E" w:rsidP="00F5567E">
      <w:pPr>
        <w:pStyle w:val="Textoinfaud"/>
        <w:tabs>
          <w:tab w:val="clear" w:pos="720"/>
        </w:tabs>
        <w:spacing w:before="20" w:after="220" w:line="240" w:lineRule="exact"/>
        <w:rPr>
          <w:rFonts w:ascii="Times New Roman" w:eastAsiaTheme="minorHAnsi" w:hAnsi="Times New Roman"/>
          <w:lang w:val="es-AR"/>
        </w:rPr>
      </w:pPr>
      <w:r w:rsidRPr="00F5567E">
        <w:rPr>
          <w:rFonts w:ascii="Times New Roman" w:eastAsiaTheme="minorHAnsi" w:hAnsi="Times New Roman"/>
          <w:lang w:val="es-AR"/>
        </w:rPr>
        <w:t>Ciudad Autónoma de Buenos Aires, 24 de noviembre de 2021.</w:t>
      </w:r>
    </w:p>
    <w:p w14:paraId="1A17FD3F" w14:textId="77777777" w:rsidR="00F5567E" w:rsidRPr="00F5567E" w:rsidRDefault="00F5567E" w:rsidP="00F5567E">
      <w:pPr>
        <w:jc w:val="both"/>
        <w:rPr>
          <w:rFonts w:ascii="Times New Roman" w:hAnsi="Times New Roman"/>
          <w:sz w:val="20"/>
        </w:rPr>
      </w:pPr>
    </w:p>
    <w:p w14:paraId="255B11A3" w14:textId="77777777" w:rsidR="00F5567E" w:rsidRPr="00F5567E" w:rsidRDefault="00F5567E" w:rsidP="00F5567E">
      <w:pPr>
        <w:jc w:val="both"/>
        <w:rPr>
          <w:rFonts w:ascii="Times New Roman" w:hAnsi="Times New Roman"/>
          <w:sz w:val="20"/>
        </w:rPr>
      </w:pPr>
    </w:p>
    <w:p w14:paraId="31C06A17" w14:textId="77777777" w:rsidR="00F5567E" w:rsidRPr="00F5567E" w:rsidRDefault="00F5567E" w:rsidP="00F5567E">
      <w:pPr>
        <w:jc w:val="both"/>
        <w:rPr>
          <w:rFonts w:ascii="Times New Roman" w:hAnsi="Times New Roman"/>
          <w:sz w:val="20"/>
        </w:rPr>
      </w:pPr>
    </w:p>
    <w:p w14:paraId="3DB2BFF5" w14:textId="77777777" w:rsidR="00F5567E" w:rsidRPr="00F5567E" w:rsidRDefault="00F5567E" w:rsidP="00F5567E">
      <w:pPr>
        <w:jc w:val="both"/>
        <w:rPr>
          <w:rFonts w:ascii="Times New Roman" w:hAnsi="Times New Roman"/>
          <w:sz w:val="20"/>
        </w:rPr>
      </w:pPr>
    </w:p>
    <w:p w14:paraId="0D7AFE69" w14:textId="35416715" w:rsidR="00F5567E" w:rsidRPr="00F5567E" w:rsidRDefault="00F5567E" w:rsidP="00F5567E">
      <w:pPr>
        <w:rPr>
          <w:rFonts w:ascii="Times New Roman" w:hAnsi="Times New Roman"/>
          <w:sz w:val="20"/>
        </w:rPr>
      </w:pPr>
      <w:r w:rsidRPr="00F5567E">
        <w:rPr>
          <w:rFonts w:ascii="Times New Roman" w:hAnsi="Times New Roman"/>
          <w:sz w:val="20"/>
        </w:rPr>
        <w:t xml:space="preserve">                                             </w:t>
      </w:r>
      <w:r>
        <w:rPr>
          <w:rFonts w:ascii="Times New Roman" w:hAnsi="Times New Roman"/>
          <w:sz w:val="20"/>
        </w:rPr>
        <w:t xml:space="preserve">     </w:t>
      </w:r>
      <w:r w:rsidRPr="00F5567E">
        <w:rPr>
          <w:rFonts w:ascii="Times New Roman" w:hAnsi="Times New Roman"/>
          <w:sz w:val="20"/>
        </w:rPr>
        <w:t xml:space="preserve">      ----------------------------------------</w:t>
      </w:r>
    </w:p>
    <w:tbl>
      <w:tblPr>
        <w:tblW w:w="0" w:type="auto"/>
        <w:tblInd w:w="2644" w:type="dxa"/>
        <w:tblLook w:val="01E0" w:firstRow="1" w:lastRow="1" w:firstColumn="1" w:lastColumn="1" w:noHBand="0" w:noVBand="0"/>
      </w:tblPr>
      <w:tblGrid>
        <w:gridCol w:w="3227"/>
      </w:tblGrid>
      <w:tr w:rsidR="00F5567E" w:rsidRPr="00F5567E" w14:paraId="1454CC0E" w14:textId="77777777" w:rsidTr="00FE5740">
        <w:tc>
          <w:tcPr>
            <w:tcW w:w="3227" w:type="dxa"/>
          </w:tcPr>
          <w:p w14:paraId="427EC4E8" w14:textId="77777777" w:rsidR="00F5567E" w:rsidRPr="00F5567E" w:rsidRDefault="00F5567E" w:rsidP="00FE5740">
            <w:pPr>
              <w:jc w:val="center"/>
              <w:rPr>
                <w:rFonts w:ascii="Times New Roman" w:hAnsi="Times New Roman"/>
                <w:smallCaps/>
                <w:sz w:val="20"/>
              </w:rPr>
            </w:pPr>
            <w:r w:rsidRPr="00F5567E">
              <w:rPr>
                <w:rFonts w:ascii="Times New Roman" w:hAnsi="Times New Roman"/>
                <w:smallCaps/>
                <w:sz w:val="20"/>
              </w:rPr>
              <w:t>ALEJANDRO MOSQUERA</w:t>
            </w:r>
          </w:p>
        </w:tc>
      </w:tr>
      <w:tr w:rsidR="00F5567E" w:rsidRPr="00F5567E" w14:paraId="6767E911" w14:textId="77777777" w:rsidTr="00FE5740">
        <w:tc>
          <w:tcPr>
            <w:tcW w:w="3227" w:type="dxa"/>
          </w:tcPr>
          <w:p w14:paraId="1424EB69" w14:textId="77777777" w:rsidR="00F5567E" w:rsidRPr="00F5567E" w:rsidRDefault="00F5567E" w:rsidP="00FE5740">
            <w:pPr>
              <w:jc w:val="center"/>
              <w:rPr>
                <w:rFonts w:ascii="Times New Roman" w:hAnsi="Times New Roman"/>
                <w:smallCaps/>
                <w:sz w:val="20"/>
                <w:lang w:val="es-ES_tradnl"/>
              </w:rPr>
            </w:pPr>
            <w:r w:rsidRPr="00F5567E">
              <w:rPr>
                <w:rFonts w:ascii="Times New Roman" w:hAnsi="Times New Roman"/>
                <w:smallCaps/>
                <w:sz w:val="20"/>
                <w:lang w:val="es-ES_tradnl"/>
              </w:rPr>
              <w:t>ABOGADO</w:t>
            </w:r>
          </w:p>
        </w:tc>
      </w:tr>
      <w:tr w:rsidR="00F5567E" w:rsidRPr="00F5567E" w14:paraId="7C9A2E1D" w14:textId="77777777" w:rsidTr="00FE5740">
        <w:tc>
          <w:tcPr>
            <w:tcW w:w="3227" w:type="dxa"/>
          </w:tcPr>
          <w:p w14:paraId="18652DC9" w14:textId="77777777" w:rsidR="00F5567E" w:rsidRPr="00F5567E" w:rsidRDefault="00F5567E" w:rsidP="00FE5740">
            <w:pPr>
              <w:jc w:val="center"/>
              <w:rPr>
                <w:rFonts w:ascii="Times New Roman" w:hAnsi="Times New Roman"/>
                <w:smallCaps/>
                <w:sz w:val="20"/>
                <w:lang w:val="es-ES_tradnl"/>
              </w:rPr>
            </w:pPr>
            <w:r w:rsidRPr="00F5567E">
              <w:rPr>
                <w:rFonts w:ascii="Times New Roman" w:hAnsi="Times New Roman"/>
                <w:smallCaps/>
                <w:sz w:val="20"/>
                <w:lang w:val="es-ES_tradnl"/>
              </w:rPr>
              <w:t>C.P.A.C.F.  T°30- F° 536</w:t>
            </w:r>
          </w:p>
        </w:tc>
      </w:tr>
      <w:tr w:rsidR="00F5567E" w:rsidRPr="00F5567E" w14:paraId="7F5EF0D5" w14:textId="77777777" w:rsidTr="00FE5740">
        <w:tc>
          <w:tcPr>
            <w:tcW w:w="3227" w:type="dxa"/>
          </w:tcPr>
          <w:p w14:paraId="41E81448" w14:textId="77777777" w:rsidR="00F5567E" w:rsidRPr="00F5567E" w:rsidRDefault="00F5567E" w:rsidP="00FE5740">
            <w:pPr>
              <w:jc w:val="center"/>
              <w:rPr>
                <w:rFonts w:ascii="Times New Roman" w:hAnsi="Times New Roman"/>
                <w:smallCaps/>
                <w:sz w:val="20"/>
                <w:lang w:val="de-DE"/>
              </w:rPr>
            </w:pPr>
            <w:r w:rsidRPr="00F5567E">
              <w:rPr>
                <w:rFonts w:ascii="Times New Roman" w:hAnsi="Times New Roman"/>
                <w:smallCaps/>
                <w:sz w:val="20"/>
                <w:lang w:val="de-DE"/>
              </w:rPr>
              <w:t>C.P.S.I.  T°XXII- F° 433</w:t>
            </w:r>
          </w:p>
        </w:tc>
      </w:tr>
    </w:tbl>
    <w:p w14:paraId="784A240C" w14:textId="6AD62B20" w:rsidR="00F5567E" w:rsidRPr="00F5567E" w:rsidRDefault="00F5567E" w:rsidP="00F5567E">
      <w:pPr>
        <w:rPr>
          <w:rFonts w:ascii="Times New Roman" w:hAnsi="Times New Roman"/>
          <w:smallCaps/>
          <w:sz w:val="20"/>
          <w:lang w:val="es-ES_tradnl"/>
        </w:rPr>
      </w:pPr>
      <w:r>
        <w:rPr>
          <w:rFonts w:ascii="Times New Roman" w:hAnsi="Times New Roman"/>
          <w:smallCaps/>
          <w:sz w:val="20"/>
          <w:lang w:val="es-ES_tradnl"/>
        </w:rPr>
        <w:t xml:space="preserve">                                                                       </w:t>
      </w:r>
      <w:r w:rsidRPr="00F5567E">
        <w:rPr>
          <w:rFonts w:ascii="Times New Roman" w:hAnsi="Times New Roman"/>
          <w:smallCaps/>
          <w:sz w:val="20"/>
          <w:lang w:val="es-ES_tradnl"/>
        </w:rPr>
        <w:t>Por Comisión Fiscalizadora</w:t>
      </w:r>
    </w:p>
    <w:p w14:paraId="4F55C630" w14:textId="77777777" w:rsidR="00F5567E" w:rsidRPr="00F5567E" w:rsidRDefault="00F5567E" w:rsidP="00F5567E">
      <w:pPr>
        <w:jc w:val="center"/>
        <w:rPr>
          <w:rFonts w:ascii="Times New Roman" w:hAnsi="Times New Roman"/>
          <w:sz w:val="20"/>
        </w:rPr>
      </w:pPr>
    </w:p>
    <w:p w14:paraId="28A0F395" w14:textId="77777777" w:rsidR="00F5567E" w:rsidRPr="00F5567E" w:rsidRDefault="00F5567E" w:rsidP="00F5567E">
      <w:pPr>
        <w:jc w:val="both"/>
        <w:rPr>
          <w:rFonts w:ascii="Times New Roman" w:hAnsi="Times New Roman"/>
          <w:sz w:val="20"/>
        </w:rPr>
      </w:pPr>
    </w:p>
    <w:p w14:paraId="1969F24A" w14:textId="77777777" w:rsidR="00F5567E" w:rsidRPr="00F5567E" w:rsidRDefault="00F5567E" w:rsidP="000C3B7C">
      <w:pPr>
        <w:jc w:val="both"/>
        <w:rPr>
          <w:rFonts w:ascii="Times New Roman" w:hAnsi="Times New Roman"/>
          <w:sz w:val="20"/>
          <w:highlight w:val="yellow"/>
          <w:lang w:val="es-ES_tradnl"/>
        </w:rPr>
      </w:pPr>
    </w:p>
    <w:p w14:paraId="1080BE67" w14:textId="77777777" w:rsidR="00F5567E" w:rsidRPr="00F5567E" w:rsidRDefault="00F5567E" w:rsidP="000C3B7C">
      <w:pPr>
        <w:jc w:val="both"/>
        <w:rPr>
          <w:rFonts w:ascii="Times New Roman" w:hAnsi="Times New Roman"/>
          <w:sz w:val="20"/>
          <w:highlight w:val="yellow"/>
          <w:lang w:val="es-ES_tradnl"/>
        </w:rPr>
      </w:pPr>
    </w:p>
    <w:p w14:paraId="781D04FC" w14:textId="77777777" w:rsidR="0066025D" w:rsidRPr="0066025D" w:rsidRDefault="0066025D" w:rsidP="0066025D">
      <w:pPr>
        <w:jc w:val="center"/>
        <w:rPr>
          <w:rFonts w:ascii="Times New Roman" w:hAnsi="Times New Roman"/>
          <w:sz w:val="20"/>
        </w:rPr>
      </w:pPr>
    </w:p>
    <w:p w14:paraId="0C552DDD" w14:textId="77777777" w:rsidR="0066025D" w:rsidRPr="0066025D" w:rsidRDefault="0066025D" w:rsidP="0066025D">
      <w:pPr>
        <w:jc w:val="both"/>
        <w:rPr>
          <w:rFonts w:ascii="Times New Roman" w:hAnsi="Times New Roman"/>
          <w:sz w:val="20"/>
        </w:rPr>
      </w:pPr>
    </w:p>
    <w:p w14:paraId="622C9D6E" w14:textId="77777777" w:rsidR="0066025D" w:rsidRPr="0066025D" w:rsidRDefault="0066025D" w:rsidP="000C3B7C">
      <w:pPr>
        <w:jc w:val="both"/>
        <w:rPr>
          <w:rFonts w:ascii="Times New Roman" w:hAnsi="Times New Roman"/>
          <w:b/>
          <w:sz w:val="20"/>
          <w:highlight w:val="yellow"/>
          <w:lang w:val="es-ES"/>
        </w:rPr>
      </w:pPr>
    </w:p>
    <w:p w14:paraId="64A07534" w14:textId="77777777" w:rsidR="0066025D" w:rsidRPr="0066025D" w:rsidRDefault="0066025D" w:rsidP="000C3B7C">
      <w:pPr>
        <w:jc w:val="both"/>
        <w:rPr>
          <w:rFonts w:ascii="Times New Roman" w:hAnsi="Times New Roman"/>
          <w:b/>
          <w:sz w:val="20"/>
          <w:highlight w:val="yellow"/>
          <w:lang w:val="es-ES"/>
        </w:rPr>
      </w:pPr>
    </w:p>
    <w:p w14:paraId="366072C7" w14:textId="77777777" w:rsidR="000C3B7C" w:rsidRPr="00C068A6" w:rsidRDefault="000C3B7C" w:rsidP="000C3B7C">
      <w:pPr>
        <w:rPr>
          <w:rFonts w:ascii="Times New Roman" w:hAnsi="Times New Roman"/>
          <w:sz w:val="20"/>
        </w:rPr>
      </w:pPr>
    </w:p>
    <w:p w14:paraId="2D2001C1" w14:textId="77777777" w:rsidR="000C3B7C" w:rsidRPr="00C068A6" w:rsidRDefault="000C3B7C" w:rsidP="000C3B7C">
      <w:pPr>
        <w:jc w:val="both"/>
        <w:rPr>
          <w:rFonts w:ascii="Times New Roman" w:hAnsi="Times New Roman"/>
          <w:sz w:val="20"/>
        </w:rPr>
      </w:pPr>
    </w:p>
    <w:p w14:paraId="3A802445" w14:textId="49563F58" w:rsidR="00C91D07" w:rsidRPr="00C91D07" w:rsidRDefault="00C91D07" w:rsidP="00C91D07">
      <w:pPr>
        <w:pStyle w:val="Auditor"/>
        <w:ind w:right="-710"/>
        <w:rPr>
          <w:rFonts w:ascii="Times New Roman" w:hAnsi="Times New Roman"/>
        </w:rPr>
      </w:pPr>
    </w:p>
    <w:p w14:paraId="60FC4A60" w14:textId="77777777" w:rsidR="00C91D07" w:rsidRPr="00C91D07" w:rsidRDefault="00C91D07" w:rsidP="00C91D07">
      <w:pPr>
        <w:pStyle w:val="Auditor"/>
        <w:spacing w:line="240" w:lineRule="auto"/>
        <w:ind w:left="720" w:right="-710"/>
        <w:rPr>
          <w:rFonts w:ascii="Times New Roman" w:hAnsi="Times New Roman"/>
        </w:rPr>
      </w:pPr>
    </w:p>
    <w:p w14:paraId="66069348" w14:textId="77777777" w:rsidR="00C91D07" w:rsidRPr="00C91D07" w:rsidRDefault="00C91D07" w:rsidP="001A633F">
      <w:pPr>
        <w:jc w:val="center"/>
        <w:rPr>
          <w:rFonts w:ascii="Times New Roman" w:hAnsi="Times New Roman"/>
          <w:b/>
          <w:sz w:val="20"/>
          <w:highlight w:val="yellow"/>
          <w:u w:val="single"/>
        </w:rPr>
      </w:pPr>
    </w:p>
    <w:p w14:paraId="4ADB0505" w14:textId="77777777" w:rsidR="001A633F" w:rsidRPr="001A633F" w:rsidRDefault="001A633F" w:rsidP="001A633F">
      <w:pPr>
        <w:rPr>
          <w:rFonts w:ascii="Times New Roman" w:hAnsi="Times New Roman"/>
          <w:sz w:val="20"/>
        </w:rPr>
      </w:pPr>
    </w:p>
    <w:p w14:paraId="4F5C6ABB" w14:textId="77777777" w:rsidR="001A633F" w:rsidRPr="001A633F" w:rsidRDefault="001A633F" w:rsidP="001A633F">
      <w:pPr>
        <w:jc w:val="both"/>
        <w:rPr>
          <w:rFonts w:ascii="Times New Roman" w:hAnsi="Times New Roman"/>
          <w:sz w:val="20"/>
        </w:rPr>
      </w:pPr>
    </w:p>
    <w:p w14:paraId="686BE1D1" w14:textId="77777777" w:rsidR="008C6D08" w:rsidRPr="00110E8B" w:rsidRDefault="008C6D08" w:rsidP="00066AB1">
      <w:pPr>
        <w:tabs>
          <w:tab w:val="left" w:pos="360"/>
          <w:tab w:val="right" w:pos="10368"/>
        </w:tabs>
        <w:ind w:right="-501"/>
        <w:jc w:val="center"/>
        <w:rPr>
          <w:rFonts w:ascii="Times New Roman" w:hAnsi="Times New Roman"/>
          <w:b/>
          <w:sz w:val="20"/>
        </w:rPr>
        <w:sectPr w:rsidR="008C6D08" w:rsidRPr="00110E8B" w:rsidSect="0003112C">
          <w:footnotePr>
            <w:numStart w:val="0"/>
          </w:footnotePr>
          <w:type w:val="continuous"/>
          <w:pgSz w:w="11907" w:h="16840" w:code="9"/>
          <w:pgMar w:top="1134" w:right="1226" w:bottom="340" w:left="1418" w:header="851" w:footer="216" w:gutter="0"/>
          <w:pgNumType w:chapStyle="1" w:chapSep="enDash"/>
          <w:cols w:space="560"/>
          <w:docGrid w:linePitch="326"/>
        </w:sectPr>
      </w:pPr>
    </w:p>
    <w:p w14:paraId="2C2FAA54" w14:textId="77777777" w:rsidR="00C51F7F" w:rsidRPr="0001202E" w:rsidRDefault="00C51F7F" w:rsidP="00C51F7F">
      <w:pPr>
        <w:tabs>
          <w:tab w:val="left" w:pos="360"/>
          <w:tab w:val="right" w:pos="10368"/>
        </w:tabs>
        <w:ind w:right="-501"/>
        <w:jc w:val="center"/>
        <w:rPr>
          <w:rFonts w:ascii="Times New Roman" w:hAnsi="Times New Roman"/>
          <w:b/>
          <w:sz w:val="20"/>
        </w:rPr>
      </w:pPr>
      <w:r w:rsidRPr="0001202E">
        <w:rPr>
          <w:rFonts w:ascii="Times New Roman" w:hAnsi="Times New Roman"/>
          <w:b/>
          <w:sz w:val="20"/>
        </w:rPr>
        <w:lastRenderedPageBreak/>
        <w:t>RESEÑA INFORMATIVA CORRESPONDIENTE</w:t>
      </w:r>
    </w:p>
    <w:p w14:paraId="3BA631D5" w14:textId="6816B863" w:rsidR="00C51F7F" w:rsidRPr="0001202E" w:rsidRDefault="00C51F7F" w:rsidP="00C51F7F">
      <w:pPr>
        <w:tabs>
          <w:tab w:val="left" w:pos="360"/>
          <w:tab w:val="right" w:pos="10368"/>
        </w:tabs>
        <w:ind w:right="-501"/>
        <w:jc w:val="center"/>
        <w:rPr>
          <w:rFonts w:ascii="Times New Roman" w:hAnsi="Times New Roman"/>
          <w:b/>
          <w:sz w:val="20"/>
        </w:rPr>
      </w:pPr>
      <w:r w:rsidRPr="0001202E">
        <w:rPr>
          <w:rFonts w:ascii="Times New Roman" w:hAnsi="Times New Roman"/>
          <w:b/>
          <w:sz w:val="20"/>
        </w:rPr>
        <w:t xml:space="preserve">AL </w:t>
      </w:r>
      <w:r w:rsidR="005F2AA6" w:rsidRPr="0001202E">
        <w:rPr>
          <w:rFonts w:ascii="Times New Roman" w:hAnsi="Times New Roman"/>
          <w:b/>
          <w:sz w:val="20"/>
        </w:rPr>
        <w:t>PERÍODO FINALIZADO</w:t>
      </w:r>
    </w:p>
    <w:p w14:paraId="71D27FA2" w14:textId="56F3DAE1" w:rsidR="00C51F7F" w:rsidRPr="0001202E" w:rsidRDefault="00C51F7F" w:rsidP="00C51F7F">
      <w:pPr>
        <w:tabs>
          <w:tab w:val="left" w:pos="360"/>
          <w:tab w:val="right" w:pos="10368"/>
        </w:tabs>
        <w:ind w:right="-501"/>
        <w:jc w:val="center"/>
        <w:rPr>
          <w:rFonts w:ascii="Times New Roman" w:hAnsi="Times New Roman"/>
          <w:b/>
          <w:sz w:val="20"/>
        </w:rPr>
      </w:pPr>
      <w:r w:rsidRPr="0001202E">
        <w:rPr>
          <w:rFonts w:ascii="Times New Roman" w:hAnsi="Times New Roman"/>
          <w:b/>
          <w:sz w:val="20"/>
        </w:rPr>
        <w:t>EL 3</w:t>
      </w:r>
      <w:r w:rsidR="00C743A2" w:rsidRPr="0001202E">
        <w:rPr>
          <w:rFonts w:ascii="Times New Roman" w:hAnsi="Times New Roman"/>
          <w:b/>
          <w:sz w:val="20"/>
        </w:rPr>
        <w:t>0</w:t>
      </w:r>
      <w:r w:rsidRPr="0001202E">
        <w:rPr>
          <w:rFonts w:ascii="Times New Roman" w:hAnsi="Times New Roman"/>
          <w:b/>
          <w:sz w:val="20"/>
        </w:rPr>
        <w:t xml:space="preserve"> DE </w:t>
      </w:r>
      <w:r w:rsidR="000424EC" w:rsidRPr="0001202E">
        <w:rPr>
          <w:rFonts w:ascii="Times New Roman" w:hAnsi="Times New Roman"/>
          <w:b/>
          <w:sz w:val="20"/>
        </w:rPr>
        <w:t>SEPTIEMBRE</w:t>
      </w:r>
      <w:r w:rsidR="00AD2C5C" w:rsidRPr="0001202E">
        <w:rPr>
          <w:rFonts w:ascii="Times New Roman" w:hAnsi="Times New Roman"/>
          <w:b/>
          <w:sz w:val="20"/>
        </w:rPr>
        <w:t xml:space="preserve"> </w:t>
      </w:r>
      <w:r w:rsidRPr="0001202E">
        <w:rPr>
          <w:rFonts w:ascii="Times New Roman" w:hAnsi="Times New Roman"/>
          <w:b/>
          <w:sz w:val="20"/>
        </w:rPr>
        <w:t>DE 20</w:t>
      </w:r>
      <w:r w:rsidR="00581561" w:rsidRPr="0001202E">
        <w:rPr>
          <w:rFonts w:ascii="Times New Roman" w:hAnsi="Times New Roman"/>
          <w:b/>
          <w:sz w:val="20"/>
        </w:rPr>
        <w:t>2</w:t>
      </w:r>
      <w:r w:rsidR="005F2AA6" w:rsidRPr="0001202E">
        <w:rPr>
          <w:rFonts w:ascii="Times New Roman" w:hAnsi="Times New Roman"/>
          <w:b/>
          <w:sz w:val="20"/>
        </w:rPr>
        <w:t>1</w:t>
      </w:r>
    </w:p>
    <w:p w14:paraId="33776017" w14:textId="705B8642" w:rsidR="00C51F7F" w:rsidRPr="0001202E" w:rsidRDefault="00C51F7F" w:rsidP="00E51858">
      <w:pPr>
        <w:tabs>
          <w:tab w:val="left" w:pos="360"/>
          <w:tab w:val="right" w:pos="10368"/>
        </w:tabs>
        <w:ind w:right="-501"/>
        <w:jc w:val="center"/>
        <w:rPr>
          <w:rFonts w:ascii="Times New Roman" w:hAnsi="Times New Roman"/>
          <w:b/>
          <w:sz w:val="20"/>
        </w:rPr>
      </w:pPr>
      <w:r w:rsidRPr="0001202E">
        <w:rPr>
          <w:rFonts w:ascii="Times New Roman" w:hAnsi="Times New Roman"/>
          <w:b/>
          <w:sz w:val="20"/>
        </w:rPr>
        <w:t xml:space="preserve"> (Cifras</w:t>
      </w:r>
      <w:r w:rsidR="00C74E62" w:rsidRPr="0001202E">
        <w:rPr>
          <w:rFonts w:ascii="Times New Roman" w:hAnsi="Times New Roman"/>
          <w:b/>
          <w:sz w:val="20"/>
        </w:rPr>
        <w:t xml:space="preserve"> expresadas en miles de pesos en moneda homogénea – </w:t>
      </w:r>
      <w:r w:rsidR="003B480D" w:rsidRPr="0001202E">
        <w:rPr>
          <w:rFonts w:ascii="Times New Roman" w:hAnsi="Times New Roman"/>
          <w:b/>
          <w:sz w:val="20"/>
        </w:rPr>
        <w:t>Nota 3 a los estados</w:t>
      </w:r>
      <w:r w:rsidR="00E51858" w:rsidRPr="0001202E">
        <w:rPr>
          <w:rFonts w:ascii="Times New Roman" w:hAnsi="Times New Roman"/>
          <w:b/>
          <w:sz w:val="20"/>
        </w:rPr>
        <w:t xml:space="preserve"> financieros intermedios </w:t>
      </w:r>
      <w:r w:rsidR="003B480D" w:rsidRPr="0001202E">
        <w:rPr>
          <w:rFonts w:ascii="Times New Roman" w:hAnsi="Times New Roman"/>
          <w:b/>
          <w:sz w:val="20"/>
        </w:rPr>
        <w:t>consolidados condensados</w:t>
      </w:r>
      <w:r w:rsidRPr="0001202E">
        <w:rPr>
          <w:rFonts w:ascii="Times New Roman" w:hAnsi="Times New Roman"/>
          <w:b/>
          <w:sz w:val="20"/>
        </w:rPr>
        <w:t>)</w:t>
      </w:r>
    </w:p>
    <w:p w14:paraId="62E43682" w14:textId="77777777" w:rsidR="005F2AA6" w:rsidRPr="0001202E" w:rsidRDefault="005F2AA6" w:rsidP="005F2AA6">
      <w:pPr>
        <w:jc w:val="both"/>
        <w:rPr>
          <w:rFonts w:ascii="Times New Roman" w:hAnsi="Times New Roman"/>
          <w:sz w:val="20"/>
        </w:rPr>
      </w:pPr>
    </w:p>
    <w:p w14:paraId="50F52912" w14:textId="77777777" w:rsidR="00F11674" w:rsidRPr="0001202E" w:rsidRDefault="00F11674" w:rsidP="005F2AA6">
      <w:pPr>
        <w:jc w:val="both"/>
        <w:rPr>
          <w:rFonts w:ascii="Times New Roman" w:hAnsi="Times New Roman"/>
          <w:sz w:val="20"/>
        </w:rPr>
      </w:pPr>
    </w:p>
    <w:p w14:paraId="5D9F6931" w14:textId="0F75B1BF" w:rsidR="00F11674" w:rsidRPr="0001202E" w:rsidRDefault="00BF439D" w:rsidP="00BF439D">
      <w:pPr>
        <w:ind w:left="284"/>
        <w:jc w:val="both"/>
        <w:rPr>
          <w:rFonts w:ascii="Times New Roman" w:hAnsi="Times New Roman"/>
          <w:sz w:val="20"/>
        </w:rPr>
      </w:pPr>
      <w:r w:rsidRPr="0001202E">
        <w:rPr>
          <w:rFonts w:ascii="Times New Roman" w:hAnsi="Times New Roman"/>
          <w:sz w:val="20"/>
        </w:rPr>
        <w:t>Los presentes estados financieros intermedios consolidados condensados correspondientes al 30 de septiembre de 2021 y por el período de nueve meses finalizado en esa fecha, fueron confeccionados de acuerdo con la normativa del B.C.R.A. que establece que las entidades bajo su supervisión presenten estados financieros preparados de acuerdo a las Normas Internacionales de Información Financiera (NIIF) emitidas por el Consejo de Normas Internacionales de Contabilidad (IASB, por su sigla en inglés), con las siguientes excepciones (“marco de información contable establecido por el B.C.R.A.”):</w:t>
      </w:r>
    </w:p>
    <w:p w14:paraId="47936CBE" w14:textId="77777777" w:rsidR="00F11674" w:rsidRPr="0001202E" w:rsidRDefault="00F11674" w:rsidP="00F07536">
      <w:pPr>
        <w:pStyle w:val="Notas"/>
        <w:numPr>
          <w:ilvl w:val="0"/>
          <w:numId w:val="61"/>
        </w:numPr>
        <w:rPr>
          <w:rFonts w:ascii="Times New Roman" w:hAnsi="Times New Roman"/>
        </w:rPr>
      </w:pPr>
      <w:r w:rsidRPr="0001202E">
        <w:rPr>
          <w:rFonts w:ascii="Times New Roman" w:hAnsi="Times New Roman"/>
        </w:rPr>
        <w:t>Deterioro de valor de activos financieros</w:t>
      </w:r>
    </w:p>
    <w:p w14:paraId="2E8FB725" w14:textId="77777777" w:rsidR="00BF439D" w:rsidRPr="0001202E" w:rsidRDefault="00BF439D" w:rsidP="00BF439D">
      <w:pPr>
        <w:pStyle w:val="Notas"/>
        <w:ind w:left="720"/>
        <w:rPr>
          <w:rFonts w:ascii="Times New Roman" w:hAnsi="Times New Roman"/>
          <w:u w:val="none"/>
        </w:rPr>
      </w:pPr>
      <w:r w:rsidRPr="0001202E">
        <w:rPr>
          <w:rFonts w:ascii="Times New Roman" w:hAnsi="Times New Roman"/>
          <w:u w:val="none"/>
        </w:rPr>
        <w:t>De acuerdo con la Comunicación “A” 6847 del B.C.R.A., la Entidad ha aplicado el modelo de pérdidas esperadas previsto por la sección 5.5. de la NIIF 9 excluyendo de su alcance los instrumentos de deuda del sector público no financiero. De aplicarse el modelo de deterioro previsto en el punto 5.5 de la NIIF 9, se hubiese registrado una disminución en el patrimonio de la Entidad de 5.632.064 y de 6.064.712 al 30 de septiembre de 2021 y 31 de diciembre de 2020, respectivamente, netas del efecto del impuesto diferido.</w:t>
      </w:r>
    </w:p>
    <w:p w14:paraId="5A71DA49" w14:textId="77777777" w:rsidR="00BF439D" w:rsidRPr="0001202E" w:rsidRDefault="00BF439D" w:rsidP="00BF439D">
      <w:pPr>
        <w:pStyle w:val="Notas"/>
        <w:ind w:left="720"/>
        <w:rPr>
          <w:rFonts w:ascii="Times New Roman" w:hAnsi="Times New Roman"/>
          <w:u w:val="none"/>
        </w:rPr>
      </w:pPr>
      <w:r w:rsidRPr="0001202E">
        <w:rPr>
          <w:rFonts w:ascii="Times New Roman" w:hAnsi="Times New Roman"/>
          <w:u w:val="none"/>
        </w:rPr>
        <w:t>Adicionalmente, con fecha 19 de marzo de 2020 el B.C.R.A. emitió la Comunicación "A" 6938,  prorrogada por la Comunicación “A” 7181 del 17 de diciembre de 2020, que posterga la aplicación del modelo de deterioro establecido en la sección 5.5 de la NIIF 9 hasta los ejercicios que se inicien a partir del 1 de enero de 2022 para las entidades del Grupo "C" (entidades consolidadas por la Entidad), manteniendo para las mismas el modelo de deterioro de valor establecido por el B.C.R.A. mediante Comunicación "A" 2950 y modificatorias, el cual requiere el reconocimiento de previsiones por incobrabilidad en función de las pautas mínimas establecidas por el B.C.R.A.</w:t>
      </w:r>
    </w:p>
    <w:p w14:paraId="3DDA789F" w14:textId="77777777" w:rsidR="00F11674" w:rsidRPr="0001202E" w:rsidRDefault="00F11674" w:rsidP="00D95E10">
      <w:pPr>
        <w:pStyle w:val="Notas"/>
        <w:numPr>
          <w:ilvl w:val="0"/>
          <w:numId w:val="61"/>
        </w:numPr>
        <w:ind w:left="709"/>
        <w:rPr>
          <w:rFonts w:ascii="Times New Roman" w:hAnsi="Times New Roman"/>
        </w:rPr>
      </w:pPr>
      <w:r w:rsidRPr="0001202E">
        <w:rPr>
          <w:rFonts w:ascii="Times New Roman" w:hAnsi="Times New Roman"/>
        </w:rPr>
        <w:t>Medición de la inversión remanente en Prisma Medios de Pago S.A.</w:t>
      </w:r>
    </w:p>
    <w:p w14:paraId="2097C177" w14:textId="77777777" w:rsidR="00BF439D" w:rsidRPr="0001202E" w:rsidRDefault="00BF439D" w:rsidP="00BF439D">
      <w:pPr>
        <w:pStyle w:val="Notas"/>
        <w:ind w:left="720"/>
        <w:rPr>
          <w:rFonts w:ascii="Times New Roman" w:hAnsi="Times New Roman"/>
          <w:u w:val="none"/>
        </w:rPr>
      </w:pPr>
      <w:r w:rsidRPr="0001202E">
        <w:rPr>
          <w:rFonts w:ascii="Times New Roman" w:hAnsi="Times New Roman"/>
          <w:u w:val="none"/>
        </w:rPr>
        <w:t>El B.C.R.A. estableció a través de su Memorando N° 7/2019 de fecha 29 de abril de 2019 el tratamiento contable a dispensar a la inversión remanente mantenida por la Entidad en Prisma Medios de Pago S.A. registrada en “Inversiones en Instrumentos de Patrimonio” al 30 de septiembre de 2021 y 31 de diciembre de 2020 (ver Nota 16 a los presentes estados financieros intermedios consolidados condensados).</w:t>
      </w:r>
    </w:p>
    <w:p w14:paraId="78E5C1E0" w14:textId="77777777" w:rsidR="00BF439D" w:rsidRPr="0001202E" w:rsidRDefault="00BF439D" w:rsidP="00BF439D">
      <w:pPr>
        <w:pStyle w:val="Notas"/>
        <w:ind w:left="720"/>
        <w:rPr>
          <w:rFonts w:ascii="Times New Roman" w:hAnsi="Times New Roman"/>
          <w:u w:val="none"/>
        </w:rPr>
      </w:pPr>
      <w:r w:rsidRPr="0001202E">
        <w:rPr>
          <w:rFonts w:ascii="Times New Roman" w:hAnsi="Times New Roman"/>
          <w:u w:val="none"/>
        </w:rPr>
        <w:t>Asimismo, el Banco procedió a contabilizar un ajuste de resultado de ejercicios anteriores, a requerimiento del citado organismo, que con posterioridad a la emisión de los estados financieros al 31 de diciembre de 2020, mediante Memorando N° 8/2021 del 22 de marzo de 2021, requirió ajustar el valor razonable reconocido sobre la participación accionaria en Prisma Medios de Pago S.A. al 31 de diciembre de 2020.</w:t>
      </w:r>
    </w:p>
    <w:p w14:paraId="2A5B3898" w14:textId="77777777" w:rsidR="00E51858" w:rsidRPr="0001202E" w:rsidRDefault="00E51858" w:rsidP="00E51858">
      <w:pPr>
        <w:pStyle w:val="NormalWeb"/>
        <w:ind w:right="49"/>
        <w:jc w:val="both"/>
        <w:rPr>
          <w:i/>
          <w:sz w:val="18"/>
          <w:szCs w:val="18"/>
          <w:lang w:val="es-AR"/>
        </w:rPr>
      </w:pPr>
      <w:r w:rsidRPr="0001202E">
        <w:rPr>
          <w:i/>
          <w:sz w:val="18"/>
          <w:szCs w:val="18"/>
          <w:lang w:val="es-AR"/>
        </w:rPr>
        <w:t>Información no cubierta por el Informe de revisión de los auditores independientes sobre estados financieros consolidados de período intermedio condensados.</w:t>
      </w:r>
    </w:p>
    <w:p w14:paraId="6FF0D006" w14:textId="57823100" w:rsidR="00BF439D" w:rsidRPr="0001202E" w:rsidRDefault="00BF439D" w:rsidP="00BF439D">
      <w:pPr>
        <w:pStyle w:val="Notas"/>
        <w:ind w:left="720"/>
        <w:rPr>
          <w:rFonts w:ascii="Times New Roman" w:hAnsi="Times New Roman"/>
          <w:u w:val="none"/>
        </w:rPr>
      </w:pPr>
      <w:r w:rsidRPr="0001202E">
        <w:rPr>
          <w:rFonts w:ascii="Times New Roman" w:hAnsi="Times New Roman"/>
          <w:u w:val="none"/>
        </w:rPr>
        <w:lastRenderedPageBreak/>
        <w:t>Al solo efecto de exposición, dicho ajuste afectó los rubros “Inversiones en Instrumentos de Patrimonio” en 1.960.802 (disminución) y “Resul</w:t>
      </w:r>
      <w:r w:rsidR="009F0AB9" w:rsidRPr="0001202E">
        <w:rPr>
          <w:rFonts w:ascii="Times New Roman" w:hAnsi="Times New Roman"/>
          <w:u w:val="none"/>
        </w:rPr>
        <w:t>tados no asignados” en 1.372.555</w:t>
      </w:r>
      <w:r w:rsidRPr="0001202E">
        <w:rPr>
          <w:rFonts w:ascii="Times New Roman" w:hAnsi="Times New Roman"/>
          <w:u w:val="none"/>
        </w:rPr>
        <w:t xml:space="preserve"> (disminución neta del impuesto a las ganancias diferido) en el estado consolidado de situación financiera condensado y en el estado consolidado de cambios en el patrimonio condensado comparativos el 31 de diciembre de 2020.</w:t>
      </w:r>
    </w:p>
    <w:p w14:paraId="627DEE8A" w14:textId="77777777" w:rsidR="00BF439D" w:rsidRPr="0001202E" w:rsidRDefault="00BF439D" w:rsidP="00BF439D">
      <w:pPr>
        <w:pStyle w:val="Notas"/>
        <w:ind w:left="709"/>
        <w:rPr>
          <w:rFonts w:ascii="Times New Roman" w:hAnsi="Times New Roman"/>
          <w:u w:val="none"/>
        </w:rPr>
      </w:pPr>
      <w:r w:rsidRPr="0001202E">
        <w:rPr>
          <w:rFonts w:ascii="Times New Roman" w:hAnsi="Times New Roman"/>
          <w:u w:val="none"/>
        </w:rPr>
        <w:t>Cabe aclarar que la valuación de dicha participación fue determinada por el Banco siguiendo los lineamientos establecidos por la normativa aplicable y considerando un informe de valuación al 31 de diciembre de 2020 emitido por expertos independientes.</w:t>
      </w:r>
    </w:p>
    <w:p w14:paraId="5B659124" w14:textId="77777777" w:rsidR="00BF439D" w:rsidRPr="0001202E" w:rsidRDefault="00BF439D" w:rsidP="00BF439D">
      <w:pPr>
        <w:pStyle w:val="Notas"/>
        <w:ind w:left="720"/>
        <w:rPr>
          <w:rFonts w:ascii="Times New Roman" w:hAnsi="Times New Roman"/>
          <w:u w:val="none"/>
        </w:rPr>
      </w:pPr>
    </w:p>
    <w:p w14:paraId="52973C23" w14:textId="2EFBB1CC" w:rsidR="00F11674" w:rsidRPr="0001202E" w:rsidRDefault="00EE286D" w:rsidP="00D95E10">
      <w:pPr>
        <w:pStyle w:val="Notas"/>
        <w:numPr>
          <w:ilvl w:val="0"/>
          <w:numId w:val="61"/>
        </w:numPr>
        <w:ind w:left="709"/>
        <w:rPr>
          <w:rFonts w:ascii="Times New Roman" w:hAnsi="Times New Roman"/>
        </w:rPr>
      </w:pPr>
      <w:r w:rsidRPr="0001202E">
        <w:rPr>
          <w:rFonts w:ascii="Times New Roman" w:hAnsi="Times New Roman"/>
        </w:rPr>
        <w:t>Memorando N° 6/2017 sobre reliquidación del impuesto a las ganancias</w:t>
      </w:r>
      <w:r w:rsidR="00F11674" w:rsidRPr="0001202E">
        <w:rPr>
          <w:rFonts w:ascii="Times New Roman" w:hAnsi="Times New Roman"/>
        </w:rPr>
        <w:t xml:space="preserve"> </w:t>
      </w:r>
    </w:p>
    <w:p w14:paraId="13256B4B" w14:textId="77777777" w:rsidR="00BF439D" w:rsidRPr="0001202E" w:rsidRDefault="00BF439D" w:rsidP="00BF439D">
      <w:pPr>
        <w:pStyle w:val="Prrafodelista"/>
        <w:jc w:val="both"/>
        <w:rPr>
          <w:color w:val="000000"/>
          <w:sz w:val="20"/>
          <w:szCs w:val="20"/>
          <w:lang w:val="es-AR"/>
        </w:rPr>
      </w:pPr>
      <w:r w:rsidRPr="0001202E">
        <w:rPr>
          <w:color w:val="000000"/>
          <w:sz w:val="20"/>
          <w:szCs w:val="20"/>
          <w:lang w:val="es-AR"/>
        </w:rPr>
        <w:t>Con fecha 29 de mayo de 2017 el B.C.R.A. emitió el Memorando N° 6/2017 mediante el cual requirió a la Entidad proceder a la constitución de una provisión en el pasivo en relación a la reliquidación del impuesto a las ganancias realizada por la Entidad aplicando el ajuste por inflación impositivo.  De haberse aplicado el tratamiento establecido por las NIIF el pasivo hubiera disminuido en 7.460.205 al 31 de diciembre de 2020, correspondiente a la reliquidación del impuesto a las ganancias de los períodos fiscales 2016, 2017 y 2018.</w:t>
      </w:r>
    </w:p>
    <w:p w14:paraId="6835781F" w14:textId="77777777" w:rsidR="00F11674" w:rsidRPr="0001202E" w:rsidRDefault="00F11674" w:rsidP="005F2AA6">
      <w:pPr>
        <w:jc w:val="both"/>
        <w:rPr>
          <w:rFonts w:ascii="Times New Roman" w:hAnsi="Times New Roman"/>
          <w:sz w:val="20"/>
        </w:rPr>
      </w:pPr>
    </w:p>
    <w:p w14:paraId="1FB65534" w14:textId="65C797A5" w:rsidR="00B42640" w:rsidRPr="0001202E" w:rsidRDefault="00B42640" w:rsidP="00B42640">
      <w:pPr>
        <w:ind w:right="49"/>
        <w:jc w:val="both"/>
        <w:rPr>
          <w:rFonts w:ascii="Times New Roman" w:hAnsi="Times New Roman"/>
          <w:sz w:val="20"/>
        </w:rPr>
      </w:pPr>
      <w:r w:rsidRPr="0001202E">
        <w:rPr>
          <w:rFonts w:ascii="Times New Roman" w:hAnsi="Times New Roman"/>
          <w:sz w:val="20"/>
        </w:rPr>
        <w:t>Como consecuencia de la aplicación de dichas normas, el Banco presenta sus estados financieros pr</w:t>
      </w:r>
      <w:r w:rsidR="001F16FB" w:rsidRPr="0001202E">
        <w:rPr>
          <w:rFonts w:ascii="Times New Roman" w:hAnsi="Times New Roman"/>
          <w:sz w:val="20"/>
        </w:rPr>
        <w:t>eparados de acuerdo con el</w:t>
      </w:r>
      <w:r w:rsidRPr="0001202E">
        <w:rPr>
          <w:rFonts w:ascii="Times New Roman" w:hAnsi="Times New Roman"/>
          <w:sz w:val="20"/>
        </w:rPr>
        <w:t xml:space="preserve"> marco contable establecido por el B.C.R.A. al 3</w:t>
      </w:r>
      <w:r w:rsidR="00C74E62" w:rsidRPr="0001202E">
        <w:rPr>
          <w:rFonts w:ascii="Times New Roman" w:hAnsi="Times New Roman"/>
          <w:sz w:val="20"/>
        </w:rPr>
        <w:t>0</w:t>
      </w:r>
      <w:r w:rsidRPr="0001202E">
        <w:rPr>
          <w:rFonts w:ascii="Times New Roman" w:hAnsi="Times New Roman"/>
          <w:sz w:val="20"/>
        </w:rPr>
        <w:t xml:space="preserve"> de </w:t>
      </w:r>
      <w:r w:rsidR="000424EC" w:rsidRPr="0001202E">
        <w:rPr>
          <w:rFonts w:ascii="Times New Roman" w:hAnsi="Times New Roman"/>
          <w:sz w:val="20"/>
        </w:rPr>
        <w:t>septiembre</w:t>
      </w:r>
      <w:r w:rsidRPr="0001202E">
        <w:rPr>
          <w:rFonts w:ascii="Times New Roman" w:hAnsi="Times New Roman"/>
          <w:sz w:val="20"/>
        </w:rPr>
        <w:t xml:space="preserve"> de 202</w:t>
      </w:r>
      <w:r w:rsidR="005F2AA6" w:rsidRPr="0001202E">
        <w:rPr>
          <w:rFonts w:ascii="Times New Roman" w:hAnsi="Times New Roman"/>
          <w:sz w:val="20"/>
        </w:rPr>
        <w:t>1</w:t>
      </w:r>
      <w:r w:rsidRPr="0001202E">
        <w:rPr>
          <w:rFonts w:ascii="Times New Roman" w:hAnsi="Times New Roman"/>
          <w:sz w:val="20"/>
        </w:rPr>
        <w:t xml:space="preserve"> y</w:t>
      </w:r>
      <w:r w:rsidR="005F2AA6" w:rsidRPr="0001202E">
        <w:rPr>
          <w:rFonts w:ascii="Times New Roman" w:hAnsi="Times New Roman"/>
          <w:sz w:val="20"/>
        </w:rPr>
        <w:t xml:space="preserve"> al 31 de diciembre</w:t>
      </w:r>
      <w:r w:rsidRPr="0001202E">
        <w:rPr>
          <w:rFonts w:ascii="Times New Roman" w:hAnsi="Times New Roman"/>
          <w:sz w:val="20"/>
        </w:rPr>
        <w:t xml:space="preserve"> 20</w:t>
      </w:r>
      <w:r w:rsidR="005F2AA6" w:rsidRPr="0001202E">
        <w:rPr>
          <w:rFonts w:ascii="Times New Roman" w:hAnsi="Times New Roman"/>
          <w:sz w:val="20"/>
        </w:rPr>
        <w:t>20</w:t>
      </w:r>
      <w:r w:rsidRPr="0001202E">
        <w:rPr>
          <w:rFonts w:ascii="Times New Roman" w:hAnsi="Times New Roman"/>
          <w:sz w:val="20"/>
        </w:rPr>
        <w:t>.</w:t>
      </w:r>
    </w:p>
    <w:p w14:paraId="30EF7639" w14:textId="77777777" w:rsidR="00B42640" w:rsidRPr="0001202E" w:rsidRDefault="00B42640" w:rsidP="00B42640">
      <w:pPr>
        <w:ind w:right="49"/>
        <w:jc w:val="both"/>
        <w:rPr>
          <w:rFonts w:ascii="Times New Roman" w:hAnsi="Times New Roman"/>
          <w:sz w:val="20"/>
        </w:rPr>
      </w:pPr>
    </w:p>
    <w:p w14:paraId="6D972360" w14:textId="7106B9C6" w:rsidR="00B42640" w:rsidRPr="0001202E" w:rsidRDefault="00B42640" w:rsidP="00B42640">
      <w:pPr>
        <w:ind w:right="49"/>
        <w:jc w:val="both"/>
        <w:rPr>
          <w:rFonts w:ascii="Times New Roman" w:hAnsi="Times New Roman"/>
          <w:sz w:val="20"/>
        </w:rPr>
      </w:pPr>
      <w:r w:rsidRPr="0001202E">
        <w:rPr>
          <w:rFonts w:ascii="Times New Roman" w:hAnsi="Times New Roman"/>
          <w:sz w:val="20"/>
        </w:rPr>
        <w:t xml:space="preserve">Banco BBVA Argentina S.A. </w:t>
      </w:r>
      <w:r w:rsidRPr="0001202E">
        <w:rPr>
          <w:rFonts w:ascii="Times New Roman" w:hAnsi="Times New Roman"/>
          <w:color w:val="121212"/>
          <w:sz w:val="20"/>
          <w:lang w:eastAsia="es-AR"/>
        </w:rPr>
        <w:t xml:space="preserve">(NYSE; MAE; BYMA: BBAR; Latibex: XBBAR), es una subsidiaria del Grupo BBVA, su principal accionista desde 1996. En Argentina, es una de las principales instituciones financieras desde 1886. BBVA Argentina, ofrece banca minorista y corporativa, a una amplia base de clientes, desde individuos, pymes y grandes empresas. </w:t>
      </w:r>
      <w:r w:rsidRPr="0001202E">
        <w:rPr>
          <w:rFonts w:ascii="Times New Roman" w:hAnsi="Times New Roman"/>
          <w:sz w:val="20"/>
        </w:rPr>
        <w:t>Al 3</w:t>
      </w:r>
      <w:r w:rsidR="00C74E62" w:rsidRPr="0001202E">
        <w:rPr>
          <w:rFonts w:ascii="Times New Roman" w:hAnsi="Times New Roman"/>
          <w:sz w:val="20"/>
        </w:rPr>
        <w:t>0</w:t>
      </w:r>
      <w:r w:rsidRPr="0001202E">
        <w:rPr>
          <w:rFonts w:ascii="Times New Roman" w:hAnsi="Times New Roman"/>
          <w:sz w:val="20"/>
        </w:rPr>
        <w:t xml:space="preserve"> de </w:t>
      </w:r>
      <w:r w:rsidR="000424EC" w:rsidRPr="0001202E">
        <w:rPr>
          <w:rFonts w:ascii="Times New Roman" w:hAnsi="Times New Roman"/>
          <w:sz w:val="20"/>
        </w:rPr>
        <w:t>septiembre</w:t>
      </w:r>
      <w:r w:rsidRPr="0001202E">
        <w:rPr>
          <w:rFonts w:ascii="Times New Roman" w:hAnsi="Times New Roman"/>
          <w:sz w:val="20"/>
        </w:rPr>
        <w:t xml:space="preserve"> de 202</w:t>
      </w:r>
      <w:r w:rsidR="005F2AA6" w:rsidRPr="0001202E">
        <w:rPr>
          <w:rFonts w:ascii="Times New Roman" w:hAnsi="Times New Roman"/>
          <w:sz w:val="20"/>
        </w:rPr>
        <w:t>1</w:t>
      </w:r>
      <w:r w:rsidRPr="0001202E">
        <w:rPr>
          <w:rFonts w:ascii="Times New Roman" w:hAnsi="Times New Roman"/>
          <w:sz w:val="20"/>
        </w:rPr>
        <w:t xml:space="preserve"> contaba con un total de </w:t>
      </w:r>
      <w:r w:rsidR="00BF439D" w:rsidRPr="0001202E">
        <w:rPr>
          <w:rFonts w:ascii="Times New Roman" w:hAnsi="Times New Roman"/>
          <w:sz w:val="20"/>
        </w:rPr>
        <w:t>914.205.994</w:t>
      </w:r>
      <w:r w:rsidRPr="0001202E">
        <w:rPr>
          <w:rFonts w:ascii="Times New Roman" w:hAnsi="Times New Roman"/>
          <w:sz w:val="20"/>
        </w:rPr>
        <w:t xml:space="preserve"> en activos, pasivos por </w:t>
      </w:r>
      <w:r w:rsidR="00BF439D" w:rsidRPr="0001202E">
        <w:rPr>
          <w:rFonts w:ascii="Times New Roman" w:hAnsi="Times New Roman"/>
          <w:sz w:val="20"/>
        </w:rPr>
        <w:t>765.802.601</w:t>
      </w:r>
      <w:r w:rsidRPr="0001202E">
        <w:rPr>
          <w:rFonts w:ascii="Times New Roman" w:hAnsi="Times New Roman"/>
          <w:sz w:val="20"/>
        </w:rPr>
        <w:t xml:space="preserve"> y un patrimonio neto de </w:t>
      </w:r>
      <w:r w:rsidR="00BF439D" w:rsidRPr="0001202E">
        <w:rPr>
          <w:rFonts w:ascii="Times New Roman" w:hAnsi="Times New Roman"/>
          <w:sz w:val="20"/>
        </w:rPr>
        <w:t>148.403.393</w:t>
      </w:r>
      <w:r w:rsidRPr="0001202E">
        <w:rPr>
          <w:rFonts w:ascii="Times New Roman" w:hAnsi="Times New Roman"/>
          <w:sz w:val="20"/>
        </w:rPr>
        <w:t>.</w:t>
      </w:r>
    </w:p>
    <w:p w14:paraId="5A34FC54" w14:textId="77777777" w:rsidR="00B42640" w:rsidRPr="0001202E" w:rsidRDefault="00B42640" w:rsidP="00B42640">
      <w:pPr>
        <w:ind w:right="49"/>
        <w:jc w:val="both"/>
        <w:rPr>
          <w:rFonts w:ascii="Times New Roman" w:hAnsi="Times New Roman"/>
          <w:sz w:val="20"/>
        </w:rPr>
      </w:pPr>
    </w:p>
    <w:p w14:paraId="3DC1166E" w14:textId="7DC70FE8" w:rsidR="00B42640" w:rsidRPr="0001202E" w:rsidRDefault="00B42640" w:rsidP="00B42640">
      <w:pPr>
        <w:ind w:right="49"/>
        <w:jc w:val="both"/>
        <w:rPr>
          <w:rFonts w:ascii="Times New Roman" w:hAnsi="Times New Roman"/>
          <w:sz w:val="20"/>
        </w:rPr>
      </w:pPr>
      <w:r w:rsidRPr="0001202E">
        <w:rPr>
          <w:rFonts w:ascii="Times New Roman" w:hAnsi="Times New Roman"/>
          <w:sz w:val="20"/>
        </w:rPr>
        <w:t>La Entidad ofrece sus productos y servicios a través de una amplia red de distribución multi-canal con presencia en todas las provincias de Argentina y en la Ciudad de Buenos Aires, atendiendo a más de 2,</w:t>
      </w:r>
      <w:r w:rsidR="00B76451" w:rsidRPr="0001202E">
        <w:rPr>
          <w:rFonts w:ascii="Times New Roman" w:hAnsi="Times New Roman"/>
          <w:sz w:val="20"/>
        </w:rPr>
        <w:t>7</w:t>
      </w:r>
      <w:r w:rsidRPr="0001202E">
        <w:rPr>
          <w:rFonts w:ascii="Times New Roman" w:hAnsi="Times New Roman"/>
          <w:sz w:val="20"/>
        </w:rPr>
        <w:t xml:space="preserve"> millones de clientes activos al 3</w:t>
      </w:r>
      <w:r w:rsidR="00C74E62" w:rsidRPr="0001202E">
        <w:rPr>
          <w:rFonts w:ascii="Times New Roman" w:hAnsi="Times New Roman"/>
          <w:sz w:val="20"/>
        </w:rPr>
        <w:t>0</w:t>
      </w:r>
      <w:r w:rsidRPr="0001202E">
        <w:rPr>
          <w:rFonts w:ascii="Times New Roman" w:hAnsi="Times New Roman"/>
          <w:sz w:val="20"/>
        </w:rPr>
        <w:t xml:space="preserve"> de </w:t>
      </w:r>
      <w:r w:rsidR="000424EC" w:rsidRPr="0001202E">
        <w:rPr>
          <w:rFonts w:ascii="Times New Roman" w:hAnsi="Times New Roman"/>
          <w:sz w:val="20"/>
        </w:rPr>
        <w:t>septiembre</w:t>
      </w:r>
      <w:r w:rsidRPr="0001202E">
        <w:rPr>
          <w:rFonts w:ascii="Times New Roman" w:hAnsi="Times New Roman"/>
          <w:sz w:val="20"/>
        </w:rPr>
        <w:t xml:space="preserve"> de 202</w:t>
      </w:r>
      <w:r w:rsidR="005F2AA6" w:rsidRPr="0001202E">
        <w:rPr>
          <w:rFonts w:ascii="Times New Roman" w:hAnsi="Times New Roman"/>
          <w:sz w:val="20"/>
        </w:rPr>
        <w:t>1</w:t>
      </w:r>
      <w:r w:rsidRPr="0001202E">
        <w:rPr>
          <w:rFonts w:ascii="Times New Roman" w:hAnsi="Times New Roman"/>
          <w:sz w:val="20"/>
        </w:rPr>
        <w:t>. Dicha red incluye 24</w:t>
      </w:r>
      <w:r w:rsidR="00C743A2" w:rsidRPr="0001202E">
        <w:rPr>
          <w:rFonts w:ascii="Times New Roman" w:hAnsi="Times New Roman"/>
          <w:sz w:val="20"/>
        </w:rPr>
        <w:t>3</w:t>
      </w:r>
      <w:r w:rsidRPr="0001202E">
        <w:rPr>
          <w:rFonts w:ascii="Times New Roman" w:hAnsi="Times New Roman"/>
          <w:sz w:val="20"/>
        </w:rPr>
        <w:t xml:space="preserve"> sucursales que atienden tanto al segmento minorista como a pequeñas y medianas empresas e instituciones.</w:t>
      </w:r>
    </w:p>
    <w:p w14:paraId="338653BA" w14:textId="77777777" w:rsidR="00B42640" w:rsidRPr="0001202E" w:rsidRDefault="00B42640" w:rsidP="00B42640">
      <w:pPr>
        <w:ind w:right="49"/>
        <w:jc w:val="both"/>
        <w:rPr>
          <w:rFonts w:ascii="Times New Roman" w:hAnsi="Times New Roman"/>
          <w:sz w:val="20"/>
        </w:rPr>
      </w:pPr>
    </w:p>
    <w:p w14:paraId="0ED5D81E" w14:textId="5870A882" w:rsidR="00D95E10" w:rsidRPr="0001202E" w:rsidRDefault="00D95E10" w:rsidP="00D95E10">
      <w:pPr>
        <w:ind w:right="49"/>
        <w:jc w:val="both"/>
        <w:rPr>
          <w:rFonts w:ascii="Times New Roman" w:hAnsi="Times New Roman"/>
          <w:sz w:val="20"/>
        </w:rPr>
      </w:pPr>
      <w:r w:rsidRPr="0001202E">
        <w:rPr>
          <w:rFonts w:ascii="Times New Roman" w:hAnsi="Times New Roman"/>
          <w:sz w:val="20"/>
        </w:rPr>
        <w:t>La Banca corporativa se divide por sector de industria: Consumo, Industrias Pesadas y Energía, que atienden de forma personalizada a las grandes empresas. Complementando la red de distribución, posee 88</w:t>
      </w:r>
      <w:r w:rsidR="007D05EA" w:rsidRPr="0001202E">
        <w:rPr>
          <w:rFonts w:ascii="Times New Roman" w:hAnsi="Times New Roman"/>
          <w:sz w:val="20"/>
        </w:rPr>
        <w:t>3</w:t>
      </w:r>
      <w:r w:rsidRPr="0001202E">
        <w:rPr>
          <w:rFonts w:ascii="Times New Roman" w:hAnsi="Times New Roman"/>
          <w:sz w:val="20"/>
        </w:rPr>
        <w:t xml:space="preserve"> cajeros automáticos, 8</w:t>
      </w:r>
      <w:r w:rsidR="007D05EA" w:rsidRPr="0001202E">
        <w:rPr>
          <w:rFonts w:ascii="Times New Roman" w:hAnsi="Times New Roman"/>
          <w:sz w:val="20"/>
        </w:rPr>
        <w:t>51</w:t>
      </w:r>
      <w:r w:rsidRPr="0001202E">
        <w:rPr>
          <w:rFonts w:ascii="Times New Roman" w:hAnsi="Times New Roman"/>
          <w:sz w:val="20"/>
        </w:rPr>
        <w:t xml:space="preserve"> terminales de autoservicio, 15 bancos en planta, dos puntos de atención Express. Además cuenta con un servicio de banca telefónica, una moderna, segura y funcional plataforma de banca por internet y una app de banca móvil. Con respecto a la nómina, Banco BBVA Argentina S.A. posee 5.</w:t>
      </w:r>
      <w:r w:rsidR="00475A88" w:rsidRPr="0001202E">
        <w:rPr>
          <w:rFonts w:ascii="Times New Roman" w:hAnsi="Times New Roman"/>
          <w:sz w:val="20"/>
        </w:rPr>
        <w:t>888</w:t>
      </w:r>
      <w:r w:rsidRPr="0001202E">
        <w:rPr>
          <w:rFonts w:ascii="Times New Roman" w:hAnsi="Times New Roman"/>
          <w:sz w:val="20"/>
        </w:rPr>
        <w:t xml:space="preserve"> empleados, incluyendo 9</w:t>
      </w:r>
      <w:r w:rsidR="00475A88" w:rsidRPr="0001202E">
        <w:rPr>
          <w:rFonts w:ascii="Times New Roman" w:hAnsi="Times New Roman"/>
          <w:sz w:val="20"/>
        </w:rPr>
        <w:t>8</w:t>
      </w:r>
      <w:r w:rsidRPr="0001202E">
        <w:rPr>
          <w:rFonts w:ascii="Times New Roman" w:hAnsi="Times New Roman"/>
          <w:sz w:val="20"/>
        </w:rPr>
        <w:t xml:space="preserve"> empleados de BBVA Asset Management Argentina S.A., PSA Finance Argentina Compañía Financiera S.A. y Volkswagen Financial Services Compañía Financiera S.A. (empleados activos al cierre del mes, incluye empleados estructurales, coyunturales y expatriados).</w:t>
      </w:r>
    </w:p>
    <w:p w14:paraId="0EDE1BB5" w14:textId="77777777" w:rsidR="0024118A" w:rsidRPr="0001202E" w:rsidRDefault="0024118A" w:rsidP="00E51858">
      <w:pPr>
        <w:pStyle w:val="NormalWeb"/>
        <w:ind w:right="49"/>
        <w:jc w:val="both"/>
        <w:rPr>
          <w:i/>
          <w:sz w:val="18"/>
          <w:szCs w:val="18"/>
          <w:lang w:val="es-AR"/>
        </w:rPr>
      </w:pPr>
      <w:r w:rsidRPr="0001202E">
        <w:rPr>
          <w:i/>
          <w:sz w:val="18"/>
          <w:szCs w:val="18"/>
          <w:lang w:val="es-AR"/>
        </w:rPr>
        <w:t>Información no cubierta por el Informe de revisión de los auditores independientes sobre estados financieros consolidados de período intermedio condensados.</w:t>
      </w:r>
    </w:p>
    <w:p w14:paraId="58B7503E" w14:textId="77777777" w:rsidR="00B42640" w:rsidRPr="0001202E" w:rsidRDefault="00B42640" w:rsidP="00B42640">
      <w:pPr>
        <w:ind w:right="49"/>
        <w:jc w:val="both"/>
        <w:rPr>
          <w:rFonts w:ascii="Times New Roman" w:hAnsi="Times New Roman"/>
          <w:sz w:val="20"/>
        </w:rPr>
      </w:pPr>
    </w:p>
    <w:p w14:paraId="11703FA0" w14:textId="414F4281" w:rsidR="0068114E" w:rsidRPr="0001202E" w:rsidRDefault="0068114E" w:rsidP="0068114E">
      <w:pPr>
        <w:ind w:right="49"/>
        <w:jc w:val="both"/>
        <w:rPr>
          <w:rFonts w:ascii="Times New Roman" w:hAnsi="Times New Roman"/>
          <w:sz w:val="20"/>
        </w:rPr>
      </w:pPr>
      <w:r w:rsidRPr="0001202E">
        <w:rPr>
          <w:rFonts w:ascii="Times New Roman" w:hAnsi="Times New Roman"/>
          <w:sz w:val="20"/>
        </w:rPr>
        <w:t xml:space="preserve">La cartera de préstamos neta de previsiones de riesgo de incobrabilidad totalizó en pesos </w:t>
      </w:r>
      <w:r w:rsidR="00235B0E" w:rsidRPr="0001202E">
        <w:rPr>
          <w:rFonts w:ascii="Times New Roman" w:hAnsi="Times New Roman"/>
          <w:sz w:val="20"/>
        </w:rPr>
        <w:t>327.318.122</w:t>
      </w:r>
      <w:r w:rsidRPr="0001202E">
        <w:rPr>
          <w:rFonts w:ascii="Times New Roman" w:hAnsi="Times New Roman"/>
          <w:sz w:val="20"/>
        </w:rPr>
        <w:t xml:space="preserve"> al 3</w:t>
      </w:r>
      <w:r w:rsidR="00C74E62" w:rsidRPr="0001202E">
        <w:rPr>
          <w:rFonts w:ascii="Times New Roman" w:hAnsi="Times New Roman"/>
          <w:sz w:val="20"/>
        </w:rPr>
        <w:t>0</w:t>
      </w:r>
      <w:r w:rsidRPr="0001202E">
        <w:rPr>
          <w:rFonts w:ascii="Times New Roman" w:hAnsi="Times New Roman"/>
          <w:sz w:val="20"/>
        </w:rPr>
        <w:t xml:space="preserve"> de </w:t>
      </w:r>
      <w:r w:rsidR="000424EC" w:rsidRPr="0001202E">
        <w:rPr>
          <w:rFonts w:ascii="Times New Roman" w:hAnsi="Times New Roman"/>
          <w:sz w:val="20"/>
        </w:rPr>
        <w:t>septiembre</w:t>
      </w:r>
      <w:r w:rsidRPr="0001202E">
        <w:rPr>
          <w:rFonts w:ascii="Times New Roman" w:hAnsi="Times New Roman"/>
          <w:sz w:val="20"/>
        </w:rPr>
        <w:t xml:space="preserve"> de 2021, reflejando una disminución del </w:t>
      </w:r>
      <w:r w:rsidR="00235B0E" w:rsidRPr="0001202E">
        <w:rPr>
          <w:rFonts w:ascii="Times New Roman" w:hAnsi="Times New Roman"/>
          <w:sz w:val="20"/>
        </w:rPr>
        <w:t>14</w:t>
      </w:r>
      <w:r w:rsidR="00B76451" w:rsidRPr="0001202E">
        <w:rPr>
          <w:rFonts w:ascii="Times New Roman" w:hAnsi="Times New Roman"/>
          <w:sz w:val="20"/>
        </w:rPr>
        <w:t>,</w:t>
      </w:r>
      <w:r w:rsidR="00235B0E" w:rsidRPr="0001202E">
        <w:rPr>
          <w:rFonts w:ascii="Times New Roman" w:hAnsi="Times New Roman"/>
          <w:sz w:val="20"/>
        </w:rPr>
        <w:t>44</w:t>
      </w:r>
      <w:r w:rsidRPr="0001202E">
        <w:rPr>
          <w:rFonts w:ascii="Times New Roman" w:hAnsi="Times New Roman"/>
          <w:sz w:val="20"/>
        </w:rPr>
        <w:t>%</w:t>
      </w:r>
      <w:r w:rsidRPr="0001202E">
        <w:rPr>
          <w:rFonts w:ascii="Times New Roman" w:hAnsi="Times New Roman"/>
          <w:sz w:val="20"/>
          <w:lang w:eastAsia="en-US"/>
        </w:rPr>
        <w:t xml:space="preserve"> en los últimos doce meses.</w:t>
      </w:r>
    </w:p>
    <w:p w14:paraId="462FBF3E" w14:textId="3EA1DA8E" w:rsidR="00074344" w:rsidRPr="0001202E" w:rsidRDefault="00B42640" w:rsidP="00074344">
      <w:pPr>
        <w:pStyle w:val="NormalWeb"/>
        <w:ind w:right="49"/>
        <w:jc w:val="both"/>
        <w:rPr>
          <w:szCs w:val="20"/>
          <w:lang w:val="es-AR"/>
        </w:rPr>
      </w:pPr>
      <w:r w:rsidRPr="0001202E">
        <w:rPr>
          <w:szCs w:val="20"/>
          <w:lang w:val="es-AR"/>
        </w:rPr>
        <w:t>En cuanto a los préstamos a individuos, considerando personales, tarjetas de crédito, hipotecarios y prendarios, l</w:t>
      </w:r>
      <w:r w:rsidR="00B76451" w:rsidRPr="0001202E">
        <w:rPr>
          <w:szCs w:val="20"/>
          <w:lang w:val="es-AR"/>
        </w:rPr>
        <w:t>o</w:t>
      </w:r>
      <w:r w:rsidRPr="0001202E">
        <w:rPr>
          <w:szCs w:val="20"/>
          <w:lang w:val="es-AR"/>
        </w:rPr>
        <w:t>s</w:t>
      </w:r>
      <w:r w:rsidR="00B76451" w:rsidRPr="0001202E">
        <w:rPr>
          <w:szCs w:val="20"/>
          <w:lang w:val="es-AR"/>
        </w:rPr>
        <w:t xml:space="preserve"> préstamos prendarios </w:t>
      </w:r>
      <w:r w:rsidRPr="0001202E">
        <w:rPr>
          <w:szCs w:val="20"/>
          <w:lang w:val="es-AR"/>
        </w:rPr>
        <w:t>fueron l</w:t>
      </w:r>
      <w:r w:rsidR="00B76451" w:rsidRPr="0001202E">
        <w:rPr>
          <w:szCs w:val="20"/>
          <w:lang w:val="es-AR"/>
        </w:rPr>
        <w:t>o</w:t>
      </w:r>
      <w:r w:rsidRPr="0001202E">
        <w:rPr>
          <w:szCs w:val="20"/>
          <w:lang w:val="es-AR"/>
        </w:rPr>
        <w:t xml:space="preserve">s que más crecieron con un incremento del </w:t>
      </w:r>
      <w:r w:rsidR="00820C36" w:rsidRPr="0001202E">
        <w:rPr>
          <w:szCs w:val="20"/>
          <w:lang w:val="es-AR"/>
        </w:rPr>
        <w:t>3</w:t>
      </w:r>
      <w:r w:rsidR="00B76451" w:rsidRPr="0001202E">
        <w:rPr>
          <w:szCs w:val="20"/>
          <w:lang w:val="es-AR"/>
        </w:rPr>
        <w:t>,</w:t>
      </w:r>
      <w:r w:rsidR="00820C36" w:rsidRPr="0001202E">
        <w:rPr>
          <w:szCs w:val="20"/>
          <w:lang w:val="es-AR"/>
        </w:rPr>
        <w:t>46</w:t>
      </w:r>
      <w:r w:rsidRPr="0001202E">
        <w:rPr>
          <w:szCs w:val="20"/>
          <w:lang w:val="es-AR"/>
        </w:rPr>
        <w:t xml:space="preserve">% respecto al </w:t>
      </w:r>
      <w:r w:rsidR="00042FB6" w:rsidRPr="0001202E">
        <w:rPr>
          <w:szCs w:val="20"/>
          <w:lang w:val="es-AR"/>
        </w:rPr>
        <w:t xml:space="preserve">30 de </w:t>
      </w:r>
      <w:r w:rsidR="000424EC" w:rsidRPr="0001202E">
        <w:rPr>
          <w:szCs w:val="20"/>
          <w:lang w:val="es-AR"/>
        </w:rPr>
        <w:t>septiembre</w:t>
      </w:r>
      <w:r w:rsidR="00042FB6" w:rsidRPr="0001202E">
        <w:rPr>
          <w:szCs w:val="20"/>
          <w:lang w:val="es-AR"/>
        </w:rPr>
        <w:t xml:space="preserve"> 2020</w:t>
      </w:r>
      <w:r w:rsidRPr="0001202E">
        <w:rPr>
          <w:szCs w:val="20"/>
          <w:lang w:val="es-AR"/>
        </w:rPr>
        <w:t xml:space="preserve">. </w:t>
      </w:r>
    </w:p>
    <w:p w14:paraId="39BEB930" w14:textId="2A682092" w:rsidR="000E04DB" w:rsidRPr="0001202E" w:rsidRDefault="000E04DB" w:rsidP="00074344">
      <w:pPr>
        <w:pStyle w:val="NormalWeb"/>
        <w:ind w:right="49"/>
        <w:jc w:val="both"/>
        <w:rPr>
          <w:lang w:val="es-AR"/>
        </w:rPr>
      </w:pPr>
      <w:r w:rsidRPr="0001202E">
        <w:rPr>
          <w:lang w:val="es-AR"/>
        </w:rPr>
        <w:t>La participación de mercado consolidada de financiamiento al sector privado de Banco BBVA Argentina S.A. fue del 8,</w:t>
      </w:r>
      <w:r w:rsidR="007D05EA" w:rsidRPr="0001202E">
        <w:rPr>
          <w:lang w:val="es-AR"/>
        </w:rPr>
        <w:t>08</w:t>
      </w:r>
      <w:r w:rsidRPr="0001202E">
        <w:rPr>
          <w:lang w:val="es-AR"/>
        </w:rPr>
        <w:t>% al cierre del</w:t>
      </w:r>
      <w:r w:rsidR="0024118A" w:rsidRPr="0001202E">
        <w:rPr>
          <w:lang w:val="es-AR"/>
        </w:rPr>
        <w:t xml:space="preserve"> período</w:t>
      </w:r>
      <w:r w:rsidRPr="0001202E">
        <w:rPr>
          <w:lang w:val="es-AR"/>
        </w:rPr>
        <w:t>, en base a la información diaria del B.C.R.A. (saldo de capital al último día de cada trimestre, consolidado).</w:t>
      </w:r>
    </w:p>
    <w:p w14:paraId="54CE773B" w14:textId="2BBC4F80" w:rsidR="00B42640" w:rsidRPr="0001202E" w:rsidRDefault="00B42640" w:rsidP="00B42640">
      <w:pPr>
        <w:ind w:right="49"/>
        <w:jc w:val="both"/>
        <w:rPr>
          <w:rFonts w:ascii="Times New Roman" w:hAnsi="Times New Roman"/>
          <w:sz w:val="20"/>
        </w:rPr>
      </w:pPr>
      <w:r w:rsidRPr="0001202E">
        <w:rPr>
          <w:rFonts w:ascii="Times New Roman" w:hAnsi="Times New Roman"/>
          <w:sz w:val="20"/>
        </w:rPr>
        <w:t xml:space="preserve">En términos de calidad de cartera, la Entidad ha logrado mantener muy buenos ratios. El ratio de cartera irregular (Financiaciones con cumplimiento irregular/Financiaciones totales) fue del </w:t>
      </w:r>
      <w:r w:rsidR="00B76451" w:rsidRPr="0001202E">
        <w:rPr>
          <w:rFonts w:ascii="Times New Roman" w:hAnsi="Times New Roman"/>
          <w:sz w:val="20"/>
        </w:rPr>
        <w:t>2</w:t>
      </w:r>
      <w:r w:rsidRPr="0001202E">
        <w:rPr>
          <w:rFonts w:ascii="Times New Roman" w:hAnsi="Times New Roman"/>
          <w:sz w:val="20"/>
        </w:rPr>
        <w:t>,</w:t>
      </w:r>
      <w:r w:rsidR="00820C36" w:rsidRPr="0001202E">
        <w:rPr>
          <w:rFonts w:ascii="Times New Roman" w:hAnsi="Times New Roman"/>
          <w:sz w:val="20"/>
        </w:rPr>
        <w:t>5</w:t>
      </w:r>
      <w:r w:rsidR="00B76451" w:rsidRPr="0001202E">
        <w:rPr>
          <w:rFonts w:ascii="Times New Roman" w:hAnsi="Times New Roman"/>
          <w:sz w:val="20"/>
        </w:rPr>
        <w:t>4</w:t>
      </w:r>
      <w:r w:rsidRPr="0001202E">
        <w:rPr>
          <w:rFonts w:ascii="Times New Roman" w:hAnsi="Times New Roman"/>
          <w:sz w:val="20"/>
        </w:rPr>
        <w:t xml:space="preserve">% con un nivel de cobertura (Previsiones totales/Financiaciones con cumplimiento irregular) del </w:t>
      </w:r>
      <w:r w:rsidR="005D62F8" w:rsidRPr="0001202E">
        <w:rPr>
          <w:rFonts w:ascii="Times New Roman" w:hAnsi="Times New Roman"/>
          <w:sz w:val="20"/>
        </w:rPr>
        <w:t>18</w:t>
      </w:r>
      <w:r w:rsidR="00820C36" w:rsidRPr="0001202E">
        <w:rPr>
          <w:rFonts w:ascii="Times New Roman" w:hAnsi="Times New Roman"/>
          <w:sz w:val="20"/>
        </w:rPr>
        <w:t>1</w:t>
      </w:r>
      <w:r w:rsidR="005D62F8" w:rsidRPr="0001202E">
        <w:rPr>
          <w:rFonts w:ascii="Times New Roman" w:hAnsi="Times New Roman"/>
          <w:sz w:val="20"/>
        </w:rPr>
        <w:t>,</w:t>
      </w:r>
      <w:r w:rsidR="00820C36" w:rsidRPr="0001202E">
        <w:rPr>
          <w:rFonts w:ascii="Times New Roman" w:hAnsi="Times New Roman"/>
          <w:sz w:val="20"/>
        </w:rPr>
        <w:t>76</w:t>
      </w:r>
      <w:r w:rsidRPr="0001202E">
        <w:rPr>
          <w:rFonts w:ascii="Times New Roman" w:hAnsi="Times New Roman"/>
          <w:sz w:val="20"/>
        </w:rPr>
        <w:t>% al 3</w:t>
      </w:r>
      <w:r w:rsidR="00F6374A" w:rsidRPr="0001202E">
        <w:rPr>
          <w:rFonts w:ascii="Times New Roman" w:hAnsi="Times New Roman"/>
          <w:sz w:val="20"/>
        </w:rPr>
        <w:t>0</w:t>
      </w:r>
      <w:r w:rsidRPr="0001202E">
        <w:rPr>
          <w:rFonts w:ascii="Times New Roman" w:hAnsi="Times New Roman"/>
          <w:sz w:val="20"/>
        </w:rPr>
        <w:t xml:space="preserve"> de </w:t>
      </w:r>
      <w:r w:rsidR="000424EC" w:rsidRPr="0001202E">
        <w:rPr>
          <w:rFonts w:ascii="Times New Roman" w:hAnsi="Times New Roman"/>
          <w:sz w:val="20"/>
        </w:rPr>
        <w:t>septiembre</w:t>
      </w:r>
      <w:r w:rsidRPr="0001202E">
        <w:rPr>
          <w:rFonts w:ascii="Times New Roman" w:hAnsi="Times New Roman"/>
          <w:sz w:val="20"/>
        </w:rPr>
        <w:t xml:space="preserve"> de 202</w:t>
      </w:r>
      <w:r w:rsidR="00DE3D59" w:rsidRPr="0001202E">
        <w:rPr>
          <w:rFonts w:ascii="Times New Roman" w:hAnsi="Times New Roman"/>
          <w:sz w:val="20"/>
        </w:rPr>
        <w:t>1</w:t>
      </w:r>
      <w:r w:rsidRPr="0001202E">
        <w:rPr>
          <w:rFonts w:ascii="Times New Roman" w:hAnsi="Times New Roman"/>
          <w:sz w:val="20"/>
        </w:rPr>
        <w:t>.</w:t>
      </w:r>
    </w:p>
    <w:p w14:paraId="714A7440" w14:textId="22E87C1E" w:rsidR="0068114E" w:rsidRPr="0001202E" w:rsidRDefault="0068114E" w:rsidP="0068114E">
      <w:pPr>
        <w:pStyle w:val="NormalWeb"/>
        <w:ind w:right="49"/>
        <w:jc w:val="both"/>
        <w:rPr>
          <w:szCs w:val="20"/>
          <w:lang w:val="es-AR"/>
        </w:rPr>
      </w:pPr>
      <w:r w:rsidRPr="0001202E">
        <w:rPr>
          <w:szCs w:val="20"/>
          <w:lang w:val="es-AR"/>
        </w:rPr>
        <w:t>La exposición en títulos al 3</w:t>
      </w:r>
      <w:r w:rsidR="00F6374A" w:rsidRPr="0001202E">
        <w:rPr>
          <w:szCs w:val="20"/>
          <w:lang w:val="es-AR"/>
        </w:rPr>
        <w:t>0</w:t>
      </w:r>
      <w:r w:rsidRPr="0001202E">
        <w:rPr>
          <w:szCs w:val="20"/>
          <w:lang w:val="es-AR"/>
        </w:rPr>
        <w:t xml:space="preserve"> de </w:t>
      </w:r>
      <w:r w:rsidR="000424EC" w:rsidRPr="0001202E">
        <w:rPr>
          <w:szCs w:val="20"/>
          <w:lang w:val="es-AR"/>
        </w:rPr>
        <w:t>septiembre</w:t>
      </w:r>
      <w:r w:rsidRPr="0001202E">
        <w:rPr>
          <w:szCs w:val="20"/>
          <w:lang w:val="es-AR"/>
        </w:rPr>
        <w:t xml:space="preserve"> de 2021 finalizó en pesos </w:t>
      </w:r>
      <w:r w:rsidR="00820C36" w:rsidRPr="0001202E">
        <w:rPr>
          <w:szCs w:val="20"/>
          <w:lang w:val="es-AR"/>
        </w:rPr>
        <w:t>288.615.018</w:t>
      </w:r>
      <w:r w:rsidRPr="0001202E">
        <w:rPr>
          <w:szCs w:val="20"/>
          <w:lang w:val="es-AR"/>
        </w:rPr>
        <w:t>, incluyendo operaciones de pases.</w:t>
      </w:r>
    </w:p>
    <w:p w14:paraId="505AAB1E" w14:textId="38D503F6" w:rsidR="0068114E" w:rsidRPr="0001202E" w:rsidRDefault="0068114E" w:rsidP="0068114E">
      <w:pPr>
        <w:pStyle w:val="NormalWeb"/>
        <w:ind w:right="49"/>
        <w:jc w:val="both"/>
        <w:rPr>
          <w:szCs w:val="20"/>
          <w:lang w:val="es-AR"/>
        </w:rPr>
      </w:pPr>
      <w:r w:rsidRPr="0001202E">
        <w:rPr>
          <w:szCs w:val="20"/>
          <w:lang w:val="es-AR"/>
        </w:rPr>
        <w:t xml:space="preserve">En términos de pasivos, los recursos de clientes totalizaron en pesos </w:t>
      </w:r>
      <w:r w:rsidR="00820C36" w:rsidRPr="0001202E">
        <w:rPr>
          <w:szCs w:val="20"/>
          <w:lang w:val="es-AR"/>
        </w:rPr>
        <w:t>630.776.028</w:t>
      </w:r>
      <w:r w:rsidRPr="0001202E">
        <w:rPr>
          <w:szCs w:val="20"/>
          <w:lang w:val="es-AR"/>
        </w:rPr>
        <w:t xml:space="preserve">, aumentando un </w:t>
      </w:r>
      <w:r w:rsidR="00820C36" w:rsidRPr="0001202E">
        <w:rPr>
          <w:szCs w:val="20"/>
          <w:lang w:val="es-AR"/>
        </w:rPr>
        <w:t>3</w:t>
      </w:r>
      <w:r w:rsidRPr="0001202E">
        <w:rPr>
          <w:szCs w:val="20"/>
          <w:lang w:val="es-AR"/>
        </w:rPr>
        <w:t>,5</w:t>
      </w:r>
      <w:r w:rsidR="00820C36" w:rsidRPr="0001202E">
        <w:rPr>
          <w:szCs w:val="20"/>
          <w:lang w:val="es-AR"/>
        </w:rPr>
        <w:t>3</w:t>
      </w:r>
      <w:r w:rsidRPr="0001202E">
        <w:rPr>
          <w:szCs w:val="20"/>
          <w:lang w:val="es-AR"/>
        </w:rPr>
        <w:t>% en los últimos doce meses.</w:t>
      </w:r>
    </w:p>
    <w:p w14:paraId="4C73B319" w14:textId="1AC7E545" w:rsidR="00B42640" w:rsidRPr="0001202E" w:rsidRDefault="00B42640" w:rsidP="00B42640">
      <w:pPr>
        <w:ind w:right="49"/>
        <w:jc w:val="both"/>
        <w:rPr>
          <w:rFonts w:ascii="Times New Roman" w:hAnsi="Times New Roman"/>
          <w:sz w:val="20"/>
        </w:rPr>
      </w:pPr>
      <w:r w:rsidRPr="0001202E">
        <w:rPr>
          <w:rFonts w:ascii="Times New Roman" w:hAnsi="Times New Roman"/>
          <w:sz w:val="20"/>
        </w:rPr>
        <w:t xml:space="preserve">La participación de mercado consolidada de depósitos privados de Banco BBVA Argentina S.A. fue del </w:t>
      </w:r>
      <w:r w:rsidR="00B76451" w:rsidRPr="0001202E">
        <w:rPr>
          <w:rFonts w:ascii="Times New Roman" w:hAnsi="Times New Roman"/>
          <w:sz w:val="20"/>
        </w:rPr>
        <w:t>7,</w:t>
      </w:r>
      <w:r w:rsidR="007D05EA" w:rsidRPr="0001202E">
        <w:rPr>
          <w:rFonts w:ascii="Times New Roman" w:hAnsi="Times New Roman"/>
          <w:sz w:val="20"/>
        </w:rPr>
        <w:t>02</w:t>
      </w:r>
      <w:r w:rsidR="0024118A" w:rsidRPr="0001202E">
        <w:rPr>
          <w:rFonts w:ascii="Times New Roman" w:hAnsi="Times New Roman"/>
          <w:sz w:val="20"/>
        </w:rPr>
        <w:t>% al cierre del períod</w:t>
      </w:r>
      <w:r w:rsidRPr="0001202E">
        <w:rPr>
          <w:rFonts w:ascii="Times New Roman" w:hAnsi="Times New Roman"/>
          <w:sz w:val="20"/>
        </w:rPr>
        <w:t>o, en base a información diaria del BCRA (saldo de capital al último día de cada trimestre).</w:t>
      </w:r>
    </w:p>
    <w:p w14:paraId="69564723" w14:textId="77777777" w:rsidR="00B42640" w:rsidRPr="0001202E" w:rsidRDefault="00B42640" w:rsidP="00B42640">
      <w:pPr>
        <w:ind w:right="49"/>
        <w:jc w:val="both"/>
        <w:rPr>
          <w:rFonts w:ascii="Times New Roman" w:hAnsi="Times New Roman"/>
          <w:sz w:val="20"/>
        </w:rPr>
      </w:pPr>
    </w:p>
    <w:p w14:paraId="5E63F9C3" w14:textId="77777777" w:rsidR="00B42640" w:rsidRPr="0001202E" w:rsidRDefault="00B42640" w:rsidP="00B42640">
      <w:pPr>
        <w:ind w:right="49"/>
        <w:jc w:val="both"/>
        <w:rPr>
          <w:rFonts w:ascii="Times New Roman" w:hAnsi="Times New Roman"/>
          <w:b/>
          <w:sz w:val="20"/>
          <w:u w:val="single"/>
          <w:lang w:val="es-ES"/>
        </w:rPr>
      </w:pPr>
      <w:r w:rsidRPr="0001202E">
        <w:rPr>
          <w:rFonts w:ascii="Times New Roman" w:hAnsi="Times New Roman"/>
          <w:b/>
          <w:sz w:val="20"/>
          <w:u w:val="single"/>
          <w:lang w:val="es-ES"/>
        </w:rPr>
        <w:t>Detalle de evolución de las principales líneas de resultados</w:t>
      </w:r>
    </w:p>
    <w:p w14:paraId="3C7192B2" w14:textId="77777777" w:rsidR="00B42640" w:rsidRPr="0001202E" w:rsidRDefault="00B42640" w:rsidP="00B42640">
      <w:pPr>
        <w:ind w:right="49"/>
        <w:jc w:val="both"/>
        <w:rPr>
          <w:rFonts w:ascii="Times New Roman" w:hAnsi="Times New Roman"/>
          <w:sz w:val="20"/>
          <w:u w:val="single"/>
        </w:rPr>
      </w:pPr>
    </w:p>
    <w:p w14:paraId="2DF3F251" w14:textId="77777777" w:rsidR="00B42640" w:rsidRPr="0001202E" w:rsidRDefault="00B42640" w:rsidP="00B42640">
      <w:pPr>
        <w:ind w:right="49"/>
        <w:jc w:val="both"/>
        <w:rPr>
          <w:rFonts w:ascii="Times New Roman" w:hAnsi="Times New Roman"/>
          <w:sz w:val="20"/>
        </w:rPr>
      </w:pPr>
    </w:p>
    <w:p w14:paraId="488C8560" w14:textId="6517988C" w:rsidR="0068114E" w:rsidRPr="0001202E" w:rsidRDefault="0068114E" w:rsidP="0068114E">
      <w:pPr>
        <w:ind w:right="49"/>
        <w:jc w:val="both"/>
        <w:rPr>
          <w:rFonts w:ascii="Times New Roman" w:hAnsi="Times New Roman"/>
          <w:sz w:val="20"/>
        </w:rPr>
      </w:pPr>
      <w:r w:rsidRPr="0001202E">
        <w:rPr>
          <w:rFonts w:ascii="Times New Roman" w:hAnsi="Times New Roman"/>
          <w:sz w:val="20"/>
        </w:rPr>
        <w:t>Banco BBVA Argentina S.A. alcanzó una ganancia acumulada al 3</w:t>
      </w:r>
      <w:r w:rsidR="00F6374A" w:rsidRPr="0001202E">
        <w:rPr>
          <w:rFonts w:ascii="Times New Roman" w:hAnsi="Times New Roman"/>
          <w:sz w:val="20"/>
        </w:rPr>
        <w:t>0</w:t>
      </w:r>
      <w:r w:rsidRPr="0001202E">
        <w:rPr>
          <w:rFonts w:ascii="Times New Roman" w:hAnsi="Times New Roman"/>
          <w:sz w:val="20"/>
        </w:rPr>
        <w:t xml:space="preserve"> de </w:t>
      </w:r>
      <w:r w:rsidR="000424EC" w:rsidRPr="0001202E">
        <w:rPr>
          <w:rFonts w:ascii="Times New Roman" w:hAnsi="Times New Roman"/>
          <w:sz w:val="20"/>
        </w:rPr>
        <w:t>septiembre</w:t>
      </w:r>
      <w:r w:rsidRPr="0001202E">
        <w:rPr>
          <w:rFonts w:ascii="Times New Roman" w:hAnsi="Times New Roman"/>
          <w:sz w:val="20"/>
        </w:rPr>
        <w:t xml:space="preserve"> de 2021 de </w:t>
      </w:r>
      <w:r w:rsidR="00FC2444" w:rsidRPr="0001202E">
        <w:rPr>
          <w:rFonts w:ascii="Times New Roman" w:hAnsi="Times New Roman"/>
          <w:sz w:val="20"/>
        </w:rPr>
        <w:t>1</w:t>
      </w:r>
      <w:r w:rsidR="00820C36" w:rsidRPr="0001202E">
        <w:rPr>
          <w:rFonts w:ascii="Times New Roman" w:hAnsi="Times New Roman"/>
          <w:sz w:val="20"/>
        </w:rPr>
        <w:t>4</w:t>
      </w:r>
      <w:r w:rsidR="00FC2444" w:rsidRPr="0001202E">
        <w:rPr>
          <w:rFonts w:ascii="Times New Roman" w:hAnsi="Times New Roman"/>
          <w:sz w:val="20"/>
        </w:rPr>
        <w:t>.</w:t>
      </w:r>
      <w:r w:rsidR="00820C36" w:rsidRPr="0001202E">
        <w:rPr>
          <w:rFonts w:ascii="Times New Roman" w:hAnsi="Times New Roman"/>
          <w:sz w:val="20"/>
        </w:rPr>
        <w:t>875.648</w:t>
      </w:r>
      <w:r w:rsidRPr="0001202E">
        <w:rPr>
          <w:rFonts w:ascii="Times New Roman" w:hAnsi="Times New Roman"/>
          <w:sz w:val="20"/>
        </w:rPr>
        <w:t xml:space="preserve"> lo que representa un retorno sobre el patrimonio neto promedio del </w:t>
      </w:r>
      <w:r w:rsidR="00820C36" w:rsidRPr="0001202E">
        <w:rPr>
          <w:rFonts w:ascii="Times New Roman" w:hAnsi="Times New Roman"/>
          <w:sz w:val="20"/>
        </w:rPr>
        <w:t>9,56</w:t>
      </w:r>
      <w:r w:rsidRPr="0001202E">
        <w:rPr>
          <w:rFonts w:ascii="Times New Roman" w:hAnsi="Times New Roman"/>
          <w:sz w:val="20"/>
        </w:rPr>
        <w:t xml:space="preserve">%, un retorno sobre el activo promedio del </w:t>
      </w:r>
      <w:r w:rsidR="00FC2444" w:rsidRPr="0001202E">
        <w:rPr>
          <w:rFonts w:ascii="Times New Roman" w:hAnsi="Times New Roman"/>
          <w:sz w:val="20"/>
        </w:rPr>
        <w:t>1</w:t>
      </w:r>
      <w:r w:rsidRPr="0001202E">
        <w:rPr>
          <w:rFonts w:ascii="Times New Roman" w:hAnsi="Times New Roman"/>
          <w:sz w:val="20"/>
        </w:rPr>
        <w:t>,</w:t>
      </w:r>
      <w:r w:rsidR="00820C36" w:rsidRPr="0001202E">
        <w:rPr>
          <w:rFonts w:ascii="Times New Roman" w:hAnsi="Times New Roman"/>
          <w:sz w:val="20"/>
        </w:rPr>
        <w:t>64</w:t>
      </w:r>
      <w:r w:rsidRPr="0001202E">
        <w:rPr>
          <w:rFonts w:ascii="Times New Roman" w:hAnsi="Times New Roman"/>
          <w:sz w:val="20"/>
        </w:rPr>
        <w:t xml:space="preserve">% y un retorno sobre el pasivo promedio del </w:t>
      </w:r>
      <w:r w:rsidR="00FC2444" w:rsidRPr="0001202E">
        <w:rPr>
          <w:rFonts w:ascii="Times New Roman" w:hAnsi="Times New Roman"/>
          <w:sz w:val="20"/>
        </w:rPr>
        <w:t>1</w:t>
      </w:r>
      <w:r w:rsidRPr="0001202E">
        <w:rPr>
          <w:rFonts w:ascii="Times New Roman" w:hAnsi="Times New Roman"/>
          <w:sz w:val="20"/>
        </w:rPr>
        <w:t>,</w:t>
      </w:r>
      <w:r w:rsidR="00820C36" w:rsidRPr="0001202E">
        <w:rPr>
          <w:rFonts w:ascii="Times New Roman" w:hAnsi="Times New Roman"/>
          <w:sz w:val="20"/>
        </w:rPr>
        <w:t>98</w:t>
      </w:r>
      <w:r w:rsidRPr="0001202E">
        <w:rPr>
          <w:rFonts w:ascii="Times New Roman" w:hAnsi="Times New Roman"/>
          <w:sz w:val="20"/>
        </w:rPr>
        <w:t>%.</w:t>
      </w:r>
    </w:p>
    <w:p w14:paraId="51E58279" w14:textId="77777777" w:rsidR="0068114E" w:rsidRPr="0001202E" w:rsidRDefault="0068114E" w:rsidP="0068114E">
      <w:pPr>
        <w:ind w:right="49"/>
        <w:jc w:val="both"/>
        <w:rPr>
          <w:rFonts w:ascii="Times New Roman" w:hAnsi="Times New Roman"/>
          <w:sz w:val="20"/>
        </w:rPr>
      </w:pPr>
    </w:p>
    <w:p w14:paraId="6CCB4A8C" w14:textId="0D5CF076" w:rsidR="0068114E" w:rsidRPr="0001202E" w:rsidRDefault="0068114E" w:rsidP="0068114E">
      <w:pPr>
        <w:ind w:right="49"/>
        <w:jc w:val="both"/>
        <w:rPr>
          <w:rFonts w:ascii="Times New Roman" w:hAnsi="Times New Roman"/>
          <w:sz w:val="20"/>
        </w:rPr>
      </w:pPr>
      <w:r w:rsidRPr="0001202E">
        <w:rPr>
          <w:rFonts w:ascii="Times New Roman" w:hAnsi="Times New Roman"/>
          <w:sz w:val="20"/>
        </w:rPr>
        <w:t xml:space="preserve">Los ingresos por intereses netos acumulados totalizaron en </w:t>
      </w:r>
      <w:r w:rsidR="00820C36" w:rsidRPr="0001202E">
        <w:rPr>
          <w:rFonts w:ascii="Times New Roman" w:hAnsi="Times New Roman"/>
          <w:sz w:val="20"/>
        </w:rPr>
        <w:t xml:space="preserve">81.898.211 aumentando </w:t>
      </w:r>
      <w:r w:rsidRPr="0001202E">
        <w:rPr>
          <w:rFonts w:ascii="Times New Roman" w:hAnsi="Times New Roman"/>
          <w:sz w:val="20"/>
        </w:rPr>
        <w:t xml:space="preserve">un </w:t>
      </w:r>
      <w:r w:rsidR="00820C36" w:rsidRPr="0001202E">
        <w:rPr>
          <w:rFonts w:ascii="Times New Roman" w:hAnsi="Times New Roman"/>
          <w:sz w:val="20"/>
        </w:rPr>
        <w:t>2</w:t>
      </w:r>
      <w:r w:rsidRPr="0001202E">
        <w:rPr>
          <w:rFonts w:ascii="Times New Roman" w:hAnsi="Times New Roman"/>
          <w:sz w:val="20"/>
        </w:rPr>
        <w:t>,</w:t>
      </w:r>
      <w:r w:rsidR="00820C36" w:rsidRPr="0001202E">
        <w:rPr>
          <w:rFonts w:ascii="Times New Roman" w:hAnsi="Times New Roman"/>
          <w:sz w:val="20"/>
        </w:rPr>
        <w:t>5</w:t>
      </w:r>
      <w:r w:rsidRPr="0001202E">
        <w:rPr>
          <w:rFonts w:ascii="Times New Roman" w:hAnsi="Times New Roman"/>
          <w:sz w:val="20"/>
        </w:rPr>
        <w:t xml:space="preserve">2% con respecto a </w:t>
      </w:r>
      <w:r w:rsidR="000424EC" w:rsidRPr="0001202E">
        <w:rPr>
          <w:rFonts w:ascii="Times New Roman" w:hAnsi="Times New Roman"/>
          <w:sz w:val="20"/>
        </w:rPr>
        <w:t>septiembre</w:t>
      </w:r>
      <w:r w:rsidRPr="0001202E">
        <w:rPr>
          <w:rFonts w:ascii="Times New Roman" w:hAnsi="Times New Roman"/>
          <w:sz w:val="20"/>
        </w:rPr>
        <w:t xml:space="preserve"> 2020, impulsado por un aumento en los </w:t>
      </w:r>
      <w:r w:rsidR="00A35A53" w:rsidRPr="0001202E">
        <w:rPr>
          <w:rFonts w:ascii="Times New Roman" w:hAnsi="Times New Roman"/>
          <w:sz w:val="20"/>
        </w:rPr>
        <w:t>in</w:t>
      </w:r>
      <w:r w:rsidRPr="0001202E">
        <w:rPr>
          <w:rFonts w:ascii="Times New Roman" w:hAnsi="Times New Roman"/>
          <w:sz w:val="20"/>
        </w:rPr>
        <w:t xml:space="preserve">gresos por </w:t>
      </w:r>
      <w:r w:rsidR="00A35A53" w:rsidRPr="0001202E">
        <w:rPr>
          <w:rFonts w:ascii="Times New Roman" w:hAnsi="Times New Roman"/>
          <w:sz w:val="20"/>
        </w:rPr>
        <w:t>I</w:t>
      </w:r>
      <w:r w:rsidRPr="0001202E">
        <w:rPr>
          <w:rFonts w:ascii="Times New Roman" w:hAnsi="Times New Roman"/>
          <w:sz w:val="20"/>
        </w:rPr>
        <w:t xml:space="preserve">ntereses por </w:t>
      </w:r>
      <w:r w:rsidR="00A35A53" w:rsidRPr="0001202E">
        <w:rPr>
          <w:rFonts w:ascii="Times New Roman" w:hAnsi="Times New Roman"/>
          <w:sz w:val="20"/>
        </w:rPr>
        <w:t>pases activos con el BCRA, Primas por pases activos con el sector financiero y por Intereses por préstamos con otras garantías prendarias.</w:t>
      </w:r>
    </w:p>
    <w:p w14:paraId="4DF7E0F5" w14:textId="77777777" w:rsidR="0068114E" w:rsidRPr="0001202E" w:rsidRDefault="0068114E" w:rsidP="0068114E">
      <w:pPr>
        <w:ind w:right="49"/>
        <w:jc w:val="both"/>
        <w:rPr>
          <w:rFonts w:ascii="Times New Roman" w:hAnsi="Times New Roman"/>
          <w:sz w:val="20"/>
        </w:rPr>
      </w:pPr>
    </w:p>
    <w:p w14:paraId="3D8D2F58" w14:textId="77777777" w:rsidR="00D95E10" w:rsidRPr="0001202E" w:rsidRDefault="00D95E10" w:rsidP="0068114E">
      <w:pPr>
        <w:ind w:right="49"/>
        <w:jc w:val="both"/>
        <w:rPr>
          <w:rFonts w:ascii="Times New Roman" w:hAnsi="Times New Roman"/>
          <w:sz w:val="20"/>
        </w:rPr>
      </w:pPr>
    </w:p>
    <w:p w14:paraId="6C5E11CA" w14:textId="77777777" w:rsidR="00D95E10" w:rsidRPr="0001202E" w:rsidRDefault="00D95E10" w:rsidP="0068114E">
      <w:pPr>
        <w:ind w:right="49"/>
        <w:jc w:val="both"/>
        <w:rPr>
          <w:rFonts w:ascii="Times New Roman" w:hAnsi="Times New Roman"/>
          <w:sz w:val="20"/>
        </w:rPr>
      </w:pPr>
    </w:p>
    <w:p w14:paraId="6FDD75E1" w14:textId="77777777" w:rsidR="00D95E10" w:rsidRPr="0001202E" w:rsidRDefault="00D95E10" w:rsidP="0068114E">
      <w:pPr>
        <w:ind w:right="49"/>
        <w:jc w:val="both"/>
        <w:rPr>
          <w:rFonts w:ascii="Times New Roman" w:hAnsi="Times New Roman"/>
          <w:sz w:val="20"/>
        </w:rPr>
      </w:pPr>
    </w:p>
    <w:p w14:paraId="0FC96DFD" w14:textId="77777777" w:rsidR="00D95E10" w:rsidRPr="0001202E" w:rsidRDefault="00D95E10" w:rsidP="00D95E10">
      <w:pPr>
        <w:pStyle w:val="NormalWeb"/>
        <w:ind w:right="49"/>
        <w:jc w:val="both"/>
        <w:rPr>
          <w:i/>
          <w:sz w:val="18"/>
          <w:szCs w:val="18"/>
          <w:lang w:val="es-AR"/>
        </w:rPr>
      </w:pPr>
      <w:r w:rsidRPr="0001202E">
        <w:rPr>
          <w:i/>
          <w:sz w:val="18"/>
          <w:szCs w:val="18"/>
          <w:lang w:val="es-AR"/>
        </w:rPr>
        <w:t>Información no cubierta por el Informe de revisión de los auditores independientes sobre estados financieros consolidados de período intermedio condensados.</w:t>
      </w:r>
    </w:p>
    <w:p w14:paraId="397DF9D6" w14:textId="5ED8539D" w:rsidR="0068114E" w:rsidRPr="0001202E" w:rsidRDefault="0068114E" w:rsidP="0068114E">
      <w:pPr>
        <w:ind w:right="49"/>
        <w:jc w:val="both"/>
        <w:rPr>
          <w:rFonts w:ascii="Times New Roman" w:hAnsi="Times New Roman"/>
          <w:sz w:val="20"/>
        </w:rPr>
      </w:pPr>
      <w:r w:rsidRPr="0001202E">
        <w:rPr>
          <w:rFonts w:ascii="Times New Roman" w:hAnsi="Times New Roman"/>
          <w:sz w:val="20"/>
        </w:rPr>
        <w:lastRenderedPageBreak/>
        <w:t xml:space="preserve">Los ingresos netos por comisiones acumulados totalizaron en </w:t>
      </w:r>
      <w:r w:rsidR="00A35A53" w:rsidRPr="0001202E">
        <w:rPr>
          <w:rFonts w:ascii="Times New Roman" w:hAnsi="Times New Roman"/>
          <w:sz w:val="20"/>
        </w:rPr>
        <w:t>16.187.500</w:t>
      </w:r>
      <w:r w:rsidRPr="0001202E">
        <w:rPr>
          <w:rFonts w:ascii="Times New Roman" w:hAnsi="Times New Roman"/>
          <w:sz w:val="20"/>
        </w:rPr>
        <w:t xml:space="preserve"> aumentando un </w:t>
      </w:r>
      <w:r w:rsidR="00A35A53" w:rsidRPr="0001202E">
        <w:rPr>
          <w:rFonts w:ascii="Times New Roman" w:hAnsi="Times New Roman"/>
          <w:sz w:val="20"/>
        </w:rPr>
        <w:t>25,21</w:t>
      </w:r>
      <w:r w:rsidRPr="0001202E">
        <w:rPr>
          <w:rFonts w:ascii="Times New Roman" w:hAnsi="Times New Roman"/>
          <w:sz w:val="20"/>
        </w:rPr>
        <w:t xml:space="preserve">% con respecto a </w:t>
      </w:r>
      <w:r w:rsidR="000424EC" w:rsidRPr="0001202E">
        <w:rPr>
          <w:rFonts w:ascii="Times New Roman" w:hAnsi="Times New Roman"/>
          <w:sz w:val="20"/>
        </w:rPr>
        <w:t>septiembre</w:t>
      </w:r>
      <w:r w:rsidRPr="0001202E">
        <w:rPr>
          <w:rFonts w:ascii="Times New Roman" w:hAnsi="Times New Roman"/>
          <w:sz w:val="20"/>
        </w:rPr>
        <w:t xml:space="preserve"> 2020. Este au</w:t>
      </w:r>
      <w:r w:rsidR="00A802D9" w:rsidRPr="0001202E">
        <w:rPr>
          <w:rFonts w:ascii="Times New Roman" w:hAnsi="Times New Roman"/>
          <w:sz w:val="20"/>
        </w:rPr>
        <w:t>mento se debe a un menor egreso</w:t>
      </w:r>
      <w:r w:rsidRPr="0001202E">
        <w:rPr>
          <w:rFonts w:ascii="Times New Roman" w:hAnsi="Times New Roman"/>
          <w:sz w:val="20"/>
        </w:rPr>
        <w:t xml:space="preserve"> por comisiones por tarjetas de crédito y débito.</w:t>
      </w:r>
    </w:p>
    <w:p w14:paraId="30E6509F" w14:textId="77777777" w:rsidR="0068114E" w:rsidRPr="0001202E" w:rsidRDefault="0068114E" w:rsidP="0068114E">
      <w:pPr>
        <w:ind w:right="49"/>
        <w:jc w:val="both"/>
        <w:rPr>
          <w:rFonts w:ascii="Times New Roman" w:hAnsi="Times New Roman"/>
          <w:sz w:val="20"/>
        </w:rPr>
      </w:pPr>
    </w:p>
    <w:p w14:paraId="0EAFC15A" w14:textId="20345184" w:rsidR="0068114E" w:rsidRPr="00B71B3D" w:rsidRDefault="0068114E" w:rsidP="0068114E">
      <w:pPr>
        <w:ind w:right="49"/>
        <w:jc w:val="both"/>
        <w:rPr>
          <w:rFonts w:ascii="Times New Roman" w:hAnsi="Times New Roman"/>
          <w:sz w:val="20"/>
        </w:rPr>
      </w:pPr>
      <w:r w:rsidRPr="0001202E">
        <w:rPr>
          <w:rFonts w:ascii="Times New Roman" w:hAnsi="Times New Roman"/>
          <w:sz w:val="20"/>
        </w:rPr>
        <w:t xml:space="preserve">En cuanto a los gastos de administración y beneficios al personal acumulados, los mismos totalizaron en </w:t>
      </w:r>
      <w:r w:rsidR="00A35A53" w:rsidRPr="0001202E">
        <w:rPr>
          <w:rFonts w:ascii="Times New Roman" w:hAnsi="Times New Roman"/>
          <w:sz w:val="20"/>
        </w:rPr>
        <w:t>43.100.882</w:t>
      </w:r>
      <w:r w:rsidRPr="0001202E">
        <w:rPr>
          <w:rFonts w:ascii="Times New Roman" w:hAnsi="Times New Roman"/>
          <w:sz w:val="20"/>
        </w:rPr>
        <w:t xml:space="preserve">, </w:t>
      </w:r>
      <w:r w:rsidR="00FC2444" w:rsidRPr="0001202E">
        <w:rPr>
          <w:rFonts w:ascii="Times New Roman" w:hAnsi="Times New Roman"/>
          <w:sz w:val="20"/>
        </w:rPr>
        <w:t>aumentando</w:t>
      </w:r>
      <w:r w:rsidRPr="0001202E">
        <w:rPr>
          <w:rFonts w:ascii="Times New Roman" w:hAnsi="Times New Roman"/>
          <w:sz w:val="20"/>
        </w:rPr>
        <w:t xml:space="preserve"> un </w:t>
      </w:r>
      <w:r w:rsidR="00A35A53" w:rsidRPr="0001202E">
        <w:rPr>
          <w:rFonts w:ascii="Times New Roman" w:hAnsi="Times New Roman"/>
          <w:sz w:val="20"/>
        </w:rPr>
        <w:t>6</w:t>
      </w:r>
      <w:r w:rsidRPr="0001202E">
        <w:rPr>
          <w:rFonts w:ascii="Times New Roman" w:hAnsi="Times New Roman"/>
          <w:sz w:val="20"/>
        </w:rPr>
        <w:t>,</w:t>
      </w:r>
      <w:r w:rsidR="00FC2444" w:rsidRPr="0001202E">
        <w:rPr>
          <w:rFonts w:ascii="Times New Roman" w:hAnsi="Times New Roman"/>
          <w:sz w:val="20"/>
        </w:rPr>
        <w:t>8</w:t>
      </w:r>
      <w:r w:rsidR="00A35A53" w:rsidRPr="0001202E">
        <w:rPr>
          <w:rFonts w:ascii="Times New Roman" w:hAnsi="Times New Roman"/>
          <w:sz w:val="20"/>
        </w:rPr>
        <w:t>9</w:t>
      </w:r>
      <w:r w:rsidRPr="0001202E">
        <w:rPr>
          <w:rFonts w:ascii="Times New Roman" w:hAnsi="Times New Roman"/>
          <w:sz w:val="20"/>
        </w:rPr>
        <w:t xml:space="preserve">% respecto a los registrados a </w:t>
      </w:r>
      <w:r w:rsidR="000424EC" w:rsidRPr="0001202E">
        <w:rPr>
          <w:rFonts w:ascii="Times New Roman" w:hAnsi="Times New Roman"/>
          <w:sz w:val="20"/>
        </w:rPr>
        <w:t>septiembre</w:t>
      </w:r>
      <w:r w:rsidR="003611BF" w:rsidRPr="0001202E">
        <w:rPr>
          <w:rFonts w:ascii="Times New Roman" w:hAnsi="Times New Roman"/>
          <w:sz w:val="20"/>
        </w:rPr>
        <w:t xml:space="preserve"> de 2020. Este aumento se generó por un mayor egreso </w:t>
      </w:r>
      <w:r w:rsidR="00A35A53" w:rsidRPr="0001202E">
        <w:rPr>
          <w:rFonts w:ascii="Times New Roman" w:hAnsi="Times New Roman"/>
          <w:sz w:val="20"/>
        </w:rPr>
        <w:t>Otros beneficios a largo plazo</w:t>
      </w:r>
      <w:r w:rsidR="003611BF" w:rsidRPr="0001202E">
        <w:rPr>
          <w:rFonts w:ascii="Times New Roman" w:hAnsi="Times New Roman"/>
          <w:sz w:val="20"/>
        </w:rPr>
        <w:t xml:space="preserve"> y en el rubro de seguros y alquileres.</w:t>
      </w:r>
      <w:r w:rsidR="003611BF">
        <w:rPr>
          <w:rFonts w:ascii="Times New Roman" w:hAnsi="Times New Roman"/>
          <w:sz w:val="20"/>
        </w:rPr>
        <w:t xml:space="preserve"> </w:t>
      </w:r>
    </w:p>
    <w:p w14:paraId="067EE99A" w14:textId="77777777" w:rsidR="00074344" w:rsidRPr="00B71B3D" w:rsidRDefault="00074344" w:rsidP="00B42640">
      <w:pPr>
        <w:ind w:right="49"/>
        <w:jc w:val="both"/>
        <w:rPr>
          <w:rFonts w:ascii="Times New Roman" w:hAnsi="Times New Roman"/>
          <w:b/>
          <w:sz w:val="20"/>
          <w:u w:val="single"/>
          <w:lang w:val="es-ES"/>
        </w:rPr>
      </w:pPr>
    </w:p>
    <w:p w14:paraId="5ECA372E" w14:textId="77777777" w:rsidR="00B42640" w:rsidRPr="00F216CA" w:rsidRDefault="00B42640" w:rsidP="00B42640">
      <w:pPr>
        <w:ind w:right="49"/>
        <w:jc w:val="both"/>
        <w:rPr>
          <w:rFonts w:ascii="Times New Roman" w:hAnsi="Times New Roman"/>
          <w:b/>
          <w:sz w:val="20"/>
          <w:u w:val="single"/>
          <w:lang w:val="es-ES"/>
        </w:rPr>
      </w:pPr>
      <w:r w:rsidRPr="00F216CA">
        <w:rPr>
          <w:rFonts w:ascii="Times New Roman" w:hAnsi="Times New Roman"/>
          <w:b/>
          <w:sz w:val="20"/>
          <w:u w:val="single"/>
          <w:lang w:val="es-ES"/>
        </w:rPr>
        <w:t>Perspectivas</w:t>
      </w:r>
    </w:p>
    <w:p w14:paraId="2E741B15" w14:textId="77777777" w:rsidR="00A802D9" w:rsidRPr="00F216CA" w:rsidRDefault="00A802D9" w:rsidP="00A802D9">
      <w:pPr>
        <w:ind w:right="49"/>
        <w:jc w:val="both"/>
        <w:rPr>
          <w:rFonts w:ascii="Times New Roman" w:hAnsi="Times New Roman"/>
          <w:sz w:val="20"/>
        </w:rPr>
      </w:pPr>
    </w:p>
    <w:p w14:paraId="20656AD8" w14:textId="77777777" w:rsidR="004C758B" w:rsidRPr="00F216CA" w:rsidRDefault="004C758B" w:rsidP="004C758B">
      <w:pPr>
        <w:spacing w:before="240" w:after="240"/>
        <w:ind w:right="40"/>
        <w:jc w:val="both"/>
        <w:rPr>
          <w:rFonts w:ascii="Times New Roman" w:hAnsi="Times New Roman"/>
          <w:sz w:val="20"/>
        </w:rPr>
      </w:pPr>
      <w:r w:rsidRPr="00F216CA">
        <w:rPr>
          <w:rFonts w:ascii="Times New Roman" w:hAnsi="Times New Roman"/>
          <w:sz w:val="20"/>
        </w:rPr>
        <w:t>Los conflictos e inconvenientes generados por la pandemia de COVID-19 comenzaron a cesar en el tercer trimestre de 2021, gracias al avance en las campañas de vacunación y la caída de casos. Sin embargo, permanece la incertidumbre propia del marco político vigente en medio de un proceso electoral, y de definiciones a tomarse respecto del plan económico del país ligado al acuerdo con el Fondo Monetario Internacional.</w:t>
      </w:r>
    </w:p>
    <w:p w14:paraId="6DC091FE" w14:textId="77777777" w:rsidR="004C758B" w:rsidRPr="00F216CA" w:rsidRDefault="004C758B" w:rsidP="004C758B">
      <w:pPr>
        <w:spacing w:before="240" w:after="240"/>
        <w:ind w:right="40"/>
        <w:jc w:val="both"/>
        <w:rPr>
          <w:rFonts w:ascii="Times New Roman" w:hAnsi="Times New Roman"/>
          <w:sz w:val="20"/>
        </w:rPr>
      </w:pPr>
      <w:r w:rsidRPr="00F216CA">
        <w:rPr>
          <w:rFonts w:ascii="Times New Roman" w:hAnsi="Times New Roman"/>
          <w:sz w:val="20"/>
        </w:rPr>
        <w:t>BBVA Argentina, continúa el monitoreo activo sobre sus negocios, condiciones financieras y resultados operativos, y considera que mantiene una posición competitiva para enfrentar estos desafíos. El Banco cuenta con un bajo costo de fondeo gracias a la adecuada composición del tipo de depósito, una sólida posición de capital y liquidez, y una calidad de cartera óptima en relación al sistema financiero.</w:t>
      </w:r>
    </w:p>
    <w:p w14:paraId="0FADBFF4" w14:textId="77777777" w:rsidR="004C758B" w:rsidRPr="00F216CA" w:rsidRDefault="004C758B" w:rsidP="004C758B">
      <w:pPr>
        <w:spacing w:before="240" w:after="240"/>
        <w:ind w:right="40"/>
        <w:jc w:val="both"/>
        <w:rPr>
          <w:rFonts w:ascii="Times New Roman" w:hAnsi="Times New Roman"/>
          <w:sz w:val="20"/>
        </w:rPr>
      </w:pPr>
      <w:r w:rsidRPr="00F216CA">
        <w:rPr>
          <w:rFonts w:ascii="Times New Roman" w:hAnsi="Times New Roman"/>
          <w:sz w:val="20"/>
        </w:rPr>
        <w:t>La transformación digital del Banco se afianzó en este trimestre y comienza a mostrar signos de estabilización.  La respuesta de parte de los clientes ha sido de satisfacción, y estamos convencidos que es el camino a seguir, de cara a mantener y ampliar nuestro posicionamiento competitivo en el sistema financiero.</w:t>
      </w:r>
    </w:p>
    <w:p w14:paraId="17A99EBA" w14:textId="77777777" w:rsidR="004C758B" w:rsidRPr="00F216CA" w:rsidRDefault="004C758B" w:rsidP="004C758B">
      <w:pPr>
        <w:spacing w:before="240" w:after="240"/>
        <w:ind w:right="40"/>
        <w:jc w:val="both"/>
        <w:rPr>
          <w:rFonts w:ascii="Times New Roman" w:hAnsi="Times New Roman"/>
          <w:sz w:val="20"/>
        </w:rPr>
      </w:pPr>
      <w:r w:rsidRPr="00F216CA">
        <w:rPr>
          <w:rFonts w:ascii="Times New Roman" w:hAnsi="Times New Roman"/>
          <w:sz w:val="20"/>
        </w:rPr>
        <w:t>Al cierre de septiembre de 2021, la penetración de clientes digitales llegó al 74% desde 71% al cierre del mismo trimestre del año anterior, mientras que la de los clientes móviles alcanzó un 63% desde 59% un año atrás. La tendencia se dirige a la estabilización, en vista que la pandemia generó un salto pronunciado hacia la adopción de medios digitales por parte de los clientes.</w:t>
      </w:r>
    </w:p>
    <w:p w14:paraId="613B0A0E" w14:textId="77777777" w:rsidR="004C758B" w:rsidRPr="00F216CA" w:rsidRDefault="004C758B" w:rsidP="004C758B">
      <w:pPr>
        <w:spacing w:before="240" w:after="240"/>
        <w:ind w:right="40"/>
        <w:jc w:val="both"/>
        <w:rPr>
          <w:rFonts w:ascii="Times New Roman" w:hAnsi="Times New Roman"/>
          <w:sz w:val="20"/>
        </w:rPr>
      </w:pPr>
      <w:r w:rsidRPr="00F216CA">
        <w:rPr>
          <w:rFonts w:ascii="Times New Roman" w:hAnsi="Times New Roman"/>
          <w:sz w:val="20"/>
        </w:rPr>
        <w:t>El objetivo será mantener la robustez que el Banco ha sabido desarrollar, en tanto perdure un marco de incertidumbre. Para ello se apoya en un fondeo mayoritariamente transaccional y en su elevada capacidad de generación orgánica de capital.</w:t>
      </w:r>
    </w:p>
    <w:p w14:paraId="30FD95AD" w14:textId="77777777" w:rsidR="004C758B" w:rsidRPr="00F216CA" w:rsidRDefault="004C758B" w:rsidP="004C758B">
      <w:pPr>
        <w:spacing w:before="240" w:after="240"/>
        <w:ind w:right="40"/>
        <w:jc w:val="both"/>
        <w:rPr>
          <w:rFonts w:ascii="Times New Roman" w:hAnsi="Times New Roman"/>
          <w:sz w:val="20"/>
        </w:rPr>
      </w:pPr>
      <w:r w:rsidRPr="00F216CA">
        <w:rPr>
          <w:rFonts w:ascii="Times New Roman" w:hAnsi="Times New Roman"/>
          <w:sz w:val="20"/>
        </w:rPr>
        <w:t>En términos de banca responsable, BBVA Argentina continúa trabajando en su modelo de sustentabilidad y apoyando las acciones de negocio responsable en temas de inclusión, educación financiera y cuidado del medio ambiente, como parte del compromiso que tiene con el país.  En el marco de su compromiso con los Objetivos de Desarrollo Sostenible (ODS), BBVA Argentina se incorporó al Consejo Empresario Argentino para el Desarrollo Sostenible, la división local del World Business Council for Sustainable Development (WBCSD).</w:t>
      </w:r>
    </w:p>
    <w:p w14:paraId="621CCD2A" w14:textId="77777777" w:rsidR="009A344E" w:rsidRPr="00F216CA" w:rsidRDefault="009A344E" w:rsidP="00B42640">
      <w:pPr>
        <w:ind w:right="49"/>
        <w:jc w:val="both"/>
        <w:rPr>
          <w:rFonts w:ascii="Times New Roman" w:hAnsi="Times New Roman"/>
          <w:sz w:val="20"/>
        </w:rPr>
      </w:pPr>
    </w:p>
    <w:p w14:paraId="5B6FBB7C" w14:textId="77777777" w:rsidR="000D3A00" w:rsidRDefault="000D3A00" w:rsidP="00B42640">
      <w:pPr>
        <w:ind w:right="49"/>
        <w:jc w:val="both"/>
        <w:rPr>
          <w:rFonts w:ascii="Times New Roman" w:hAnsi="Times New Roman"/>
          <w:sz w:val="20"/>
          <w:highlight w:val="yellow"/>
        </w:rPr>
      </w:pPr>
    </w:p>
    <w:p w14:paraId="1A93928D" w14:textId="77777777" w:rsidR="0024118A" w:rsidRPr="00825E97" w:rsidRDefault="0024118A" w:rsidP="0024118A">
      <w:pPr>
        <w:pStyle w:val="NormalWeb"/>
        <w:ind w:right="49"/>
        <w:jc w:val="both"/>
        <w:rPr>
          <w:i/>
          <w:sz w:val="18"/>
          <w:szCs w:val="18"/>
          <w:lang w:val="es-AR"/>
        </w:rPr>
      </w:pPr>
      <w:r w:rsidRPr="00825E97">
        <w:rPr>
          <w:i/>
          <w:sz w:val="18"/>
          <w:szCs w:val="18"/>
          <w:lang w:val="es-AR"/>
        </w:rPr>
        <w:t>Información no cubierta por el</w:t>
      </w:r>
      <w:r>
        <w:rPr>
          <w:i/>
          <w:sz w:val="18"/>
          <w:szCs w:val="18"/>
          <w:lang w:val="es-AR"/>
        </w:rPr>
        <w:t xml:space="preserve"> </w:t>
      </w:r>
      <w:r w:rsidRPr="0024118A">
        <w:rPr>
          <w:i/>
          <w:sz w:val="18"/>
          <w:szCs w:val="18"/>
          <w:lang w:val="es-AR"/>
        </w:rPr>
        <w:t>Informe de revisión de los auditores independientes sobre estados financieros consolidados de período intermedio condensados</w:t>
      </w:r>
      <w:r w:rsidRPr="00825E97">
        <w:rPr>
          <w:i/>
          <w:sz w:val="18"/>
          <w:szCs w:val="18"/>
          <w:lang w:val="es-AR"/>
        </w:rPr>
        <w:t>.</w:t>
      </w:r>
    </w:p>
    <w:p w14:paraId="093C4274" w14:textId="77777777" w:rsidR="009A344E" w:rsidRDefault="009A344E" w:rsidP="00B42640">
      <w:pPr>
        <w:ind w:right="49"/>
        <w:jc w:val="both"/>
        <w:rPr>
          <w:rFonts w:ascii="Times New Roman" w:hAnsi="Times New Roman"/>
          <w:sz w:val="20"/>
        </w:rPr>
      </w:pPr>
    </w:p>
    <w:p w14:paraId="6A93553A" w14:textId="0C2ED9D4" w:rsidR="00AE7C4C" w:rsidRPr="0001202E" w:rsidRDefault="008F2AD9" w:rsidP="00B42640">
      <w:pPr>
        <w:ind w:right="49"/>
        <w:jc w:val="both"/>
        <w:rPr>
          <w:rFonts w:ascii="Times New Roman" w:hAnsi="Times New Roman"/>
          <w:sz w:val="20"/>
        </w:rPr>
      </w:pPr>
      <w:r w:rsidRPr="008F2AD9">
        <w:rPr>
          <w:noProof/>
          <w:lang w:eastAsia="es-AR"/>
        </w:rPr>
        <w:drawing>
          <wp:inline distT="0" distB="0" distL="0" distR="0" wp14:anchorId="3046268D" wp14:editId="41300EEE">
            <wp:extent cx="5882005" cy="2990871"/>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82005" cy="2990871"/>
                    </a:xfrm>
                    <a:prstGeom prst="rect">
                      <a:avLst/>
                    </a:prstGeom>
                    <a:noFill/>
                    <a:ln>
                      <a:noFill/>
                    </a:ln>
                  </pic:spPr>
                </pic:pic>
              </a:graphicData>
            </a:graphic>
          </wp:inline>
        </w:drawing>
      </w:r>
    </w:p>
    <w:p w14:paraId="67CE1456" w14:textId="77777777" w:rsidR="009A344E" w:rsidRPr="0001202E" w:rsidRDefault="009A344E" w:rsidP="00B42640">
      <w:pPr>
        <w:ind w:right="49"/>
        <w:jc w:val="both"/>
        <w:rPr>
          <w:rFonts w:ascii="Times New Roman" w:hAnsi="Times New Roman"/>
          <w:sz w:val="20"/>
        </w:rPr>
      </w:pPr>
    </w:p>
    <w:p w14:paraId="6726F508" w14:textId="498DF254" w:rsidR="00C51F7F" w:rsidRPr="0001202E" w:rsidRDefault="00C51F7F" w:rsidP="00C51F7F">
      <w:pPr>
        <w:ind w:right="-427"/>
        <w:jc w:val="center"/>
        <w:rPr>
          <w:rFonts w:ascii="Times New Roman" w:hAnsi="Times New Roman"/>
          <w:b/>
          <w:sz w:val="20"/>
        </w:rPr>
      </w:pPr>
    </w:p>
    <w:p w14:paraId="51C635EA" w14:textId="77777777" w:rsidR="000E04DB" w:rsidRPr="0001202E" w:rsidRDefault="000E04DB" w:rsidP="007834E2">
      <w:pPr>
        <w:rPr>
          <w:rFonts w:ascii="Times New Roman" w:hAnsi="Times New Roman"/>
          <w:b/>
          <w:sz w:val="20"/>
        </w:rPr>
      </w:pPr>
    </w:p>
    <w:p w14:paraId="3C0F2328" w14:textId="77777777" w:rsidR="000E04DB" w:rsidRPr="0001202E" w:rsidRDefault="000E04DB" w:rsidP="007834E2">
      <w:pPr>
        <w:rPr>
          <w:rFonts w:ascii="Times New Roman" w:hAnsi="Times New Roman"/>
          <w:b/>
          <w:sz w:val="20"/>
        </w:rPr>
      </w:pPr>
    </w:p>
    <w:p w14:paraId="2BC48482" w14:textId="77777777" w:rsidR="000E04DB" w:rsidRPr="0001202E" w:rsidRDefault="000E04DB" w:rsidP="007834E2">
      <w:pPr>
        <w:rPr>
          <w:rFonts w:ascii="Times New Roman" w:hAnsi="Times New Roman"/>
          <w:b/>
          <w:sz w:val="20"/>
        </w:rPr>
      </w:pPr>
    </w:p>
    <w:p w14:paraId="2D1C33F0" w14:textId="77777777" w:rsidR="000E04DB" w:rsidRPr="0001202E" w:rsidRDefault="000E04DB" w:rsidP="007834E2">
      <w:pPr>
        <w:rPr>
          <w:rFonts w:ascii="Times New Roman" w:hAnsi="Times New Roman"/>
          <w:b/>
          <w:sz w:val="20"/>
        </w:rPr>
      </w:pPr>
    </w:p>
    <w:p w14:paraId="2E014752" w14:textId="77777777" w:rsidR="000E04DB" w:rsidRPr="0001202E" w:rsidRDefault="000E04DB" w:rsidP="007834E2">
      <w:pPr>
        <w:rPr>
          <w:rFonts w:ascii="Times New Roman" w:hAnsi="Times New Roman"/>
          <w:b/>
          <w:sz w:val="20"/>
        </w:rPr>
      </w:pPr>
    </w:p>
    <w:p w14:paraId="0219D30F" w14:textId="77777777" w:rsidR="000E04DB" w:rsidRPr="0001202E" w:rsidRDefault="000E04DB" w:rsidP="007834E2">
      <w:pPr>
        <w:rPr>
          <w:rFonts w:ascii="Times New Roman" w:hAnsi="Times New Roman"/>
          <w:b/>
          <w:sz w:val="20"/>
        </w:rPr>
      </w:pPr>
    </w:p>
    <w:p w14:paraId="33C297C1" w14:textId="77777777" w:rsidR="000E04DB" w:rsidRPr="0001202E" w:rsidRDefault="000E04DB" w:rsidP="007834E2">
      <w:pPr>
        <w:rPr>
          <w:rFonts w:ascii="Times New Roman" w:hAnsi="Times New Roman"/>
          <w:b/>
          <w:sz w:val="20"/>
        </w:rPr>
      </w:pPr>
    </w:p>
    <w:p w14:paraId="7F5FC7A4" w14:textId="77777777" w:rsidR="000E04DB" w:rsidRPr="0001202E" w:rsidRDefault="000E04DB" w:rsidP="007834E2">
      <w:pPr>
        <w:rPr>
          <w:rFonts w:ascii="Times New Roman" w:hAnsi="Times New Roman"/>
          <w:b/>
          <w:sz w:val="20"/>
        </w:rPr>
      </w:pPr>
    </w:p>
    <w:p w14:paraId="187AEAEC" w14:textId="77777777" w:rsidR="000E04DB" w:rsidRPr="0001202E" w:rsidRDefault="000E04DB" w:rsidP="007834E2">
      <w:pPr>
        <w:rPr>
          <w:rFonts w:ascii="Times New Roman" w:hAnsi="Times New Roman"/>
          <w:b/>
          <w:sz w:val="20"/>
        </w:rPr>
      </w:pPr>
    </w:p>
    <w:p w14:paraId="3E931B74" w14:textId="77777777" w:rsidR="000E04DB" w:rsidRPr="0001202E" w:rsidRDefault="000E04DB" w:rsidP="007834E2">
      <w:pPr>
        <w:rPr>
          <w:rFonts w:ascii="Times New Roman" w:hAnsi="Times New Roman"/>
          <w:b/>
          <w:sz w:val="20"/>
        </w:rPr>
      </w:pPr>
    </w:p>
    <w:p w14:paraId="2C910211" w14:textId="77777777" w:rsidR="000E04DB" w:rsidRPr="0001202E" w:rsidRDefault="000E04DB" w:rsidP="007834E2">
      <w:pPr>
        <w:rPr>
          <w:rFonts w:ascii="Times New Roman" w:hAnsi="Times New Roman"/>
          <w:b/>
          <w:sz w:val="20"/>
        </w:rPr>
      </w:pPr>
    </w:p>
    <w:p w14:paraId="5209003F" w14:textId="77777777" w:rsidR="000E04DB" w:rsidRPr="0001202E" w:rsidRDefault="000E04DB" w:rsidP="007834E2">
      <w:pPr>
        <w:rPr>
          <w:rFonts w:ascii="Times New Roman" w:hAnsi="Times New Roman"/>
          <w:b/>
          <w:sz w:val="20"/>
        </w:rPr>
      </w:pPr>
    </w:p>
    <w:p w14:paraId="3E5B41F6" w14:textId="77777777" w:rsidR="000E04DB" w:rsidRPr="0001202E" w:rsidRDefault="000E04DB" w:rsidP="007834E2">
      <w:pPr>
        <w:rPr>
          <w:rFonts w:ascii="Times New Roman" w:hAnsi="Times New Roman"/>
          <w:b/>
          <w:sz w:val="20"/>
        </w:rPr>
      </w:pPr>
    </w:p>
    <w:p w14:paraId="4DFE425F" w14:textId="77777777" w:rsidR="000E04DB" w:rsidRPr="0001202E" w:rsidRDefault="000E04DB" w:rsidP="007834E2">
      <w:pPr>
        <w:rPr>
          <w:rFonts w:ascii="Times New Roman" w:hAnsi="Times New Roman"/>
          <w:b/>
          <w:sz w:val="20"/>
        </w:rPr>
      </w:pPr>
    </w:p>
    <w:p w14:paraId="2E4525B5" w14:textId="77777777" w:rsidR="000E04DB" w:rsidRPr="0001202E" w:rsidRDefault="000E04DB" w:rsidP="007834E2">
      <w:pPr>
        <w:rPr>
          <w:rFonts w:ascii="Times New Roman" w:hAnsi="Times New Roman"/>
          <w:b/>
          <w:sz w:val="20"/>
        </w:rPr>
      </w:pPr>
    </w:p>
    <w:p w14:paraId="2DC45983" w14:textId="77777777" w:rsidR="000E04DB" w:rsidRPr="0001202E" w:rsidRDefault="000E04DB" w:rsidP="007834E2">
      <w:pPr>
        <w:rPr>
          <w:rFonts w:ascii="Times New Roman" w:hAnsi="Times New Roman"/>
          <w:b/>
          <w:sz w:val="20"/>
        </w:rPr>
      </w:pPr>
    </w:p>
    <w:p w14:paraId="60AAB860" w14:textId="77777777" w:rsidR="000E04DB" w:rsidRPr="0001202E" w:rsidRDefault="000E04DB" w:rsidP="007834E2">
      <w:pPr>
        <w:rPr>
          <w:rFonts w:ascii="Times New Roman" w:hAnsi="Times New Roman"/>
          <w:b/>
          <w:sz w:val="20"/>
        </w:rPr>
      </w:pPr>
    </w:p>
    <w:p w14:paraId="10702726" w14:textId="77777777" w:rsidR="000E04DB" w:rsidRPr="0001202E" w:rsidRDefault="000E04DB" w:rsidP="007834E2">
      <w:pPr>
        <w:rPr>
          <w:rFonts w:ascii="Times New Roman" w:hAnsi="Times New Roman"/>
          <w:b/>
          <w:sz w:val="20"/>
        </w:rPr>
      </w:pPr>
    </w:p>
    <w:p w14:paraId="399AA257" w14:textId="77777777" w:rsidR="000E04DB" w:rsidRPr="0001202E" w:rsidRDefault="000E04DB" w:rsidP="007834E2">
      <w:pPr>
        <w:rPr>
          <w:rFonts w:ascii="Times New Roman" w:hAnsi="Times New Roman"/>
          <w:b/>
          <w:sz w:val="20"/>
        </w:rPr>
      </w:pPr>
    </w:p>
    <w:p w14:paraId="16B75AAE" w14:textId="1DAB1C49" w:rsidR="000E04DB" w:rsidRPr="0001202E" w:rsidRDefault="000E04DB" w:rsidP="007834E2">
      <w:pPr>
        <w:jc w:val="center"/>
        <w:rPr>
          <w:rFonts w:ascii="Times New Roman" w:hAnsi="Times New Roman"/>
          <w:sz w:val="20"/>
        </w:rPr>
      </w:pPr>
    </w:p>
    <w:p w14:paraId="12F4AA85" w14:textId="178C8897" w:rsidR="000E04DB" w:rsidRPr="0001202E" w:rsidRDefault="00AE7C4C" w:rsidP="007834E2">
      <w:pPr>
        <w:jc w:val="center"/>
        <w:rPr>
          <w:rFonts w:ascii="Times New Roman" w:hAnsi="Times New Roman"/>
          <w:sz w:val="20"/>
        </w:rPr>
      </w:pPr>
      <w:r w:rsidRPr="00AE7C4C">
        <w:rPr>
          <w:noProof/>
          <w:lang w:eastAsia="es-AR"/>
        </w:rPr>
        <w:lastRenderedPageBreak/>
        <w:drawing>
          <wp:inline distT="0" distB="0" distL="0" distR="0" wp14:anchorId="491790B0" wp14:editId="23DAD41F">
            <wp:extent cx="5882005" cy="575124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882005" cy="5751245"/>
                    </a:xfrm>
                    <a:prstGeom prst="rect">
                      <a:avLst/>
                    </a:prstGeom>
                    <a:noFill/>
                    <a:ln>
                      <a:noFill/>
                    </a:ln>
                  </pic:spPr>
                </pic:pic>
              </a:graphicData>
            </a:graphic>
          </wp:inline>
        </w:drawing>
      </w:r>
    </w:p>
    <w:p w14:paraId="4F3E59D3" w14:textId="77777777" w:rsidR="000E04DB" w:rsidRPr="0001202E" w:rsidRDefault="000E04DB" w:rsidP="007834E2">
      <w:pPr>
        <w:jc w:val="center"/>
        <w:rPr>
          <w:rFonts w:ascii="Times New Roman" w:hAnsi="Times New Roman"/>
          <w:sz w:val="20"/>
        </w:rPr>
      </w:pPr>
    </w:p>
    <w:p w14:paraId="2608E59F" w14:textId="77777777" w:rsidR="000E04DB" w:rsidRPr="0001202E" w:rsidRDefault="000E04DB" w:rsidP="007834E2">
      <w:pPr>
        <w:jc w:val="center"/>
        <w:rPr>
          <w:rFonts w:ascii="Times New Roman" w:hAnsi="Times New Roman"/>
          <w:sz w:val="20"/>
        </w:rPr>
      </w:pPr>
    </w:p>
    <w:p w14:paraId="2E071B99" w14:textId="77777777" w:rsidR="000E04DB" w:rsidRPr="0001202E" w:rsidRDefault="000E04DB" w:rsidP="007834E2">
      <w:pPr>
        <w:jc w:val="center"/>
        <w:rPr>
          <w:rFonts w:ascii="Times New Roman" w:hAnsi="Times New Roman"/>
          <w:sz w:val="20"/>
        </w:rPr>
      </w:pPr>
    </w:p>
    <w:p w14:paraId="7480DD5D" w14:textId="609C60ED" w:rsidR="007834E2" w:rsidRPr="0001202E" w:rsidRDefault="007834E2" w:rsidP="00EA080C">
      <w:pPr>
        <w:ind w:left="607"/>
        <w:rPr>
          <w:rFonts w:ascii="Times New Roman" w:hAnsi="Times New Roman"/>
          <w:sz w:val="20"/>
        </w:rPr>
      </w:pPr>
    </w:p>
    <w:p w14:paraId="66A14D11" w14:textId="20DA8972" w:rsidR="004D1A5C" w:rsidRPr="0001202E" w:rsidRDefault="0042676B">
      <w:pPr>
        <w:rPr>
          <w:rFonts w:ascii="Times New Roman" w:hAnsi="Times New Roman"/>
          <w:sz w:val="20"/>
        </w:rPr>
      </w:pPr>
      <w:r w:rsidRPr="0001202E">
        <w:rPr>
          <w:noProof/>
          <w:lang w:eastAsia="es-AR"/>
        </w:rPr>
        <w:lastRenderedPageBreak/>
        <w:drawing>
          <wp:inline distT="0" distB="0" distL="0" distR="0" wp14:anchorId="0F4EDE9A" wp14:editId="5EA2C55F">
            <wp:extent cx="5882005" cy="289743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882005" cy="2897432"/>
                    </a:xfrm>
                    <a:prstGeom prst="rect">
                      <a:avLst/>
                    </a:prstGeom>
                    <a:noFill/>
                    <a:ln>
                      <a:noFill/>
                    </a:ln>
                  </pic:spPr>
                </pic:pic>
              </a:graphicData>
            </a:graphic>
          </wp:inline>
        </w:drawing>
      </w:r>
    </w:p>
    <w:p w14:paraId="0A7AAED9" w14:textId="77777777" w:rsidR="006456E1" w:rsidRPr="0001202E" w:rsidRDefault="006456E1">
      <w:pPr>
        <w:rPr>
          <w:rFonts w:ascii="Times New Roman" w:hAnsi="Times New Roman"/>
          <w:sz w:val="20"/>
        </w:rPr>
      </w:pPr>
    </w:p>
    <w:p w14:paraId="4FF4DA7E" w14:textId="77777777" w:rsidR="006456E1" w:rsidRPr="0001202E" w:rsidRDefault="006456E1">
      <w:pPr>
        <w:rPr>
          <w:rFonts w:ascii="Times New Roman" w:hAnsi="Times New Roman"/>
          <w:sz w:val="20"/>
        </w:rPr>
      </w:pPr>
    </w:p>
    <w:p w14:paraId="1DAB18D0" w14:textId="3B97CAD5" w:rsidR="0070126A" w:rsidRPr="0001202E" w:rsidRDefault="002543CE" w:rsidP="0070126A">
      <w:pPr>
        <w:jc w:val="center"/>
        <w:rPr>
          <w:rFonts w:ascii="Times New Roman" w:hAnsi="Times New Roman"/>
          <w:b/>
          <w:sz w:val="20"/>
        </w:rPr>
      </w:pPr>
      <w:r w:rsidRPr="0001202E">
        <w:rPr>
          <w:noProof/>
          <w:lang w:eastAsia="es-AR"/>
        </w:rPr>
        <w:drawing>
          <wp:inline distT="0" distB="0" distL="0" distR="0" wp14:anchorId="35CBD936" wp14:editId="56ACBB3C">
            <wp:extent cx="4667250" cy="275272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67250" cy="2752725"/>
                    </a:xfrm>
                    <a:prstGeom prst="rect">
                      <a:avLst/>
                    </a:prstGeom>
                    <a:noFill/>
                    <a:ln>
                      <a:noFill/>
                    </a:ln>
                  </pic:spPr>
                </pic:pic>
              </a:graphicData>
            </a:graphic>
          </wp:inline>
        </w:drawing>
      </w:r>
    </w:p>
    <w:p w14:paraId="32BEFDDF" w14:textId="676A25CF" w:rsidR="006456E1" w:rsidRPr="0001202E" w:rsidRDefault="006456E1" w:rsidP="0070126A">
      <w:pPr>
        <w:jc w:val="center"/>
        <w:rPr>
          <w:rFonts w:ascii="Times New Roman" w:hAnsi="Times New Roman"/>
          <w:b/>
          <w:sz w:val="20"/>
        </w:rPr>
      </w:pPr>
    </w:p>
    <w:p w14:paraId="4D40A962" w14:textId="6E20300D" w:rsidR="000E04DB" w:rsidRPr="00110E8B" w:rsidRDefault="00B91C1E" w:rsidP="00F216CA">
      <w:pPr>
        <w:ind w:left="607"/>
        <w:jc w:val="center"/>
        <w:rPr>
          <w:rFonts w:ascii="Times New Roman" w:hAnsi="Times New Roman"/>
          <w:b/>
          <w:sz w:val="20"/>
        </w:rPr>
      </w:pPr>
      <w:r w:rsidRPr="0001202E">
        <w:rPr>
          <w:noProof/>
          <w:lang w:eastAsia="es-AR"/>
        </w:rPr>
        <w:lastRenderedPageBreak/>
        <w:drawing>
          <wp:inline distT="0" distB="0" distL="0" distR="0" wp14:anchorId="3FDA1A24" wp14:editId="0FA965B1">
            <wp:extent cx="5882005" cy="276756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82005" cy="2767568"/>
                    </a:xfrm>
                    <a:prstGeom prst="rect">
                      <a:avLst/>
                    </a:prstGeom>
                    <a:noFill/>
                    <a:ln>
                      <a:noFill/>
                    </a:ln>
                  </pic:spPr>
                </pic:pic>
              </a:graphicData>
            </a:graphic>
          </wp:inline>
        </w:drawing>
      </w:r>
    </w:p>
    <w:p w14:paraId="758E7A0C" w14:textId="30ACC0C6" w:rsidR="00C51F7F" w:rsidRPr="00110E8B" w:rsidRDefault="00C51F7F" w:rsidP="00DB1FF8">
      <w:pPr>
        <w:ind w:left="1214"/>
        <w:jc w:val="center"/>
        <w:rPr>
          <w:rFonts w:ascii="Times New Roman" w:hAnsi="Times New Roman"/>
          <w:b/>
          <w:sz w:val="20"/>
        </w:rPr>
      </w:pPr>
    </w:p>
    <w:p w14:paraId="638B5D85" w14:textId="77777777" w:rsidR="000E04DB" w:rsidRDefault="000E04DB" w:rsidP="000E04DB">
      <w:pPr>
        <w:rPr>
          <w:i/>
          <w:sz w:val="18"/>
          <w:szCs w:val="18"/>
        </w:rPr>
      </w:pPr>
    </w:p>
    <w:p w14:paraId="748FAD2D" w14:textId="77777777" w:rsidR="000E04DB" w:rsidRDefault="000E04DB" w:rsidP="000E04DB">
      <w:pPr>
        <w:rPr>
          <w:i/>
          <w:sz w:val="18"/>
          <w:szCs w:val="18"/>
        </w:rPr>
      </w:pPr>
    </w:p>
    <w:p w14:paraId="46F38CD6" w14:textId="77777777" w:rsidR="000E04DB" w:rsidRDefault="000E04DB" w:rsidP="000E04DB">
      <w:pPr>
        <w:rPr>
          <w:i/>
          <w:sz w:val="18"/>
          <w:szCs w:val="18"/>
        </w:rPr>
      </w:pPr>
    </w:p>
    <w:p w14:paraId="086EC064" w14:textId="77777777" w:rsidR="000E04DB" w:rsidRDefault="000E04DB" w:rsidP="000E04DB">
      <w:pPr>
        <w:rPr>
          <w:i/>
          <w:sz w:val="18"/>
          <w:szCs w:val="18"/>
        </w:rPr>
      </w:pPr>
    </w:p>
    <w:p w14:paraId="1BD77D38" w14:textId="77777777" w:rsidR="000E04DB" w:rsidRDefault="000E04DB" w:rsidP="000E04DB">
      <w:pPr>
        <w:rPr>
          <w:i/>
          <w:sz w:val="18"/>
          <w:szCs w:val="18"/>
        </w:rPr>
      </w:pPr>
    </w:p>
    <w:p w14:paraId="34EB8C5C" w14:textId="77777777" w:rsidR="000E04DB" w:rsidRDefault="000E04DB" w:rsidP="000E04DB">
      <w:pPr>
        <w:rPr>
          <w:i/>
          <w:sz w:val="18"/>
          <w:szCs w:val="18"/>
        </w:rPr>
      </w:pPr>
    </w:p>
    <w:p w14:paraId="4B74760B" w14:textId="77777777" w:rsidR="000E04DB" w:rsidRDefault="000E04DB" w:rsidP="000E04DB">
      <w:pPr>
        <w:rPr>
          <w:i/>
          <w:sz w:val="18"/>
          <w:szCs w:val="18"/>
        </w:rPr>
      </w:pPr>
    </w:p>
    <w:p w14:paraId="4DE16EEB" w14:textId="77777777" w:rsidR="000E04DB" w:rsidRDefault="000E04DB" w:rsidP="000E04DB">
      <w:pPr>
        <w:rPr>
          <w:i/>
          <w:sz w:val="18"/>
          <w:szCs w:val="18"/>
        </w:rPr>
      </w:pPr>
    </w:p>
    <w:p w14:paraId="5C690EED" w14:textId="77777777" w:rsidR="000E04DB" w:rsidRDefault="000E04DB" w:rsidP="000E04DB">
      <w:pPr>
        <w:rPr>
          <w:i/>
          <w:sz w:val="18"/>
          <w:szCs w:val="18"/>
        </w:rPr>
      </w:pPr>
    </w:p>
    <w:p w14:paraId="4922A6AB" w14:textId="77777777" w:rsidR="00981053" w:rsidRDefault="00981053" w:rsidP="000E04DB">
      <w:pPr>
        <w:rPr>
          <w:i/>
          <w:sz w:val="18"/>
          <w:szCs w:val="18"/>
        </w:rPr>
      </w:pPr>
    </w:p>
    <w:p w14:paraId="6E0EBA29" w14:textId="77777777" w:rsidR="00981053" w:rsidRDefault="00981053" w:rsidP="000E04DB">
      <w:pPr>
        <w:rPr>
          <w:i/>
          <w:sz w:val="18"/>
          <w:szCs w:val="18"/>
        </w:rPr>
      </w:pPr>
    </w:p>
    <w:p w14:paraId="460899E0" w14:textId="77777777" w:rsidR="00981053" w:rsidRDefault="00981053" w:rsidP="000E04DB">
      <w:pPr>
        <w:rPr>
          <w:i/>
          <w:sz w:val="18"/>
          <w:szCs w:val="18"/>
        </w:rPr>
      </w:pPr>
    </w:p>
    <w:p w14:paraId="5303FE44" w14:textId="77777777" w:rsidR="00981053" w:rsidRDefault="00981053" w:rsidP="000E04DB">
      <w:pPr>
        <w:rPr>
          <w:i/>
          <w:sz w:val="18"/>
          <w:szCs w:val="18"/>
        </w:rPr>
      </w:pPr>
    </w:p>
    <w:p w14:paraId="456E86F8" w14:textId="77777777" w:rsidR="000E04DB" w:rsidRDefault="000E04DB" w:rsidP="000E04DB">
      <w:pPr>
        <w:rPr>
          <w:i/>
          <w:sz w:val="18"/>
          <w:szCs w:val="18"/>
        </w:rPr>
      </w:pPr>
    </w:p>
    <w:p w14:paraId="3C3CAF03" w14:textId="77777777" w:rsidR="000E04DB" w:rsidRDefault="000E04DB" w:rsidP="000E04DB">
      <w:pPr>
        <w:rPr>
          <w:i/>
          <w:sz w:val="18"/>
          <w:szCs w:val="18"/>
        </w:rPr>
      </w:pPr>
    </w:p>
    <w:p w14:paraId="4C258AAE" w14:textId="5AD5C4AB" w:rsidR="00E2117F" w:rsidRPr="00170577" w:rsidRDefault="00E2117F" w:rsidP="00E2117F">
      <w:pPr>
        <w:ind w:left="142"/>
        <w:jc w:val="center"/>
        <w:rPr>
          <w:rFonts w:ascii="Times New Roman" w:hAnsi="Times New Roman"/>
          <w:bCs/>
          <w:color w:val="000000"/>
          <w:sz w:val="20"/>
          <w:highlight w:val="yellow"/>
          <w:lang w:val="es-ES_tradnl"/>
        </w:rPr>
      </w:pPr>
    </w:p>
    <w:p w14:paraId="57461172" w14:textId="77777777" w:rsidR="00E2117F" w:rsidRPr="00170577" w:rsidRDefault="00E2117F" w:rsidP="00E2117F">
      <w:pPr>
        <w:ind w:left="142"/>
        <w:jc w:val="center"/>
        <w:rPr>
          <w:rFonts w:ascii="Times New Roman" w:hAnsi="Times New Roman"/>
          <w:bCs/>
          <w:color w:val="000000"/>
          <w:sz w:val="20"/>
          <w:highlight w:val="yellow"/>
        </w:rPr>
      </w:pPr>
    </w:p>
    <w:p w14:paraId="36183342" w14:textId="77777777" w:rsidR="00E2117F" w:rsidRPr="00170577" w:rsidRDefault="00E2117F" w:rsidP="00E2117F">
      <w:pPr>
        <w:ind w:left="142"/>
        <w:jc w:val="center"/>
        <w:rPr>
          <w:rFonts w:ascii="Times New Roman" w:hAnsi="Times New Roman"/>
          <w:bCs/>
          <w:color w:val="000000"/>
          <w:sz w:val="20"/>
          <w:highlight w:val="yellow"/>
        </w:rPr>
      </w:pPr>
    </w:p>
    <w:p w14:paraId="59733395" w14:textId="566479C7" w:rsidR="00E2117F" w:rsidRPr="00170577" w:rsidRDefault="00E2117F" w:rsidP="00E2117F">
      <w:pPr>
        <w:ind w:left="142"/>
        <w:jc w:val="center"/>
        <w:rPr>
          <w:rFonts w:ascii="Times New Roman" w:hAnsi="Times New Roman"/>
          <w:bCs/>
          <w:color w:val="000000"/>
          <w:sz w:val="20"/>
          <w:highlight w:val="yellow"/>
        </w:rPr>
      </w:pPr>
    </w:p>
    <w:sectPr w:rsidR="00E2117F" w:rsidRPr="00170577" w:rsidSect="009106B7">
      <w:headerReference w:type="default" r:id="rId197"/>
      <w:footerReference w:type="default" r:id="rId198"/>
      <w:footnotePr>
        <w:numStart w:val="0"/>
      </w:footnotePr>
      <w:pgSz w:w="11907" w:h="16840" w:code="9"/>
      <w:pgMar w:top="1985" w:right="1226" w:bottom="340" w:left="1418" w:header="851" w:footer="216" w:gutter="0"/>
      <w:pgNumType w:fmt="numberInDash" w:start="124" w:chapStyle="1" w:chapSep="enDash"/>
      <w:cols w:space="56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2E39E3" w14:textId="77777777" w:rsidR="008F2AD9" w:rsidRDefault="008F2AD9">
      <w:r>
        <w:separator/>
      </w:r>
    </w:p>
  </w:endnote>
  <w:endnote w:type="continuationSeparator" w:id="0">
    <w:p w14:paraId="1073970D" w14:textId="77777777" w:rsidR="008F2AD9" w:rsidRDefault="008F2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9999999">
    <w:altName w:val="Times New Roman"/>
    <w:panose1 w:val="00000000000000000000"/>
    <w:charset w:val="00"/>
    <w:family w:val="roman"/>
    <w:notTrueType/>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SemiSans-Light">
    <w:panose1 w:val="000000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45 Light">
    <w:charset w:val="00"/>
    <w:family w:val="auto"/>
    <w:pitch w:val="variable"/>
    <w:sig w:usb0="8000002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Arial Bold">
    <w:altName w:val="Times New Roman"/>
    <w:charset w:val="00"/>
    <w:family w:val="auto"/>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tag Sans Light">
    <w:altName w:val="Arial"/>
    <w:panose1 w:val="00000000000000000000"/>
    <w:charset w:val="00"/>
    <w:family w:val="swiss"/>
    <w:notTrueType/>
    <w:pitch w:val="variable"/>
    <w:sig w:usb0="00000087" w:usb1="00000000" w:usb2="00000000" w:usb3="00000000" w:csb0="0000009B" w:csb1="00000000"/>
  </w:font>
  <w:font w:name="BBVA Office Book">
    <w:panose1 w:val="020B0503040000020004"/>
    <w:charset w:val="00"/>
    <w:family w:val="swiss"/>
    <w:pitch w:val="variable"/>
    <w:sig w:usb0="00000003" w:usb1="00000000" w:usb2="00000000" w:usb3="00000000" w:csb0="00000001" w:csb1="00000000"/>
  </w:font>
  <w:font w:name="BBVABentonSansLight">
    <w:panose1 w:val="00000000000000020000"/>
    <w:charset w:val="00"/>
    <w:family w:val="auto"/>
    <w:pitch w:val="variable"/>
    <w:sig w:usb0="A000007F" w:usb1="4000804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for KPMG">
    <w:altName w:val="Trebuchet M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AFD07" w14:textId="77777777" w:rsidR="008F2AD9" w:rsidRDefault="008F2AD9">
    <w:pPr>
      <w:pStyle w:val="Piedepgina"/>
      <w:framePr w:wrap="around" w:vAnchor="text" w:hAnchor="margin" w:xAlign="right" w:y="1"/>
      <w:rPr>
        <w:rStyle w:val="Nmerodepgina"/>
      </w:rPr>
    </w:pPr>
  </w:p>
  <w:p w14:paraId="59F9C1D2" w14:textId="77777777" w:rsidR="008F2AD9" w:rsidRDefault="008F2AD9">
    <w:pPr>
      <w:ind w:left="-540" w:right="360"/>
      <w:rPr>
        <w:rFonts w:ascii="Book Antiqua" w:hAnsi="Book Antiqua"/>
        <w:sz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F633" w14:textId="77777777" w:rsidR="008F2AD9" w:rsidRDefault="008F2AD9" w:rsidP="00885F4A">
    <w:pPr>
      <w:pStyle w:val="Piedepgina"/>
      <w:framePr w:wrap="around" w:vAnchor="text" w:hAnchor="margin" w:xAlign="right" w:y="1"/>
      <w:ind w:left="4249"/>
      <w:rPr>
        <w:rStyle w:val="Nmerodepgina"/>
      </w:rPr>
    </w:pPr>
  </w:p>
  <w:p w14:paraId="0F5CFBD7" w14:textId="77777777" w:rsidR="008F2AD9" w:rsidRDefault="008F2AD9" w:rsidP="00885F4A">
    <w:pPr>
      <w:ind w:right="360"/>
      <w:rPr>
        <w:rFonts w:ascii="Book Antiqua" w:hAnsi="Book Antiqua"/>
        <w:sz w:val="16"/>
      </w:rPr>
    </w:pPr>
  </w:p>
  <w:tbl>
    <w:tblPr>
      <w:tblW w:w="8647" w:type="dxa"/>
      <w:tblInd w:w="439" w:type="dxa"/>
      <w:tblLayout w:type="fixed"/>
      <w:tblLook w:val="0000" w:firstRow="0" w:lastRow="0" w:firstColumn="0" w:lastColumn="0" w:noHBand="0" w:noVBand="0"/>
    </w:tblPr>
    <w:tblGrid>
      <w:gridCol w:w="3402"/>
      <w:gridCol w:w="1701"/>
      <w:gridCol w:w="3544"/>
    </w:tblGrid>
    <w:tr w:rsidR="008F2AD9" w14:paraId="72724049" w14:textId="77777777" w:rsidTr="009E6BF6">
      <w:trPr>
        <w:cantSplit/>
      </w:trPr>
      <w:tc>
        <w:tcPr>
          <w:tcW w:w="3402" w:type="dxa"/>
        </w:tcPr>
        <w:p w14:paraId="7D361D80" w14:textId="77777777" w:rsidR="008F2AD9" w:rsidRDefault="008F2AD9" w:rsidP="009E6BF6">
          <w:pPr>
            <w:ind w:right="123"/>
            <w:jc w:val="center"/>
            <w:rPr>
              <w:rFonts w:ascii="Times New Roman" w:hAnsi="Times New Roman"/>
              <w:sz w:val="16"/>
            </w:rPr>
          </w:pPr>
          <w:r>
            <w:rPr>
              <w:rFonts w:ascii="Times New Roman" w:hAnsi="Times New Roman"/>
              <w:sz w:val="16"/>
            </w:rPr>
            <w:softHyphen/>
          </w:r>
        </w:p>
      </w:tc>
      <w:tc>
        <w:tcPr>
          <w:tcW w:w="1701" w:type="dxa"/>
        </w:tcPr>
        <w:p w14:paraId="2016B2C2" w14:textId="77777777" w:rsidR="008F2AD9" w:rsidRDefault="008F2AD9" w:rsidP="009E6BF6">
          <w:pPr>
            <w:ind w:right="123"/>
            <w:jc w:val="center"/>
            <w:rPr>
              <w:rFonts w:ascii="Times New Roman" w:hAnsi="Times New Roman"/>
              <w:sz w:val="16"/>
            </w:rPr>
          </w:pPr>
        </w:p>
      </w:tc>
      <w:tc>
        <w:tcPr>
          <w:tcW w:w="3544" w:type="dxa"/>
        </w:tcPr>
        <w:p w14:paraId="21D48EAD" w14:textId="77777777" w:rsidR="008F2AD9" w:rsidRDefault="008F2AD9" w:rsidP="009E6BF6">
          <w:pPr>
            <w:ind w:right="123"/>
            <w:jc w:val="center"/>
            <w:rPr>
              <w:rFonts w:ascii="Times New Roman" w:hAnsi="Times New Roman"/>
              <w:sz w:val="16"/>
            </w:rPr>
          </w:pPr>
        </w:p>
      </w:tc>
    </w:tr>
    <w:tr w:rsidR="008F2AD9" w14:paraId="1F245B94" w14:textId="77777777" w:rsidTr="009E6BF6">
      <w:trPr>
        <w:cantSplit/>
      </w:trPr>
      <w:tc>
        <w:tcPr>
          <w:tcW w:w="3402" w:type="dxa"/>
        </w:tcPr>
        <w:p w14:paraId="24192EA0" w14:textId="77777777" w:rsidR="008F2AD9" w:rsidRDefault="008F2AD9" w:rsidP="009E6BF6">
          <w:pPr>
            <w:ind w:right="123"/>
            <w:jc w:val="center"/>
            <w:rPr>
              <w:rFonts w:ascii="Times New Roman" w:hAnsi="Times New Roman"/>
              <w:sz w:val="16"/>
            </w:rPr>
          </w:pPr>
        </w:p>
      </w:tc>
      <w:tc>
        <w:tcPr>
          <w:tcW w:w="1701" w:type="dxa"/>
        </w:tcPr>
        <w:p w14:paraId="751E7E92" w14:textId="77777777" w:rsidR="008F2AD9" w:rsidRDefault="008F2AD9" w:rsidP="009E6BF6">
          <w:pPr>
            <w:ind w:right="123"/>
            <w:jc w:val="center"/>
            <w:rPr>
              <w:rFonts w:ascii="Times New Roman" w:hAnsi="Times New Roman"/>
              <w:sz w:val="16"/>
            </w:rPr>
          </w:pPr>
        </w:p>
      </w:tc>
      <w:tc>
        <w:tcPr>
          <w:tcW w:w="3544" w:type="dxa"/>
        </w:tcPr>
        <w:p w14:paraId="2DEAAE10" w14:textId="77777777" w:rsidR="008F2AD9" w:rsidRDefault="008F2AD9" w:rsidP="009E6BF6">
          <w:pPr>
            <w:ind w:right="123"/>
            <w:jc w:val="center"/>
            <w:rPr>
              <w:rFonts w:ascii="Times New Roman" w:hAnsi="Times New Roman"/>
              <w:sz w:val="16"/>
            </w:rPr>
          </w:pPr>
        </w:p>
      </w:tc>
    </w:tr>
    <w:tr w:rsidR="008F2AD9" w14:paraId="6629C8A0" w14:textId="77777777" w:rsidTr="009E6BF6">
      <w:trPr>
        <w:cantSplit/>
      </w:trPr>
      <w:tc>
        <w:tcPr>
          <w:tcW w:w="3402" w:type="dxa"/>
        </w:tcPr>
        <w:p w14:paraId="50DA0658" w14:textId="77777777" w:rsidR="008F2AD9" w:rsidRDefault="008F2AD9" w:rsidP="009E6BF6">
          <w:pPr>
            <w:ind w:right="123"/>
            <w:jc w:val="center"/>
            <w:rPr>
              <w:rFonts w:ascii="Times New Roman" w:hAnsi="Times New Roman"/>
              <w:sz w:val="16"/>
            </w:rPr>
          </w:pPr>
        </w:p>
      </w:tc>
      <w:tc>
        <w:tcPr>
          <w:tcW w:w="1701" w:type="dxa"/>
        </w:tcPr>
        <w:p w14:paraId="5732460B" w14:textId="77777777" w:rsidR="008F2AD9" w:rsidRDefault="008F2AD9" w:rsidP="009E6BF6">
          <w:pPr>
            <w:ind w:right="123"/>
            <w:jc w:val="center"/>
            <w:rPr>
              <w:rFonts w:ascii="Times New Roman" w:hAnsi="Times New Roman"/>
              <w:sz w:val="16"/>
            </w:rPr>
          </w:pPr>
        </w:p>
      </w:tc>
      <w:tc>
        <w:tcPr>
          <w:tcW w:w="3544" w:type="dxa"/>
        </w:tcPr>
        <w:p w14:paraId="3EB5F94D" w14:textId="77777777" w:rsidR="008F2AD9" w:rsidRDefault="008F2AD9" w:rsidP="009E6BF6">
          <w:pPr>
            <w:ind w:right="123"/>
            <w:jc w:val="center"/>
            <w:rPr>
              <w:rFonts w:ascii="Times New Roman" w:hAnsi="Times New Roman"/>
              <w:sz w:val="16"/>
            </w:rPr>
          </w:pPr>
        </w:p>
      </w:tc>
    </w:tr>
    <w:tr w:rsidR="008F2AD9" w14:paraId="479FFDD0" w14:textId="77777777" w:rsidTr="009E6BF6">
      <w:trPr>
        <w:cantSplit/>
      </w:trPr>
      <w:tc>
        <w:tcPr>
          <w:tcW w:w="3402" w:type="dxa"/>
        </w:tcPr>
        <w:p w14:paraId="6C02912B" w14:textId="77777777" w:rsidR="008F2AD9" w:rsidRDefault="008F2AD9" w:rsidP="009E6BF6">
          <w:pPr>
            <w:ind w:right="123"/>
            <w:jc w:val="center"/>
            <w:rPr>
              <w:rFonts w:ascii="Times New Roman" w:hAnsi="Times New Roman"/>
              <w:sz w:val="16"/>
            </w:rPr>
          </w:pPr>
        </w:p>
      </w:tc>
      <w:tc>
        <w:tcPr>
          <w:tcW w:w="1701" w:type="dxa"/>
        </w:tcPr>
        <w:p w14:paraId="3987FFCE" w14:textId="77777777" w:rsidR="008F2AD9" w:rsidRDefault="008F2AD9" w:rsidP="009E6BF6">
          <w:pPr>
            <w:ind w:right="123"/>
            <w:jc w:val="center"/>
            <w:rPr>
              <w:rFonts w:ascii="Times New Roman" w:hAnsi="Times New Roman"/>
              <w:sz w:val="16"/>
            </w:rPr>
          </w:pPr>
        </w:p>
        <w:p w14:paraId="316D4BF1" w14:textId="77777777" w:rsidR="008F2AD9" w:rsidRDefault="008F2AD9" w:rsidP="009E6BF6">
          <w:pPr>
            <w:ind w:right="123"/>
            <w:jc w:val="center"/>
            <w:rPr>
              <w:rFonts w:ascii="Times New Roman" w:hAnsi="Times New Roman"/>
              <w:sz w:val="16"/>
            </w:rPr>
          </w:pPr>
        </w:p>
        <w:p w14:paraId="490728AD" w14:textId="77777777" w:rsidR="008F2AD9" w:rsidRDefault="008F2AD9" w:rsidP="009E6BF6">
          <w:pPr>
            <w:ind w:right="123"/>
            <w:jc w:val="center"/>
            <w:rPr>
              <w:rFonts w:ascii="Times New Roman" w:hAnsi="Times New Roman"/>
              <w:sz w:val="16"/>
            </w:rPr>
          </w:pPr>
        </w:p>
        <w:p w14:paraId="32B063AB" w14:textId="77777777" w:rsidR="008F2AD9" w:rsidRDefault="008F2AD9" w:rsidP="009E6BF6">
          <w:pPr>
            <w:ind w:right="123"/>
            <w:jc w:val="center"/>
            <w:rPr>
              <w:rFonts w:ascii="Times New Roman" w:hAnsi="Times New Roman"/>
              <w:sz w:val="16"/>
            </w:rPr>
          </w:pPr>
        </w:p>
      </w:tc>
      <w:tc>
        <w:tcPr>
          <w:tcW w:w="3544" w:type="dxa"/>
        </w:tcPr>
        <w:p w14:paraId="33EC6366" w14:textId="77777777" w:rsidR="008F2AD9" w:rsidRDefault="008F2AD9" w:rsidP="009E6BF6">
          <w:pPr>
            <w:ind w:right="123"/>
            <w:jc w:val="center"/>
            <w:rPr>
              <w:rFonts w:ascii="Times New Roman" w:hAnsi="Times New Roman"/>
              <w:sz w:val="16"/>
            </w:rPr>
          </w:pPr>
        </w:p>
        <w:p w14:paraId="0EAE1673" w14:textId="77777777" w:rsidR="008F2AD9" w:rsidRDefault="008F2AD9" w:rsidP="009E6BF6">
          <w:pPr>
            <w:ind w:right="123"/>
            <w:jc w:val="center"/>
            <w:rPr>
              <w:rFonts w:ascii="Times New Roman" w:hAnsi="Times New Roman"/>
              <w:sz w:val="16"/>
            </w:rPr>
          </w:pPr>
        </w:p>
      </w:tc>
    </w:tr>
    <w:tr w:rsidR="008F2AD9" w14:paraId="6AE4E5BA" w14:textId="77777777" w:rsidTr="009E6BF6">
      <w:trPr>
        <w:cantSplit/>
      </w:trPr>
      <w:tc>
        <w:tcPr>
          <w:tcW w:w="3402" w:type="dxa"/>
        </w:tcPr>
        <w:p w14:paraId="6D22AB58" w14:textId="77777777" w:rsidR="008F2AD9" w:rsidRDefault="008F2AD9" w:rsidP="0073611F">
          <w:pPr>
            <w:ind w:right="123"/>
            <w:jc w:val="center"/>
            <w:rPr>
              <w:rFonts w:ascii="Times New Roman" w:hAnsi="Times New Roman"/>
              <w:sz w:val="14"/>
              <w:szCs w:val="14"/>
            </w:rPr>
          </w:pPr>
        </w:p>
        <w:p w14:paraId="1FD73BBF" w14:textId="49D005C7" w:rsidR="008F2AD9" w:rsidRPr="00931049" w:rsidRDefault="008F2AD9" w:rsidP="0073611F">
          <w:pPr>
            <w:ind w:right="123"/>
            <w:jc w:val="center"/>
            <w:rPr>
              <w:rFonts w:ascii="Times New Roman" w:hAnsi="Times New Roman"/>
              <w:sz w:val="14"/>
              <w:szCs w:val="14"/>
            </w:rPr>
          </w:pPr>
          <w:r>
            <w:rPr>
              <w:rFonts w:ascii="Times New Roman" w:hAnsi="Times New Roman"/>
              <w:sz w:val="14"/>
              <w:szCs w:val="14"/>
            </w:rPr>
            <w:t xml:space="preserve">  ERNESTO R. GALLARDO JIMENEZ</w:t>
          </w:r>
        </w:p>
      </w:tc>
      <w:tc>
        <w:tcPr>
          <w:tcW w:w="1701" w:type="dxa"/>
        </w:tcPr>
        <w:p w14:paraId="1F1BE2AF" w14:textId="77777777" w:rsidR="008F2AD9" w:rsidRPr="00931049" w:rsidRDefault="008F2AD9" w:rsidP="0073611F">
          <w:pPr>
            <w:ind w:right="81"/>
            <w:jc w:val="center"/>
            <w:rPr>
              <w:rFonts w:ascii="Times New Roman" w:hAnsi="Times New Roman"/>
              <w:sz w:val="14"/>
              <w:szCs w:val="14"/>
              <w:lang w:val="es-ES_tradnl"/>
            </w:rPr>
          </w:pPr>
          <w:r>
            <w:rPr>
              <w:rFonts w:ascii="Times New Roman" w:hAnsi="Times New Roman"/>
              <w:sz w:val="14"/>
              <w:szCs w:val="14"/>
              <w:lang w:val="es-ES_tradnl"/>
            </w:rPr>
            <w:t xml:space="preserve">                                       JORGE D. LUNA</w:t>
          </w:r>
        </w:p>
      </w:tc>
      <w:tc>
        <w:tcPr>
          <w:tcW w:w="3544" w:type="dxa"/>
        </w:tcPr>
        <w:p w14:paraId="0BD41451" w14:textId="77777777" w:rsidR="008F2AD9" w:rsidRDefault="008F2AD9" w:rsidP="0073611F">
          <w:pPr>
            <w:ind w:right="123"/>
            <w:rPr>
              <w:rFonts w:ascii="Times New Roman" w:hAnsi="Times New Roman"/>
              <w:sz w:val="14"/>
              <w:szCs w:val="14"/>
              <w:lang w:val="es-ES_tradnl"/>
            </w:rPr>
          </w:pPr>
        </w:p>
        <w:p w14:paraId="621C1881" w14:textId="77777777" w:rsidR="008F2AD9" w:rsidRPr="00931049" w:rsidRDefault="008F2AD9" w:rsidP="0073611F">
          <w:pPr>
            <w:ind w:right="123"/>
            <w:rPr>
              <w:rFonts w:ascii="Times New Roman" w:hAnsi="Times New Roman"/>
              <w:sz w:val="14"/>
              <w:szCs w:val="14"/>
              <w:lang w:val="es-ES_tradnl"/>
            </w:rPr>
          </w:pPr>
          <w:r>
            <w:rPr>
              <w:rFonts w:ascii="Times New Roman" w:hAnsi="Times New Roman"/>
              <w:sz w:val="14"/>
              <w:szCs w:val="14"/>
              <w:lang w:val="es-ES_tradnl"/>
            </w:rPr>
            <w:t xml:space="preserve">                    MARTIN E. ZARICH</w:t>
          </w:r>
        </w:p>
      </w:tc>
    </w:tr>
    <w:tr w:rsidR="008F2AD9" w14:paraId="26A28DBF" w14:textId="77777777" w:rsidTr="009E6BF6">
      <w:trPr>
        <w:cantSplit/>
        <w:trHeight w:val="279"/>
      </w:trPr>
      <w:tc>
        <w:tcPr>
          <w:tcW w:w="3402" w:type="dxa"/>
        </w:tcPr>
        <w:p w14:paraId="6A4DFABE" w14:textId="2B29A29A" w:rsidR="008F2AD9" w:rsidRPr="00931049" w:rsidRDefault="008F2AD9" w:rsidP="0073611F">
          <w:pPr>
            <w:ind w:right="123"/>
            <w:rPr>
              <w:rFonts w:ascii="Times New Roman" w:hAnsi="Times New Roman"/>
              <w:sz w:val="14"/>
              <w:szCs w:val="14"/>
            </w:rPr>
          </w:pPr>
          <w:r>
            <w:rPr>
              <w:rFonts w:ascii="Times New Roman" w:hAnsi="Times New Roman"/>
              <w:sz w:val="14"/>
              <w:szCs w:val="14"/>
            </w:rPr>
            <w:t xml:space="preserve">              Director Financiero y de Planeamiento</w:t>
          </w:r>
          <w:r w:rsidRPr="00931049">
            <w:rPr>
              <w:rFonts w:ascii="Times New Roman" w:hAnsi="Times New Roman"/>
              <w:sz w:val="14"/>
              <w:szCs w:val="14"/>
            </w:rPr>
            <w:t xml:space="preserve"> </w:t>
          </w:r>
        </w:p>
      </w:tc>
      <w:tc>
        <w:tcPr>
          <w:tcW w:w="1701" w:type="dxa"/>
        </w:tcPr>
        <w:p w14:paraId="4C9933B3" w14:textId="77777777" w:rsidR="008F2AD9" w:rsidRPr="00931049" w:rsidRDefault="008F2AD9" w:rsidP="0073611F">
          <w:pPr>
            <w:jc w:val="center"/>
            <w:rPr>
              <w:rFonts w:ascii="Times New Roman" w:hAnsi="Times New Roman"/>
              <w:sz w:val="14"/>
              <w:szCs w:val="14"/>
            </w:rPr>
          </w:pPr>
          <w:r>
            <w:rPr>
              <w:rFonts w:ascii="Times New Roman" w:hAnsi="Times New Roman"/>
              <w:sz w:val="14"/>
              <w:szCs w:val="14"/>
            </w:rPr>
            <w:t>Vicep</w:t>
          </w:r>
          <w:r w:rsidRPr="00912840">
            <w:rPr>
              <w:rFonts w:ascii="Times New Roman" w:hAnsi="Times New Roman"/>
              <w:sz w:val="14"/>
              <w:szCs w:val="14"/>
            </w:rPr>
            <w:t>residente</w:t>
          </w:r>
          <w:r>
            <w:rPr>
              <w:rFonts w:ascii="Times New Roman" w:hAnsi="Times New Roman"/>
              <w:sz w:val="14"/>
              <w:szCs w:val="14"/>
            </w:rPr>
            <w:t xml:space="preserve"> 1° en ejercicio de la presidencia</w:t>
          </w:r>
        </w:p>
      </w:tc>
      <w:tc>
        <w:tcPr>
          <w:tcW w:w="3544" w:type="dxa"/>
        </w:tcPr>
        <w:p w14:paraId="2C612A5A" w14:textId="77777777" w:rsidR="008F2AD9" w:rsidRPr="00931049" w:rsidRDefault="008F2AD9" w:rsidP="0073611F">
          <w:pPr>
            <w:ind w:right="123"/>
            <w:rPr>
              <w:rFonts w:ascii="Times New Roman" w:hAnsi="Times New Roman"/>
              <w:sz w:val="14"/>
              <w:szCs w:val="14"/>
            </w:rPr>
          </w:pPr>
          <w:r>
            <w:rPr>
              <w:rFonts w:ascii="Times New Roman" w:hAnsi="Times New Roman"/>
              <w:sz w:val="14"/>
              <w:szCs w:val="14"/>
            </w:rPr>
            <w:t xml:space="preserve">                        Gerente General</w:t>
          </w:r>
        </w:p>
      </w:tc>
    </w:tr>
  </w:tbl>
  <w:p w14:paraId="4524A410" w14:textId="77777777" w:rsidR="008F2AD9" w:rsidRPr="006E18E9" w:rsidRDefault="008F2AD9" w:rsidP="009E6BF6">
    <w:pPr>
      <w:ind w:left="-540" w:right="-1221"/>
      <w:rPr>
        <w:rFonts w:ascii="Times New Roman" w:hAnsi="Times New Roman"/>
        <w:sz w:val="16"/>
        <w:lang w:val="fr-FR"/>
      </w:rPr>
    </w:pPr>
  </w:p>
  <w:tbl>
    <w:tblPr>
      <w:tblW w:w="8646" w:type="dxa"/>
      <w:tblInd w:w="430" w:type="dxa"/>
      <w:tblLayout w:type="fixed"/>
      <w:tblLook w:val="0000" w:firstRow="0" w:lastRow="0" w:firstColumn="0" w:lastColumn="0" w:noHBand="0" w:noVBand="0"/>
    </w:tblPr>
    <w:tblGrid>
      <w:gridCol w:w="3402"/>
      <w:gridCol w:w="1134"/>
      <w:gridCol w:w="4110"/>
    </w:tblGrid>
    <w:tr w:rsidR="008F2AD9" w14:paraId="4680254F" w14:textId="77777777" w:rsidTr="004F3CAC">
      <w:trPr>
        <w:trHeight w:val="214"/>
      </w:trPr>
      <w:tc>
        <w:tcPr>
          <w:tcW w:w="3402" w:type="dxa"/>
        </w:tcPr>
        <w:p w14:paraId="29B6E530" w14:textId="77777777" w:rsidR="008F2AD9" w:rsidRPr="00A100B5" w:rsidRDefault="008F2AD9" w:rsidP="009E6BF6">
          <w:pPr>
            <w:ind w:right="18"/>
            <w:jc w:val="center"/>
            <w:rPr>
              <w:rFonts w:ascii="Times New Roman" w:hAnsi="Times New Roman"/>
              <w:sz w:val="12"/>
              <w:szCs w:val="12"/>
            </w:rPr>
          </w:pPr>
          <w:r w:rsidRPr="00A100B5">
            <w:rPr>
              <w:rFonts w:ascii="Times New Roman" w:hAnsi="Times New Roman"/>
              <w:sz w:val="12"/>
              <w:szCs w:val="12"/>
            </w:rPr>
            <w:t>Firmado a los efectos de su identificación</w:t>
          </w:r>
        </w:p>
      </w:tc>
      <w:tc>
        <w:tcPr>
          <w:tcW w:w="1134" w:type="dxa"/>
        </w:tcPr>
        <w:p w14:paraId="68832113" w14:textId="77777777" w:rsidR="008F2AD9" w:rsidRPr="00931049" w:rsidRDefault="008F2AD9" w:rsidP="009E6BF6">
          <w:pPr>
            <w:ind w:right="18"/>
            <w:jc w:val="center"/>
            <w:rPr>
              <w:rFonts w:ascii="Times New Roman" w:hAnsi="Times New Roman"/>
              <w:sz w:val="14"/>
              <w:szCs w:val="14"/>
            </w:rPr>
          </w:pPr>
        </w:p>
      </w:tc>
      <w:tc>
        <w:tcPr>
          <w:tcW w:w="4110" w:type="dxa"/>
        </w:tcPr>
        <w:p w14:paraId="0998D06A" w14:textId="77777777" w:rsidR="008F2AD9" w:rsidRPr="00042795" w:rsidRDefault="008F2AD9" w:rsidP="009E6BF6">
          <w:pPr>
            <w:ind w:right="18"/>
            <w:jc w:val="center"/>
            <w:rPr>
              <w:rFonts w:ascii="Times New Roman" w:hAnsi="Times New Roman"/>
              <w:sz w:val="12"/>
              <w:szCs w:val="12"/>
            </w:rPr>
          </w:pPr>
          <w:r w:rsidRPr="00042795">
            <w:rPr>
              <w:rFonts w:ascii="Times New Roman" w:hAnsi="Times New Roman"/>
              <w:sz w:val="12"/>
              <w:szCs w:val="12"/>
            </w:rPr>
            <w:t>Firmado a los efectos de su identificación</w:t>
          </w:r>
        </w:p>
      </w:tc>
    </w:tr>
    <w:tr w:rsidR="008F2AD9" w14:paraId="6014231C" w14:textId="77777777" w:rsidTr="009E6BF6">
      <w:tc>
        <w:tcPr>
          <w:tcW w:w="3402" w:type="dxa"/>
        </w:tcPr>
        <w:p w14:paraId="3D242762" w14:textId="17ED2107" w:rsidR="008F2AD9" w:rsidRPr="00A100B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c>
        <w:tcPr>
          <w:tcW w:w="1134" w:type="dxa"/>
        </w:tcPr>
        <w:p w14:paraId="2F07B2B8" w14:textId="77777777" w:rsidR="008F2AD9" w:rsidRPr="00931049" w:rsidRDefault="008F2AD9" w:rsidP="000F238E">
          <w:pPr>
            <w:ind w:right="18"/>
            <w:jc w:val="center"/>
            <w:rPr>
              <w:rFonts w:ascii="Times New Roman" w:hAnsi="Times New Roman"/>
              <w:sz w:val="14"/>
              <w:szCs w:val="14"/>
            </w:rPr>
          </w:pPr>
        </w:p>
      </w:tc>
      <w:tc>
        <w:tcPr>
          <w:tcW w:w="4110" w:type="dxa"/>
        </w:tcPr>
        <w:p w14:paraId="556007B2" w14:textId="042FDF2C" w:rsidR="008F2AD9" w:rsidRPr="0004279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r>
    <w:tr w:rsidR="008F2AD9" w14:paraId="420733BA" w14:textId="77777777" w:rsidTr="009E6BF6">
      <w:tc>
        <w:tcPr>
          <w:tcW w:w="3402" w:type="dxa"/>
        </w:tcPr>
        <w:p w14:paraId="7F93D524" w14:textId="77777777" w:rsidR="008F2AD9" w:rsidRPr="00A100B5" w:rsidRDefault="008F2AD9" w:rsidP="000F238E">
          <w:pPr>
            <w:ind w:right="123"/>
            <w:jc w:val="center"/>
            <w:rPr>
              <w:rFonts w:ascii="Times New Roman" w:hAnsi="Times New Roman"/>
              <w:sz w:val="12"/>
              <w:szCs w:val="12"/>
            </w:rPr>
          </w:pPr>
          <w:r w:rsidRPr="00A100B5">
            <w:rPr>
              <w:rFonts w:ascii="Times New Roman" w:hAnsi="Times New Roman"/>
              <w:sz w:val="12"/>
              <w:szCs w:val="12"/>
            </w:rPr>
            <w:t>P/COMISIÓN FISCALIZADORA</w:t>
          </w:r>
        </w:p>
      </w:tc>
      <w:tc>
        <w:tcPr>
          <w:tcW w:w="1134" w:type="dxa"/>
        </w:tcPr>
        <w:p w14:paraId="6564BC76" w14:textId="77777777" w:rsidR="008F2AD9" w:rsidRPr="00931049" w:rsidRDefault="008F2AD9" w:rsidP="000F238E">
          <w:pPr>
            <w:ind w:right="123"/>
            <w:jc w:val="center"/>
            <w:rPr>
              <w:rFonts w:ascii="Times New Roman" w:hAnsi="Times New Roman"/>
              <w:sz w:val="14"/>
              <w:szCs w:val="14"/>
              <w:lang w:val="en-US"/>
            </w:rPr>
          </w:pPr>
        </w:p>
      </w:tc>
      <w:tc>
        <w:tcPr>
          <w:tcW w:w="4110" w:type="dxa"/>
        </w:tcPr>
        <w:p w14:paraId="649EFAC5" w14:textId="77777777" w:rsidR="008F2AD9" w:rsidRPr="005E51EC" w:rsidRDefault="008F2AD9" w:rsidP="000F238E">
          <w:pPr>
            <w:ind w:right="123"/>
            <w:jc w:val="center"/>
            <w:rPr>
              <w:rFonts w:ascii="Times New Roman" w:hAnsi="Times New Roman"/>
              <w:b/>
              <w:sz w:val="12"/>
              <w:szCs w:val="12"/>
              <w:lang w:val="en-US"/>
            </w:rPr>
          </w:pPr>
          <w:r>
            <w:rPr>
              <w:rFonts w:ascii="Times New Roman" w:hAnsi="Times New Roman"/>
              <w:b/>
              <w:sz w:val="12"/>
              <w:szCs w:val="12"/>
              <w:lang w:val="en-US"/>
            </w:rPr>
            <w:t>KPMG</w:t>
          </w:r>
        </w:p>
      </w:tc>
    </w:tr>
    <w:tr w:rsidR="008F2AD9" w14:paraId="5B8E910B" w14:textId="77777777" w:rsidTr="009E6BF6">
      <w:tc>
        <w:tcPr>
          <w:tcW w:w="3402" w:type="dxa"/>
        </w:tcPr>
        <w:p w14:paraId="29585072" w14:textId="77777777" w:rsidR="008F2AD9" w:rsidRPr="00931049" w:rsidRDefault="008F2AD9" w:rsidP="000F238E">
          <w:pPr>
            <w:ind w:right="123"/>
            <w:jc w:val="center"/>
            <w:rPr>
              <w:rFonts w:ascii="Times New Roman" w:hAnsi="Times New Roman"/>
              <w:sz w:val="14"/>
              <w:szCs w:val="14"/>
              <w:lang w:val="en-US"/>
            </w:rPr>
          </w:pPr>
        </w:p>
      </w:tc>
      <w:tc>
        <w:tcPr>
          <w:tcW w:w="1134" w:type="dxa"/>
        </w:tcPr>
        <w:p w14:paraId="3C12F224" w14:textId="77777777" w:rsidR="008F2AD9" w:rsidRPr="00931049" w:rsidRDefault="008F2AD9" w:rsidP="000F238E">
          <w:pPr>
            <w:ind w:left="34" w:right="-107" w:hanging="34"/>
            <w:jc w:val="center"/>
            <w:rPr>
              <w:rFonts w:ascii="Times New Roman" w:hAnsi="Times New Roman"/>
              <w:sz w:val="14"/>
              <w:szCs w:val="14"/>
              <w:lang w:val="en-US"/>
            </w:rPr>
          </w:pPr>
        </w:p>
      </w:tc>
      <w:tc>
        <w:tcPr>
          <w:tcW w:w="4110" w:type="dxa"/>
        </w:tcPr>
        <w:p w14:paraId="3DE028EB" w14:textId="77777777" w:rsidR="008F2AD9" w:rsidRPr="005E51EC" w:rsidRDefault="008F2AD9" w:rsidP="000F238E">
          <w:pPr>
            <w:ind w:right="123"/>
            <w:jc w:val="center"/>
            <w:rPr>
              <w:rFonts w:ascii="Times New Roman" w:hAnsi="Times New Roman"/>
              <w:sz w:val="12"/>
              <w:szCs w:val="12"/>
            </w:rPr>
          </w:pPr>
          <w:r w:rsidRPr="000E498B">
            <w:rPr>
              <w:rFonts w:ascii="Times New Roman" w:hAnsi="Times New Roman"/>
              <w:sz w:val="12"/>
              <w:szCs w:val="12"/>
            </w:rPr>
            <w:t>Reg. de Asoc. Prof. CPCECABA Tº 2 Fº 6</w:t>
          </w:r>
        </w:p>
      </w:tc>
    </w:tr>
    <w:tr w:rsidR="008F2AD9" w14:paraId="3EA86A90" w14:textId="77777777" w:rsidTr="009E6BF6">
      <w:tc>
        <w:tcPr>
          <w:tcW w:w="3402" w:type="dxa"/>
        </w:tcPr>
        <w:p w14:paraId="075F2C64" w14:textId="77777777" w:rsidR="008F2AD9" w:rsidRPr="00931049" w:rsidRDefault="008F2AD9" w:rsidP="000F238E">
          <w:pPr>
            <w:ind w:right="123"/>
            <w:jc w:val="center"/>
            <w:rPr>
              <w:rFonts w:ascii="Times New Roman" w:hAnsi="Times New Roman"/>
              <w:sz w:val="14"/>
              <w:szCs w:val="14"/>
            </w:rPr>
          </w:pPr>
        </w:p>
      </w:tc>
      <w:tc>
        <w:tcPr>
          <w:tcW w:w="1134" w:type="dxa"/>
        </w:tcPr>
        <w:p w14:paraId="6936A030" w14:textId="77777777" w:rsidR="008F2AD9" w:rsidRPr="00931049" w:rsidRDefault="008F2AD9" w:rsidP="000F238E">
          <w:pPr>
            <w:ind w:right="123"/>
            <w:jc w:val="center"/>
            <w:rPr>
              <w:rFonts w:ascii="Times New Roman" w:hAnsi="Times New Roman"/>
              <w:sz w:val="14"/>
              <w:szCs w:val="14"/>
            </w:rPr>
          </w:pPr>
        </w:p>
      </w:tc>
      <w:tc>
        <w:tcPr>
          <w:tcW w:w="4110" w:type="dxa"/>
        </w:tcPr>
        <w:p w14:paraId="6FAC438D" w14:textId="77777777" w:rsidR="008F2AD9" w:rsidRPr="005E51EC" w:rsidRDefault="008F2AD9" w:rsidP="000F238E">
          <w:pPr>
            <w:ind w:right="123"/>
            <w:jc w:val="center"/>
            <w:rPr>
              <w:rFonts w:ascii="Times New Roman" w:hAnsi="Times New Roman"/>
              <w:b/>
              <w:sz w:val="12"/>
              <w:szCs w:val="12"/>
            </w:rPr>
          </w:pPr>
        </w:p>
      </w:tc>
    </w:tr>
    <w:tr w:rsidR="008F2AD9" w14:paraId="48CF77D4" w14:textId="77777777" w:rsidTr="009E6BF6">
      <w:tc>
        <w:tcPr>
          <w:tcW w:w="3402" w:type="dxa"/>
        </w:tcPr>
        <w:p w14:paraId="5E0CF758" w14:textId="77777777" w:rsidR="008F2AD9" w:rsidRPr="00931049" w:rsidRDefault="008F2AD9" w:rsidP="000F238E">
          <w:pPr>
            <w:ind w:right="123"/>
            <w:jc w:val="center"/>
            <w:rPr>
              <w:rFonts w:ascii="Times New Roman" w:hAnsi="Times New Roman"/>
              <w:sz w:val="14"/>
              <w:szCs w:val="14"/>
            </w:rPr>
          </w:pPr>
        </w:p>
      </w:tc>
      <w:tc>
        <w:tcPr>
          <w:tcW w:w="1134" w:type="dxa"/>
        </w:tcPr>
        <w:p w14:paraId="3279CD6D" w14:textId="77777777" w:rsidR="008F2AD9" w:rsidRPr="00931049" w:rsidRDefault="008F2AD9" w:rsidP="000F238E">
          <w:pPr>
            <w:ind w:right="18"/>
            <w:jc w:val="center"/>
            <w:rPr>
              <w:rFonts w:ascii="Times New Roman" w:hAnsi="Times New Roman"/>
              <w:sz w:val="14"/>
              <w:szCs w:val="14"/>
            </w:rPr>
          </w:pPr>
        </w:p>
      </w:tc>
      <w:tc>
        <w:tcPr>
          <w:tcW w:w="4110" w:type="dxa"/>
        </w:tcPr>
        <w:p w14:paraId="05CA9C01" w14:textId="77777777" w:rsidR="008F2AD9" w:rsidRPr="00931049" w:rsidRDefault="008F2AD9" w:rsidP="000F238E">
          <w:pPr>
            <w:ind w:right="18"/>
            <w:jc w:val="center"/>
            <w:rPr>
              <w:rFonts w:ascii="Times New Roman" w:hAnsi="Times New Roman"/>
              <w:sz w:val="14"/>
              <w:szCs w:val="14"/>
            </w:rPr>
          </w:pPr>
        </w:p>
      </w:tc>
    </w:tr>
    <w:tr w:rsidR="008F2AD9" w14:paraId="077CC23A" w14:textId="77777777" w:rsidTr="009E6BF6">
      <w:tc>
        <w:tcPr>
          <w:tcW w:w="3402" w:type="dxa"/>
        </w:tcPr>
        <w:p w14:paraId="5A34D2F6" w14:textId="77777777" w:rsidR="008F2AD9" w:rsidRPr="00931049" w:rsidRDefault="008F2AD9" w:rsidP="000F238E">
          <w:pPr>
            <w:ind w:right="123"/>
            <w:jc w:val="center"/>
            <w:rPr>
              <w:rFonts w:ascii="Times New Roman" w:hAnsi="Times New Roman"/>
              <w:sz w:val="14"/>
              <w:szCs w:val="14"/>
            </w:rPr>
          </w:pPr>
        </w:p>
      </w:tc>
      <w:tc>
        <w:tcPr>
          <w:tcW w:w="1134" w:type="dxa"/>
        </w:tcPr>
        <w:p w14:paraId="378E0421" w14:textId="77777777" w:rsidR="008F2AD9" w:rsidRPr="00931049" w:rsidRDefault="008F2AD9" w:rsidP="000F238E">
          <w:pPr>
            <w:ind w:right="123"/>
            <w:jc w:val="center"/>
            <w:rPr>
              <w:rFonts w:ascii="Times New Roman" w:hAnsi="Times New Roman"/>
              <w:b/>
              <w:sz w:val="14"/>
              <w:szCs w:val="14"/>
            </w:rPr>
          </w:pPr>
        </w:p>
      </w:tc>
      <w:tc>
        <w:tcPr>
          <w:tcW w:w="4110" w:type="dxa"/>
        </w:tcPr>
        <w:p w14:paraId="5E413AE1" w14:textId="77777777" w:rsidR="008F2AD9" w:rsidRPr="00931049" w:rsidRDefault="008F2AD9" w:rsidP="000F238E">
          <w:pPr>
            <w:ind w:right="123"/>
            <w:jc w:val="center"/>
            <w:rPr>
              <w:rFonts w:ascii="Times New Roman" w:hAnsi="Times New Roman"/>
              <w:b/>
              <w:sz w:val="14"/>
              <w:szCs w:val="14"/>
            </w:rPr>
          </w:pPr>
        </w:p>
      </w:tc>
    </w:tr>
    <w:tr w:rsidR="008F2AD9" w14:paraId="165E7C73" w14:textId="77777777" w:rsidTr="009E6BF6">
      <w:trPr>
        <w:trHeight w:hRule="exact" w:val="170"/>
      </w:trPr>
      <w:tc>
        <w:tcPr>
          <w:tcW w:w="3402" w:type="dxa"/>
          <w:vAlign w:val="center"/>
        </w:tcPr>
        <w:p w14:paraId="5833E18B" w14:textId="77777777" w:rsidR="008F2AD9" w:rsidRPr="00931049" w:rsidRDefault="008F2AD9" w:rsidP="000F238E">
          <w:pPr>
            <w:ind w:right="125"/>
            <w:jc w:val="center"/>
            <w:rPr>
              <w:rFonts w:ascii="Times New Roman" w:hAnsi="Times New Roman"/>
              <w:sz w:val="14"/>
              <w:szCs w:val="14"/>
              <w:lang w:val="es-ES"/>
            </w:rPr>
          </w:pPr>
        </w:p>
      </w:tc>
      <w:tc>
        <w:tcPr>
          <w:tcW w:w="1134" w:type="dxa"/>
          <w:vAlign w:val="center"/>
        </w:tcPr>
        <w:p w14:paraId="59606D5B" w14:textId="77777777" w:rsidR="008F2AD9" w:rsidRPr="00931049" w:rsidRDefault="008F2AD9" w:rsidP="000F238E">
          <w:pPr>
            <w:ind w:right="125"/>
            <w:jc w:val="center"/>
            <w:rPr>
              <w:rFonts w:ascii="Times New Roman" w:hAnsi="Times New Roman"/>
              <w:sz w:val="14"/>
              <w:szCs w:val="14"/>
            </w:rPr>
          </w:pPr>
        </w:p>
      </w:tc>
      <w:tc>
        <w:tcPr>
          <w:tcW w:w="4110" w:type="dxa"/>
          <w:vAlign w:val="center"/>
        </w:tcPr>
        <w:p w14:paraId="6350306C" w14:textId="77777777" w:rsidR="008F2AD9" w:rsidRPr="00931049" w:rsidRDefault="008F2AD9" w:rsidP="000F238E">
          <w:pPr>
            <w:ind w:right="125"/>
            <w:jc w:val="center"/>
            <w:rPr>
              <w:rFonts w:ascii="Times New Roman" w:hAnsi="Times New Roman"/>
              <w:sz w:val="14"/>
              <w:szCs w:val="14"/>
            </w:rPr>
          </w:pPr>
        </w:p>
      </w:tc>
    </w:tr>
    <w:tr w:rsidR="008F2AD9" w14:paraId="0451A7D1" w14:textId="77777777" w:rsidTr="009E6BF6">
      <w:tc>
        <w:tcPr>
          <w:tcW w:w="3402" w:type="dxa"/>
        </w:tcPr>
        <w:p w14:paraId="41D8F9C1"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lang w:val="es-ES"/>
            </w:rPr>
            <w:t>ALEJANDRO MOSQUERA</w:t>
          </w:r>
          <w:r>
            <w:rPr>
              <w:rFonts w:ascii="Times New Roman" w:hAnsi="Times New Roman"/>
              <w:sz w:val="14"/>
              <w:szCs w:val="14"/>
              <w:lang w:val="es-ES"/>
            </w:rPr>
            <w:t xml:space="preserve"> (Síndico)</w:t>
          </w:r>
        </w:p>
      </w:tc>
      <w:tc>
        <w:tcPr>
          <w:tcW w:w="1134" w:type="dxa"/>
        </w:tcPr>
        <w:p w14:paraId="3BF240DF" w14:textId="77777777" w:rsidR="008F2AD9" w:rsidRPr="00931049" w:rsidRDefault="008F2AD9" w:rsidP="000F238E">
          <w:pPr>
            <w:ind w:right="123"/>
            <w:jc w:val="center"/>
            <w:rPr>
              <w:rFonts w:ascii="Times New Roman" w:hAnsi="Times New Roman"/>
              <w:sz w:val="14"/>
              <w:szCs w:val="14"/>
            </w:rPr>
          </w:pPr>
        </w:p>
      </w:tc>
      <w:tc>
        <w:tcPr>
          <w:tcW w:w="4110" w:type="dxa"/>
          <w:vAlign w:val="center"/>
        </w:tcPr>
        <w:p w14:paraId="57AF8A18" w14:textId="77777777" w:rsidR="008F2AD9" w:rsidRPr="00931049" w:rsidRDefault="008F2AD9" w:rsidP="000F238E">
          <w:pPr>
            <w:ind w:right="125"/>
            <w:jc w:val="center"/>
            <w:rPr>
              <w:rFonts w:ascii="Times New Roman" w:hAnsi="Times New Roman"/>
              <w:sz w:val="14"/>
              <w:szCs w:val="14"/>
            </w:rPr>
          </w:pPr>
          <w:r>
            <w:rPr>
              <w:rFonts w:ascii="Times New Roman" w:hAnsi="Times New Roman"/>
              <w:sz w:val="14"/>
              <w:szCs w:val="14"/>
            </w:rPr>
            <w:t>MAURICIO</w:t>
          </w:r>
          <w:r w:rsidRPr="00040A25">
            <w:rPr>
              <w:rFonts w:ascii="Times New Roman" w:hAnsi="Times New Roman"/>
              <w:sz w:val="14"/>
              <w:szCs w:val="14"/>
            </w:rPr>
            <w:t xml:space="preserve"> G. E</w:t>
          </w:r>
          <w:r>
            <w:rPr>
              <w:rFonts w:ascii="Times New Roman" w:hAnsi="Times New Roman"/>
              <w:sz w:val="14"/>
              <w:szCs w:val="14"/>
            </w:rPr>
            <w:t>IDELSTEIN</w:t>
          </w:r>
          <w:r w:rsidRPr="00040A25">
            <w:rPr>
              <w:rFonts w:ascii="Times New Roman" w:hAnsi="Times New Roman"/>
              <w:sz w:val="14"/>
              <w:szCs w:val="14"/>
            </w:rPr>
            <w:t xml:space="preserve"> </w:t>
          </w:r>
          <w:r>
            <w:rPr>
              <w:rFonts w:ascii="Times New Roman" w:hAnsi="Times New Roman"/>
              <w:sz w:val="14"/>
              <w:szCs w:val="14"/>
            </w:rPr>
            <w:t>(Socio)</w:t>
          </w:r>
        </w:p>
      </w:tc>
    </w:tr>
    <w:tr w:rsidR="008F2AD9" w14:paraId="628C5646" w14:textId="77777777" w:rsidTr="009E6BF6">
      <w:tc>
        <w:tcPr>
          <w:tcW w:w="3402" w:type="dxa"/>
        </w:tcPr>
        <w:p w14:paraId="4B9FC262"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rPr>
            <w:t>Abogado - U.B.A.</w:t>
          </w:r>
        </w:p>
      </w:tc>
      <w:tc>
        <w:tcPr>
          <w:tcW w:w="1134" w:type="dxa"/>
        </w:tcPr>
        <w:p w14:paraId="4AF1120D" w14:textId="77777777" w:rsidR="008F2AD9" w:rsidRPr="00931049" w:rsidRDefault="008F2AD9" w:rsidP="000F238E">
          <w:pPr>
            <w:ind w:right="123"/>
            <w:jc w:val="center"/>
            <w:rPr>
              <w:rFonts w:ascii="Times New Roman" w:hAnsi="Times New Roman"/>
              <w:sz w:val="14"/>
              <w:szCs w:val="14"/>
            </w:rPr>
          </w:pPr>
        </w:p>
      </w:tc>
      <w:tc>
        <w:tcPr>
          <w:tcW w:w="4110" w:type="dxa"/>
        </w:tcPr>
        <w:p w14:paraId="1D4E5E82" w14:textId="77777777" w:rsidR="008F2AD9" w:rsidRPr="00931049" w:rsidRDefault="008F2AD9" w:rsidP="000F238E">
          <w:pPr>
            <w:ind w:right="123"/>
            <w:jc w:val="center"/>
            <w:rPr>
              <w:rFonts w:ascii="Times New Roman" w:hAnsi="Times New Roman"/>
              <w:b/>
              <w:sz w:val="14"/>
              <w:szCs w:val="14"/>
            </w:rPr>
          </w:pPr>
          <w:r>
            <w:rPr>
              <w:rFonts w:ascii="Times New Roman" w:hAnsi="Times New Roman"/>
              <w:sz w:val="14"/>
              <w:szCs w:val="14"/>
            </w:rPr>
            <w:t xml:space="preserve">  </w:t>
          </w:r>
          <w:r w:rsidRPr="00931049">
            <w:rPr>
              <w:rFonts w:ascii="Times New Roman" w:hAnsi="Times New Roman"/>
              <w:sz w:val="14"/>
              <w:szCs w:val="14"/>
            </w:rPr>
            <w:t>Contador Públic</w:t>
          </w:r>
          <w:r>
            <w:rPr>
              <w:rFonts w:ascii="Times New Roman" w:hAnsi="Times New Roman"/>
              <w:sz w:val="14"/>
              <w:szCs w:val="14"/>
            </w:rPr>
            <w:t>o</w:t>
          </w:r>
          <w:r w:rsidRPr="00931049">
            <w:rPr>
              <w:rFonts w:ascii="Times New Roman" w:hAnsi="Times New Roman"/>
              <w:sz w:val="14"/>
              <w:szCs w:val="14"/>
            </w:rPr>
            <w:t xml:space="preserve"> </w:t>
          </w:r>
          <w:r>
            <w:rPr>
              <w:rFonts w:ascii="Times New Roman" w:hAnsi="Times New Roman"/>
              <w:sz w:val="14"/>
              <w:szCs w:val="14"/>
            </w:rPr>
            <w:t>–</w:t>
          </w:r>
          <w:r w:rsidRPr="00931049">
            <w:rPr>
              <w:rFonts w:ascii="Times New Roman" w:hAnsi="Times New Roman"/>
              <w:sz w:val="14"/>
              <w:szCs w:val="14"/>
            </w:rPr>
            <w:t xml:space="preserve"> </w:t>
          </w:r>
          <w:r>
            <w:rPr>
              <w:rFonts w:ascii="Times New Roman" w:hAnsi="Times New Roman"/>
              <w:sz w:val="14"/>
              <w:szCs w:val="14"/>
            </w:rPr>
            <w:t>U.B.A.</w:t>
          </w:r>
        </w:p>
      </w:tc>
    </w:tr>
    <w:tr w:rsidR="008F2AD9" w:rsidRPr="00F5567E" w14:paraId="66AB8C66" w14:textId="77777777" w:rsidTr="009E6BF6">
      <w:tc>
        <w:tcPr>
          <w:tcW w:w="3402" w:type="dxa"/>
        </w:tcPr>
        <w:p w14:paraId="3CD6AC59" w14:textId="77777777" w:rsidR="008F2AD9" w:rsidRPr="00931049" w:rsidRDefault="008F2AD9" w:rsidP="000F238E">
          <w:pPr>
            <w:ind w:right="123"/>
            <w:jc w:val="center"/>
            <w:rPr>
              <w:rFonts w:ascii="Times New Roman" w:hAnsi="Times New Roman"/>
              <w:b/>
              <w:sz w:val="14"/>
              <w:szCs w:val="14"/>
              <w:lang w:val="fr-FR"/>
            </w:rPr>
          </w:pPr>
          <w:r>
            <w:rPr>
              <w:rFonts w:ascii="Times New Roman" w:hAnsi="Times New Roman"/>
              <w:sz w:val="14"/>
              <w:szCs w:val="14"/>
              <w:lang w:val="fr-FR"/>
            </w:rPr>
            <w:t>C.P.A.C.F</w:t>
          </w:r>
          <w:r w:rsidRPr="00931049">
            <w:rPr>
              <w:rFonts w:ascii="Times New Roman" w:hAnsi="Times New Roman"/>
              <w:sz w:val="14"/>
              <w:szCs w:val="14"/>
              <w:lang w:val="fr-FR"/>
            </w:rPr>
            <w:t>. Tº 30 Fº 536</w:t>
          </w:r>
        </w:p>
      </w:tc>
      <w:tc>
        <w:tcPr>
          <w:tcW w:w="1134" w:type="dxa"/>
        </w:tcPr>
        <w:p w14:paraId="129EA1E9" w14:textId="77777777" w:rsidR="008F2AD9" w:rsidRPr="00931049" w:rsidRDefault="008F2AD9" w:rsidP="000F238E">
          <w:pPr>
            <w:ind w:right="123"/>
            <w:jc w:val="center"/>
            <w:rPr>
              <w:rFonts w:ascii="Times New Roman" w:hAnsi="Times New Roman"/>
              <w:sz w:val="14"/>
              <w:szCs w:val="14"/>
              <w:lang w:val="fr-FR"/>
            </w:rPr>
          </w:pPr>
        </w:p>
      </w:tc>
      <w:tc>
        <w:tcPr>
          <w:tcW w:w="4110" w:type="dxa"/>
        </w:tcPr>
        <w:p w14:paraId="6AB6175F" w14:textId="77777777" w:rsidR="008F2AD9" w:rsidRPr="00931049" w:rsidRDefault="008F2AD9" w:rsidP="000F238E">
          <w:pPr>
            <w:ind w:right="123"/>
            <w:jc w:val="center"/>
            <w:rPr>
              <w:rFonts w:ascii="Times New Roman" w:hAnsi="Times New Roman"/>
              <w:b/>
              <w:sz w:val="14"/>
              <w:szCs w:val="14"/>
              <w:lang w:val="fr-FR"/>
            </w:rPr>
          </w:pPr>
          <w:r>
            <w:rPr>
              <w:rFonts w:ascii="Times New Roman" w:hAnsi="Times New Roman"/>
              <w:sz w:val="14"/>
              <w:szCs w:val="14"/>
              <w:lang w:val="fr-FR"/>
            </w:rPr>
            <w:t xml:space="preserve"> </w:t>
          </w:r>
          <w:r w:rsidRPr="00931049">
            <w:rPr>
              <w:rFonts w:ascii="Times New Roman" w:hAnsi="Times New Roman"/>
              <w:sz w:val="14"/>
              <w:szCs w:val="14"/>
              <w:lang w:val="fr-FR"/>
            </w:rPr>
            <w:t xml:space="preserve">C.P.C.E.C.A.B.A. Tº </w:t>
          </w:r>
          <w:r w:rsidRPr="00040A25">
            <w:rPr>
              <w:rFonts w:ascii="Times New Roman" w:hAnsi="Times New Roman"/>
              <w:sz w:val="14"/>
              <w:szCs w:val="14"/>
              <w:lang w:val="fr-FR"/>
            </w:rPr>
            <w:t xml:space="preserve">CXX </w:t>
          </w:r>
          <w:r>
            <w:rPr>
              <w:rFonts w:ascii="Times New Roman" w:hAnsi="Times New Roman"/>
              <w:sz w:val="14"/>
              <w:szCs w:val="14"/>
              <w:lang w:val="fr-FR"/>
            </w:rPr>
            <w:t xml:space="preserve"> </w:t>
          </w:r>
          <w:r w:rsidRPr="00040A25">
            <w:rPr>
              <w:rFonts w:ascii="Times New Roman" w:hAnsi="Times New Roman"/>
              <w:sz w:val="14"/>
              <w:szCs w:val="14"/>
              <w:lang w:val="fr-FR"/>
            </w:rPr>
            <w:t>Fº 228</w:t>
          </w:r>
        </w:p>
      </w:tc>
    </w:tr>
  </w:tbl>
  <w:p w14:paraId="5E360CAE" w14:textId="77777777" w:rsidR="008F2AD9" w:rsidRPr="00D73677" w:rsidRDefault="008F2AD9" w:rsidP="00793DBB">
    <w:pPr>
      <w:ind w:left="-540" w:right="-1221"/>
      <w:rPr>
        <w:rFonts w:ascii="Times New Roman" w:hAnsi="Times New Roman"/>
        <w:sz w:val="16"/>
        <w:lang w:val="fr-FR"/>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D99A7" w14:textId="77777777" w:rsidR="008F2AD9" w:rsidRPr="00E044C4" w:rsidRDefault="008F2AD9" w:rsidP="00E044C4">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571CC" w14:textId="77777777" w:rsidR="008F2AD9" w:rsidRDefault="008F2AD9">
    <w:pPr>
      <w:pStyle w:val="Piedepgina"/>
      <w:framePr w:wrap="around" w:vAnchor="text" w:hAnchor="margin" w:xAlign="right" w:y="1"/>
      <w:rPr>
        <w:rStyle w:val="Nmerodepgina"/>
      </w:rPr>
    </w:pPr>
  </w:p>
  <w:p w14:paraId="720B344D" w14:textId="77777777" w:rsidR="008F2AD9" w:rsidRPr="00D73677" w:rsidRDefault="008F2AD9">
    <w:pPr>
      <w:ind w:left="-540" w:right="-1221"/>
      <w:rPr>
        <w:rFonts w:ascii="Times New Roman" w:hAnsi="Times New Roman"/>
        <w:sz w:val="16"/>
        <w:lang w:val="fr-FR"/>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C292F" w14:textId="77777777" w:rsidR="008F2AD9" w:rsidRDefault="008F2AD9">
    <w:pPr>
      <w:pStyle w:val="Piedepgina"/>
      <w:framePr w:wrap="around" w:vAnchor="text" w:hAnchor="margin" w:xAlign="right" w:y="1"/>
      <w:rPr>
        <w:rStyle w:val="Nmerodepgina"/>
      </w:rPr>
    </w:pPr>
  </w:p>
  <w:p w14:paraId="43AC5470" w14:textId="77777777" w:rsidR="008F2AD9" w:rsidRDefault="008F2AD9" w:rsidP="00C25EC1">
    <w:pPr>
      <w:ind w:left="-540" w:right="360"/>
      <w:rPr>
        <w:rFonts w:ascii="Book Antiqua" w:hAnsi="Book Antiqua"/>
        <w:sz w:val="16"/>
      </w:rPr>
    </w:pPr>
  </w:p>
  <w:tbl>
    <w:tblPr>
      <w:tblW w:w="8647" w:type="dxa"/>
      <w:tblInd w:w="439" w:type="dxa"/>
      <w:tblLayout w:type="fixed"/>
      <w:tblLook w:val="0000" w:firstRow="0" w:lastRow="0" w:firstColumn="0" w:lastColumn="0" w:noHBand="0" w:noVBand="0"/>
    </w:tblPr>
    <w:tblGrid>
      <w:gridCol w:w="3402"/>
      <w:gridCol w:w="1701"/>
      <w:gridCol w:w="3544"/>
    </w:tblGrid>
    <w:tr w:rsidR="008F2AD9" w14:paraId="7C734D60" w14:textId="77777777" w:rsidTr="0030087F">
      <w:trPr>
        <w:cantSplit/>
      </w:trPr>
      <w:tc>
        <w:tcPr>
          <w:tcW w:w="3402" w:type="dxa"/>
        </w:tcPr>
        <w:p w14:paraId="45302FD1" w14:textId="77777777" w:rsidR="008F2AD9" w:rsidRDefault="008F2AD9" w:rsidP="00C25EC1">
          <w:pPr>
            <w:ind w:right="123"/>
            <w:jc w:val="center"/>
            <w:rPr>
              <w:rFonts w:ascii="Times New Roman" w:hAnsi="Times New Roman"/>
              <w:sz w:val="16"/>
            </w:rPr>
          </w:pPr>
        </w:p>
      </w:tc>
      <w:tc>
        <w:tcPr>
          <w:tcW w:w="1701" w:type="dxa"/>
        </w:tcPr>
        <w:p w14:paraId="64A74AAD" w14:textId="77777777" w:rsidR="008F2AD9" w:rsidRDefault="008F2AD9" w:rsidP="00C25EC1">
          <w:pPr>
            <w:ind w:right="123"/>
            <w:jc w:val="center"/>
            <w:rPr>
              <w:rFonts w:ascii="Times New Roman" w:hAnsi="Times New Roman"/>
              <w:sz w:val="16"/>
            </w:rPr>
          </w:pPr>
        </w:p>
      </w:tc>
      <w:tc>
        <w:tcPr>
          <w:tcW w:w="3544" w:type="dxa"/>
        </w:tcPr>
        <w:p w14:paraId="00E8C251" w14:textId="77777777" w:rsidR="008F2AD9" w:rsidRDefault="008F2AD9" w:rsidP="00C25EC1">
          <w:pPr>
            <w:ind w:right="123"/>
            <w:jc w:val="center"/>
            <w:rPr>
              <w:rFonts w:ascii="Times New Roman" w:hAnsi="Times New Roman"/>
              <w:sz w:val="16"/>
            </w:rPr>
          </w:pPr>
        </w:p>
      </w:tc>
    </w:tr>
    <w:tr w:rsidR="008F2AD9" w14:paraId="6583BEDE" w14:textId="77777777" w:rsidTr="0030087F">
      <w:trPr>
        <w:cantSplit/>
      </w:trPr>
      <w:tc>
        <w:tcPr>
          <w:tcW w:w="3402" w:type="dxa"/>
        </w:tcPr>
        <w:p w14:paraId="6E6C65AB" w14:textId="77777777" w:rsidR="008F2AD9" w:rsidRDefault="008F2AD9" w:rsidP="00C25EC1">
          <w:pPr>
            <w:ind w:right="123"/>
            <w:jc w:val="center"/>
            <w:rPr>
              <w:rFonts w:ascii="Times New Roman" w:hAnsi="Times New Roman"/>
              <w:sz w:val="16"/>
            </w:rPr>
          </w:pPr>
        </w:p>
      </w:tc>
      <w:tc>
        <w:tcPr>
          <w:tcW w:w="1701" w:type="dxa"/>
        </w:tcPr>
        <w:p w14:paraId="4F8537FF" w14:textId="77777777" w:rsidR="008F2AD9" w:rsidRDefault="008F2AD9" w:rsidP="00C25EC1">
          <w:pPr>
            <w:ind w:right="123"/>
            <w:jc w:val="center"/>
            <w:rPr>
              <w:rFonts w:ascii="Times New Roman" w:hAnsi="Times New Roman"/>
              <w:sz w:val="16"/>
            </w:rPr>
          </w:pPr>
        </w:p>
      </w:tc>
      <w:tc>
        <w:tcPr>
          <w:tcW w:w="3544" w:type="dxa"/>
        </w:tcPr>
        <w:p w14:paraId="44C21A9C" w14:textId="77777777" w:rsidR="008F2AD9" w:rsidRDefault="008F2AD9" w:rsidP="00C25EC1">
          <w:pPr>
            <w:ind w:right="123"/>
            <w:jc w:val="center"/>
            <w:rPr>
              <w:rFonts w:ascii="Times New Roman" w:hAnsi="Times New Roman"/>
              <w:sz w:val="16"/>
            </w:rPr>
          </w:pPr>
        </w:p>
      </w:tc>
    </w:tr>
    <w:tr w:rsidR="008F2AD9" w14:paraId="58DAE65C" w14:textId="77777777" w:rsidTr="0030087F">
      <w:trPr>
        <w:cantSplit/>
      </w:trPr>
      <w:tc>
        <w:tcPr>
          <w:tcW w:w="3402" w:type="dxa"/>
        </w:tcPr>
        <w:p w14:paraId="0A3E2F95" w14:textId="77777777" w:rsidR="008F2AD9" w:rsidRDefault="008F2AD9" w:rsidP="00C25EC1">
          <w:pPr>
            <w:ind w:right="123"/>
            <w:jc w:val="center"/>
            <w:rPr>
              <w:rFonts w:ascii="Times New Roman" w:hAnsi="Times New Roman"/>
              <w:sz w:val="16"/>
            </w:rPr>
          </w:pPr>
        </w:p>
      </w:tc>
      <w:tc>
        <w:tcPr>
          <w:tcW w:w="1701" w:type="dxa"/>
        </w:tcPr>
        <w:p w14:paraId="0EB40DF2" w14:textId="77777777" w:rsidR="008F2AD9" w:rsidRDefault="008F2AD9" w:rsidP="00C25EC1">
          <w:pPr>
            <w:ind w:right="123"/>
            <w:jc w:val="center"/>
            <w:rPr>
              <w:rFonts w:ascii="Times New Roman" w:hAnsi="Times New Roman"/>
              <w:sz w:val="16"/>
            </w:rPr>
          </w:pPr>
        </w:p>
      </w:tc>
      <w:tc>
        <w:tcPr>
          <w:tcW w:w="3544" w:type="dxa"/>
        </w:tcPr>
        <w:p w14:paraId="2C87B3D7" w14:textId="77777777" w:rsidR="008F2AD9" w:rsidRDefault="008F2AD9" w:rsidP="00C25EC1">
          <w:pPr>
            <w:ind w:right="123"/>
            <w:jc w:val="center"/>
            <w:rPr>
              <w:rFonts w:ascii="Times New Roman" w:hAnsi="Times New Roman"/>
              <w:sz w:val="16"/>
            </w:rPr>
          </w:pPr>
        </w:p>
        <w:p w14:paraId="6D0AF80C" w14:textId="77777777" w:rsidR="008F2AD9" w:rsidRDefault="008F2AD9" w:rsidP="00C25EC1">
          <w:pPr>
            <w:ind w:right="123"/>
            <w:jc w:val="center"/>
            <w:rPr>
              <w:rFonts w:ascii="Times New Roman" w:hAnsi="Times New Roman"/>
              <w:sz w:val="16"/>
            </w:rPr>
          </w:pPr>
        </w:p>
      </w:tc>
    </w:tr>
    <w:tr w:rsidR="008F2AD9" w14:paraId="0410A0ED" w14:textId="77777777" w:rsidTr="0030087F">
      <w:trPr>
        <w:cantSplit/>
      </w:trPr>
      <w:tc>
        <w:tcPr>
          <w:tcW w:w="3402" w:type="dxa"/>
        </w:tcPr>
        <w:p w14:paraId="35200F7A" w14:textId="77777777" w:rsidR="008F2AD9" w:rsidRDefault="008F2AD9" w:rsidP="00DF66D8">
          <w:pPr>
            <w:ind w:right="123"/>
            <w:jc w:val="center"/>
            <w:rPr>
              <w:rFonts w:ascii="Times New Roman" w:hAnsi="Times New Roman"/>
              <w:sz w:val="14"/>
              <w:szCs w:val="14"/>
            </w:rPr>
          </w:pPr>
        </w:p>
        <w:p w14:paraId="627D1F2E" w14:textId="4E4C36B2" w:rsidR="008F2AD9" w:rsidRPr="00931049" w:rsidRDefault="008F2AD9" w:rsidP="00DF66D8">
          <w:pPr>
            <w:ind w:right="123"/>
            <w:jc w:val="center"/>
            <w:rPr>
              <w:rFonts w:ascii="Times New Roman" w:hAnsi="Times New Roman"/>
              <w:sz w:val="14"/>
              <w:szCs w:val="14"/>
            </w:rPr>
          </w:pPr>
          <w:r>
            <w:rPr>
              <w:rFonts w:ascii="Times New Roman" w:hAnsi="Times New Roman"/>
              <w:sz w:val="14"/>
              <w:szCs w:val="14"/>
            </w:rPr>
            <w:t xml:space="preserve">  ERNESTO R. GALLARDO JIMENEZ</w:t>
          </w:r>
        </w:p>
      </w:tc>
      <w:tc>
        <w:tcPr>
          <w:tcW w:w="1701" w:type="dxa"/>
        </w:tcPr>
        <w:p w14:paraId="7522212B" w14:textId="023BA444" w:rsidR="008F2AD9" w:rsidRPr="00931049" w:rsidRDefault="008F2AD9" w:rsidP="00DF66D8">
          <w:pPr>
            <w:jc w:val="center"/>
            <w:rPr>
              <w:rFonts w:ascii="Times New Roman" w:hAnsi="Times New Roman"/>
              <w:sz w:val="14"/>
              <w:szCs w:val="14"/>
              <w:lang w:val="es-ES_tradnl"/>
            </w:rPr>
          </w:pPr>
          <w:r>
            <w:rPr>
              <w:rFonts w:ascii="Times New Roman" w:hAnsi="Times New Roman"/>
              <w:sz w:val="14"/>
              <w:szCs w:val="14"/>
              <w:lang w:val="es-ES_tradnl"/>
            </w:rPr>
            <w:t xml:space="preserve">                                  JORGE D. LUNA</w:t>
          </w:r>
        </w:p>
      </w:tc>
      <w:tc>
        <w:tcPr>
          <w:tcW w:w="3544" w:type="dxa"/>
        </w:tcPr>
        <w:p w14:paraId="395F5952" w14:textId="77777777" w:rsidR="008F2AD9" w:rsidRDefault="008F2AD9" w:rsidP="00DF66D8">
          <w:pPr>
            <w:ind w:right="123"/>
            <w:rPr>
              <w:rFonts w:ascii="Times New Roman" w:hAnsi="Times New Roman"/>
              <w:sz w:val="14"/>
              <w:szCs w:val="14"/>
              <w:lang w:val="es-ES_tradnl"/>
            </w:rPr>
          </w:pPr>
        </w:p>
        <w:p w14:paraId="19F26B71" w14:textId="4B23549D" w:rsidR="008F2AD9" w:rsidRPr="00931049" w:rsidRDefault="008F2AD9" w:rsidP="00DF66D8">
          <w:pPr>
            <w:ind w:right="123"/>
            <w:rPr>
              <w:rFonts w:ascii="Times New Roman" w:hAnsi="Times New Roman"/>
              <w:sz w:val="14"/>
              <w:szCs w:val="14"/>
              <w:lang w:val="es-ES_tradnl"/>
            </w:rPr>
          </w:pPr>
          <w:r>
            <w:rPr>
              <w:rFonts w:ascii="Times New Roman" w:hAnsi="Times New Roman"/>
              <w:sz w:val="14"/>
              <w:szCs w:val="14"/>
              <w:lang w:val="es-ES_tradnl"/>
            </w:rPr>
            <w:t xml:space="preserve">                   MARTIN E. ZARICH</w:t>
          </w:r>
        </w:p>
      </w:tc>
    </w:tr>
    <w:tr w:rsidR="008F2AD9" w14:paraId="0B8BDE9A" w14:textId="77777777" w:rsidTr="0030087F">
      <w:trPr>
        <w:cantSplit/>
        <w:trHeight w:val="279"/>
      </w:trPr>
      <w:tc>
        <w:tcPr>
          <w:tcW w:w="3402" w:type="dxa"/>
        </w:tcPr>
        <w:p w14:paraId="0CFA5388" w14:textId="20544781" w:rsidR="008F2AD9" w:rsidRPr="00931049" w:rsidRDefault="008F2AD9" w:rsidP="00DF66D8">
          <w:pPr>
            <w:ind w:right="123"/>
            <w:rPr>
              <w:rFonts w:ascii="Times New Roman" w:hAnsi="Times New Roman"/>
              <w:sz w:val="14"/>
              <w:szCs w:val="14"/>
            </w:rPr>
          </w:pPr>
          <w:r>
            <w:rPr>
              <w:rFonts w:ascii="Times New Roman" w:hAnsi="Times New Roman"/>
              <w:sz w:val="14"/>
              <w:szCs w:val="14"/>
            </w:rPr>
            <w:t xml:space="preserve">              Director Financiero y de Planeamiento</w:t>
          </w:r>
          <w:r w:rsidRPr="00931049">
            <w:rPr>
              <w:rFonts w:ascii="Times New Roman" w:hAnsi="Times New Roman"/>
              <w:sz w:val="14"/>
              <w:szCs w:val="14"/>
            </w:rPr>
            <w:t xml:space="preserve"> </w:t>
          </w:r>
        </w:p>
      </w:tc>
      <w:tc>
        <w:tcPr>
          <w:tcW w:w="1701" w:type="dxa"/>
        </w:tcPr>
        <w:p w14:paraId="7A633B0E" w14:textId="4ED61457" w:rsidR="008F2AD9" w:rsidRPr="00931049" w:rsidRDefault="008F2AD9" w:rsidP="00DF66D8">
          <w:pPr>
            <w:jc w:val="center"/>
            <w:rPr>
              <w:rFonts w:ascii="Times New Roman" w:hAnsi="Times New Roman"/>
              <w:sz w:val="14"/>
              <w:szCs w:val="14"/>
            </w:rPr>
          </w:pPr>
          <w:r>
            <w:rPr>
              <w:rFonts w:ascii="Times New Roman" w:hAnsi="Times New Roman"/>
              <w:sz w:val="14"/>
              <w:szCs w:val="14"/>
            </w:rPr>
            <w:t>Vicep</w:t>
          </w:r>
          <w:r w:rsidRPr="00912840">
            <w:rPr>
              <w:rFonts w:ascii="Times New Roman" w:hAnsi="Times New Roman"/>
              <w:sz w:val="14"/>
              <w:szCs w:val="14"/>
            </w:rPr>
            <w:t>residente</w:t>
          </w:r>
          <w:r>
            <w:rPr>
              <w:rFonts w:ascii="Times New Roman" w:hAnsi="Times New Roman"/>
              <w:sz w:val="14"/>
              <w:szCs w:val="14"/>
            </w:rPr>
            <w:t xml:space="preserve"> 1° en ejercicio de la presidencia</w:t>
          </w:r>
        </w:p>
      </w:tc>
      <w:tc>
        <w:tcPr>
          <w:tcW w:w="3544" w:type="dxa"/>
        </w:tcPr>
        <w:p w14:paraId="4BDD8032" w14:textId="2571D810" w:rsidR="008F2AD9" w:rsidRPr="00931049" w:rsidRDefault="008F2AD9" w:rsidP="00DF66D8">
          <w:pPr>
            <w:ind w:right="123"/>
            <w:rPr>
              <w:rFonts w:ascii="Times New Roman" w:hAnsi="Times New Roman"/>
              <w:sz w:val="14"/>
              <w:szCs w:val="14"/>
            </w:rPr>
          </w:pPr>
          <w:r>
            <w:rPr>
              <w:rFonts w:ascii="Times New Roman" w:hAnsi="Times New Roman"/>
              <w:sz w:val="14"/>
              <w:szCs w:val="14"/>
            </w:rPr>
            <w:t xml:space="preserve">                       Gerente General</w:t>
          </w:r>
        </w:p>
      </w:tc>
    </w:tr>
  </w:tbl>
  <w:p w14:paraId="0FE764A8" w14:textId="77777777" w:rsidR="008F2AD9" w:rsidRPr="006E18E9" w:rsidRDefault="008F2AD9" w:rsidP="00C25EC1">
    <w:pPr>
      <w:ind w:left="-540" w:right="-1221"/>
      <w:rPr>
        <w:rFonts w:ascii="Times New Roman" w:hAnsi="Times New Roman"/>
        <w:sz w:val="16"/>
        <w:lang w:val="fr-FR"/>
      </w:rPr>
    </w:pPr>
  </w:p>
  <w:tbl>
    <w:tblPr>
      <w:tblW w:w="8646" w:type="dxa"/>
      <w:tblInd w:w="430" w:type="dxa"/>
      <w:tblLayout w:type="fixed"/>
      <w:tblLook w:val="0000" w:firstRow="0" w:lastRow="0" w:firstColumn="0" w:lastColumn="0" w:noHBand="0" w:noVBand="0"/>
    </w:tblPr>
    <w:tblGrid>
      <w:gridCol w:w="3402"/>
      <w:gridCol w:w="1134"/>
      <w:gridCol w:w="4110"/>
    </w:tblGrid>
    <w:tr w:rsidR="008F2AD9" w14:paraId="3548A9B3" w14:textId="77777777" w:rsidTr="0030087F">
      <w:tc>
        <w:tcPr>
          <w:tcW w:w="3402" w:type="dxa"/>
        </w:tcPr>
        <w:p w14:paraId="3B0D490A" w14:textId="77777777" w:rsidR="008F2AD9" w:rsidRPr="00A100B5" w:rsidRDefault="008F2AD9" w:rsidP="00C25EC1">
          <w:pPr>
            <w:ind w:right="18"/>
            <w:jc w:val="center"/>
            <w:rPr>
              <w:rFonts w:ascii="Times New Roman" w:hAnsi="Times New Roman"/>
              <w:sz w:val="12"/>
              <w:szCs w:val="12"/>
            </w:rPr>
          </w:pPr>
          <w:r w:rsidRPr="00A100B5">
            <w:rPr>
              <w:rFonts w:ascii="Times New Roman" w:hAnsi="Times New Roman"/>
              <w:sz w:val="12"/>
              <w:szCs w:val="12"/>
            </w:rPr>
            <w:t>Firmado a los efectos de su identificación</w:t>
          </w:r>
        </w:p>
      </w:tc>
      <w:tc>
        <w:tcPr>
          <w:tcW w:w="1134" w:type="dxa"/>
        </w:tcPr>
        <w:p w14:paraId="07B7CD78" w14:textId="77777777" w:rsidR="008F2AD9" w:rsidRPr="00931049" w:rsidRDefault="008F2AD9" w:rsidP="00C25EC1">
          <w:pPr>
            <w:ind w:right="18"/>
            <w:jc w:val="center"/>
            <w:rPr>
              <w:rFonts w:ascii="Times New Roman" w:hAnsi="Times New Roman"/>
              <w:sz w:val="14"/>
              <w:szCs w:val="14"/>
            </w:rPr>
          </w:pPr>
        </w:p>
      </w:tc>
      <w:tc>
        <w:tcPr>
          <w:tcW w:w="4110" w:type="dxa"/>
        </w:tcPr>
        <w:p w14:paraId="315216FD" w14:textId="77777777" w:rsidR="008F2AD9" w:rsidRPr="00042795" w:rsidRDefault="008F2AD9" w:rsidP="00C25EC1">
          <w:pPr>
            <w:ind w:right="18"/>
            <w:jc w:val="center"/>
            <w:rPr>
              <w:rFonts w:ascii="Times New Roman" w:hAnsi="Times New Roman"/>
              <w:sz w:val="12"/>
              <w:szCs w:val="12"/>
            </w:rPr>
          </w:pPr>
          <w:r w:rsidRPr="00042795">
            <w:rPr>
              <w:rFonts w:ascii="Times New Roman" w:hAnsi="Times New Roman"/>
              <w:sz w:val="12"/>
              <w:szCs w:val="12"/>
            </w:rPr>
            <w:t>Firmado a los efectos de su identificación</w:t>
          </w:r>
        </w:p>
      </w:tc>
    </w:tr>
    <w:tr w:rsidR="008F2AD9" w14:paraId="2F00AF14" w14:textId="77777777" w:rsidTr="0030087F">
      <w:tc>
        <w:tcPr>
          <w:tcW w:w="3402" w:type="dxa"/>
        </w:tcPr>
        <w:p w14:paraId="3FA2FDF0" w14:textId="2A9E776A" w:rsidR="008F2AD9" w:rsidRPr="00A100B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c>
        <w:tcPr>
          <w:tcW w:w="1134" w:type="dxa"/>
        </w:tcPr>
        <w:p w14:paraId="6AF4A5B8" w14:textId="77777777" w:rsidR="008F2AD9" w:rsidRPr="00931049" w:rsidRDefault="008F2AD9" w:rsidP="000F238E">
          <w:pPr>
            <w:ind w:right="18"/>
            <w:jc w:val="center"/>
            <w:rPr>
              <w:rFonts w:ascii="Times New Roman" w:hAnsi="Times New Roman"/>
              <w:sz w:val="14"/>
              <w:szCs w:val="14"/>
            </w:rPr>
          </w:pPr>
        </w:p>
      </w:tc>
      <w:tc>
        <w:tcPr>
          <w:tcW w:w="4110" w:type="dxa"/>
        </w:tcPr>
        <w:p w14:paraId="46867343" w14:textId="158BDBDF" w:rsidR="008F2AD9" w:rsidRPr="0004279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r>
    <w:tr w:rsidR="008F2AD9" w14:paraId="6A2B5070" w14:textId="77777777" w:rsidTr="0030087F">
      <w:tc>
        <w:tcPr>
          <w:tcW w:w="3402" w:type="dxa"/>
        </w:tcPr>
        <w:p w14:paraId="48494EA8" w14:textId="77777777" w:rsidR="008F2AD9" w:rsidRPr="00A100B5" w:rsidRDefault="008F2AD9" w:rsidP="000F238E">
          <w:pPr>
            <w:ind w:right="123"/>
            <w:jc w:val="center"/>
            <w:rPr>
              <w:rFonts w:ascii="Times New Roman" w:hAnsi="Times New Roman"/>
              <w:sz w:val="12"/>
              <w:szCs w:val="12"/>
            </w:rPr>
          </w:pPr>
          <w:r w:rsidRPr="00A100B5">
            <w:rPr>
              <w:rFonts w:ascii="Times New Roman" w:hAnsi="Times New Roman"/>
              <w:sz w:val="12"/>
              <w:szCs w:val="12"/>
            </w:rPr>
            <w:t>P/COMISIÓN FISCALIZADORA</w:t>
          </w:r>
        </w:p>
      </w:tc>
      <w:tc>
        <w:tcPr>
          <w:tcW w:w="1134" w:type="dxa"/>
        </w:tcPr>
        <w:p w14:paraId="3F5B6C4E" w14:textId="77777777" w:rsidR="008F2AD9" w:rsidRPr="00931049" w:rsidRDefault="008F2AD9" w:rsidP="000F238E">
          <w:pPr>
            <w:ind w:right="123"/>
            <w:jc w:val="center"/>
            <w:rPr>
              <w:rFonts w:ascii="Times New Roman" w:hAnsi="Times New Roman"/>
              <w:sz w:val="14"/>
              <w:szCs w:val="14"/>
              <w:lang w:val="en-US"/>
            </w:rPr>
          </w:pPr>
        </w:p>
      </w:tc>
      <w:tc>
        <w:tcPr>
          <w:tcW w:w="4110" w:type="dxa"/>
        </w:tcPr>
        <w:p w14:paraId="3156CE0B" w14:textId="77777777" w:rsidR="008F2AD9" w:rsidRPr="005E51EC" w:rsidRDefault="008F2AD9" w:rsidP="000F238E">
          <w:pPr>
            <w:ind w:right="123"/>
            <w:jc w:val="center"/>
            <w:rPr>
              <w:rFonts w:ascii="Times New Roman" w:hAnsi="Times New Roman"/>
              <w:b/>
              <w:sz w:val="12"/>
              <w:szCs w:val="12"/>
              <w:lang w:val="en-US"/>
            </w:rPr>
          </w:pPr>
          <w:r>
            <w:rPr>
              <w:rFonts w:ascii="Times New Roman" w:hAnsi="Times New Roman"/>
              <w:b/>
              <w:sz w:val="12"/>
              <w:szCs w:val="12"/>
              <w:lang w:val="en-US"/>
            </w:rPr>
            <w:t>KPMG</w:t>
          </w:r>
        </w:p>
      </w:tc>
    </w:tr>
    <w:tr w:rsidR="008F2AD9" w14:paraId="15C1E9D8" w14:textId="77777777" w:rsidTr="0030087F">
      <w:tc>
        <w:tcPr>
          <w:tcW w:w="3402" w:type="dxa"/>
        </w:tcPr>
        <w:p w14:paraId="1AB9CDBA" w14:textId="77777777" w:rsidR="008F2AD9" w:rsidRPr="00931049" w:rsidRDefault="008F2AD9" w:rsidP="000F238E">
          <w:pPr>
            <w:ind w:right="123"/>
            <w:jc w:val="center"/>
            <w:rPr>
              <w:rFonts w:ascii="Times New Roman" w:hAnsi="Times New Roman"/>
              <w:sz w:val="14"/>
              <w:szCs w:val="14"/>
              <w:lang w:val="en-US"/>
            </w:rPr>
          </w:pPr>
        </w:p>
      </w:tc>
      <w:tc>
        <w:tcPr>
          <w:tcW w:w="1134" w:type="dxa"/>
        </w:tcPr>
        <w:p w14:paraId="651627C5" w14:textId="77777777" w:rsidR="008F2AD9" w:rsidRPr="00931049" w:rsidRDefault="008F2AD9" w:rsidP="000F238E">
          <w:pPr>
            <w:ind w:left="34" w:right="-107" w:hanging="34"/>
            <w:jc w:val="center"/>
            <w:rPr>
              <w:rFonts w:ascii="Times New Roman" w:hAnsi="Times New Roman"/>
              <w:sz w:val="14"/>
              <w:szCs w:val="14"/>
              <w:lang w:val="en-US"/>
            </w:rPr>
          </w:pPr>
        </w:p>
      </w:tc>
      <w:tc>
        <w:tcPr>
          <w:tcW w:w="4110" w:type="dxa"/>
        </w:tcPr>
        <w:p w14:paraId="1E008A2F" w14:textId="77777777" w:rsidR="008F2AD9" w:rsidRPr="005E51EC" w:rsidRDefault="008F2AD9" w:rsidP="000F238E">
          <w:pPr>
            <w:ind w:right="123"/>
            <w:jc w:val="center"/>
            <w:rPr>
              <w:rFonts w:ascii="Times New Roman" w:hAnsi="Times New Roman"/>
              <w:sz w:val="12"/>
              <w:szCs w:val="12"/>
            </w:rPr>
          </w:pPr>
          <w:r w:rsidRPr="000E498B">
            <w:rPr>
              <w:rFonts w:ascii="Times New Roman" w:hAnsi="Times New Roman"/>
              <w:sz w:val="12"/>
              <w:szCs w:val="12"/>
            </w:rPr>
            <w:t>Reg. de Asoc. Prof. CPCECABA Tº 2 Fº 6</w:t>
          </w:r>
        </w:p>
      </w:tc>
    </w:tr>
    <w:tr w:rsidR="008F2AD9" w14:paraId="2AFDAE91" w14:textId="77777777" w:rsidTr="0030087F">
      <w:tc>
        <w:tcPr>
          <w:tcW w:w="3402" w:type="dxa"/>
        </w:tcPr>
        <w:p w14:paraId="4B34C2DC" w14:textId="77777777" w:rsidR="008F2AD9" w:rsidRPr="00931049" w:rsidRDefault="008F2AD9" w:rsidP="000F238E">
          <w:pPr>
            <w:ind w:right="123"/>
            <w:jc w:val="center"/>
            <w:rPr>
              <w:rFonts w:ascii="Times New Roman" w:hAnsi="Times New Roman"/>
              <w:sz w:val="14"/>
              <w:szCs w:val="14"/>
            </w:rPr>
          </w:pPr>
        </w:p>
      </w:tc>
      <w:tc>
        <w:tcPr>
          <w:tcW w:w="1134" w:type="dxa"/>
        </w:tcPr>
        <w:p w14:paraId="42243F06" w14:textId="77777777" w:rsidR="008F2AD9" w:rsidRPr="00931049" w:rsidRDefault="008F2AD9" w:rsidP="000F238E">
          <w:pPr>
            <w:ind w:right="123"/>
            <w:jc w:val="center"/>
            <w:rPr>
              <w:rFonts w:ascii="Times New Roman" w:hAnsi="Times New Roman"/>
              <w:sz w:val="14"/>
              <w:szCs w:val="14"/>
            </w:rPr>
          </w:pPr>
        </w:p>
      </w:tc>
      <w:tc>
        <w:tcPr>
          <w:tcW w:w="4110" w:type="dxa"/>
        </w:tcPr>
        <w:p w14:paraId="03929F80" w14:textId="77777777" w:rsidR="008F2AD9" w:rsidRPr="005E51EC" w:rsidRDefault="008F2AD9" w:rsidP="000F238E">
          <w:pPr>
            <w:ind w:right="123"/>
            <w:jc w:val="center"/>
            <w:rPr>
              <w:rFonts w:ascii="Times New Roman" w:hAnsi="Times New Roman"/>
              <w:b/>
              <w:sz w:val="12"/>
              <w:szCs w:val="12"/>
            </w:rPr>
          </w:pPr>
        </w:p>
      </w:tc>
    </w:tr>
    <w:tr w:rsidR="008F2AD9" w14:paraId="23744408" w14:textId="77777777" w:rsidTr="0030087F">
      <w:tc>
        <w:tcPr>
          <w:tcW w:w="3402" w:type="dxa"/>
        </w:tcPr>
        <w:p w14:paraId="611ECBF0" w14:textId="77777777" w:rsidR="008F2AD9" w:rsidRPr="00931049" w:rsidRDefault="008F2AD9" w:rsidP="000F238E">
          <w:pPr>
            <w:ind w:right="123"/>
            <w:jc w:val="center"/>
            <w:rPr>
              <w:rFonts w:ascii="Times New Roman" w:hAnsi="Times New Roman"/>
              <w:sz w:val="14"/>
              <w:szCs w:val="14"/>
            </w:rPr>
          </w:pPr>
        </w:p>
      </w:tc>
      <w:tc>
        <w:tcPr>
          <w:tcW w:w="1134" w:type="dxa"/>
        </w:tcPr>
        <w:p w14:paraId="7582992A" w14:textId="77777777" w:rsidR="008F2AD9" w:rsidRPr="00931049" w:rsidRDefault="008F2AD9" w:rsidP="000F238E">
          <w:pPr>
            <w:ind w:right="18"/>
            <w:jc w:val="center"/>
            <w:rPr>
              <w:rFonts w:ascii="Times New Roman" w:hAnsi="Times New Roman"/>
              <w:sz w:val="14"/>
              <w:szCs w:val="14"/>
            </w:rPr>
          </w:pPr>
        </w:p>
      </w:tc>
      <w:tc>
        <w:tcPr>
          <w:tcW w:w="4110" w:type="dxa"/>
        </w:tcPr>
        <w:p w14:paraId="2E3ADE70" w14:textId="77777777" w:rsidR="008F2AD9" w:rsidRPr="00931049" w:rsidRDefault="008F2AD9" w:rsidP="000F238E">
          <w:pPr>
            <w:ind w:right="18"/>
            <w:jc w:val="center"/>
            <w:rPr>
              <w:rFonts w:ascii="Times New Roman" w:hAnsi="Times New Roman"/>
              <w:sz w:val="14"/>
              <w:szCs w:val="14"/>
            </w:rPr>
          </w:pPr>
        </w:p>
      </w:tc>
    </w:tr>
    <w:tr w:rsidR="008F2AD9" w14:paraId="4A1F5BC6" w14:textId="77777777" w:rsidTr="0030087F">
      <w:tc>
        <w:tcPr>
          <w:tcW w:w="3402" w:type="dxa"/>
        </w:tcPr>
        <w:p w14:paraId="3E62BC7A" w14:textId="77777777" w:rsidR="008F2AD9" w:rsidRPr="00931049" w:rsidRDefault="008F2AD9" w:rsidP="000F238E">
          <w:pPr>
            <w:ind w:right="123"/>
            <w:jc w:val="center"/>
            <w:rPr>
              <w:rFonts w:ascii="Times New Roman" w:hAnsi="Times New Roman"/>
              <w:sz w:val="14"/>
              <w:szCs w:val="14"/>
            </w:rPr>
          </w:pPr>
        </w:p>
      </w:tc>
      <w:tc>
        <w:tcPr>
          <w:tcW w:w="1134" w:type="dxa"/>
        </w:tcPr>
        <w:p w14:paraId="6CE5586D" w14:textId="77777777" w:rsidR="008F2AD9" w:rsidRPr="00931049" w:rsidRDefault="008F2AD9" w:rsidP="000F238E">
          <w:pPr>
            <w:ind w:right="123"/>
            <w:jc w:val="center"/>
            <w:rPr>
              <w:rFonts w:ascii="Times New Roman" w:hAnsi="Times New Roman"/>
              <w:b/>
              <w:sz w:val="14"/>
              <w:szCs w:val="14"/>
            </w:rPr>
          </w:pPr>
        </w:p>
      </w:tc>
      <w:tc>
        <w:tcPr>
          <w:tcW w:w="4110" w:type="dxa"/>
        </w:tcPr>
        <w:p w14:paraId="357E5212" w14:textId="77777777" w:rsidR="008F2AD9" w:rsidRPr="00931049" w:rsidRDefault="008F2AD9" w:rsidP="000F238E">
          <w:pPr>
            <w:ind w:right="123"/>
            <w:jc w:val="center"/>
            <w:rPr>
              <w:rFonts w:ascii="Times New Roman" w:hAnsi="Times New Roman"/>
              <w:b/>
              <w:sz w:val="14"/>
              <w:szCs w:val="14"/>
            </w:rPr>
          </w:pPr>
        </w:p>
      </w:tc>
    </w:tr>
    <w:tr w:rsidR="008F2AD9" w14:paraId="31876D75" w14:textId="77777777" w:rsidTr="0030087F">
      <w:trPr>
        <w:trHeight w:hRule="exact" w:val="170"/>
      </w:trPr>
      <w:tc>
        <w:tcPr>
          <w:tcW w:w="3402" w:type="dxa"/>
          <w:vAlign w:val="center"/>
        </w:tcPr>
        <w:p w14:paraId="30108F9A" w14:textId="77777777" w:rsidR="008F2AD9" w:rsidRPr="00931049" w:rsidRDefault="008F2AD9" w:rsidP="000F238E">
          <w:pPr>
            <w:ind w:right="125"/>
            <w:jc w:val="center"/>
            <w:rPr>
              <w:rFonts w:ascii="Times New Roman" w:hAnsi="Times New Roman"/>
              <w:sz w:val="14"/>
              <w:szCs w:val="14"/>
              <w:lang w:val="es-ES"/>
            </w:rPr>
          </w:pPr>
        </w:p>
      </w:tc>
      <w:tc>
        <w:tcPr>
          <w:tcW w:w="1134" w:type="dxa"/>
          <w:vAlign w:val="center"/>
        </w:tcPr>
        <w:p w14:paraId="0661C42A" w14:textId="77777777" w:rsidR="008F2AD9" w:rsidRPr="00931049" w:rsidRDefault="008F2AD9" w:rsidP="000F238E">
          <w:pPr>
            <w:ind w:right="125"/>
            <w:jc w:val="center"/>
            <w:rPr>
              <w:rFonts w:ascii="Times New Roman" w:hAnsi="Times New Roman"/>
              <w:sz w:val="14"/>
              <w:szCs w:val="14"/>
            </w:rPr>
          </w:pPr>
        </w:p>
      </w:tc>
      <w:tc>
        <w:tcPr>
          <w:tcW w:w="4110" w:type="dxa"/>
          <w:vAlign w:val="center"/>
        </w:tcPr>
        <w:p w14:paraId="6FAF4217" w14:textId="77777777" w:rsidR="008F2AD9" w:rsidRPr="00931049" w:rsidRDefault="008F2AD9" w:rsidP="000F238E">
          <w:pPr>
            <w:ind w:right="125"/>
            <w:jc w:val="center"/>
            <w:rPr>
              <w:rFonts w:ascii="Times New Roman" w:hAnsi="Times New Roman"/>
              <w:sz w:val="14"/>
              <w:szCs w:val="14"/>
            </w:rPr>
          </w:pPr>
        </w:p>
      </w:tc>
    </w:tr>
    <w:tr w:rsidR="008F2AD9" w14:paraId="20C7E114" w14:textId="77777777" w:rsidTr="0030087F">
      <w:tc>
        <w:tcPr>
          <w:tcW w:w="3402" w:type="dxa"/>
        </w:tcPr>
        <w:p w14:paraId="337EFA25"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lang w:val="es-ES"/>
            </w:rPr>
            <w:t>ALEJANDRO MOSQUERA</w:t>
          </w:r>
          <w:r>
            <w:rPr>
              <w:rFonts w:ascii="Times New Roman" w:hAnsi="Times New Roman"/>
              <w:sz w:val="14"/>
              <w:szCs w:val="14"/>
              <w:lang w:val="es-ES"/>
            </w:rPr>
            <w:t xml:space="preserve"> (Síndico)</w:t>
          </w:r>
        </w:p>
      </w:tc>
      <w:tc>
        <w:tcPr>
          <w:tcW w:w="1134" w:type="dxa"/>
        </w:tcPr>
        <w:p w14:paraId="294F32B6" w14:textId="77777777" w:rsidR="008F2AD9" w:rsidRPr="00931049" w:rsidRDefault="008F2AD9" w:rsidP="000F238E">
          <w:pPr>
            <w:ind w:right="123"/>
            <w:jc w:val="center"/>
            <w:rPr>
              <w:rFonts w:ascii="Times New Roman" w:hAnsi="Times New Roman"/>
              <w:sz w:val="14"/>
              <w:szCs w:val="14"/>
            </w:rPr>
          </w:pPr>
        </w:p>
      </w:tc>
      <w:tc>
        <w:tcPr>
          <w:tcW w:w="4110" w:type="dxa"/>
          <w:vAlign w:val="center"/>
        </w:tcPr>
        <w:p w14:paraId="5E593EB7" w14:textId="03BBAE57" w:rsidR="008F2AD9" w:rsidRPr="00931049" w:rsidRDefault="008F2AD9" w:rsidP="000F238E">
          <w:pPr>
            <w:ind w:right="125"/>
            <w:jc w:val="center"/>
            <w:rPr>
              <w:rFonts w:ascii="Times New Roman" w:hAnsi="Times New Roman"/>
              <w:sz w:val="14"/>
              <w:szCs w:val="14"/>
            </w:rPr>
          </w:pPr>
          <w:r>
            <w:rPr>
              <w:rFonts w:ascii="Times New Roman" w:hAnsi="Times New Roman"/>
              <w:sz w:val="14"/>
              <w:szCs w:val="14"/>
            </w:rPr>
            <w:t>MAURICIO</w:t>
          </w:r>
          <w:r w:rsidRPr="00040A25">
            <w:rPr>
              <w:rFonts w:ascii="Times New Roman" w:hAnsi="Times New Roman"/>
              <w:sz w:val="14"/>
              <w:szCs w:val="14"/>
            </w:rPr>
            <w:t xml:space="preserve"> G. E</w:t>
          </w:r>
          <w:r>
            <w:rPr>
              <w:rFonts w:ascii="Times New Roman" w:hAnsi="Times New Roman"/>
              <w:sz w:val="14"/>
              <w:szCs w:val="14"/>
            </w:rPr>
            <w:t>IDELSTEIN</w:t>
          </w:r>
          <w:r w:rsidRPr="00040A25">
            <w:rPr>
              <w:rFonts w:ascii="Times New Roman" w:hAnsi="Times New Roman"/>
              <w:sz w:val="14"/>
              <w:szCs w:val="14"/>
            </w:rPr>
            <w:t xml:space="preserve"> </w:t>
          </w:r>
          <w:r>
            <w:rPr>
              <w:rFonts w:ascii="Times New Roman" w:hAnsi="Times New Roman"/>
              <w:sz w:val="14"/>
              <w:szCs w:val="14"/>
            </w:rPr>
            <w:t>(Socio)</w:t>
          </w:r>
        </w:p>
      </w:tc>
    </w:tr>
    <w:tr w:rsidR="008F2AD9" w14:paraId="55F024EE" w14:textId="77777777" w:rsidTr="0030087F">
      <w:tc>
        <w:tcPr>
          <w:tcW w:w="3402" w:type="dxa"/>
        </w:tcPr>
        <w:p w14:paraId="2F1273A4"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rPr>
            <w:t>Abogado - U.B.A.</w:t>
          </w:r>
        </w:p>
      </w:tc>
      <w:tc>
        <w:tcPr>
          <w:tcW w:w="1134" w:type="dxa"/>
        </w:tcPr>
        <w:p w14:paraId="71EB16F8" w14:textId="77777777" w:rsidR="008F2AD9" w:rsidRPr="00931049" w:rsidRDefault="008F2AD9" w:rsidP="000F238E">
          <w:pPr>
            <w:ind w:right="123"/>
            <w:jc w:val="center"/>
            <w:rPr>
              <w:rFonts w:ascii="Times New Roman" w:hAnsi="Times New Roman"/>
              <w:sz w:val="14"/>
              <w:szCs w:val="14"/>
            </w:rPr>
          </w:pPr>
        </w:p>
      </w:tc>
      <w:tc>
        <w:tcPr>
          <w:tcW w:w="4110" w:type="dxa"/>
        </w:tcPr>
        <w:p w14:paraId="62DD115E" w14:textId="163213D4" w:rsidR="008F2AD9" w:rsidRPr="00931049" w:rsidRDefault="008F2AD9" w:rsidP="000F238E">
          <w:pPr>
            <w:ind w:right="123"/>
            <w:jc w:val="center"/>
            <w:rPr>
              <w:rFonts w:ascii="Times New Roman" w:hAnsi="Times New Roman"/>
              <w:b/>
              <w:sz w:val="14"/>
              <w:szCs w:val="14"/>
            </w:rPr>
          </w:pPr>
          <w:r>
            <w:rPr>
              <w:rFonts w:ascii="Times New Roman" w:hAnsi="Times New Roman"/>
              <w:sz w:val="14"/>
              <w:szCs w:val="14"/>
            </w:rPr>
            <w:t xml:space="preserve">  </w:t>
          </w:r>
          <w:r w:rsidRPr="00931049">
            <w:rPr>
              <w:rFonts w:ascii="Times New Roman" w:hAnsi="Times New Roman"/>
              <w:sz w:val="14"/>
              <w:szCs w:val="14"/>
            </w:rPr>
            <w:t>Contador Públic</w:t>
          </w:r>
          <w:r>
            <w:rPr>
              <w:rFonts w:ascii="Times New Roman" w:hAnsi="Times New Roman"/>
              <w:sz w:val="14"/>
              <w:szCs w:val="14"/>
            </w:rPr>
            <w:t>o</w:t>
          </w:r>
          <w:r w:rsidRPr="00931049">
            <w:rPr>
              <w:rFonts w:ascii="Times New Roman" w:hAnsi="Times New Roman"/>
              <w:sz w:val="14"/>
              <w:szCs w:val="14"/>
            </w:rPr>
            <w:t xml:space="preserve"> </w:t>
          </w:r>
          <w:r>
            <w:rPr>
              <w:rFonts w:ascii="Times New Roman" w:hAnsi="Times New Roman"/>
              <w:sz w:val="14"/>
              <w:szCs w:val="14"/>
            </w:rPr>
            <w:t>–</w:t>
          </w:r>
          <w:r w:rsidRPr="00931049">
            <w:rPr>
              <w:rFonts w:ascii="Times New Roman" w:hAnsi="Times New Roman"/>
              <w:sz w:val="14"/>
              <w:szCs w:val="14"/>
            </w:rPr>
            <w:t xml:space="preserve"> </w:t>
          </w:r>
          <w:r>
            <w:rPr>
              <w:rFonts w:ascii="Times New Roman" w:hAnsi="Times New Roman"/>
              <w:sz w:val="14"/>
              <w:szCs w:val="14"/>
            </w:rPr>
            <w:t>U.B.A.</w:t>
          </w:r>
        </w:p>
      </w:tc>
    </w:tr>
    <w:tr w:rsidR="008F2AD9" w:rsidRPr="00F5567E" w14:paraId="79C1D13B" w14:textId="77777777" w:rsidTr="0030087F">
      <w:tc>
        <w:tcPr>
          <w:tcW w:w="3402" w:type="dxa"/>
        </w:tcPr>
        <w:p w14:paraId="78C599DF" w14:textId="77777777" w:rsidR="008F2AD9" w:rsidRPr="00931049" w:rsidRDefault="008F2AD9" w:rsidP="000F238E">
          <w:pPr>
            <w:ind w:right="123"/>
            <w:jc w:val="center"/>
            <w:rPr>
              <w:rFonts w:ascii="Times New Roman" w:hAnsi="Times New Roman"/>
              <w:b/>
              <w:sz w:val="14"/>
              <w:szCs w:val="14"/>
              <w:lang w:val="fr-FR"/>
            </w:rPr>
          </w:pPr>
          <w:r>
            <w:rPr>
              <w:rFonts w:ascii="Times New Roman" w:hAnsi="Times New Roman"/>
              <w:sz w:val="14"/>
              <w:szCs w:val="14"/>
              <w:lang w:val="fr-FR"/>
            </w:rPr>
            <w:t>C.P.A.C.F</w:t>
          </w:r>
          <w:r w:rsidRPr="00931049">
            <w:rPr>
              <w:rFonts w:ascii="Times New Roman" w:hAnsi="Times New Roman"/>
              <w:sz w:val="14"/>
              <w:szCs w:val="14"/>
              <w:lang w:val="fr-FR"/>
            </w:rPr>
            <w:t>. Tº 30 Fº 536</w:t>
          </w:r>
        </w:p>
      </w:tc>
      <w:tc>
        <w:tcPr>
          <w:tcW w:w="1134" w:type="dxa"/>
        </w:tcPr>
        <w:p w14:paraId="4FACF0EE" w14:textId="77777777" w:rsidR="008F2AD9" w:rsidRPr="00931049" w:rsidRDefault="008F2AD9" w:rsidP="000F238E">
          <w:pPr>
            <w:ind w:right="123"/>
            <w:jc w:val="center"/>
            <w:rPr>
              <w:rFonts w:ascii="Times New Roman" w:hAnsi="Times New Roman"/>
              <w:sz w:val="14"/>
              <w:szCs w:val="14"/>
              <w:lang w:val="fr-FR"/>
            </w:rPr>
          </w:pPr>
        </w:p>
      </w:tc>
      <w:tc>
        <w:tcPr>
          <w:tcW w:w="4110" w:type="dxa"/>
        </w:tcPr>
        <w:p w14:paraId="38A3AA1C" w14:textId="2815C370" w:rsidR="008F2AD9" w:rsidRPr="00931049" w:rsidRDefault="008F2AD9" w:rsidP="000F238E">
          <w:pPr>
            <w:ind w:right="123"/>
            <w:jc w:val="center"/>
            <w:rPr>
              <w:rFonts w:ascii="Times New Roman" w:hAnsi="Times New Roman"/>
              <w:b/>
              <w:sz w:val="14"/>
              <w:szCs w:val="14"/>
              <w:lang w:val="fr-FR"/>
            </w:rPr>
          </w:pPr>
          <w:r>
            <w:rPr>
              <w:rFonts w:ascii="Times New Roman" w:hAnsi="Times New Roman"/>
              <w:sz w:val="14"/>
              <w:szCs w:val="14"/>
              <w:lang w:val="fr-FR"/>
            </w:rPr>
            <w:t xml:space="preserve"> </w:t>
          </w:r>
          <w:r w:rsidRPr="00931049">
            <w:rPr>
              <w:rFonts w:ascii="Times New Roman" w:hAnsi="Times New Roman"/>
              <w:sz w:val="14"/>
              <w:szCs w:val="14"/>
              <w:lang w:val="fr-FR"/>
            </w:rPr>
            <w:t xml:space="preserve">C.P.C.E.C.A.B.A. Tº </w:t>
          </w:r>
          <w:r w:rsidRPr="00040A25">
            <w:rPr>
              <w:rFonts w:ascii="Times New Roman" w:hAnsi="Times New Roman"/>
              <w:sz w:val="14"/>
              <w:szCs w:val="14"/>
              <w:lang w:val="fr-FR"/>
            </w:rPr>
            <w:t xml:space="preserve">CXX </w:t>
          </w:r>
          <w:r>
            <w:rPr>
              <w:rFonts w:ascii="Times New Roman" w:hAnsi="Times New Roman"/>
              <w:sz w:val="14"/>
              <w:szCs w:val="14"/>
              <w:lang w:val="fr-FR"/>
            </w:rPr>
            <w:t xml:space="preserve"> </w:t>
          </w:r>
          <w:r w:rsidRPr="00040A25">
            <w:rPr>
              <w:rFonts w:ascii="Times New Roman" w:hAnsi="Times New Roman"/>
              <w:sz w:val="14"/>
              <w:szCs w:val="14"/>
              <w:lang w:val="fr-FR"/>
            </w:rPr>
            <w:t>Fº 228</w:t>
          </w:r>
        </w:p>
      </w:tc>
    </w:tr>
  </w:tbl>
  <w:p w14:paraId="1B84B534" w14:textId="77777777" w:rsidR="008F2AD9" w:rsidRPr="00D73677" w:rsidRDefault="008F2AD9" w:rsidP="00C25EC1">
    <w:pPr>
      <w:ind w:left="-540" w:right="-1221"/>
      <w:rPr>
        <w:rFonts w:ascii="Times New Roman" w:hAnsi="Times New Roman"/>
        <w:sz w:val="16"/>
        <w:lang w:val="fr-FR"/>
      </w:rPr>
    </w:pPr>
  </w:p>
  <w:p w14:paraId="4D284D9A" w14:textId="77777777" w:rsidR="008F2AD9" w:rsidRPr="00D73677" w:rsidRDefault="008F2AD9" w:rsidP="00C25EC1">
    <w:pPr>
      <w:ind w:right="-1221"/>
      <w:rPr>
        <w:rFonts w:ascii="Times New Roman" w:hAnsi="Times New Roman"/>
        <w:sz w:val="16"/>
        <w:lang w:val="fr-FR"/>
      </w:rPr>
    </w:pPr>
  </w:p>
  <w:p w14:paraId="2D14C498" w14:textId="77777777" w:rsidR="008F2AD9" w:rsidRPr="00D73677" w:rsidRDefault="008F2AD9" w:rsidP="00C25EC1">
    <w:pPr>
      <w:ind w:left="-540" w:right="360"/>
      <w:rPr>
        <w:rFonts w:ascii="Times New Roman" w:hAnsi="Times New Roman"/>
        <w:sz w:val="16"/>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9B465" w14:textId="77777777" w:rsidR="008F2AD9" w:rsidRDefault="008F2AD9">
    <w:pPr>
      <w:pStyle w:val="Piedepgina"/>
      <w:framePr w:wrap="around" w:vAnchor="text" w:hAnchor="margin" w:xAlign="right" w:y="1"/>
      <w:rPr>
        <w:rStyle w:val="Nmerodepgina"/>
      </w:rPr>
    </w:pPr>
  </w:p>
  <w:p w14:paraId="7E7A8372" w14:textId="77777777" w:rsidR="008F2AD9" w:rsidRDefault="008F2AD9" w:rsidP="003C2C98">
    <w:pPr>
      <w:ind w:right="360"/>
      <w:rPr>
        <w:rFonts w:ascii="Book Antiqua" w:hAnsi="Book Antiqua"/>
        <w:sz w:val="16"/>
      </w:rPr>
    </w:pPr>
  </w:p>
  <w:tbl>
    <w:tblPr>
      <w:tblW w:w="8647" w:type="dxa"/>
      <w:tblInd w:w="439" w:type="dxa"/>
      <w:tblLayout w:type="fixed"/>
      <w:tblLook w:val="0000" w:firstRow="0" w:lastRow="0" w:firstColumn="0" w:lastColumn="0" w:noHBand="0" w:noVBand="0"/>
    </w:tblPr>
    <w:tblGrid>
      <w:gridCol w:w="3402"/>
      <w:gridCol w:w="1796"/>
      <w:gridCol w:w="3449"/>
    </w:tblGrid>
    <w:tr w:rsidR="008F2AD9" w14:paraId="74FCB99E" w14:textId="77777777" w:rsidTr="003C2C98">
      <w:trPr>
        <w:cantSplit/>
      </w:trPr>
      <w:tc>
        <w:tcPr>
          <w:tcW w:w="3402" w:type="dxa"/>
        </w:tcPr>
        <w:p w14:paraId="329AD865" w14:textId="77777777" w:rsidR="008F2AD9" w:rsidRDefault="008F2AD9" w:rsidP="005E16E0">
          <w:pPr>
            <w:ind w:right="123"/>
            <w:jc w:val="center"/>
            <w:rPr>
              <w:rFonts w:ascii="Times New Roman" w:hAnsi="Times New Roman"/>
              <w:sz w:val="16"/>
            </w:rPr>
          </w:pPr>
        </w:p>
      </w:tc>
      <w:tc>
        <w:tcPr>
          <w:tcW w:w="1796" w:type="dxa"/>
        </w:tcPr>
        <w:p w14:paraId="796C7607" w14:textId="77777777" w:rsidR="008F2AD9" w:rsidRDefault="008F2AD9" w:rsidP="005E16E0">
          <w:pPr>
            <w:ind w:right="123"/>
            <w:jc w:val="center"/>
            <w:rPr>
              <w:rFonts w:ascii="Times New Roman" w:hAnsi="Times New Roman"/>
              <w:sz w:val="16"/>
            </w:rPr>
          </w:pPr>
        </w:p>
      </w:tc>
      <w:tc>
        <w:tcPr>
          <w:tcW w:w="3449" w:type="dxa"/>
        </w:tcPr>
        <w:p w14:paraId="50F8D47E" w14:textId="77777777" w:rsidR="008F2AD9" w:rsidRDefault="008F2AD9" w:rsidP="005E16E0">
          <w:pPr>
            <w:ind w:right="123"/>
            <w:jc w:val="center"/>
            <w:rPr>
              <w:rFonts w:ascii="Times New Roman" w:hAnsi="Times New Roman"/>
              <w:sz w:val="16"/>
            </w:rPr>
          </w:pPr>
        </w:p>
      </w:tc>
    </w:tr>
    <w:tr w:rsidR="008F2AD9" w14:paraId="182E6F23" w14:textId="77777777" w:rsidTr="003C2C98">
      <w:trPr>
        <w:cantSplit/>
      </w:trPr>
      <w:tc>
        <w:tcPr>
          <w:tcW w:w="3402" w:type="dxa"/>
        </w:tcPr>
        <w:p w14:paraId="1E69C60E" w14:textId="77777777" w:rsidR="008F2AD9" w:rsidRDefault="008F2AD9" w:rsidP="005E16E0">
          <w:pPr>
            <w:ind w:right="123"/>
            <w:jc w:val="center"/>
            <w:rPr>
              <w:rFonts w:ascii="Times New Roman" w:hAnsi="Times New Roman"/>
              <w:sz w:val="16"/>
            </w:rPr>
          </w:pPr>
        </w:p>
      </w:tc>
      <w:tc>
        <w:tcPr>
          <w:tcW w:w="1796" w:type="dxa"/>
        </w:tcPr>
        <w:p w14:paraId="5ADFD10A" w14:textId="77777777" w:rsidR="008F2AD9" w:rsidRDefault="008F2AD9" w:rsidP="005E16E0">
          <w:pPr>
            <w:ind w:right="123"/>
            <w:jc w:val="center"/>
            <w:rPr>
              <w:rFonts w:ascii="Times New Roman" w:hAnsi="Times New Roman"/>
              <w:sz w:val="16"/>
            </w:rPr>
          </w:pPr>
        </w:p>
      </w:tc>
      <w:tc>
        <w:tcPr>
          <w:tcW w:w="3449" w:type="dxa"/>
        </w:tcPr>
        <w:p w14:paraId="5763512F" w14:textId="77777777" w:rsidR="008F2AD9" w:rsidRDefault="008F2AD9" w:rsidP="005E16E0">
          <w:pPr>
            <w:ind w:right="123"/>
            <w:jc w:val="center"/>
            <w:rPr>
              <w:rFonts w:ascii="Times New Roman" w:hAnsi="Times New Roman"/>
              <w:sz w:val="16"/>
            </w:rPr>
          </w:pPr>
        </w:p>
      </w:tc>
    </w:tr>
    <w:tr w:rsidR="008F2AD9" w14:paraId="273B9027" w14:textId="77777777" w:rsidTr="003C2C98">
      <w:trPr>
        <w:cantSplit/>
      </w:trPr>
      <w:tc>
        <w:tcPr>
          <w:tcW w:w="3402" w:type="dxa"/>
        </w:tcPr>
        <w:p w14:paraId="486A5D3E" w14:textId="77777777" w:rsidR="008F2AD9" w:rsidRDefault="008F2AD9" w:rsidP="005E16E0">
          <w:pPr>
            <w:ind w:right="123"/>
            <w:jc w:val="center"/>
            <w:rPr>
              <w:rFonts w:ascii="Times New Roman" w:hAnsi="Times New Roman"/>
              <w:sz w:val="16"/>
            </w:rPr>
          </w:pPr>
        </w:p>
      </w:tc>
      <w:tc>
        <w:tcPr>
          <w:tcW w:w="1796" w:type="dxa"/>
        </w:tcPr>
        <w:p w14:paraId="3387F0F6" w14:textId="77777777" w:rsidR="008F2AD9" w:rsidRDefault="008F2AD9" w:rsidP="005E16E0">
          <w:pPr>
            <w:ind w:right="123"/>
            <w:jc w:val="center"/>
            <w:rPr>
              <w:rFonts w:ascii="Times New Roman" w:hAnsi="Times New Roman"/>
              <w:sz w:val="16"/>
            </w:rPr>
          </w:pPr>
        </w:p>
      </w:tc>
      <w:tc>
        <w:tcPr>
          <w:tcW w:w="3449" w:type="dxa"/>
        </w:tcPr>
        <w:p w14:paraId="0133D441" w14:textId="77777777" w:rsidR="008F2AD9" w:rsidRDefault="008F2AD9" w:rsidP="005E16E0">
          <w:pPr>
            <w:ind w:right="123"/>
            <w:jc w:val="center"/>
            <w:rPr>
              <w:rFonts w:ascii="Times New Roman" w:hAnsi="Times New Roman"/>
              <w:sz w:val="16"/>
            </w:rPr>
          </w:pPr>
        </w:p>
        <w:p w14:paraId="3C626EA5" w14:textId="77777777" w:rsidR="008F2AD9" w:rsidRDefault="008F2AD9" w:rsidP="005E16E0">
          <w:pPr>
            <w:ind w:right="123"/>
            <w:jc w:val="center"/>
            <w:rPr>
              <w:rFonts w:ascii="Times New Roman" w:hAnsi="Times New Roman"/>
              <w:sz w:val="16"/>
            </w:rPr>
          </w:pPr>
        </w:p>
      </w:tc>
    </w:tr>
    <w:tr w:rsidR="008F2AD9" w14:paraId="2562B485" w14:textId="77777777" w:rsidTr="003C2C98">
      <w:trPr>
        <w:cantSplit/>
      </w:trPr>
      <w:tc>
        <w:tcPr>
          <w:tcW w:w="3402" w:type="dxa"/>
        </w:tcPr>
        <w:p w14:paraId="1ACA039D" w14:textId="77777777" w:rsidR="008F2AD9" w:rsidRDefault="008F2AD9" w:rsidP="0073611F">
          <w:pPr>
            <w:ind w:right="123"/>
            <w:jc w:val="center"/>
            <w:rPr>
              <w:rFonts w:ascii="Times New Roman" w:hAnsi="Times New Roman"/>
              <w:sz w:val="14"/>
              <w:szCs w:val="14"/>
            </w:rPr>
          </w:pPr>
        </w:p>
        <w:p w14:paraId="3315EFCD" w14:textId="52F94B37" w:rsidR="008F2AD9" w:rsidRPr="00931049" w:rsidRDefault="008F2AD9" w:rsidP="0073611F">
          <w:pPr>
            <w:ind w:right="123"/>
            <w:jc w:val="center"/>
            <w:rPr>
              <w:rFonts w:ascii="Times New Roman" w:hAnsi="Times New Roman"/>
              <w:sz w:val="14"/>
              <w:szCs w:val="14"/>
            </w:rPr>
          </w:pPr>
          <w:r>
            <w:rPr>
              <w:rFonts w:ascii="Times New Roman" w:hAnsi="Times New Roman"/>
              <w:sz w:val="14"/>
              <w:szCs w:val="14"/>
            </w:rPr>
            <w:t>ERNESTO R. GALLARDO JIMENEZ</w:t>
          </w:r>
        </w:p>
      </w:tc>
      <w:tc>
        <w:tcPr>
          <w:tcW w:w="1796" w:type="dxa"/>
        </w:tcPr>
        <w:p w14:paraId="6B9D57D2" w14:textId="1D522A54" w:rsidR="008F2AD9" w:rsidRPr="00931049" w:rsidRDefault="008F2AD9" w:rsidP="0073611F">
          <w:pPr>
            <w:ind w:right="123"/>
            <w:jc w:val="center"/>
            <w:rPr>
              <w:rFonts w:ascii="Times New Roman" w:hAnsi="Times New Roman"/>
              <w:sz w:val="14"/>
              <w:szCs w:val="14"/>
              <w:lang w:val="es-ES_tradnl"/>
            </w:rPr>
          </w:pPr>
          <w:r>
            <w:rPr>
              <w:rFonts w:ascii="Times New Roman" w:hAnsi="Times New Roman"/>
              <w:sz w:val="14"/>
              <w:szCs w:val="14"/>
              <w:lang w:val="es-ES_tradnl"/>
            </w:rPr>
            <w:t xml:space="preserve">                                  JORGE D. LUNA</w:t>
          </w:r>
        </w:p>
      </w:tc>
      <w:tc>
        <w:tcPr>
          <w:tcW w:w="3449" w:type="dxa"/>
        </w:tcPr>
        <w:p w14:paraId="3244490B" w14:textId="77777777" w:rsidR="008F2AD9" w:rsidRDefault="008F2AD9" w:rsidP="0073611F">
          <w:pPr>
            <w:ind w:right="123"/>
            <w:rPr>
              <w:rFonts w:ascii="Times New Roman" w:hAnsi="Times New Roman"/>
              <w:sz w:val="14"/>
              <w:szCs w:val="14"/>
              <w:lang w:val="es-ES_tradnl"/>
            </w:rPr>
          </w:pPr>
        </w:p>
        <w:p w14:paraId="0E3F1704" w14:textId="00B30224" w:rsidR="008F2AD9" w:rsidRPr="00931049" w:rsidRDefault="008F2AD9" w:rsidP="0073611F">
          <w:pPr>
            <w:ind w:right="123"/>
            <w:rPr>
              <w:rFonts w:ascii="Times New Roman" w:hAnsi="Times New Roman"/>
              <w:sz w:val="14"/>
              <w:szCs w:val="14"/>
              <w:lang w:val="es-ES_tradnl"/>
            </w:rPr>
          </w:pPr>
          <w:r>
            <w:rPr>
              <w:rFonts w:ascii="Times New Roman" w:hAnsi="Times New Roman"/>
              <w:sz w:val="14"/>
              <w:szCs w:val="14"/>
              <w:lang w:val="es-ES_tradnl"/>
            </w:rPr>
            <w:t xml:space="preserve">                           MARTIN E. ZARICH</w:t>
          </w:r>
        </w:p>
      </w:tc>
    </w:tr>
    <w:tr w:rsidR="008F2AD9" w14:paraId="75BD7FFE" w14:textId="77777777" w:rsidTr="003C2C98">
      <w:trPr>
        <w:cantSplit/>
        <w:trHeight w:val="279"/>
      </w:trPr>
      <w:tc>
        <w:tcPr>
          <w:tcW w:w="3402" w:type="dxa"/>
        </w:tcPr>
        <w:p w14:paraId="56B41168" w14:textId="3D6584EA" w:rsidR="008F2AD9" w:rsidRPr="00931049" w:rsidRDefault="008F2AD9" w:rsidP="0073611F">
          <w:pPr>
            <w:ind w:right="123"/>
            <w:rPr>
              <w:rFonts w:ascii="Times New Roman" w:hAnsi="Times New Roman"/>
              <w:sz w:val="14"/>
              <w:szCs w:val="14"/>
            </w:rPr>
          </w:pPr>
          <w:r>
            <w:rPr>
              <w:rFonts w:ascii="Times New Roman" w:hAnsi="Times New Roman"/>
              <w:sz w:val="14"/>
              <w:szCs w:val="14"/>
            </w:rPr>
            <w:t xml:space="preserve">              Director Financiero y de Planeamiento</w:t>
          </w:r>
          <w:r w:rsidRPr="00931049">
            <w:rPr>
              <w:rFonts w:ascii="Times New Roman" w:hAnsi="Times New Roman"/>
              <w:sz w:val="14"/>
              <w:szCs w:val="14"/>
            </w:rPr>
            <w:t xml:space="preserve"> </w:t>
          </w:r>
        </w:p>
      </w:tc>
      <w:tc>
        <w:tcPr>
          <w:tcW w:w="1796" w:type="dxa"/>
        </w:tcPr>
        <w:p w14:paraId="027E9F31" w14:textId="6E3D126C" w:rsidR="008F2AD9" w:rsidRDefault="008F2AD9" w:rsidP="0073611F">
          <w:pPr>
            <w:ind w:right="123"/>
            <w:jc w:val="center"/>
            <w:rPr>
              <w:rFonts w:ascii="Times New Roman" w:hAnsi="Times New Roman"/>
              <w:sz w:val="14"/>
              <w:szCs w:val="14"/>
            </w:rPr>
          </w:pPr>
          <w:r>
            <w:rPr>
              <w:rFonts w:ascii="Times New Roman" w:hAnsi="Times New Roman"/>
              <w:sz w:val="14"/>
              <w:szCs w:val="14"/>
            </w:rPr>
            <w:t xml:space="preserve"> Vicepresidente 1° en</w:t>
          </w:r>
        </w:p>
        <w:p w14:paraId="550C9A5F" w14:textId="7A4DA00D" w:rsidR="008F2AD9" w:rsidRPr="00931049" w:rsidRDefault="008F2AD9" w:rsidP="0073611F">
          <w:pPr>
            <w:ind w:right="34"/>
            <w:jc w:val="center"/>
            <w:rPr>
              <w:rFonts w:ascii="Times New Roman" w:hAnsi="Times New Roman"/>
              <w:sz w:val="14"/>
              <w:szCs w:val="14"/>
            </w:rPr>
          </w:pPr>
          <w:r>
            <w:rPr>
              <w:rFonts w:ascii="Times New Roman" w:hAnsi="Times New Roman"/>
              <w:sz w:val="14"/>
              <w:szCs w:val="14"/>
            </w:rPr>
            <w:t>ejercicio de la presidencia</w:t>
          </w:r>
        </w:p>
      </w:tc>
      <w:tc>
        <w:tcPr>
          <w:tcW w:w="3449" w:type="dxa"/>
        </w:tcPr>
        <w:p w14:paraId="5F8B1550" w14:textId="32B704EA" w:rsidR="008F2AD9" w:rsidRPr="00931049" w:rsidRDefault="008F2AD9" w:rsidP="0073611F">
          <w:pPr>
            <w:ind w:right="123"/>
            <w:jc w:val="center"/>
            <w:rPr>
              <w:rFonts w:ascii="Times New Roman" w:hAnsi="Times New Roman"/>
              <w:sz w:val="14"/>
              <w:szCs w:val="14"/>
            </w:rPr>
          </w:pPr>
          <w:r>
            <w:rPr>
              <w:rFonts w:ascii="Times New Roman" w:hAnsi="Times New Roman"/>
              <w:sz w:val="14"/>
              <w:szCs w:val="14"/>
            </w:rPr>
            <w:t>Gerente General</w:t>
          </w:r>
        </w:p>
      </w:tc>
    </w:tr>
  </w:tbl>
  <w:p w14:paraId="01E41CA0" w14:textId="4BB543F5" w:rsidR="008F2AD9" w:rsidRPr="006E18E9" w:rsidRDefault="008F2AD9" w:rsidP="00D73677">
    <w:pPr>
      <w:ind w:left="-540" w:right="-1221"/>
      <w:rPr>
        <w:rFonts w:ascii="Times New Roman" w:hAnsi="Times New Roman"/>
        <w:sz w:val="16"/>
        <w:lang w:val="fr-FR"/>
      </w:rPr>
    </w:pPr>
    <w:r>
      <w:rPr>
        <w:rFonts w:ascii="Times New Roman" w:hAnsi="Times New Roman"/>
        <w:sz w:val="16"/>
        <w:lang w:val="fr-FR"/>
      </w:rPr>
      <w:tab/>
    </w:r>
    <w:r>
      <w:rPr>
        <w:rFonts w:ascii="Times New Roman" w:hAnsi="Times New Roman"/>
        <w:sz w:val="16"/>
        <w:lang w:val="fr-FR"/>
      </w:rPr>
      <w:tab/>
    </w:r>
    <w:r>
      <w:rPr>
        <w:rFonts w:ascii="Times New Roman" w:hAnsi="Times New Roman"/>
        <w:sz w:val="16"/>
        <w:lang w:val="fr-FR"/>
      </w:rPr>
      <w:tab/>
    </w:r>
    <w:r>
      <w:rPr>
        <w:rFonts w:ascii="Times New Roman" w:hAnsi="Times New Roman"/>
        <w:sz w:val="16"/>
        <w:lang w:val="fr-FR"/>
      </w:rPr>
      <w:tab/>
    </w:r>
    <w:r>
      <w:rPr>
        <w:rFonts w:ascii="Times New Roman" w:hAnsi="Times New Roman"/>
        <w:sz w:val="16"/>
        <w:lang w:val="fr-FR"/>
      </w:rPr>
      <w:tab/>
    </w:r>
    <w:r>
      <w:rPr>
        <w:rFonts w:ascii="Times New Roman" w:hAnsi="Times New Roman"/>
        <w:sz w:val="16"/>
        <w:lang w:val="fr-FR"/>
      </w:rPr>
      <w:tab/>
    </w:r>
    <w:r>
      <w:rPr>
        <w:rFonts w:ascii="Times New Roman" w:hAnsi="Times New Roman"/>
        <w:sz w:val="16"/>
        <w:lang w:val="fr-FR"/>
      </w:rPr>
      <w:tab/>
    </w:r>
    <w:r>
      <w:rPr>
        <w:rFonts w:ascii="Times New Roman" w:hAnsi="Times New Roman"/>
        <w:sz w:val="16"/>
        <w:lang w:val="fr-FR"/>
      </w:rPr>
      <w:tab/>
    </w:r>
    <w:r>
      <w:rPr>
        <w:rFonts w:ascii="Times New Roman" w:hAnsi="Times New Roman"/>
        <w:sz w:val="16"/>
        <w:lang w:val="fr-FR"/>
      </w:rPr>
      <w:tab/>
    </w:r>
  </w:p>
  <w:tbl>
    <w:tblPr>
      <w:tblW w:w="8646" w:type="dxa"/>
      <w:tblInd w:w="392" w:type="dxa"/>
      <w:tblLayout w:type="fixed"/>
      <w:tblLook w:val="0000" w:firstRow="0" w:lastRow="0" w:firstColumn="0" w:lastColumn="0" w:noHBand="0" w:noVBand="0"/>
    </w:tblPr>
    <w:tblGrid>
      <w:gridCol w:w="3402"/>
      <w:gridCol w:w="1843"/>
      <w:gridCol w:w="3401"/>
    </w:tblGrid>
    <w:tr w:rsidR="008F2AD9" w14:paraId="3D02EC75" w14:textId="77777777" w:rsidTr="003C2C98">
      <w:tc>
        <w:tcPr>
          <w:tcW w:w="3402" w:type="dxa"/>
        </w:tcPr>
        <w:p w14:paraId="272AE897" w14:textId="77777777" w:rsidR="008F2AD9" w:rsidRPr="00A100B5" w:rsidRDefault="008F2AD9" w:rsidP="005E16E0">
          <w:pPr>
            <w:ind w:right="18"/>
            <w:jc w:val="center"/>
            <w:rPr>
              <w:rFonts w:ascii="Times New Roman" w:hAnsi="Times New Roman"/>
              <w:sz w:val="12"/>
              <w:szCs w:val="12"/>
            </w:rPr>
          </w:pPr>
          <w:r w:rsidRPr="00A100B5">
            <w:rPr>
              <w:rFonts w:ascii="Times New Roman" w:hAnsi="Times New Roman"/>
              <w:sz w:val="12"/>
              <w:szCs w:val="12"/>
            </w:rPr>
            <w:t>Firmado a los efectos de su identificación</w:t>
          </w:r>
        </w:p>
      </w:tc>
      <w:tc>
        <w:tcPr>
          <w:tcW w:w="1843" w:type="dxa"/>
        </w:tcPr>
        <w:p w14:paraId="3429A0C1" w14:textId="77777777" w:rsidR="008F2AD9" w:rsidRPr="00931049" w:rsidRDefault="008F2AD9" w:rsidP="005E16E0">
          <w:pPr>
            <w:ind w:right="18"/>
            <w:jc w:val="center"/>
            <w:rPr>
              <w:rFonts w:ascii="Times New Roman" w:hAnsi="Times New Roman"/>
              <w:sz w:val="14"/>
              <w:szCs w:val="14"/>
            </w:rPr>
          </w:pPr>
        </w:p>
      </w:tc>
      <w:tc>
        <w:tcPr>
          <w:tcW w:w="3401" w:type="dxa"/>
        </w:tcPr>
        <w:p w14:paraId="3C08E9ED" w14:textId="77777777" w:rsidR="008F2AD9" w:rsidRPr="00042795" w:rsidRDefault="008F2AD9" w:rsidP="005E16E0">
          <w:pPr>
            <w:ind w:right="18"/>
            <w:jc w:val="center"/>
            <w:rPr>
              <w:rFonts w:ascii="Times New Roman" w:hAnsi="Times New Roman"/>
              <w:sz w:val="12"/>
              <w:szCs w:val="12"/>
            </w:rPr>
          </w:pPr>
          <w:r w:rsidRPr="00042795">
            <w:rPr>
              <w:rFonts w:ascii="Times New Roman" w:hAnsi="Times New Roman"/>
              <w:sz w:val="12"/>
              <w:szCs w:val="12"/>
            </w:rPr>
            <w:t>Firmado a los efectos de su identificación</w:t>
          </w:r>
        </w:p>
      </w:tc>
    </w:tr>
    <w:tr w:rsidR="008F2AD9" w14:paraId="377BE1F0" w14:textId="77777777" w:rsidTr="003C2C98">
      <w:tc>
        <w:tcPr>
          <w:tcW w:w="3402" w:type="dxa"/>
        </w:tcPr>
        <w:p w14:paraId="343629A8" w14:textId="3F1E046B" w:rsidR="008F2AD9" w:rsidRPr="00A100B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c>
        <w:tcPr>
          <w:tcW w:w="1843" w:type="dxa"/>
        </w:tcPr>
        <w:p w14:paraId="1CE8F41D" w14:textId="77777777" w:rsidR="008F2AD9" w:rsidRPr="00931049" w:rsidRDefault="008F2AD9" w:rsidP="000F238E">
          <w:pPr>
            <w:ind w:right="18"/>
            <w:jc w:val="center"/>
            <w:rPr>
              <w:rFonts w:ascii="Times New Roman" w:hAnsi="Times New Roman"/>
              <w:sz w:val="14"/>
              <w:szCs w:val="14"/>
            </w:rPr>
          </w:pPr>
        </w:p>
      </w:tc>
      <w:tc>
        <w:tcPr>
          <w:tcW w:w="3401" w:type="dxa"/>
        </w:tcPr>
        <w:p w14:paraId="2FE9CD76" w14:textId="4FB7C8AA" w:rsidR="008F2AD9" w:rsidRPr="0004279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r>
    <w:tr w:rsidR="008F2AD9" w14:paraId="5FFCD203" w14:textId="77777777" w:rsidTr="003C2C98">
      <w:tc>
        <w:tcPr>
          <w:tcW w:w="3402" w:type="dxa"/>
        </w:tcPr>
        <w:p w14:paraId="26978543" w14:textId="77777777" w:rsidR="008F2AD9" w:rsidRPr="00A100B5" w:rsidRDefault="008F2AD9" w:rsidP="000F238E">
          <w:pPr>
            <w:ind w:right="123"/>
            <w:jc w:val="center"/>
            <w:rPr>
              <w:rFonts w:ascii="Times New Roman" w:hAnsi="Times New Roman"/>
              <w:sz w:val="12"/>
              <w:szCs w:val="12"/>
            </w:rPr>
          </w:pPr>
          <w:r w:rsidRPr="00A100B5">
            <w:rPr>
              <w:rFonts w:ascii="Times New Roman" w:hAnsi="Times New Roman"/>
              <w:sz w:val="12"/>
              <w:szCs w:val="12"/>
            </w:rPr>
            <w:t>P/COMISIÓN FISCALIZADORA</w:t>
          </w:r>
        </w:p>
      </w:tc>
      <w:tc>
        <w:tcPr>
          <w:tcW w:w="1843" w:type="dxa"/>
        </w:tcPr>
        <w:p w14:paraId="1DE02359" w14:textId="77777777" w:rsidR="008F2AD9" w:rsidRPr="00931049" w:rsidRDefault="008F2AD9" w:rsidP="000F238E">
          <w:pPr>
            <w:ind w:right="123"/>
            <w:jc w:val="center"/>
            <w:rPr>
              <w:rFonts w:ascii="Times New Roman" w:hAnsi="Times New Roman"/>
              <w:sz w:val="14"/>
              <w:szCs w:val="14"/>
              <w:lang w:val="en-US"/>
            </w:rPr>
          </w:pPr>
        </w:p>
      </w:tc>
      <w:tc>
        <w:tcPr>
          <w:tcW w:w="3401" w:type="dxa"/>
        </w:tcPr>
        <w:p w14:paraId="3AB8D62A" w14:textId="77777777" w:rsidR="008F2AD9" w:rsidRPr="005E51EC" w:rsidRDefault="008F2AD9" w:rsidP="000F238E">
          <w:pPr>
            <w:ind w:right="123"/>
            <w:jc w:val="center"/>
            <w:rPr>
              <w:rFonts w:ascii="Times New Roman" w:hAnsi="Times New Roman"/>
              <w:b/>
              <w:sz w:val="12"/>
              <w:szCs w:val="12"/>
              <w:lang w:val="en-US"/>
            </w:rPr>
          </w:pPr>
          <w:r>
            <w:rPr>
              <w:rFonts w:ascii="Times New Roman" w:hAnsi="Times New Roman"/>
              <w:b/>
              <w:sz w:val="12"/>
              <w:szCs w:val="12"/>
              <w:lang w:val="en-US"/>
            </w:rPr>
            <w:t>KPMG</w:t>
          </w:r>
        </w:p>
      </w:tc>
    </w:tr>
    <w:tr w:rsidR="008F2AD9" w14:paraId="1D89007B" w14:textId="77777777" w:rsidTr="003C2C98">
      <w:tc>
        <w:tcPr>
          <w:tcW w:w="3402" w:type="dxa"/>
        </w:tcPr>
        <w:p w14:paraId="0111A53F" w14:textId="77777777" w:rsidR="008F2AD9" w:rsidRPr="00931049" w:rsidRDefault="008F2AD9" w:rsidP="000F238E">
          <w:pPr>
            <w:ind w:right="123"/>
            <w:jc w:val="center"/>
            <w:rPr>
              <w:rFonts w:ascii="Times New Roman" w:hAnsi="Times New Roman"/>
              <w:sz w:val="14"/>
              <w:szCs w:val="14"/>
              <w:lang w:val="en-US"/>
            </w:rPr>
          </w:pPr>
        </w:p>
      </w:tc>
      <w:tc>
        <w:tcPr>
          <w:tcW w:w="1843" w:type="dxa"/>
        </w:tcPr>
        <w:p w14:paraId="1CFD016F" w14:textId="77777777" w:rsidR="008F2AD9" w:rsidRPr="00931049" w:rsidRDefault="008F2AD9" w:rsidP="000F238E">
          <w:pPr>
            <w:ind w:left="34" w:right="-107" w:hanging="34"/>
            <w:jc w:val="center"/>
            <w:rPr>
              <w:rFonts w:ascii="Times New Roman" w:hAnsi="Times New Roman"/>
              <w:sz w:val="14"/>
              <w:szCs w:val="14"/>
              <w:lang w:val="en-US"/>
            </w:rPr>
          </w:pPr>
        </w:p>
      </w:tc>
      <w:tc>
        <w:tcPr>
          <w:tcW w:w="3401" w:type="dxa"/>
        </w:tcPr>
        <w:p w14:paraId="312CC4DC" w14:textId="77777777" w:rsidR="008F2AD9" w:rsidRPr="005E51EC" w:rsidRDefault="008F2AD9" w:rsidP="000F238E">
          <w:pPr>
            <w:ind w:right="123"/>
            <w:jc w:val="center"/>
            <w:rPr>
              <w:rFonts w:ascii="Times New Roman" w:hAnsi="Times New Roman"/>
              <w:sz w:val="12"/>
              <w:szCs w:val="12"/>
            </w:rPr>
          </w:pPr>
          <w:r w:rsidRPr="000E498B">
            <w:rPr>
              <w:rFonts w:ascii="Times New Roman" w:hAnsi="Times New Roman"/>
              <w:sz w:val="12"/>
              <w:szCs w:val="12"/>
            </w:rPr>
            <w:t>Reg. de Asoc. Prof. CPCECABA Tº 2 Fº 6</w:t>
          </w:r>
        </w:p>
      </w:tc>
    </w:tr>
    <w:tr w:rsidR="008F2AD9" w14:paraId="6D18286B" w14:textId="77777777" w:rsidTr="003C2C98">
      <w:tc>
        <w:tcPr>
          <w:tcW w:w="3402" w:type="dxa"/>
        </w:tcPr>
        <w:p w14:paraId="2BE434A1" w14:textId="77777777" w:rsidR="008F2AD9" w:rsidRPr="00931049" w:rsidRDefault="008F2AD9" w:rsidP="000F238E">
          <w:pPr>
            <w:ind w:right="123"/>
            <w:jc w:val="center"/>
            <w:rPr>
              <w:rFonts w:ascii="Times New Roman" w:hAnsi="Times New Roman"/>
              <w:sz w:val="14"/>
              <w:szCs w:val="14"/>
            </w:rPr>
          </w:pPr>
        </w:p>
      </w:tc>
      <w:tc>
        <w:tcPr>
          <w:tcW w:w="1843" w:type="dxa"/>
        </w:tcPr>
        <w:p w14:paraId="6CC3E0AF" w14:textId="77777777" w:rsidR="008F2AD9" w:rsidRPr="00931049" w:rsidRDefault="008F2AD9" w:rsidP="000F238E">
          <w:pPr>
            <w:ind w:right="123"/>
            <w:jc w:val="center"/>
            <w:rPr>
              <w:rFonts w:ascii="Times New Roman" w:hAnsi="Times New Roman"/>
              <w:sz w:val="14"/>
              <w:szCs w:val="14"/>
            </w:rPr>
          </w:pPr>
        </w:p>
      </w:tc>
      <w:tc>
        <w:tcPr>
          <w:tcW w:w="3401" w:type="dxa"/>
        </w:tcPr>
        <w:p w14:paraId="318F9A1D" w14:textId="77777777" w:rsidR="008F2AD9" w:rsidRPr="005E51EC" w:rsidRDefault="008F2AD9" w:rsidP="000F238E">
          <w:pPr>
            <w:ind w:right="123"/>
            <w:jc w:val="center"/>
            <w:rPr>
              <w:rFonts w:ascii="Times New Roman" w:hAnsi="Times New Roman"/>
              <w:b/>
              <w:sz w:val="12"/>
              <w:szCs w:val="12"/>
            </w:rPr>
          </w:pPr>
        </w:p>
      </w:tc>
    </w:tr>
    <w:tr w:rsidR="008F2AD9" w14:paraId="099A0F01" w14:textId="77777777" w:rsidTr="003C2C98">
      <w:tc>
        <w:tcPr>
          <w:tcW w:w="3402" w:type="dxa"/>
        </w:tcPr>
        <w:p w14:paraId="52D38190" w14:textId="77777777" w:rsidR="008F2AD9" w:rsidRPr="00931049" w:rsidRDefault="008F2AD9" w:rsidP="000F238E">
          <w:pPr>
            <w:ind w:right="123"/>
            <w:jc w:val="center"/>
            <w:rPr>
              <w:rFonts w:ascii="Times New Roman" w:hAnsi="Times New Roman"/>
              <w:sz w:val="14"/>
              <w:szCs w:val="14"/>
            </w:rPr>
          </w:pPr>
        </w:p>
      </w:tc>
      <w:tc>
        <w:tcPr>
          <w:tcW w:w="1843" w:type="dxa"/>
        </w:tcPr>
        <w:p w14:paraId="171E5259" w14:textId="77777777" w:rsidR="008F2AD9" w:rsidRPr="00931049" w:rsidRDefault="008F2AD9" w:rsidP="000F238E">
          <w:pPr>
            <w:ind w:right="18"/>
            <w:jc w:val="center"/>
            <w:rPr>
              <w:rFonts w:ascii="Times New Roman" w:hAnsi="Times New Roman"/>
              <w:sz w:val="14"/>
              <w:szCs w:val="14"/>
            </w:rPr>
          </w:pPr>
        </w:p>
      </w:tc>
      <w:tc>
        <w:tcPr>
          <w:tcW w:w="3401" w:type="dxa"/>
        </w:tcPr>
        <w:p w14:paraId="0149DC6E" w14:textId="77777777" w:rsidR="008F2AD9" w:rsidRPr="00931049" w:rsidRDefault="008F2AD9" w:rsidP="000F238E">
          <w:pPr>
            <w:ind w:right="18"/>
            <w:jc w:val="center"/>
            <w:rPr>
              <w:rFonts w:ascii="Times New Roman" w:hAnsi="Times New Roman"/>
              <w:sz w:val="14"/>
              <w:szCs w:val="14"/>
            </w:rPr>
          </w:pPr>
        </w:p>
      </w:tc>
    </w:tr>
    <w:tr w:rsidR="008F2AD9" w14:paraId="711FEBE7" w14:textId="77777777" w:rsidTr="003C2C98">
      <w:tc>
        <w:tcPr>
          <w:tcW w:w="3402" w:type="dxa"/>
        </w:tcPr>
        <w:p w14:paraId="763E3ED3" w14:textId="77777777" w:rsidR="008F2AD9" w:rsidRPr="00931049" w:rsidRDefault="008F2AD9" w:rsidP="000F238E">
          <w:pPr>
            <w:ind w:right="123"/>
            <w:jc w:val="center"/>
            <w:rPr>
              <w:rFonts w:ascii="Times New Roman" w:hAnsi="Times New Roman"/>
              <w:sz w:val="14"/>
              <w:szCs w:val="14"/>
            </w:rPr>
          </w:pPr>
        </w:p>
      </w:tc>
      <w:tc>
        <w:tcPr>
          <w:tcW w:w="1843" w:type="dxa"/>
        </w:tcPr>
        <w:p w14:paraId="4CFD2976" w14:textId="77777777" w:rsidR="008F2AD9" w:rsidRPr="00931049" w:rsidRDefault="008F2AD9" w:rsidP="000F238E">
          <w:pPr>
            <w:ind w:right="123"/>
            <w:jc w:val="center"/>
            <w:rPr>
              <w:rFonts w:ascii="Times New Roman" w:hAnsi="Times New Roman"/>
              <w:b/>
              <w:sz w:val="14"/>
              <w:szCs w:val="14"/>
            </w:rPr>
          </w:pPr>
        </w:p>
      </w:tc>
      <w:tc>
        <w:tcPr>
          <w:tcW w:w="3401" w:type="dxa"/>
        </w:tcPr>
        <w:p w14:paraId="272C7F64" w14:textId="77777777" w:rsidR="008F2AD9" w:rsidRPr="00931049" w:rsidRDefault="008F2AD9" w:rsidP="000F238E">
          <w:pPr>
            <w:ind w:right="123"/>
            <w:jc w:val="center"/>
            <w:rPr>
              <w:rFonts w:ascii="Times New Roman" w:hAnsi="Times New Roman"/>
              <w:b/>
              <w:sz w:val="14"/>
              <w:szCs w:val="14"/>
            </w:rPr>
          </w:pPr>
        </w:p>
      </w:tc>
    </w:tr>
    <w:tr w:rsidR="008F2AD9" w14:paraId="74A36940" w14:textId="77777777" w:rsidTr="003C2C98">
      <w:trPr>
        <w:trHeight w:hRule="exact" w:val="170"/>
      </w:trPr>
      <w:tc>
        <w:tcPr>
          <w:tcW w:w="3402" w:type="dxa"/>
          <w:vAlign w:val="center"/>
        </w:tcPr>
        <w:p w14:paraId="70A9EF2E" w14:textId="77777777" w:rsidR="008F2AD9" w:rsidRPr="00931049" w:rsidRDefault="008F2AD9" w:rsidP="000F238E">
          <w:pPr>
            <w:ind w:right="125"/>
            <w:jc w:val="center"/>
            <w:rPr>
              <w:rFonts w:ascii="Times New Roman" w:hAnsi="Times New Roman"/>
              <w:sz w:val="14"/>
              <w:szCs w:val="14"/>
              <w:lang w:val="es-ES"/>
            </w:rPr>
          </w:pPr>
        </w:p>
      </w:tc>
      <w:tc>
        <w:tcPr>
          <w:tcW w:w="1843" w:type="dxa"/>
          <w:vAlign w:val="center"/>
        </w:tcPr>
        <w:p w14:paraId="4249B810" w14:textId="77777777" w:rsidR="008F2AD9" w:rsidRPr="00931049" w:rsidRDefault="008F2AD9" w:rsidP="000F238E">
          <w:pPr>
            <w:ind w:right="125"/>
            <w:jc w:val="center"/>
            <w:rPr>
              <w:rFonts w:ascii="Times New Roman" w:hAnsi="Times New Roman"/>
              <w:sz w:val="14"/>
              <w:szCs w:val="14"/>
            </w:rPr>
          </w:pPr>
        </w:p>
      </w:tc>
      <w:tc>
        <w:tcPr>
          <w:tcW w:w="3401" w:type="dxa"/>
          <w:vAlign w:val="center"/>
        </w:tcPr>
        <w:p w14:paraId="21271D80" w14:textId="77777777" w:rsidR="008F2AD9" w:rsidRPr="00931049" w:rsidRDefault="008F2AD9" w:rsidP="000F238E">
          <w:pPr>
            <w:ind w:right="125"/>
            <w:jc w:val="center"/>
            <w:rPr>
              <w:rFonts w:ascii="Times New Roman" w:hAnsi="Times New Roman"/>
              <w:sz w:val="14"/>
              <w:szCs w:val="14"/>
            </w:rPr>
          </w:pPr>
        </w:p>
      </w:tc>
    </w:tr>
    <w:tr w:rsidR="008F2AD9" w14:paraId="3BDC4B34" w14:textId="77777777" w:rsidTr="003C2C98">
      <w:tc>
        <w:tcPr>
          <w:tcW w:w="3402" w:type="dxa"/>
        </w:tcPr>
        <w:p w14:paraId="3C09AD78"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lang w:val="es-ES"/>
            </w:rPr>
            <w:t>ALEJANDRO MOSQUERA</w:t>
          </w:r>
          <w:r>
            <w:rPr>
              <w:rFonts w:ascii="Times New Roman" w:hAnsi="Times New Roman"/>
              <w:sz w:val="14"/>
              <w:szCs w:val="14"/>
              <w:lang w:val="es-ES"/>
            </w:rPr>
            <w:t xml:space="preserve"> (Síndico)</w:t>
          </w:r>
        </w:p>
      </w:tc>
      <w:tc>
        <w:tcPr>
          <w:tcW w:w="1843" w:type="dxa"/>
        </w:tcPr>
        <w:p w14:paraId="5A5099C0" w14:textId="77777777" w:rsidR="008F2AD9" w:rsidRPr="00931049" w:rsidRDefault="008F2AD9" w:rsidP="000F238E">
          <w:pPr>
            <w:ind w:right="123"/>
            <w:jc w:val="center"/>
            <w:rPr>
              <w:rFonts w:ascii="Times New Roman" w:hAnsi="Times New Roman"/>
              <w:sz w:val="14"/>
              <w:szCs w:val="14"/>
            </w:rPr>
          </w:pPr>
        </w:p>
      </w:tc>
      <w:tc>
        <w:tcPr>
          <w:tcW w:w="3401" w:type="dxa"/>
          <w:vAlign w:val="center"/>
        </w:tcPr>
        <w:p w14:paraId="61274DB0" w14:textId="6E64DEA0" w:rsidR="008F2AD9" w:rsidRPr="007229AA" w:rsidRDefault="008F2AD9" w:rsidP="000F238E">
          <w:pPr>
            <w:ind w:right="125"/>
            <w:jc w:val="center"/>
            <w:rPr>
              <w:rFonts w:ascii="Times New Roman" w:hAnsi="Times New Roman"/>
              <w:sz w:val="14"/>
              <w:szCs w:val="14"/>
            </w:rPr>
          </w:pPr>
          <w:r>
            <w:rPr>
              <w:rFonts w:ascii="Times New Roman" w:hAnsi="Times New Roman"/>
              <w:sz w:val="14"/>
              <w:szCs w:val="14"/>
            </w:rPr>
            <w:t>MAURICIO</w:t>
          </w:r>
          <w:r w:rsidRPr="00040A25">
            <w:rPr>
              <w:rFonts w:ascii="Times New Roman" w:hAnsi="Times New Roman"/>
              <w:sz w:val="14"/>
              <w:szCs w:val="14"/>
            </w:rPr>
            <w:t xml:space="preserve"> G. E</w:t>
          </w:r>
          <w:r>
            <w:rPr>
              <w:rFonts w:ascii="Times New Roman" w:hAnsi="Times New Roman"/>
              <w:sz w:val="14"/>
              <w:szCs w:val="14"/>
            </w:rPr>
            <w:t>IDELSTEIN</w:t>
          </w:r>
          <w:r w:rsidRPr="00040A25">
            <w:rPr>
              <w:rFonts w:ascii="Times New Roman" w:hAnsi="Times New Roman"/>
              <w:sz w:val="14"/>
              <w:szCs w:val="14"/>
            </w:rPr>
            <w:t xml:space="preserve"> </w:t>
          </w:r>
          <w:r>
            <w:rPr>
              <w:rFonts w:ascii="Times New Roman" w:hAnsi="Times New Roman"/>
              <w:sz w:val="14"/>
              <w:szCs w:val="14"/>
            </w:rPr>
            <w:t>(Socio)</w:t>
          </w:r>
        </w:p>
      </w:tc>
    </w:tr>
    <w:tr w:rsidR="008F2AD9" w14:paraId="6CBA1674" w14:textId="77777777" w:rsidTr="003C2C98">
      <w:tc>
        <w:tcPr>
          <w:tcW w:w="3402" w:type="dxa"/>
        </w:tcPr>
        <w:p w14:paraId="0D3DE3CF"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rPr>
            <w:t>Abogado - U.B.A.</w:t>
          </w:r>
        </w:p>
      </w:tc>
      <w:tc>
        <w:tcPr>
          <w:tcW w:w="1843" w:type="dxa"/>
        </w:tcPr>
        <w:p w14:paraId="1A592E7B" w14:textId="77777777" w:rsidR="008F2AD9" w:rsidRPr="00931049" w:rsidRDefault="008F2AD9" w:rsidP="000F238E">
          <w:pPr>
            <w:ind w:right="123"/>
            <w:jc w:val="center"/>
            <w:rPr>
              <w:rFonts w:ascii="Times New Roman" w:hAnsi="Times New Roman"/>
              <w:sz w:val="14"/>
              <w:szCs w:val="14"/>
            </w:rPr>
          </w:pPr>
        </w:p>
      </w:tc>
      <w:tc>
        <w:tcPr>
          <w:tcW w:w="3401" w:type="dxa"/>
        </w:tcPr>
        <w:p w14:paraId="6A58D396" w14:textId="483F9CBE" w:rsidR="008F2AD9" w:rsidRPr="007229AA" w:rsidRDefault="008F2AD9" w:rsidP="000F238E">
          <w:pPr>
            <w:ind w:right="123"/>
            <w:jc w:val="center"/>
            <w:rPr>
              <w:rFonts w:ascii="Times New Roman" w:hAnsi="Times New Roman"/>
              <w:b/>
              <w:sz w:val="14"/>
              <w:szCs w:val="14"/>
            </w:rPr>
          </w:pPr>
          <w:r>
            <w:rPr>
              <w:rFonts w:ascii="Times New Roman" w:hAnsi="Times New Roman"/>
              <w:sz w:val="14"/>
              <w:szCs w:val="14"/>
            </w:rPr>
            <w:t xml:space="preserve">  </w:t>
          </w:r>
          <w:r w:rsidRPr="00931049">
            <w:rPr>
              <w:rFonts w:ascii="Times New Roman" w:hAnsi="Times New Roman"/>
              <w:sz w:val="14"/>
              <w:szCs w:val="14"/>
            </w:rPr>
            <w:t>Contador Públic</w:t>
          </w:r>
          <w:r>
            <w:rPr>
              <w:rFonts w:ascii="Times New Roman" w:hAnsi="Times New Roman"/>
              <w:sz w:val="14"/>
              <w:szCs w:val="14"/>
            </w:rPr>
            <w:t>o</w:t>
          </w:r>
          <w:r w:rsidRPr="00931049">
            <w:rPr>
              <w:rFonts w:ascii="Times New Roman" w:hAnsi="Times New Roman"/>
              <w:sz w:val="14"/>
              <w:szCs w:val="14"/>
            </w:rPr>
            <w:t xml:space="preserve"> </w:t>
          </w:r>
          <w:r>
            <w:rPr>
              <w:rFonts w:ascii="Times New Roman" w:hAnsi="Times New Roman"/>
              <w:sz w:val="14"/>
              <w:szCs w:val="14"/>
            </w:rPr>
            <w:t>–</w:t>
          </w:r>
          <w:r w:rsidRPr="00931049">
            <w:rPr>
              <w:rFonts w:ascii="Times New Roman" w:hAnsi="Times New Roman"/>
              <w:sz w:val="14"/>
              <w:szCs w:val="14"/>
            </w:rPr>
            <w:t xml:space="preserve"> </w:t>
          </w:r>
          <w:r>
            <w:rPr>
              <w:rFonts w:ascii="Times New Roman" w:hAnsi="Times New Roman"/>
              <w:sz w:val="14"/>
              <w:szCs w:val="14"/>
            </w:rPr>
            <w:t>U.B.A.</w:t>
          </w:r>
        </w:p>
      </w:tc>
    </w:tr>
    <w:tr w:rsidR="008F2AD9" w:rsidRPr="00F5567E" w14:paraId="24DA3DAC" w14:textId="77777777" w:rsidTr="003C2C98">
      <w:tc>
        <w:tcPr>
          <w:tcW w:w="3402" w:type="dxa"/>
        </w:tcPr>
        <w:p w14:paraId="39FC4EBC" w14:textId="77777777" w:rsidR="008F2AD9" w:rsidRPr="00931049" w:rsidRDefault="008F2AD9" w:rsidP="000F238E">
          <w:pPr>
            <w:ind w:right="123"/>
            <w:jc w:val="center"/>
            <w:rPr>
              <w:rFonts w:ascii="Times New Roman" w:hAnsi="Times New Roman"/>
              <w:b/>
              <w:sz w:val="14"/>
              <w:szCs w:val="14"/>
              <w:lang w:val="fr-FR"/>
            </w:rPr>
          </w:pPr>
          <w:r>
            <w:rPr>
              <w:rFonts w:ascii="Times New Roman" w:hAnsi="Times New Roman"/>
              <w:sz w:val="14"/>
              <w:szCs w:val="14"/>
              <w:lang w:val="fr-FR"/>
            </w:rPr>
            <w:t>C.P.A.C.F</w:t>
          </w:r>
          <w:r w:rsidRPr="00931049">
            <w:rPr>
              <w:rFonts w:ascii="Times New Roman" w:hAnsi="Times New Roman"/>
              <w:sz w:val="14"/>
              <w:szCs w:val="14"/>
              <w:lang w:val="fr-FR"/>
            </w:rPr>
            <w:t>. Tº 30 Fº 536</w:t>
          </w:r>
        </w:p>
      </w:tc>
      <w:tc>
        <w:tcPr>
          <w:tcW w:w="1843" w:type="dxa"/>
        </w:tcPr>
        <w:p w14:paraId="1F656009" w14:textId="77777777" w:rsidR="008F2AD9" w:rsidRPr="00931049" w:rsidRDefault="008F2AD9" w:rsidP="000F238E">
          <w:pPr>
            <w:ind w:right="123"/>
            <w:jc w:val="center"/>
            <w:rPr>
              <w:rFonts w:ascii="Times New Roman" w:hAnsi="Times New Roman"/>
              <w:sz w:val="14"/>
              <w:szCs w:val="14"/>
              <w:lang w:val="fr-FR"/>
            </w:rPr>
          </w:pPr>
        </w:p>
      </w:tc>
      <w:tc>
        <w:tcPr>
          <w:tcW w:w="3401" w:type="dxa"/>
        </w:tcPr>
        <w:p w14:paraId="0F21F5AA" w14:textId="1B3B12BC" w:rsidR="008F2AD9" w:rsidRPr="007229AA" w:rsidRDefault="008F2AD9" w:rsidP="000F238E">
          <w:pPr>
            <w:ind w:right="123"/>
            <w:jc w:val="center"/>
            <w:rPr>
              <w:rFonts w:ascii="Times New Roman" w:hAnsi="Times New Roman"/>
              <w:b/>
              <w:sz w:val="14"/>
              <w:szCs w:val="14"/>
              <w:lang w:val="fr-FR"/>
            </w:rPr>
          </w:pPr>
          <w:r>
            <w:rPr>
              <w:rFonts w:ascii="Times New Roman" w:hAnsi="Times New Roman"/>
              <w:sz w:val="14"/>
              <w:szCs w:val="14"/>
              <w:lang w:val="fr-FR"/>
            </w:rPr>
            <w:t xml:space="preserve"> </w:t>
          </w:r>
          <w:r w:rsidRPr="00931049">
            <w:rPr>
              <w:rFonts w:ascii="Times New Roman" w:hAnsi="Times New Roman"/>
              <w:sz w:val="14"/>
              <w:szCs w:val="14"/>
              <w:lang w:val="fr-FR"/>
            </w:rPr>
            <w:t xml:space="preserve">C.P.C.E.C.A.B.A. Tº </w:t>
          </w:r>
          <w:r w:rsidRPr="00040A25">
            <w:rPr>
              <w:rFonts w:ascii="Times New Roman" w:hAnsi="Times New Roman"/>
              <w:sz w:val="14"/>
              <w:szCs w:val="14"/>
              <w:lang w:val="fr-FR"/>
            </w:rPr>
            <w:t xml:space="preserve">CXX </w:t>
          </w:r>
          <w:r>
            <w:rPr>
              <w:rFonts w:ascii="Times New Roman" w:hAnsi="Times New Roman"/>
              <w:sz w:val="14"/>
              <w:szCs w:val="14"/>
              <w:lang w:val="fr-FR"/>
            </w:rPr>
            <w:t xml:space="preserve"> </w:t>
          </w:r>
          <w:r w:rsidRPr="00040A25">
            <w:rPr>
              <w:rFonts w:ascii="Times New Roman" w:hAnsi="Times New Roman"/>
              <w:sz w:val="14"/>
              <w:szCs w:val="14"/>
              <w:lang w:val="fr-FR"/>
            </w:rPr>
            <w:t>Fº 228</w:t>
          </w:r>
        </w:p>
      </w:tc>
    </w:tr>
  </w:tbl>
  <w:p w14:paraId="637CAAD3" w14:textId="77777777" w:rsidR="008F2AD9" w:rsidRPr="00D73677" w:rsidRDefault="008F2AD9">
    <w:pPr>
      <w:ind w:left="-540" w:right="-1221"/>
      <w:rPr>
        <w:rFonts w:ascii="Times New Roman" w:hAnsi="Times New Roman"/>
        <w:sz w:val="16"/>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0618E" w14:textId="77777777" w:rsidR="008F2AD9" w:rsidRPr="00233F7A" w:rsidRDefault="008F2AD9" w:rsidP="00E86E49">
    <w:pPr>
      <w:tabs>
        <w:tab w:val="left" w:pos="4962"/>
        <w:tab w:val="right" w:pos="8647"/>
      </w:tabs>
      <w:rPr>
        <w:rFonts w:ascii="Times New Roman" w:hAnsi="Times New Roman"/>
      </w:rPr>
    </w:pPr>
    <w:r w:rsidRPr="00233F7A">
      <w:rPr>
        <w:rFonts w:ascii="Times New Roman" w:hAnsi="Times New Roman"/>
      </w:rPr>
      <w:t>Véase     nuestro      informe     de     fecha:</w:t>
    </w:r>
    <w:r w:rsidRPr="00233F7A">
      <w:rPr>
        <w:rFonts w:ascii="Times New Roman" w:hAnsi="Times New Roman"/>
      </w:rPr>
      <w:tab/>
      <w:t>Véase     nuestro      informe     de     fecha:</w:t>
    </w:r>
  </w:p>
  <w:p w14:paraId="1F7B6462" w14:textId="77777777" w:rsidR="008F2AD9" w:rsidRPr="00233F7A" w:rsidRDefault="008F2AD9" w:rsidP="00E86E49">
    <w:pPr>
      <w:tabs>
        <w:tab w:val="left" w:pos="4962"/>
        <w:tab w:val="right" w:pos="8647"/>
      </w:tabs>
      <w:rPr>
        <w:rFonts w:ascii="Times New Roman" w:hAnsi="Times New Roman"/>
      </w:rPr>
    </w:pPr>
    <w:r w:rsidRPr="00233F7A">
      <w:rPr>
        <w:rFonts w:ascii="Times New Roman" w:hAnsi="Times New Roman"/>
      </w:rPr>
      <w:t>[fecha de informe]</w:t>
    </w:r>
    <w:r w:rsidRPr="00233F7A">
      <w:rPr>
        <w:rFonts w:ascii="Times New Roman" w:hAnsi="Times New Roman"/>
      </w:rPr>
      <w:tab/>
      <w:t>[fecha de informe]</w:t>
    </w:r>
  </w:p>
  <w:p w14:paraId="5BC6D306" w14:textId="77777777" w:rsidR="008F2AD9" w:rsidRPr="00233F7A" w:rsidRDefault="008F2AD9" w:rsidP="00E86E49">
    <w:pPr>
      <w:tabs>
        <w:tab w:val="right" w:pos="7680"/>
        <w:tab w:val="right" w:pos="9600"/>
      </w:tabs>
      <w:rPr>
        <w:rFonts w:ascii="Times New Roman" w:hAnsi="Times New Roman"/>
      </w:rPr>
    </w:pPr>
  </w:p>
  <w:p w14:paraId="759A7BB2" w14:textId="77777777" w:rsidR="008F2AD9" w:rsidRPr="00233F7A" w:rsidRDefault="008F2AD9" w:rsidP="00E86E49">
    <w:pPr>
      <w:tabs>
        <w:tab w:val="center" w:pos="1701"/>
        <w:tab w:val="center" w:pos="5584"/>
        <w:tab w:val="center" w:pos="8533"/>
      </w:tabs>
      <w:rPr>
        <w:rFonts w:ascii="Times New Roman" w:hAnsi="Times New Roman"/>
      </w:rPr>
    </w:pPr>
    <w:r w:rsidRPr="00233F7A">
      <w:rPr>
        <w:rFonts w:ascii="Times New Roman" w:hAnsi="Times New Roman"/>
      </w:rPr>
      <w:tab/>
      <w:t>KPMG</w:t>
    </w:r>
  </w:p>
  <w:p w14:paraId="428858CB" w14:textId="77777777" w:rsidR="008F2AD9" w:rsidRPr="00233F7A" w:rsidRDefault="008F2AD9" w:rsidP="00E86E49">
    <w:pPr>
      <w:tabs>
        <w:tab w:val="center" w:pos="1720"/>
        <w:tab w:val="center" w:pos="5584"/>
        <w:tab w:val="center" w:pos="8533"/>
      </w:tabs>
      <w:rPr>
        <w:rFonts w:ascii="Times New Roman" w:hAnsi="Times New Roman"/>
      </w:rPr>
    </w:pPr>
    <w:r w:rsidRPr="00233F7A">
      <w:rPr>
        <w:rFonts w:ascii="Times New Roman" w:hAnsi="Times New Roman"/>
      </w:rPr>
      <w:tab/>
      <w:t>Reg. de Asoc. Prof. CPCECABA Tº 2 Fº 6</w:t>
    </w:r>
  </w:p>
  <w:p w14:paraId="03C34AC7" w14:textId="77777777" w:rsidR="008F2AD9" w:rsidRPr="00233F7A" w:rsidRDefault="008F2AD9" w:rsidP="00E86E49">
    <w:pPr>
      <w:pStyle w:val="Textonotaalfinal"/>
      <w:tabs>
        <w:tab w:val="center" w:pos="1190"/>
        <w:tab w:val="center" w:pos="1740"/>
        <w:tab w:val="center" w:pos="5380"/>
        <w:tab w:val="center" w:pos="8440"/>
      </w:tabs>
      <w:rPr>
        <w:rFonts w:ascii="Times New Roman" w:hAnsi="Times New Roman"/>
      </w:rPr>
    </w:pPr>
  </w:p>
  <w:p w14:paraId="76185E66" w14:textId="77777777" w:rsidR="008F2AD9" w:rsidRPr="00233F7A" w:rsidRDefault="008F2AD9" w:rsidP="00E86E49">
    <w:pPr>
      <w:pStyle w:val="Textonotaalfinal"/>
      <w:tabs>
        <w:tab w:val="center" w:pos="1190"/>
        <w:tab w:val="center" w:pos="1740"/>
        <w:tab w:val="center" w:pos="5380"/>
        <w:tab w:val="center" w:pos="8440"/>
      </w:tabs>
      <w:rPr>
        <w:rFonts w:ascii="Times New Roman" w:hAnsi="Times New Roman"/>
      </w:rPr>
    </w:pPr>
  </w:p>
  <w:p w14:paraId="1FEA7268" w14:textId="77777777" w:rsidR="008F2AD9" w:rsidRPr="00233F7A" w:rsidRDefault="008F2AD9" w:rsidP="00E86E49">
    <w:pPr>
      <w:pStyle w:val="Textonotaalfinal"/>
      <w:tabs>
        <w:tab w:val="center" w:pos="1190"/>
        <w:tab w:val="center" w:pos="1740"/>
        <w:tab w:val="center" w:pos="5380"/>
        <w:tab w:val="center" w:pos="8440"/>
      </w:tabs>
      <w:rPr>
        <w:rFonts w:ascii="Times New Roman" w:hAnsi="Times New Roman"/>
      </w:rPr>
    </w:pPr>
  </w:p>
  <w:p w14:paraId="0033C34C" w14:textId="77777777" w:rsidR="008F2AD9" w:rsidRPr="00233F7A" w:rsidRDefault="008F2AD9" w:rsidP="00E86E49">
    <w:pPr>
      <w:tabs>
        <w:tab w:val="center" w:pos="1740"/>
        <w:tab w:val="center" w:pos="6804"/>
      </w:tabs>
      <w:ind w:right="-427"/>
      <w:rPr>
        <w:rFonts w:ascii="Times New Roman" w:hAnsi="Times New Roman"/>
      </w:rPr>
    </w:pPr>
    <w:r w:rsidRPr="00233F7A">
      <w:rPr>
        <w:rFonts w:ascii="Times New Roman" w:hAnsi="Times New Roman"/>
      </w:rPr>
      <w:tab/>
      <w:t>[Nombre del Socio]</w:t>
    </w:r>
    <w:r w:rsidRPr="00233F7A">
      <w:rPr>
        <w:rFonts w:ascii="Times New Roman" w:hAnsi="Times New Roman"/>
      </w:rPr>
      <w:tab/>
      <w:t>[Nombre Comisión Fiscalizadora</w:t>
    </w:r>
    <w:r>
      <w:rPr>
        <w:rFonts w:ascii="Times New Roman" w:hAnsi="Times New Roman"/>
      </w:rPr>
      <w:t>]</w:t>
    </w:r>
  </w:p>
  <w:p w14:paraId="5CD7E0F9" w14:textId="77777777" w:rsidR="008F2AD9" w:rsidRPr="00233F7A" w:rsidRDefault="008F2AD9" w:rsidP="00E86E49">
    <w:pPr>
      <w:tabs>
        <w:tab w:val="center" w:pos="1740"/>
        <w:tab w:val="center" w:pos="6804"/>
      </w:tabs>
      <w:ind w:right="-427"/>
      <w:rPr>
        <w:rFonts w:ascii="Times New Roman" w:hAnsi="Times New Roman"/>
      </w:rPr>
    </w:pPr>
    <w:r w:rsidRPr="00233F7A">
      <w:rPr>
        <w:rFonts w:ascii="Times New Roman" w:hAnsi="Times New Roman"/>
      </w:rPr>
      <w:tab/>
    </w:r>
    <w:r w:rsidRPr="00233F7A">
      <w:rPr>
        <w:rFonts w:ascii="Times New Roman" w:hAnsi="Times New Roman"/>
        <w:i/>
      </w:rPr>
      <w:t>Socio</w:t>
    </w:r>
    <w:r w:rsidRPr="00233F7A">
      <w:rPr>
        <w:rFonts w:ascii="Times New Roman" w:hAnsi="Times New Roman"/>
        <w:i/>
      </w:rPr>
      <w:tab/>
    </w:r>
    <w:r w:rsidRPr="00233F7A">
      <w:rPr>
        <w:rFonts w:ascii="Times New Roman" w:hAnsi="Times New Roman"/>
      </w:rPr>
      <w:t>[Síndico](1)</w:t>
    </w:r>
  </w:p>
  <w:p w14:paraId="60DE8A4C" w14:textId="77777777" w:rsidR="008F2AD9" w:rsidRPr="00233F7A" w:rsidRDefault="008F2AD9" w:rsidP="00E86E49">
    <w:pPr>
      <w:tabs>
        <w:tab w:val="center" w:pos="1740"/>
        <w:tab w:val="center" w:pos="2126"/>
        <w:tab w:val="center" w:pos="5400"/>
      </w:tabs>
      <w:ind w:right="-427"/>
      <w:rPr>
        <w:rFonts w:ascii="Times New Roman" w:hAnsi="Times New Roman"/>
      </w:rPr>
    </w:pPr>
    <w:r w:rsidRPr="00233F7A">
      <w:rPr>
        <w:rFonts w:ascii="Times New Roman" w:hAnsi="Times New Roman"/>
      </w:rPr>
      <w:tab/>
      <w:t>Contador Público [Universidad]</w:t>
    </w:r>
    <w:r w:rsidRPr="00233F7A">
      <w:rPr>
        <w:rFonts w:ascii="Times New Roman" w:hAnsi="Times New Roman"/>
      </w:rPr>
      <w:tab/>
    </w:r>
    <w:r w:rsidRPr="00233F7A">
      <w:rPr>
        <w:rFonts w:ascii="Times New Roman" w:hAnsi="Times New Roman"/>
      </w:rPr>
      <w:tab/>
    </w:r>
  </w:p>
  <w:p w14:paraId="546C65AB" w14:textId="77777777" w:rsidR="008F2AD9" w:rsidRPr="00233F7A" w:rsidRDefault="008F2AD9" w:rsidP="00E86E49">
    <w:pPr>
      <w:tabs>
        <w:tab w:val="center" w:pos="1740"/>
        <w:tab w:val="center" w:pos="2126"/>
        <w:tab w:val="center" w:pos="5400"/>
        <w:tab w:val="center" w:pos="8440"/>
      </w:tabs>
      <w:ind w:right="-427"/>
      <w:rPr>
        <w:rFonts w:ascii="Times New Roman" w:hAnsi="Times New Roman"/>
      </w:rPr>
    </w:pPr>
    <w:r w:rsidRPr="00233F7A">
      <w:rPr>
        <w:rFonts w:ascii="Times New Roman" w:hAnsi="Times New Roman"/>
      </w:rPr>
      <w:tab/>
      <w:t>[Matrícula Profesional]</w:t>
    </w:r>
    <w:r w:rsidRPr="00233F7A">
      <w:rPr>
        <w:rFonts w:ascii="Times New Roman" w:hAnsi="Times New Roman"/>
      </w:rPr>
      <w:tab/>
    </w:r>
  </w:p>
  <w:p w14:paraId="5D8525B7" w14:textId="77777777" w:rsidR="008F2AD9" w:rsidRPr="00233F7A" w:rsidRDefault="008F2AD9" w:rsidP="00E86E49">
    <w:pPr>
      <w:tabs>
        <w:tab w:val="left" w:pos="567"/>
      </w:tabs>
      <w:ind w:left="567" w:hanging="567"/>
      <w:rPr>
        <w:rFonts w:ascii="Times New Roman" w:hAnsi="Times New Roman"/>
        <w:b/>
        <w:bCs/>
      </w:rPr>
    </w:pPr>
  </w:p>
  <w:p w14:paraId="5804BA17" w14:textId="77777777" w:rsidR="008F2AD9" w:rsidRPr="00D11586" w:rsidRDefault="008F2AD9" w:rsidP="00E86E49">
    <w:pPr>
      <w:tabs>
        <w:tab w:val="left" w:pos="567"/>
      </w:tabs>
      <w:ind w:left="567" w:hanging="567"/>
      <w:rPr>
        <w:rFonts w:ascii="Times New Roman" w:hAnsi="Times New Roman"/>
        <w:bCs/>
      </w:rPr>
    </w:pPr>
    <w:r w:rsidRPr="00233F7A">
      <w:rPr>
        <w:rFonts w:ascii="Times New Roman" w:hAnsi="Times New Roman"/>
        <w:bCs/>
      </w:rPr>
      <w:t xml:space="preserve">(1) Si es contador </w:t>
    </w:r>
    <w:r>
      <w:rPr>
        <w:rFonts w:ascii="Times New Roman" w:hAnsi="Times New Roman"/>
        <w:bCs/>
      </w:rPr>
      <w:t>el firmante va con tomo y folio</w:t>
    </w:r>
  </w:p>
  <w:p w14:paraId="4863F1AD" w14:textId="77777777" w:rsidR="008F2AD9" w:rsidRPr="00D1038E" w:rsidRDefault="008F2AD9" w:rsidP="00E86E4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6D0B8" w14:textId="77777777" w:rsidR="008F2AD9" w:rsidRDefault="008F2AD9">
    <w:pPr>
      <w:pStyle w:val="Piedepgina"/>
      <w:framePr w:wrap="around" w:vAnchor="text" w:hAnchor="margin" w:xAlign="right" w:y="1"/>
      <w:rPr>
        <w:rStyle w:val="Nmerodepgina"/>
      </w:rPr>
    </w:pPr>
  </w:p>
  <w:p w14:paraId="35D211AA" w14:textId="77777777" w:rsidR="008F2AD9" w:rsidRDefault="008F2AD9">
    <w:pPr>
      <w:ind w:left="-540" w:right="360"/>
      <w:rPr>
        <w:rFonts w:ascii="Book Antiqua" w:hAnsi="Book Antiqua"/>
        <w:sz w:val="16"/>
      </w:rPr>
    </w:pPr>
  </w:p>
  <w:tbl>
    <w:tblPr>
      <w:tblW w:w="8647" w:type="dxa"/>
      <w:tblInd w:w="3760" w:type="dxa"/>
      <w:tblLayout w:type="fixed"/>
      <w:tblLook w:val="0000" w:firstRow="0" w:lastRow="0" w:firstColumn="0" w:lastColumn="0" w:noHBand="0" w:noVBand="0"/>
    </w:tblPr>
    <w:tblGrid>
      <w:gridCol w:w="3402"/>
      <w:gridCol w:w="1701"/>
      <w:gridCol w:w="3544"/>
    </w:tblGrid>
    <w:tr w:rsidR="008F2AD9" w14:paraId="2605E218" w14:textId="77777777" w:rsidTr="00C72B5E">
      <w:trPr>
        <w:cantSplit/>
      </w:trPr>
      <w:tc>
        <w:tcPr>
          <w:tcW w:w="3402" w:type="dxa"/>
        </w:tcPr>
        <w:p w14:paraId="56FC731C" w14:textId="77777777" w:rsidR="008F2AD9" w:rsidRDefault="008F2AD9" w:rsidP="005E16E0">
          <w:pPr>
            <w:ind w:right="123"/>
            <w:jc w:val="center"/>
            <w:rPr>
              <w:rFonts w:ascii="Times New Roman" w:hAnsi="Times New Roman"/>
              <w:sz w:val="16"/>
            </w:rPr>
          </w:pPr>
        </w:p>
      </w:tc>
      <w:tc>
        <w:tcPr>
          <w:tcW w:w="1701" w:type="dxa"/>
        </w:tcPr>
        <w:p w14:paraId="2DD8D689" w14:textId="77777777" w:rsidR="008F2AD9" w:rsidRDefault="008F2AD9" w:rsidP="005E16E0">
          <w:pPr>
            <w:ind w:right="123"/>
            <w:jc w:val="center"/>
            <w:rPr>
              <w:rFonts w:ascii="Times New Roman" w:hAnsi="Times New Roman"/>
              <w:sz w:val="16"/>
            </w:rPr>
          </w:pPr>
        </w:p>
      </w:tc>
      <w:tc>
        <w:tcPr>
          <w:tcW w:w="3544" w:type="dxa"/>
        </w:tcPr>
        <w:p w14:paraId="72AB05AE" w14:textId="77777777" w:rsidR="008F2AD9" w:rsidRDefault="008F2AD9" w:rsidP="005E16E0">
          <w:pPr>
            <w:ind w:right="123"/>
            <w:jc w:val="center"/>
            <w:rPr>
              <w:rFonts w:ascii="Times New Roman" w:hAnsi="Times New Roman"/>
              <w:sz w:val="16"/>
            </w:rPr>
          </w:pPr>
        </w:p>
      </w:tc>
    </w:tr>
    <w:tr w:rsidR="008F2AD9" w14:paraId="6ED05ACC" w14:textId="77777777" w:rsidTr="00C72B5E">
      <w:trPr>
        <w:cantSplit/>
      </w:trPr>
      <w:tc>
        <w:tcPr>
          <w:tcW w:w="3402" w:type="dxa"/>
        </w:tcPr>
        <w:p w14:paraId="4ABF6C30" w14:textId="77777777" w:rsidR="008F2AD9" w:rsidRDefault="008F2AD9" w:rsidP="005E16E0">
          <w:pPr>
            <w:ind w:right="123"/>
            <w:jc w:val="center"/>
            <w:rPr>
              <w:rFonts w:ascii="Times New Roman" w:hAnsi="Times New Roman"/>
              <w:sz w:val="16"/>
            </w:rPr>
          </w:pPr>
        </w:p>
      </w:tc>
      <w:tc>
        <w:tcPr>
          <w:tcW w:w="1701" w:type="dxa"/>
        </w:tcPr>
        <w:p w14:paraId="2CA6537E" w14:textId="77777777" w:rsidR="008F2AD9" w:rsidRDefault="008F2AD9" w:rsidP="005E16E0">
          <w:pPr>
            <w:ind w:right="123"/>
            <w:jc w:val="center"/>
            <w:rPr>
              <w:rFonts w:ascii="Times New Roman" w:hAnsi="Times New Roman"/>
              <w:sz w:val="16"/>
            </w:rPr>
          </w:pPr>
        </w:p>
      </w:tc>
      <w:tc>
        <w:tcPr>
          <w:tcW w:w="3544" w:type="dxa"/>
        </w:tcPr>
        <w:p w14:paraId="03DDCB64" w14:textId="77777777" w:rsidR="008F2AD9" w:rsidRDefault="008F2AD9" w:rsidP="005E16E0">
          <w:pPr>
            <w:ind w:right="123"/>
            <w:jc w:val="center"/>
            <w:rPr>
              <w:rFonts w:ascii="Times New Roman" w:hAnsi="Times New Roman"/>
              <w:sz w:val="16"/>
            </w:rPr>
          </w:pPr>
        </w:p>
      </w:tc>
    </w:tr>
    <w:tr w:rsidR="008F2AD9" w14:paraId="245A59E7" w14:textId="77777777" w:rsidTr="00C72B5E">
      <w:trPr>
        <w:cantSplit/>
      </w:trPr>
      <w:tc>
        <w:tcPr>
          <w:tcW w:w="3402" w:type="dxa"/>
        </w:tcPr>
        <w:p w14:paraId="4A38290A" w14:textId="77777777" w:rsidR="008F2AD9" w:rsidRDefault="008F2AD9" w:rsidP="005E16E0">
          <w:pPr>
            <w:ind w:right="123"/>
            <w:jc w:val="center"/>
            <w:rPr>
              <w:rFonts w:ascii="Times New Roman" w:hAnsi="Times New Roman"/>
              <w:sz w:val="16"/>
            </w:rPr>
          </w:pPr>
        </w:p>
      </w:tc>
      <w:tc>
        <w:tcPr>
          <w:tcW w:w="1701" w:type="dxa"/>
        </w:tcPr>
        <w:p w14:paraId="678B31E2" w14:textId="77777777" w:rsidR="008F2AD9" w:rsidRDefault="008F2AD9" w:rsidP="005E16E0">
          <w:pPr>
            <w:ind w:right="123"/>
            <w:jc w:val="center"/>
            <w:rPr>
              <w:rFonts w:ascii="Times New Roman" w:hAnsi="Times New Roman"/>
              <w:sz w:val="16"/>
            </w:rPr>
          </w:pPr>
        </w:p>
      </w:tc>
      <w:tc>
        <w:tcPr>
          <w:tcW w:w="3544" w:type="dxa"/>
        </w:tcPr>
        <w:p w14:paraId="62058F5B" w14:textId="77777777" w:rsidR="008F2AD9" w:rsidRDefault="008F2AD9" w:rsidP="005E16E0">
          <w:pPr>
            <w:ind w:right="123"/>
            <w:jc w:val="center"/>
            <w:rPr>
              <w:rFonts w:ascii="Times New Roman" w:hAnsi="Times New Roman"/>
              <w:sz w:val="16"/>
            </w:rPr>
          </w:pPr>
        </w:p>
        <w:p w14:paraId="0A597140" w14:textId="77777777" w:rsidR="008F2AD9" w:rsidRDefault="008F2AD9" w:rsidP="005E16E0">
          <w:pPr>
            <w:ind w:right="123"/>
            <w:jc w:val="center"/>
            <w:rPr>
              <w:rFonts w:ascii="Times New Roman" w:hAnsi="Times New Roman"/>
              <w:sz w:val="16"/>
            </w:rPr>
          </w:pPr>
        </w:p>
      </w:tc>
    </w:tr>
    <w:tr w:rsidR="008F2AD9" w14:paraId="5CE87DE3" w14:textId="77777777" w:rsidTr="00C72B5E">
      <w:trPr>
        <w:cantSplit/>
      </w:trPr>
      <w:tc>
        <w:tcPr>
          <w:tcW w:w="3402" w:type="dxa"/>
        </w:tcPr>
        <w:p w14:paraId="106FD789" w14:textId="77777777" w:rsidR="008F2AD9" w:rsidRDefault="008F2AD9" w:rsidP="0073611F">
          <w:pPr>
            <w:ind w:right="123"/>
            <w:jc w:val="center"/>
            <w:rPr>
              <w:rFonts w:ascii="Times New Roman" w:hAnsi="Times New Roman"/>
              <w:sz w:val="14"/>
              <w:szCs w:val="14"/>
            </w:rPr>
          </w:pPr>
        </w:p>
        <w:p w14:paraId="2747BEBE" w14:textId="2DAC6C0D" w:rsidR="008F2AD9" w:rsidRPr="00931049" w:rsidRDefault="008F2AD9" w:rsidP="0073611F">
          <w:pPr>
            <w:ind w:right="123"/>
            <w:jc w:val="center"/>
            <w:rPr>
              <w:rFonts w:ascii="Times New Roman" w:hAnsi="Times New Roman"/>
              <w:sz w:val="14"/>
              <w:szCs w:val="14"/>
            </w:rPr>
          </w:pPr>
          <w:r>
            <w:rPr>
              <w:rFonts w:ascii="Times New Roman" w:hAnsi="Times New Roman"/>
              <w:sz w:val="14"/>
              <w:szCs w:val="14"/>
            </w:rPr>
            <w:t>ERNESTO R. GALLARDO JIMENEZ</w:t>
          </w:r>
        </w:p>
      </w:tc>
      <w:tc>
        <w:tcPr>
          <w:tcW w:w="1701" w:type="dxa"/>
        </w:tcPr>
        <w:p w14:paraId="066D581E" w14:textId="19D58436" w:rsidR="008F2AD9" w:rsidRPr="00931049" w:rsidRDefault="008F2AD9" w:rsidP="0073611F">
          <w:pPr>
            <w:ind w:right="123"/>
            <w:jc w:val="center"/>
            <w:rPr>
              <w:rFonts w:ascii="Times New Roman" w:hAnsi="Times New Roman"/>
              <w:sz w:val="14"/>
              <w:szCs w:val="14"/>
              <w:lang w:val="es-ES_tradnl"/>
            </w:rPr>
          </w:pPr>
          <w:r>
            <w:rPr>
              <w:rFonts w:ascii="Times New Roman" w:hAnsi="Times New Roman"/>
              <w:sz w:val="14"/>
              <w:szCs w:val="14"/>
              <w:lang w:val="es-ES_tradnl"/>
            </w:rPr>
            <w:t xml:space="preserve">                                  JORGE D. LUNA</w:t>
          </w:r>
        </w:p>
      </w:tc>
      <w:tc>
        <w:tcPr>
          <w:tcW w:w="3544" w:type="dxa"/>
        </w:tcPr>
        <w:p w14:paraId="2BDA2940" w14:textId="77777777" w:rsidR="008F2AD9" w:rsidRDefault="008F2AD9" w:rsidP="0073611F">
          <w:pPr>
            <w:ind w:right="123"/>
            <w:rPr>
              <w:rFonts w:ascii="Times New Roman" w:hAnsi="Times New Roman"/>
              <w:sz w:val="14"/>
              <w:szCs w:val="14"/>
              <w:lang w:val="es-ES_tradnl"/>
            </w:rPr>
          </w:pPr>
        </w:p>
        <w:p w14:paraId="6B6D587C" w14:textId="631A52E6" w:rsidR="008F2AD9" w:rsidRPr="00931049" w:rsidRDefault="008F2AD9" w:rsidP="0073611F">
          <w:pPr>
            <w:ind w:right="123"/>
            <w:rPr>
              <w:rFonts w:ascii="Times New Roman" w:hAnsi="Times New Roman"/>
              <w:sz w:val="14"/>
              <w:szCs w:val="14"/>
              <w:lang w:val="es-ES_tradnl"/>
            </w:rPr>
          </w:pPr>
          <w:r>
            <w:rPr>
              <w:rFonts w:ascii="Times New Roman" w:hAnsi="Times New Roman"/>
              <w:sz w:val="14"/>
              <w:szCs w:val="14"/>
              <w:lang w:val="es-ES_tradnl"/>
            </w:rPr>
            <w:t xml:space="preserve">                   MARTIN E. ZARICH</w:t>
          </w:r>
        </w:p>
      </w:tc>
    </w:tr>
    <w:tr w:rsidR="008F2AD9" w14:paraId="0AD089B6" w14:textId="77777777" w:rsidTr="00C72B5E">
      <w:trPr>
        <w:cantSplit/>
        <w:trHeight w:val="279"/>
      </w:trPr>
      <w:tc>
        <w:tcPr>
          <w:tcW w:w="3402" w:type="dxa"/>
        </w:tcPr>
        <w:p w14:paraId="5E325C95" w14:textId="5BDC2585" w:rsidR="008F2AD9" w:rsidRPr="00931049" w:rsidRDefault="008F2AD9" w:rsidP="0073611F">
          <w:pPr>
            <w:ind w:right="123"/>
            <w:rPr>
              <w:rFonts w:ascii="Times New Roman" w:hAnsi="Times New Roman"/>
              <w:sz w:val="14"/>
              <w:szCs w:val="14"/>
            </w:rPr>
          </w:pPr>
          <w:r>
            <w:rPr>
              <w:rFonts w:ascii="Times New Roman" w:hAnsi="Times New Roman"/>
              <w:sz w:val="14"/>
              <w:szCs w:val="14"/>
            </w:rPr>
            <w:t xml:space="preserve">              Director Financiero y de Planeamiento</w:t>
          </w:r>
          <w:r w:rsidRPr="00931049">
            <w:rPr>
              <w:rFonts w:ascii="Times New Roman" w:hAnsi="Times New Roman"/>
              <w:sz w:val="14"/>
              <w:szCs w:val="14"/>
            </w:rPr>
            <w:t xml:space="preserve"> </w:t>
          </w:r>
        </w:p>
      </w:tc>
      <w:tc>
        <w:tcPr>
          <w:tcW w:w="1701" w:type="dxa"/>
        </w:tcPr>
        <w:p w14:paraId="4D16A847" w14:textId="5EA37FAE" w:rsidR="008F2AD9" w:rsidRPr="00931049" w:rsidRDefault="008F2AD9" w:rsidP="0073611F">
          <w:pPr>
            <w:jc w:val="center"/>
            <w:rPr>
              <w:rFonts w:ascii="Times New Roman" w:hAnsi="Times New Roman"/>
              <w:sz w:val="14"/>
              <w:szCs w:val="14"/>
            </w:rPr>
          </w:pPr>
          <w:r>
            <w:rPr>
              <w:rFonts w:ascii="Times New Roman" w:hAnsi="Times New Roman"/>
              <w:sz w:val="14"/>
              <w:szCs w:val="14"/>
            </w:rPr>
            <w:t>Vicep</w:t>
          </w:r>
          <w:r w:rsidRPr="00912840">
            <w:rPr>
              <w:rFonts w:ascii="Times New Roman" w:hAnsi="Times New Roman"/>
              <w:sz w:val="14"/>
              <w:szCs w:val="14"/>
            </w:rPr>
            <w:t>residente</w:t>
          </w:r>
          <w:r>
            <w:rPr>
              <w:rFonts w:ascii="Times New Roman" w:hAnsi="Times New Roman"/>
              <w:sz w:val="14"/>
              <w:szCs w:val="14"/>
            </w:rPr>
            <w:t xml:space="preserve"> 1° en ejercicio de la presidencia</w:t>
          </w:r>
        </w:p>
      </w:tc>
      <w:tc>
        <w:tcPr>
          <w:tcW w:w="3544" w:type="dxa"/>
        </w:tcPr>
        <w:p w14:paraId="79429810" w14:textId="03EB3F23" w:rsidR="008F2AD9" w:rsidRPr="00931049" w:rsidRDefault="008F2AD9" w:rsidP="0073611F">
          <w:pPr>
            <w:ind w:right="123"/>
            <w:rPr>
              <w:rFonts w:ascii="Times New Roman" w:hAnsi="Times New Roman"/>
              <w:sz w:val="14"/>
              <w:szCs w:val="14"/>
            </w:rPr>
          </w:pPr>
          <w:r>
            <w:rPr>
              <w:rFonts w:ascii="Times New Roman" w:hAnsi="Times New Roman"/>
              <w:sz w:val="14"/>
              <w:szCs w:val="14"/>
            </w:rPr>
            <w:t xml:space="preserve">                         Gerente General</w:t>
          </w:r>
        </w:p>
      </w:tc>
    </w:tr>
  </w:tbl>
  <w:p w14:paraId="7D3FD42B" w14:textId="77777777" w:rsidR="008F2AD9" w:rsidRPr="006E18E9" w:rsidRDefault="008F2AD9" w:rsidP="00D73677">
    <w:pPr>
      <w:ind w:left="-540" w:right="-1221"/>
      <w:rPr>
        <w:rFonts w:ascii="Times New Roman" w:hAnsi="Times New Roman"/>
        <w:sz w:val="16"/>
        <w:lang w:val="fr-FR"/>
      </w:rPr>
    </w:pPr>
  </w:p>
  <w:tbl>
    <w:tblPr>
      <w:tblW w:w="8646" w:type="dxa"/>
      <w:tblInd w:w="3760" w:type="dxa"/>
      <w:tblLayout w:type="fixed"/>
      <w:tblLook w:val="0000" w:firstRow="0" w:lastRow="0" w:firstColumn="0" w:lastColumn="0" w:noHBand="0" w:noVBand="0"/>
    </w:tblPr>
    <w:tblGrid>
      <w:gridCol w:w="3402"/>
      <w:gridCol w:w="1134"/>
      <w:gridCol w:w="4110"/>
    </w:tblGrid>
    <w:tr w:rsidR="008F2AD9" w14:paraId="378D2EFF" w14:textId="77777777" w:rsidTr="00C72B5E">
      <w:tc>
        <w:tcPr>
          <w:tcW w:w="3402" w:type="dxa"/>
        </w:tcPr>
        <w:p w14:paraId="14BB79A6" w14:textId="77777777" w:rsidR="008F2AD9" w:rsidRPr="00A100B5" w:rsidRDefault="008F2AD9" w:rsidP="005E16E0">
          <w:pPr>
            <w:ind w:right="18"/>
            <w:jc w:val="center"/>
            <w:rPr>
              <w:rFonts w:ascii="Times New Roman" w:hAnsi="Times New Roman"/>
              <w:sz w:val="12"/>
              <w:szCs w:val="12"/>
            </w:rPr>
          </w:pPr>
          <w:r w:rsidRPr="00A100B5">
            <w:rPr>
              <w:rFonts w:ascii="Times New Roman" w:hAnsi="Times New Roman"/>
              <w:sz w:val="12"/>
              <w:szCs w:val="12"/>
            </w:rPr>
            <w:t>Firmado a los efectos de su identificación</w:t>
          </w:r>
        </w:p>
      </w:tc>
      <w:tc>
        <w:tcPr>
          <w:tcW w:w="1134" w:type="dxa"/>
        </w:tcPr>
        <w:p w14:paraId="77368AE0" w14:textId="77777777" w:rsidR="008F2AD9" w:rsidRPr="00931049" w:rsidRDefault="008F2AD9" w:rsidP="005E16E0">
          <w:pPr>
            <w:ind w:right="18"/>
            <w:jc w:val="center"/>
            <w:rPr>
              <w:rFonts w:ascii="Times New Roman" w:hAnsi="Times New Roman"/>
              <w:sz w:val="14"/>
              <w:szCs w:val="14"/>
            </w:rPr>
          </w:pPr>
        </w:p>
      </w:tc>
      <w:tc>
        <w:tcPr>
          <w:tcW w:w="4110" w:type="dxa"/>
        </w:tcPr>
        <w:p w14:paraId="027AAEB6" w14:textId="77777777" w:rsidR="008F2AD9" w:rsidRPr="00042795" w:rsidRDefault="008F2AD9" w:rsidP="005E16E0">
          <w:pPr>
            <w:ind w:right="18"/>
            <w:jc w:val="center"/>
            <w:rPr>
              <w:rFonts w:ascii="Times New Roman" w:hAnsi="Times New Roman"/>
              <w:sz w:val="12"/>
              <w:szCs w:val="12"/>
            </w:rPr>
          </w:pPr>
          <w:r w:rsidRPr="00042795">
            <w:rPr>
              <w:rFonts w:ascii="Times New Roman" w:hAnsi="Times New Roman"/>
              <w:sz w:val="12"/>
              <w:szCs w:val="12"/>
            </w:rPr>
            <w:t>Firmado a los efectos de su identificación</w:t>
          </w:r>
        </w:p>
      </w:tc>
    </w:tr>
    <w:tr w:rsidR="008F2AD9" w14:paraId="51289346" w14:textId="77777777" w:rsidTr="00C72B5E">
      <w:tc>
        <w:tcPr>
          <w:tcW w:w="3402" w:type="dxa"/>
        </w:tcPr>
        <w:p w14:paraId="3E50ACEE" w14:textId="6E7B536D" w:rsidR="008F2AD9" w:rsidRPr="00A100B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c>
        <w:tcPr>
          <w:tcW w:w="1134" w:type="dxa"/>
        </w:tcPr>
        <w:p w14:paraId="3806EB19" w14:textId="77777777" w:rsidR="008F2AD9" w:rsidRPr="00931049" w:rsidRDefault="008F2AD9" w:rsidP="000F238E">
          <w:pPr>
            <w:ind w:right="18"/>
            <w:jc w:val="center"/>
            <w:rPr>
              <w:rFonts w:ascii="Times New Roman" w:hAnsi="Times New Roman"/>
              <w:sz w:val="14"/>
              <w:szCs w:val="14"/>
            </w:rPr>
          </w:pPr>
        </w:p>
      </w:tc>
      <w:tc>
        <w:tcPr>
          <w:tcW w:w="4110" w:type="dxa"/>
        </w:tcPr>
        <w:p w14:paraId="7C75E03E" w14:textId="10B625B6" w:rsidR="008F2AD9" w:rsidRPr="0004279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r>
    <w:tr w:rsidR="008F2AD9" w14:paraId="4F69D475" w14:textId="77777777" w:rsidTr="00C72B5E">
      <w:tc>
        <w:tcPr>
          <w:tcW w:w="3402" w:type="dxa"/>
        </w:tcPr>
        <w:p w14:paraId="1CA6BBE0" w14:textId="77777777" w:rsidR="008F2AD9" w:rsidRPr="00A100B5" w:rsidRDefault="008F2AD9" w:rsidP="000F238E">
          <w:pPr>
            <w:ind w:right="123"/>
            <w:jc w:val="center"/>
            <w:rPr>
              <w:rFonts w:ascii="Times New Roman" w:hAnsi="Times New Roman"/>
              <w:sz w:val="12"/>
              <w:szCs w:val="12"/>
            </w:rPr>
          </w:pPr>
          <w:r w:rsidRPr="00A100B5">
            <w:rPr>
              <w:rFonts w:ascii="Times New Roman" w:hAnsi="Times New Roman"/>
              <w:sz w:val="12"/>
              <w:szCs w:val="12"/>
            </w:rPr>
            <w:t>P/COMISIÓN FISCALIZADORA</w:t>
          </w:r>
        </w:p>
      </w:tc>
      <w:tc>
        <w:tcPr>
          <w:tcW w:w="1134" w:type="dxa"/>
        </w:tcPr>
        <w:p w14:paraId="438232E0" w14:textId="77777777" w:rsidR="008F2AD9" w:rsidRPr="00931049" w:rsidRDefault="008F2AD9" w:rsidP="000F238E">
          <w:pPr>
            <w:ind w:right="123"/>
            <w:jc w:val="center"/>
            <w:rPr>
              <w:rFonts w:ascii="Times New Roman" w:hAnsi="Times New Roman"/>
              <w:sz w:val="14"/>
              <w:szCs w:val="14"/>
              <w:lang w:val="en-US"/>
            </w:rPr>
          </w:pPr>
        </w:p>
      </w:tc>
      <w:tc>
        <w:tcPr>
          <w:tcW w:w="4110" w:type="dxa"/>
        </w:tcPr>
        <w:p w14:paraId="74E6A58C" w14:textId="77777777" w:rsidR="008F2AD9" w:rsidRPr="005E51EC" w:rsidRDefault="008F2AD9" w:rsidP="000F238E">
          <w:pPr>
            <w:ind w:right="123"/>
            <w:jc w:val="center"/>
            <w:rPr>
              <w:rFonts w:ascii="Times New Roman" w:hAnsi="Times New Roman"/>
              <w:b/>
              <w:sz w:val="12"/>
              <w:szCs w:val="12"/>
              <w:lang w:val="en-US"/>
            </w:rPr>
          </w:pPr>
          <w:r>
            <w:rPr>
              <w:rFonts w:ascii="Times New Roman" w:hAnsi="Times New Roman"/>
              <w:b/>
              <w:sz w:val="12"/>
              <w:szCs w:val="12"/>
              <w:lang w:val="en-US"/>
            </w:rPr>
            <w:t>KPMG</w:t>
          </w:r>
        </w:p>
      </w:tc>
    </w:tr>
    <w:tr w:rsidR="008F2AD9" w14:paraId="75DF7686" w14:textId="77777777" w:rsidTr="00C72B5E">
      <w:tc>
        <w:tcPr>
          <w:tcW w:w="3402" w:type="dxa"/>
        </w:tcPr>
        <w:p w14:paraId="2A087C39" w14:textId="77777777" w:rsidR="008F2AD9" w:rsidRPr="00931049" w:rsidRDefault="008F2AD9" w:rsidP="000F238E">
          <w:pPr>
            <w:ind w:right="123"/>
            <w:jc w:val="center"/>
            <w:rPr>
              <w:rFonts w:ascii="Times New Roman" w:hAnsi="Times New Roman"/>
              <w:sz w:val="14"/>
              <w:szCs w:val="14"/>
              <w:lang w:val="en-US"/>
            </w:rPr>
          </w:pPr>
        </w:p>
      </w:tc>
      <w:tc>
        <w:tcPr>
          <w:tcW w:w="1134" w:type="dxa"/>
        </w:tcPr>
        <w:p w14:paraId="229269E1" w14:textId="77777777" w:rsidR="008F2AD9" w:rsidRPr="00931049" w:rsidRDefault="008F2AD9" w:rsidP="000F238E">
          <w:pPr>
            <w:ind w:left="34" w:right="-107" w:hanging="34"/>
            <w:jc w:val="center"/>
            <w:rPr>
              <w:rFonts w:ascii="Times New Roman" w:hAnsi="Times New Roman"/>
              <w:sz w:val="14"/>
              <w:szCs w:val="14"/>
              <w:lang w:val="en-US"/>
            </w:rPr>
          </w:pPr>
        </w:p>
      </w:tc>
      <w:tc>
        <w:tcPr>
          <w:tcW w:w="4110" w:type="dxa"/>
        </w:tcPr>
        <w:p w14:paraId="65F4A80A" w14:textId="77777777" w:rsidR="008F2AD9" w:rsidRPr="005E51EC" w:rsidRDefault="008F2AD9" w:rsidP="000F238E">
          <w:pPr>
            <w:ind w:right="123"/>
            <w:jc w:val="center"/>
            <w:rPr>
              <w:rFonts w:ascii="Times New Roman" w:hAnsi="Times New Roman"/>
              <w:sz w:val="12"/>
              <w:szCs w:val="12"/>
            </w:rPr>
          </w:pPr>
          <w:r w:rsidRPr="000E498B">
            <w:rPr>
              <w:rFonts w:ascii="Times New Roman" w:hAnsi="Times New Roman"/>
              <w:sz w:val="12"/>
              <w:szCs w:val="12"/>
            </w:rPr>
            <w:t>Reg. de Asoc. Prof. CPCECABA Tº 2 Fº 6</w:t>
          </w:r>
        </w:p>
      </w:tc>
    </w:tr>
    <w:tr w:rsidR="008F2AD9" w14:paraId="345D6236" w14:textId="77777777" w:rsidTr="00C72B5E">
      <w:tc>
        <w:tcPr>
          <w:tcW w:w="3402" w:type="dxa"/>
        </w:tcPr>
        <w:p w14:paraId="18D2EC4B" w14:textId="77777777" w:rsidR="008F2AD9" w:rsidRPr="00931049" w:rsidRDefault="008F2AD9" w:rsidP="000F238E">
          <w:pPr>
            <w:ind w:right="123"/>
            <w:jc w:val="center"/>
            <w:rPr>
              <w:rFonts w:ascii="Times New Roman" w:hAnsi="Times New Roman"/>
              <w:sz w:val="14"/>
              <w:szCs w:val="14"/>
            </w:rPr>
          </w:pPr>
        </w:p>
      </w:tc>
      <w:tc>
        <w:tcPr>
          <w:tcW w:w="1134" w:type="dxa"/>
        </w:tcPr>
        <w:p w14:paraId="6EBFA53A" w14:textId="77777777" w:rsidR="008F2AD9" w:rsidRPr="00931049" w:rsidRDefault="008F2AD9" w:rsidP="000F238E">
          <w:pPr>
            <w:ind w:right="123"/>
            <w:jc w:val="center"/>
            <w:rPr>
              <w:rFonts w:ascii="Times New Roman" w:hAnsi="Times New Roman"/>
              <w:sz w:val="14"/>
              <w:szCs w:val="14"/>
            </w:rPr>
          </w:pPr>
        </w:p>
      </w:tc>
      <w:tc>
        <w:tcPr>
          <w:tcW w:w="4110" w:type="dxa"/>
        </w:tcPr>
        <w:p w14:paraId="493293D0" w14:textId="77777777" w:rsidR="008F2AD9" w:rsidRPr="005E51EC" w:rsidRDefault="008F2AD9" w:rsidP="000F238E">
          <w:pPr>
            <w:ind w:right="123"/>
            <w:jc w:val="center"/>
            <w:rPr>
              <w:rFonts w:ascii="Times New Roman" w:hAnsi="Times New Roman"/>
              <w:b/>
              <w:sz w:val="12"/>
              <w:szCs w:val="12"/>
            </w:rPr>
          </w:pPr>
        </w:p>
      </w:tc>
    </w:tr>
    <w:tr w:rsidR="008F2AD9" w14:paraId="5A27B579" w14:textId="77777777" w:rsidTr="00C72B5E">
      <w:tc>
        <w:tcPr>
          <w:tcW w:w="3402" w:type="dxa"/>
        </w:tcPr>
        <w:p w14:paraId="7D8D8EAD" w14:textId="77777777" w:rsidR="008F2AD9" w:rsidRPr="00931049" w:rsidRDefault="008F2AD9" w:rsidP="000F238E">
          <w:pPr>
            <w:ind w:right="123"/>
            <w:jc w:val="center"/>
            <w:rPr>
              <w:rFonts w:ascii="Times New Roman" w:hAnsi="Times New Roman"/>
              <w:sz w:val="14"/>
              <w:szCs w:val="14"/>
            </w:rPr>
          </w:pPr>
        </w:p>
      </w:tc>
      <w:tc>
        <w:tcPr>
          <w:tcW w:w="1134" w:type="dxa"/>
        </w:tcPr>
        <w:p w14:paraId="3AA7739E" w14:textId="77777777" w:rsidR="008F2AD9" w:rsidRPr="00931049" w:rsidRDefault="008F2AD9" w:rsidP="000F238E">
          <w:pPr>
            <w:ind w:right="18"/>
            <w:jc w:val="center"/>
            <w:rPr>
              <w:rFonts w:ascii="Times New Roman" w:hAnsi="Times New Roman"/>
              <w:sz w:val="14"/>
              <w:szCs w:val="14"/>
            </w:rPr>
          </w:pPr>
        </w:p>
      </w:tc>
      <w:tc>
        <w:tcPr>
          <w:tcW w:w="4110" w:type="dxa"/>
        </w:tcPr>
        <w:p w14:paraId="450B361C" w14:textId="77777777" w:rsidR="008F2AD9" w:rsidRPr="00931049" w:rsidRDefault="008F2AD9" w:rsidP="000F238E">
          <w:pPr>
            <w:ind w:right="18"/>
            <w:jc w:val="center"/>
            <w:rPr>
              <w:rFonts w:ascii="Times New Roman" w:hAnsi="Times New Roman"/>
              <w:sz w:val="14"/>
              <w:szCs w:val="14"/>
            </w:rPr>
          </w:pPr>
        </w:p>
      </w:tc>
    </w:tr>
    <w:tr w:rsidR="008F2AD9" w14:paraId="301E079B" w14:textId="77777777" w:rsidTr="00C72B5E">
      <w:tc>
        <w:tcPr>
          <w:tcW w:w="3402" w:type="dxa"/>
        </w:tcPr>
        <w:p w14:paraId="4069D2FA" w14:textId="77777777" w:rsidR="008F2AD9" w:rsidRPr="00931049" w:rsidRDefault="008F2AD9" w:rsidP="000F238E">
          <w:pPr>
            <w:ind w:right="123"/>
            <w:jc w:val="center"/>
            <w:rPr>
              <w:rFonts w:ascii="Times New Roman" w:hAnsi="Times New Roman"/>
              <w:sz w:val="14"/>
              <w:szCs w:val="14"/>
            </w:rPr>
          </w:pPr>
        </w:p>
      </w:tc>
      <w:tc>
        <w:tcPr>
          <w:tcW w:w="1134" w:type="dxa"/>
        </w:tcPr>
        <w:p w14:paraId="36CF8980" w14:textId="77777777" w:rsidR="008F2AD9" w:rsidRPr="00931049" w:rsidRDefault="008F2AD9" w:rsidP="000F238E">
          <w:pPr>
            <w:ind w:right="123"/>
            <w:jc w:val="center"/>
            <w:rPr>
              <w:rFonts w:ascii="Times New Roman" w:hAnsi="Times New Roman"/>
              <w:b/>
              <w:sz w:val="14"/>
              <w:szCs w:val="14"/>
            </w:rPr>
          </w:pPr>
        </w:p>
      </w:tc>
      <w:tc>
        <w:tcPr>
          <w:tcW w:w="4110" w:type="dxa"/>
        </w:tcPr>
        <w:p w14:paraId="52DAD4AE" w14:textId="77777777" w:rsidR="008F2AD9" w:rsidRPr="00931049" w:rsidRDefault="008F2AD9" w:rsidP="000F238E">
          <w:pPr>
            <w:ind w:right="123"/>
            <w:jc w:val="center"/>
            <w:rPr>
              <w:rFonts w:ascii="Times New Roman" w:hAnsi="Times New Roman"/>
              <w:b/>
              <w:sz w:val="14"/>
              <w:szCs w:val="14"/>
            </w:rPr>
          </w:pPr>
        </w:p>
      </w:tc>
    </w:tr>
    <w:tr w:rsidR="008F2AD9" w14:paraId="1FFF8F75" w14:textId="77777777" w:rsidTr="00C72B5E">
      <w:trPr>
        <w:trHeight w:hRule="exact" w:val="170"/>
      </w:trPr>
      <w:tc>
        <w:tcPr>
          <w:tcW w:w="3402" w:type="dxa"/>
          <w:vAlign w:val="center"/>
        </w:tcPr>
        <w:p w14:paraId="0B168A79" w14:textId="77777777" w:rsidR="008F2AD9" w:rsidRPr="00931049" w:rsidRDefault="008F2AD9" w:rsidP="000F238E">
          <w:pPr>
            <w:ind w:right="125"/>
            <w:jc w:val="center"/>
            <w:rPr>
              <w:rFonts w:ascii="Times New Roman" w:hAnsi="Times New Roman"/>
              <w:sz w:val="14"/>
              <w:szCs w:val="14"/>
              <w:lang w:val="es-ES"/>
            </w:rPr>
          </w:pPr>
        </w:p>
      </w:tc>
      <w:tc>
        <w:tcPr>
          <w:tcW w:w="1134" w:type="dxa"/>
          <w:vAlign w:val="center"/>
        </w:tcPr>
        <w:p w14:paraId="7ACAEA2B" w14:textId="77777777" w:rsidR="008F2AD9" w:rsidRPr="00931049" w:rsidRDefault="008F2AD9" w:rsidP="000F238E">
          <w:pPr>
            <w:ind w:right="125"/>
            <w:jc w:val="center"/>
            <w:rPr>
              <w:rFonts w:ascii="Times New Roman" w:hAnsi="Times New Roman"/>
              <w:sz w:val="14"/>
              <w:szCs w:val="14"/>
            </w:rPr>
          </w:pPr>
        </w:p>
      </w:tc>
      <w:tc>
        <w:tcPr>
          <w:tcW w:w="4110" w:type="dxa"/>
          <w:vAlign w:val="center"/>
        </w:tcPr>
        <w:p w14:paraId="558665E3" w14:textId="77777777" w:rsidR="008F2AD9" w:rsidRPr="00931049" w:rsidRDefault="008F2AD9" w:rsidP="000F238E">
          <w:pPr>
            <w:ind w:right="125"/>
            <w:jc w:val="center"/>
            <w:rPr>
              <w:rFonts w:ascii="Times New Roman" w:hAnsi="Times New Roman"/>
              <w:sz w:val="14"/>
              <w:szCs w:val="14"/>
            </w:rPr>
          </w:pPr>
        </w:p>
      </w:tc>
    </w:tr>
    <w:tr w:rsidR="008F2AD9" w14:paraId="00A25E45" w14:textId="77777777" w:rsidTr="004446FC">
      <w:tc>
        <w:tcPr>
          <w:tcW w:w="3402" w:type="dxa"/>
        </w:tcPr>
        <w:p w14:paraId="2A2F34C0"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lang w:val="es-ES"/>
            </w:rPr>
            <w:t>ALEJANDRO MOSQUERA</w:t>
          </w:r>
          <w:r>
            <w:rPr>
              <w:rFonts w:ascii="Times New Roman" w:hAnsi="Times New Roman"/>
              <w:sz w:val="14"/>
              <w:szCs w:val="14"/>
              <w:lang w:val="es-ES"/>
            </w:rPr>
            <w:t xml:space="preserve"> (Síndico)</w:t>
          </w:r>
        </w:p>
      </w:tc>
      <w:tc>
        <w:tcPr>
          <w:tcW w:w="1134" w:type="dxa"/>
        </w:tcPr>
        <w:p w14:paraId="70077AE5" w14:textId="77777777" w:rsidR="008F2AD9" w:rsidRPr="00931049" w:rsidRDefault="008F2AD9" w:rsidP="000F238E">
          <w:pPr>
            <w:ind w:right="123"/>
            <w:jc w:val="center"/>
            <w:rPr>
              <w:rFonts w:ascii="Times New Roman" w:hAnsi="Times New Roman"/>
              <w:sz w:val="14"/>
              <w:szCs w:val="14"/>
            </w:rPr>
          </w:pPr>
        </w:p>
      </w:tc>
      <w:tc>
        <w:tcPr>
          <w:tcW w:w="4110" w:type="dxa"/>
        </w:tcPr>
        <w:p w14:paraId="6A029887" w14:textId="6320086A" w:rsidR="008F2AD9" w:rsidRPr="00124475" w:rsidRDefault="008F2AD9" w:rsidP="000F238E">
          <w:pPr>
            <w:ind w:right="125"/>
            <w:jc w:val="center"/>
            <w:rPr>
              <w:rFonts w:ascii="Times New Roman" w:hAnsi="Times New Roman"/>
              <w:sz w:val="14"/>
              <w:szCs w:val="14"/>
            </w:rPr>
          </w:pPr>
          <w:r w:rsidRPr="00124475">
            <w:rPr>
              <w:rFonts w:ascii="Times New Roman" w:hAnsi="Times New Roman"/>
              <w:sz w:val="14"/>
              <w:szCs w:val="14"/>
            </w:rPr>
            <w:t>MAURICIO G. EIDELSTEIN (Socio)</w:t>
          </w:r>
        </w:p>
      </w:tc>
    </w:tr>
    <w:tr w:rsidR="008F2AD9" w14:paraId="3284BAC5" w14:textId="77777777" w:rsidTr="00C72B5E">
      <w:tc>
        <w:tcPr>
          <w:tcW w:w="3402" w:type="dxa"/>
        </w:tcPr>
        <w:p w14:paraId="70072DC4"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rPr>
            <w:t>Abogado - U.B.A.</w:t>
          </w:r>
        </w:p>
      </w:tc>
      <w:tc>
        <w:tcPr>
          <w:tcW w:w="1134" w:type="dxa"/>
        </w:tcPr>
        <w:p w14:paraId="5E73BAF4" w14:textId="77777777" w:rsidR="008F2AD9" w:rsidRPr="00931049" w:rsidRDefault="008F2AD9" w:rsidP="000F238E">
          <w:pPr>
            <w:ind w:right="123"/>
            <w:jc w:val="center"/>
            <w:rPr>
              <w:rFonts w:ascii="Times New Roman" w:hAnsi="Times New Roman"/>
              <w:sz w:val="14"/>
              <w:szCs w:val="14"/>
            </w:rPr>
          </w:pPr>
        </w:p>
      </w:tc>
      <w:tc>
        <w:tcPr>
          <w:tcW w:w="4110" w:type="dxa"/>
        </w:tcPr>
        <w:p w14:paraId="18D806AC" w14:textId="2C3E47F6" w:rsidR="008F2AD9" w:rsidRPr="00124475" w:rsidRDefault="008F2AD9" w:rsidP="000F238E">
          <w:pPr>
            <w:ind w:right="123"/>
            <w:jc w:val="center"/>
            <w:rPr>
              <w:rFonts w:ascii="Times New Roman" w:hAnsi="Times New Roman"/>
              <w:b/>
              <w:sz w:val="14"/>
              <w:szCs w:val="14"/>
            </w:rPr>
          </w:pPr>
          <w:r w:rsidRPr="00124475">
            <w:rPr>
              <w:rFonts w:ascii="Times New Roman" w:hAnsi="Times New Roman"/>
              <w:sz w:val="14"/>
              <w:szCs w:val="14"/>
            </w:rPr>
            <w:t xml:space="preserve">  Contador Público – U.B.A.</w:t>
          </w:r>
        </w:p>
      </w:tc>
    </w:tr>
    <w:tr w:rsidR="008F2AD9" w:rsidRPr="00F5567E" w14:paraId="47A89227" w14:textId="77777777" w:rsidTr="00C72B5E">
      <w:tc>
        <w:tcPr>
          <w:tcW w:w="3402" w:type="dxa"/>
        </w:tcPr>
        <w:p w14:paraId="28FDD994" w14:textId="77777777" w:rsidR="008F2AD9" w:rsidRPr="00931049" w:rsidRDefault="008F2AD9" w:rsidP="000F238E">
          <w:pPr>
            <w:ind w:right="123"/>
            <w:jc w:val="center"/>
            <w:rPr>
              <w:rFonts w:ascii="Times New Roman" w:hAnsi="Times New Roman"/>
              <w:b/>
              <w:sz w:val="14"/>
              <w:szCs w:val="14"/>
              <w:lang w:val="fr-FR"/>
            </w:rPr>
          </w:pPr>
          <w:r>
            <w:rPr>
              <w:rFonts w:ascii="Times New Roman" w:hAnsi="Times New Roman"/>
              <w:sz w:val="14"/>
              <w:szCs w:val="14"/>
              <w:lang w:val="fr-FR"/>
            </w:rPr>
            <w:t>C.P.A.C.F</w:t>
          </w:r>
          <w:r w:rsidRPr="00931049">
            <w:rPr>
              <w:rFonts w:ascii="Times New Roman" w:hAnsi="Times New Roman"/>
              <w:sz w:val="14"/>
              <w:szCs w:val="14"/>
              <w:lang w:val="fr-FR"/>
            </w:rPr>
            <w:t>. Tº 30 Fº 536</w:t>
          </w:r>
        </w:p>
      </w:tc>
      <w:tc>
        <w:tcPr>
          <w:tcW w:w="1134" w:type="dxa"/>
        </w:tcPr>
        <w:p w14:paraId="2D90DD95" w14:textId="77777777" w:rsidR="008F2AD9" w:rsidRPr="00931049" w:rsidRDefault="008F2AD9" w:rsidP="000F238E">
          <w:pPr>
            <w:ind w:right="123"/>
            <w:jc w:val="center"/>
            <w:rPr>
              <w:rFonts w:ascii="Times New Roman" w:hAnsi="Times New Roman"/>
              <w:sz w:val="14"/>
              <w:szCs w:val="14"/>
              <w:lang w:val="fr-FR"/>
            </w:rPr>
          </w:pPr>
        </w:p>
      </w:tc>
      <w:tc>
        <w:tcPr>
          <w:tcW w:w="4110" w:type="dxa"/>
        </w:tcPr>
        <w:p w14:paraId="2991564D" w14:textId="09D088C5" w:rsidR="008F2AD9" w:rsidRPr="00124475" w:rsidRDefault="008F2AD9" w:rsidP="000F238E">
          <w:pPr>
            <w:ind w:right="123"/>
            <w:jc w:val="center"/>
            <w:rPr>
              <w:rFonts w:ascii="Times New Roman" w:hAnsi="Times New Roman"/>
              <w:b/>
              <w:sz w:val="14"/>
              <w:szCs w:val="14"/>
              <w:lang w:val="fr-FR"/>
            </w:rPr>
          </w:pPr>
          <w:r w:rsidRPr="00124475">
            <w:rPr>
              <w:rFonts w:ascii="Times New Roman" w:hAnsi="Times New Roman"/>
              <w:sz w:val="14"/>
              <w:szCs w:val="14"/>
              <w:lang w:val="fr-FR"/>
            </w:rPr>
            <w:t xml:space="preserve"> C.P.C.E.C.A.B.A. Tº CXX  Fº 228</w:t>
          </w:r>
        </w:p>
      </w:tc>
    </w:tr>
  </w:tbl>
  <w:p w14:paraId="28FBB544" w14:textId="77777777" w:rsidR="008F2AD9" w:rsidRPr="00D73677" w:rsidRDefault="008F2AD9">
    <w:pPr>
      <w:ind w:left="-540" w:right="-1221"/>
      <w:rPr>
        <w:rFonts w:ascii="Times New Roman" w:hAnsi="Times New Roman"/>
        <w:sz w:val="16"/>
        <w:lang w:val="fr-F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9D12F" w14:textId="77777777" w:rsidR="008F2AD9" w:rsidRDefault="008F2AD9">
    <w:pPr>
      <w:pStyle w:val="Piedepgina"/>
      <w:framePr w:wrap="around" w:vAnchor="text" w:hAnchor="margin" w:xAlign="right" w:y="1"/>
      <w:rPr>
        <w:rStyle w:val="Nmerodepgina"/>
      </w:rPr>
    </w:pPr>
  </w:p>
  <w:p w14:paraId="65612389" w14:textId="77777777" w:rsidR="008F2AD9" w:rsidRDefault="008F2AD9" w:rsidP="00C72B5E">
    <w:pPr>
      <w:ind w:left="-540" w:right="360"/>
      <w:rPr>
        <w:rFonts w:ascii="Book Antiqua" w:hAnsi="Book Antiqua"/>
        <w:sz w:val="16"/>
      </w:rPr>
    </w:pPr>
  </w:p>
  <w:tbl>
    <w:tblPr>
      <w:tblW w:w="8647" w:type="dxa"/>
      <w:tblInd w:w="439" w:type="dxa"/>
      <w:tblLayout w:type="fixed"/>
      <w:tblLook w:val="0000" w:firstRow="0" w:lastRow="0" w:firstColumn="0" w:lastColumn="0" w:noHBand="0" w:noVBand="0"/>
    </w:tblPr>
    <w:tblGrid>
      <w:gridCol w:w="3402"/>
      <w:gridCol w:w="1701"/>
      <w:gridCol w:w="3544"/>
    </w:tblGrid>
    <w:tr w:rsidR="008F2AD9" w14:paraId="111CEFD5" w14:textId="77777777" w:rsidTr="00C72B5E">
      <w:trPr>
        <w:cantSplit/>
      </w:trPr>
      <w:tc>
        <w:tcPr>
          <w:tcW w:w="3402" w:type="dxa"/>
        </w:tcPr>
        <w:p w14:paraId="5A9D2DBD" w14:textId="77777777" w:rsidR="008F2AD9" w:rsidRDefault="008F2AD9" w:rsidP="00C72B5E">
          <w:pPr>
            <w:ind w:right="123"/>
            <w:jc w:val="center"/>
            <w:rPr>
              <w:rFonts w:ascii="Times New Roman" w:hAnsi="Times New Roman"/>
              <w:sz w:val="16"/>
            </w:rPr>
          </w:pPr>
        </w:p>
      </w:tc>
      <w:tc>
        <w:tcPr>
          <w:tcW w:w="1701" w:type="dxa"/>
        </w:tcPr>
        <w:p w14:paraId="5AF085DF" w14:textId="77777777" w:rsidR="008F2AD9" w:rsidRDefault="008F2AD9" w:rsidP="00C72B5E">
          <w:pPr>
            <w:ind w:right="123"/>
            <w:jc w:val="center"/>
            <w:rPr>
              <w:rFonts w:ascii="Times New Roman" w:hAnsi="Times New Roman"/>
              <w:sz w:val="16"/>
            </w:rPr>
          </w:pPr>
        </w:p>
      </w:tc>
      <w:tc>
        <w:tcPr>
          <w:tcW w:w="3544" w:type="dxa"/>
        </w:tcPr>
        <w:p w14:paraId="584CB086" w14:textId="77777777" w:rsidR="008F2AD9" w:rsidRDefault="008F2AD9" w:rsidP="00C72B5E">
          <w:pPr>
            <w:ind w:right="123"/>
            <w:jc w:val="center"/>
            <w:rPr>
              <w:rFonts w:ascii="Times New Roman" w:hAnsi="Times New Roman"/>
              <w:sz w:val="16"/>
            </w:rPr>
          </w:pPr>
        </w:p>
      </w:tc>
    </w:tr>
    <w:tr w:rsidR="008F2AD9" w14:paraId="3CAFD285" w14:textId="77777777" w:rsidTr="00C72B5E">
      <w:trPr>
        <w:cantSplit/>
      </w:trPr>
      <w:tc>
        <w:tcPr>
          <w:tcW w:w="3402" w:type="dxa"/>
        </w:tcPr>
        <w:p w14:paraId="1E29681E" w14:textId="77777777" w:rsidR="008F2AD9" w:rsidRDefault="008F2AD9" w:rsidP="00C72B5E">
          <w:pPr>
            <w:ind w:right="123"/>
            <w:jc w:val="center"/>
            <w:rPr>
              <w:rFonts w:ascii="Times New Roman" w:hAnsi="Times New Roman"/>
              <w:sz w:val="16"/>
            </w:rPr>
          </w:pPr>
        </w:p>
      </w:tc>
      <w:tc>
        <w:tcPr>
          <w:tcW w:w="1701" w:type="dxa"/>
        </w:tcPr>
        <w:p w14:paraId="358C010B" w14:textId="77777777" w:rsidR="008F2AD9" w:rsidRDefault="008F2AD9" w:rsidP="00C72B5E">
          <w:pPr>
            <w:ind w:right="123"/>
            <w:jc w:val="center"/>
            <w:rPr>
              <w:rFonts w:ascii="Times New Roman" w:hAnsi="Times New Roman"/>
              <w:sz w:val="16"/>
            </w:rPr>
          </w:pPr>
        </w:p>
      </w:tc>
      <w:tc>
        <w:tcPr>
          <w:tcW w:w="3544" w:type="dxa"/>
        </w:tcPr>
        <w:p w14:paraId="5710DB09" w14:textId="77777777" w:rsidR="008F2AD9" w:rsidRDefault="008F2AD9" w:rsidP="00C72B5E">
          <w:pPr>
            <w:ind w:right="123"/>
            <w:jc w:val="center"/>
            <w:rPr>
              <w:rFonts w:ascii="Times New Roman" w:hAnsi="Times New Roman"/>
              <w:sz w:val="16"/>
            </w:rPr>
          </w:pPr>
        </w:p>
      </w:tc>
    </w:tr>
    <w:tr w:rsidR="008F2AD9" w14:paraId="19255563" w14:textId="77777777" w:rsidTr="00C72B5E">
      <w:trPr>
        <w:cantSplit/>
      </w:trPr>
      <w:tc>
        <w:tcPr>
          <w:tcW w:w="3402" w:type="dxa"/>
        </w:tcPr>
        <w:p w14:paraId="402C0186" w14:textId="77777777" w:rsidR="008F2AD9" w:rsidRDefault="008F2AD9" w:rsidP="00C72B5E">
          <w:pPr>
            <w:ind w:right="123"/>
            <w:jc w:val="center"/>
            <w:rPr>
              <w:rFonts w:ascii="Times New Roman" w:hAnsi="Times New Roman"/>
              <w:sz w:val="16"/>
            </w:rPr>
          </w:pPr>
        </w:p>
      </w:tc>
      <w:tc>
        <w:tcPr>
          <w:tcW w:w="1701" w:type="dxa"/>
        </w:tcPr>
        <w:p w14:paraId="734336E9" w14:textId="77777777" w:rsidR="008F2AD9" w:rsidRDefault="008F2AD9" w:rsidP="00C72B5E">
          <w:pPr>
            <w:ind w:right="123"/>
            <w:jc w:val="center"/>
            <w:rPr>
              <w:rFonts w:ascii="Times New Roman" w:hAnsi="Times New Roman"/>
              <w:sz w:val="16"/>
            </w:rPr>
          </w:pPr>
        </w:p>
      </w:tc>
      <w:tc>
        <w:tcPr>
          <w:tcW w:w="3544" w:type="dxa"/>
        </w:tcPr>
        <w:p w14:paraId="749E828D" w14:textId="77777777" w:rsidR="008F2AD9" w:rsidRDefault="008F2AD9" w:rsidP="00C72B5E">
          <w:pPr>
            <w:ind w:right="123"/>
            <w:jc w:val="center"/>
            <w:rPr>
              <w:rFonts w:ascii="Times New Roman" w:hAnsi="Times New Roman"/>
              <w:sz w:val="16"/>
            </w:rPr>
          </w:pPr>
        </w:p>
        <w:p w14:paraId="00034972" w14:textId="77777777" w:rsidR="008F2AD9" w:rsidRDefault="008F2AD9" w:rsidP="00C72B5E">
          <w:pPr>
            <w:ind w:right="123"/>
            <w:jc w:val="center"/>
            <w:rPr>
              <w:rFonts w:ascii="Times New Roman" w:hAnsi="Times New Roman"/>
              <w:sz w:val="16"/>
            </w:rPr>
          </w:pPr>
        </w:p>
      </w:tc>
    </w:tr>
    <w:tr w:rsidR="008F2AD9" w14:paraId="30950270" w14:textId="77777777" w:rsidTr="00C72B5E">
      <w:trPr>
        <w:cantSplit/>
      </w:trPr>
      <w:tc>
        <w:tcPr>
          <w:tcW w:w="3402" w:type="dxa"/>
        </w:tcPr>
        <w:p w14:paraId="6B053F61" w14:textId="77777777" w:rsidR="008F2AD9" w:rsidRDefault="008F2AD9" w:rsidP="0073611F">
          <w:pPr>
            <w:ind w:right="123"/>
            <w:jc w:val="center"/>
            <w:rPr>
              <w:rFonts w:ascii="Times New Roman" w:hAnsi="Times New Roman"/>
              <w:sz w:val="14"/>
              <w:szCs w:val="14"/>
            </w:rPr>
          </w:pPr>
        </w:p>
        <w:p w14:paraId="433D73C8" w14:textId="435D5E94" w:rsidR="008F2AD9" w:rsidRPr="00931049" w:rsidRDefault="008F2AD9" w:rsidP="0073611F">
          <w:pPr>
            <w:ind w:right="123"/>
            <w:jc w:val="center"/>
            <w:rPr>
              <w:rFonts w:ascii="Times New Roman" w:hAnsi="Times New Roman"/>
              <w:sz w:val="14"/>
              <w:szCs w:val="14"/>
            </w:rPr>
          </w:pPr>
          <w:r>
            <w:rPr>
              <w:rFonts w:ascii="Times New Roman" w:hAnsi="Times New Roman"/>
              <w:sz w:val="14"/>
              <w:szCs w:val="14"/>
            </w:rPr>
            <w:t>ERNESTO R. GALLARDO JIMENEZ</w:t>
          </w:r>
        </w:p>
      </w:tc>
      <w:tc>
        <w:tcPr>
          <w:tcW w:w="1701" w:type="dxa"/>
        </w:tcPr>
        <w:p w14:paraId="278F8D6F" w14:textId="0748F81C" w:rsidR="008F2AD9" w:rsidRPr="00931049" w:rsidRDefault="008F2AD9" w:rsidP="0073611F">
          <w:pPr>
            <w:ind w:right="123"/>
            <w:jc w:val="center"/>
            <w:rPr>
              <w:rFonts w:ascii="Times New Roman" w:hAnsi="Times New Roman"/>
              <w:sz w:val="14"/>
              <w:szCs w:val="14"/>
              <w:lang w:val="es-ES_tradnl"/>
            </w:rPr>
          </w:pPr>
          <w:r>
            <w:rPr>
              <w:rFonts w:ascii="Times New Roman" w:hAnsi="Times New Roman"/>
              <w:sz w:val="14"/>
              <w:szCs w:val="14"/>
              <w:lang w:val="es-ES_tradnl"/>
            </w:rPr>
            <w:t xml:space="preserve">                                  JORGE D. LUNA</w:t>
          </w:r>
        </w:p>
      </w:tc>
      <w:tc>
        <w:tcPr>
          <w:tcW w:w="3544" w:type="dxa"/>
        </w:tcPr>
        <w:p w14:paraId="4931A3A1" w14:textId="77777777" w:rsidR="008F2AD9" w:rsidRDefault="008F2AD9" w:rsidP="0073611F">
          <w:pPr>
            <w:ind w:right="123"/>
            <w:rPr>
              <w:rFonts w:ascii="Times New Roman" w:hAnsi="Times New Roman"/>
              <w:sz w:val="14"/>
              <w:szCs w:val="14"/>
              <w:lang w:val="es-ES_tradnl"/>
            </w:rPr>
          </w:pPr>
        </w:p>
        <w:p w14:paraId="105F3C32" w14:textId="6719E9ED" w:rsidR="008F2AD9" w:rsidRPr="00931049" w:rsidRDefault="008F2AD9" w:rsidP="0073611F">
          <w:pPr>
            <w:ind w:right="123"/>
            <w:rPr>
              <w:rFonts w:ascii="Times New Roman" w:hAnsi="Times New Roman"/>
              <w:sz w:val="14"/>
              <w:szCs w:val="14"/>
              <w:lang w:val="es-ES_tradnl"/>
            </w:rPr>
          </w:pPr>
          <w:r>
            <w:rPr>
              <w:rFonts w:ascii="Times New Roman" w:hAnsi="Times New Roman"/>
              <w:sz w:val="14"/>
              <w:szCs w:val="14"/>
              <w:lang w:val="es-ES_tradnl"/>
            </w:rPr>
            <w:t xml:space="preserve">                     MARTIN E. ZARICH</w:t>
          </w:r>
        </w:p>
      </w:tc>
    </w:tr>
    <w:tr w:rsidR="008F2AD9" w14:paraId="4ABA3534" w14:textId="77777777" w:rsidTr="00C72B5E">
      <w:trPr>
        <w:cantSplit/>
        <w:trHeight w:val="279"/>
      </w:trPr>
      <w:tc>
        <w:tcPr>
          <w:tcW w:w="3402" w:type="dxa"/>
        </w:tcPr>
        <w:p w14:paraId="5F8B45F9" w14:textId="1FB05891" w:rsidR="008F2AD9" w:rsidRPr="00931049" w:rsidRDefault="008F2AD9" w:rsidP="0073611F">
          <w:pPr>
            <w:ind w:right="123"/>
            <w:rPr>
              <w:rFonts w:ascii="Times New Roman" w:hAnsi="Times New Roman"/>
              <w:sz w:val="14"/>
              <w:szCs w:val="14"/>
            </w:rPr>
          </w:pPr>
          <w:r>
            <w:rPr>
              <w:rFonts w:ascii="Times New Roman" w:hAnsi="Times New Roman"/>
              <w:sz w:val="14"/>
              <w:szCs w:val="14"/>
            </w:rPr>
            <w:t xml:space="preserve">              Director Financiero y de Planeamiento</w:t>
          </w:r>
          <w:r w:rsidRPr="00931049">
            <w:rPr>
              <w:rFonts w:ascii="Times New Roman" w:hAnsi="Times New Roman"/>
              <w:sz w:val="14"/>
              <w:szCs w:val="14"/>
            </w:rPr>
            <w:t xml:space="preserve"> </w:t>
          </w:r>
        </w:p>
      </w:tc>
      <w:tc>
        <w:tcPr>
          <w:tcW w:w="1701" w:type="dxa"/>
        </w:tcPr>
        <w:p w14:paraId="7D083FA3" w14:textId="78F37979" w:rsidR="008F2AD9" w:rsidRPr="00931049" w:rsidRDefault="008F2AD9" w:rsidP="0073611F">
          <w:pPr>
            <w:jc w:val="center"/>
            <w:rPr>
              <w:rFonts w:ascii="Times New Roman" w:hAnsi="Times New Roman"/>
              <w:sz w:val="14"/>
              <w:szCs w:val="14"/>
            </w:rPr>
          </w:pPr>
          <w:r>
            <w:rPr>
              <w:rFonts w:ascii="Times New Roman" w:hAnsi="Times New Roman"/>
              <w:sz w:val="14"/>
              <w:szCs w:val="14"/>
            </w:rPr>
            <w:t>Vicep</w:t>
          </w:r>
          <w:r w:rsidRPr="00912840">
            <w:rPr>
              <w:rFonts w:ascii="Times New Roman" w:hAnsi="Times New Roman"/>
              <w:sz w:val="14"/>
              <w:szCs w:val="14"/>
            </w:rPr>
            <w:t>residente</w:t>
          </w:r>
          <w:r>
            <w:rPr>
              <w:rFonts w:ascii="Times New Roman" w:hAnsi="Times New Roman"/>
              <w:sz w:val="14"/>
              <w:szCs w:val="14"/>
            </w:rPr>
            <w:t xml:space="preserve"> 1° en ejercicio de la presidencia</w:t>
          </w:r>
        </w:p>
      </w:tc>
      <w:tc>
        <w:tcPr>
          <w:tcW w:w="3544" w:type="dxa"/>
        </w:tcPr>
        <w:p w14:paraId="407E5CC8" w14:textId="68301A3D" w:rsidR="008F2AD9" w:rsidRPr="00931049" w:rsidRDefault="008F2AD9" w:rsidP="0073611F">
          <w:pPr>
            <w:ind w:right="123"/>
            <w:rPr>
              <w:rFonts w:ascii="Times New Roman" w:hAnsi="Times New Roman"/>
              <w:sz w:val="14"/>
              <w:szCs w:val="14"/>
            </w:rPr>
          </w:pPr>
          <w:r>
            <w:rPr>
              <w:rFonts w:ascii="Times New Roman" w:hAnsi="Times New Roman"/>
              <w:sz w:val="14"/>
              <w:szCs w:val="14"/>
            </w:rPr>
            <w:t xml:space="preserve">                         Gerente General</w:t>
          </w:r>
        </w:p>
      </w:tc>
    </w:tr>
  </w:tbl>
  <w:p w14:paraId="6497EFD8" w14:textId="77777777" w:rsidR="008F2AD9" w:rsidRPr="006E18E9" w:rsidRDefault="008F2AD9" w:rsidP="00C72B5E">
    <w:pPr>
      <w:ind w:left="-540" w:right="-1221"/>
      <w:rPr>
        <w:rFonts w:ascii="Times New Roman" w:hAnsi="Times New Roman"/>
        <w:sz w:val="16"/>
        <w:lang w:val="fr-FR"/>
      </w:rPr>
    </w:pPr>
  </w:p>
  <w:tbl>
    <w:tblPr>
      <w:tblW w:w="8646" w:type="dxa"/>
      <w:tblInd w:w="430" w:type="dxa"/>
      <w:tblLayout w:type="fixed"/>
      <w:tblLook w:val="0000" w:firstRow="0" w:lastRow="0" w:firstColumn="0" w:lastColumn="0" w:noHBand="0" w:noVBand="0"/>
    </w:tblPr>
    <w:tblGrid>
      <w:gridCol w:w="3402"/>
      <w:gridCol w:w="1134"/>
      <w:gridCol w:w="4110"/>
    </w:tblGrid>
    <w:tr w:rsidR="008F2AD9" w14:paraId="7976AC2D" w14:textId="77777777" w:rsidTr="00C72B5E">
      <w:tc>
        <w:tcPr>
          <w:tcW w:w="3402" w:type="dxa"/>
        </w:tcPr>
        <w:p w14:paraId="33D91726" w14:textId="77777777" w:rsidR="008F2AD9" w:rsidRPr="00A100B5" w:rsidRDefault="008F2AD9" w:rsidP="00C72B5E">
          <w:pPr>
            <w:ind w:right="18"/>
            <w:jc w:val="center"/>
            <w:rPr>
              <w:rFonts w:ascii="Times New Roman" w:hAnsi="Times New Roman"/>
              <w:sz w:val="12"/>
              <w:szCs w:val="12"/>
            </w:rPr>
          </w:pPr>
          <w:r w:rsidRPr="00A100B5">
            <w:rPr>
              <w:rFonts w:ascii="Times New Roman" w:hAnsi="Times New Roman"/>
              <w:sz w:val="12"/>
              <w:szCs w:val="12"/>
            </w:rPr>
            <w:t>Firmado a los efectos de su identificación</w:t>
          </w:r>
        </w:p>
      </w:tc>
      <w:tc>
        <w:tcPr>
          <w:tcW w:w="1134" w:type="dxa"/>
        </w:tcPr>
        <w:p w14:paraId="2A59D2F0" w14:textId="77777777" w:rsidR="008F2AD9" w:rsidRPr="00931049" w:rsidRDefault="008F2AD9" w:rsidP="00C72B5E">
          <w:pPr>
            <w:ind w:right="18"/>
            <w:jc w:val="center"/>
            <w:rPr>
              <w:rFonts w:ascii="Times New Roman" w:hAnsi="Times New Roman"/>
              <w:sz w:val="14"/>
              <w:szCs w:val="14"/>
            </w:rPr>
          </w:pPr>
        </w:p>
      </w:tc>
      <w:tc>
        <w:tcPr>
          <w:tcW w:w="4110" w:type="dxa"/>
        </w:tcPr>
        <w:p w14:paraId="52FE1BA0" w14:textId="77777777" w:rsidR="008F2AD9" w:rsidRPr="00042795" w:rsidRDefault="008F2AD9" w:rsidP="00C72B5E">
          <w:pPr>
            <w:ind w:right="18"/>
            <w:jc w:val="center"/>
            <w:rPr>
              <w:rFonts w:ascii="Times New Roman" w:hAnsi="Times New Roman"/>
              <w:sz w:val="12"/>
              <w:szCs w:val="12"/>
            </w:rPr>
          </w:pPr>
          <w:r w:rsidRPr="00042795">
            <w:rPr>
              <w:rFonts w:ascii="Times New Roman" w:hAnsi="Times New Roman"/>
              <w:sz w:val="12"/>
              <w:szCs w:val="12"/>
            </w:rPr>
            <w:t>Firmado a los efectos de su identificación</w:t>
          </w:r>
        </w:p>
      </w:tc>
    </w:tr>
    <w:tr w:rsidR="008F2AD9" w14:paraId="25AE9FA1" w14:textId="77777777" w:rsidTr="00C72B5E">
      <w:tc>
        <w:tcPr>
          <w:tcW w:w="3402" w:type="dxa"/>
        </w:tcPr>
        <w:p w14:paraId="58B83F7E" w14:textId="05CD7439" w:rsidR="008F2AD9" w:rsidRPr="00A100B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c>
        <w:tcPr>
          <w:tcW w:w="1134" w:type="dxa"/>
        </w:tcPr>
        <w:p w14:paraId="2F68BC6F" w14:textId="77777777" w:rsidR="008F2AD9" w:rsidRPr="00931049" w:rsidRDefault="008F2AD9" w:rsidP="000F238E">
          <w:pPr>
            <w:ind w:right="18"/>
            <w:jc w:val="center"/>
            <w:rPr>
              <w:rFonts w:ascii="Times New Roman" w:hAnsi="Times New Roman"/>
              <w:sz w:val="14"/>
              <w:szCs w:val="14"/>
            </w:rPr>
          </w:pPr>
        </w:p>
      </w:tc>
      <w:tc>
        <w:tcPr>
          <w:tcW w:w="4110" w:type="dxa"/>
        </w:tcPr>
        <w:p w14:paraId="6011CB3C" w14:textId="4B2DC762" w:rsidR="008F2AD9" w:rsidRPr="0004279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r>
    <w:tr w:rsidR="008F2AD9" w14:paraId="2BBDD30E" w14:textId="77777777" w:rsidTr="00C72B5E">
      <w:tc>
        <w:tcPr>
          <w:tcW w:w="3402" w:type="dxa"/>
        </w:tcPr>
        <w:p w14:paraId="372EAD5E" w14:textId="77777777" w:rsidR="008F2AD9" w:rsidRPr="00A100B5" w:rsidRDefault="008F2AD9" w:rsidP="000F238E">
          <w:pPr>
            <w:ind w:right="123"/>
            <w:jc w:val="center"/>
            <w:rPr>
              <w:rFonts w:ascii="Times New Roman" w:hAnsi="Times New Roman"/>
              <w:sz w:val="12"/>
              <w:szCs w:val="12"/>
            </w:rPr>
          </w:pPr>
          <w:r w:rsidRPr="00A100B5">
            <w:rPr>
              <w:rFonts w:ascii="Times New Roman" w:hAnsi="Times New Roman"/>
              <w:sz w:val="12"/>
              <w:szCs w:val="12"/>
            </w:rPr>
            <w:t>P/COMISIÓN FISCALIZADORA</w:t>
          </w:r>
        </w:p>
      </w:tc>
      <w:tc>
        <w:tcPr>
          <w:tcW w:w="1134" w:type="dxa"/>
        </w:tcPr>
        <w:p w14:paraId="14BDCCBD" w14:textId="77777777" w:rsidR="008F2AD9" w:rsidRPr="00931049" w:rsidRDefault="008F2AD9" w:rsidP="000F238E">
          <w:pPr>
            <w:ind w:right="123"/>
            <w:jc w:val="center"/>
            <w:rPr>
              <w:rFonts w:ascii="Times New Roman" w:hAnsi="Times New Roman"/>
              <w:sz w:val="14"/>
              <w:szCs w:val="14"/>
              <w:lang w:val="en-US"/>
            </w:rPr>
          </w:pPr>
        </w:p>
      </w:tc>
      <w:tc>
        <w:tcPr>
          <w:tcW w:w="4110" w:type="dxa"/>
        </w:tcPr>
        <w:p w14:paraId="50641D1D" w14:textId="77777777" w:rsidR="008F2AD9" w:rsidRPr="005E51EC" w:rsidRDefault="008F2AD9" w:rsidP="000F238E">
          <w:pPr>
            <w:ind w:right="123"/>
            <w:jc w:val="center"/>
            <w:rPr>
              <w:rFonts w:ascii="Times New Roman" w:hAnsi="Times New Roman"/>
              <w:b/>
              <w:sz w:val="12"/>
              <w:szCs w:val="12"/>
              <w:lang w:val="en-US"/>
            </w:rPr>
          </w:pPr>
          <w:r>
            <w:rPr>
              <w:rFonts w:ascii="Times New Roman" w:hAnsi="Times New Roman"/>
              <w:b/>
              <w:sz w:val="12"/>
              <w:szCs w:val="12"/>
              <w:lang w:val="en-US"/>
            </w:rPr>
            <w:t>KPMG</w:t>
          </w:r>
        </w:p>
      </w:tc>
    </w:tr>
    <w:tr w:rsidR="008F2AD9" w14:paraId="7727C0AC" w14:textId="77777777" w:rsidTr="00C72B5E">
      <w:tc>
        <w:tcPr>
          <w:tcW w:w="3402" w:type="dxa"/>
        </w:tcPr>
        <w:p w14:paraId="2C567AAE" w14:textId="77777777" w:rsidR="008F2AD9" w:rsidRPr="00931049" w:rsidRDefault="008F2AD9" w:rsidP="000F238E">
          <w:pPr>
            <w:ind w:right="123"/>
            <w:jc w:val="center"/>
            <w:rPr>
              <w:rFonts w:ascii="Times New Roman" w:hAnsi="Times New Roman"/>
              <w:sz w:val="14"/>
              <w:szCs w:val="14"/>
              <w:lang w:val="en-US"/>
            </w:rPr>
          </w:pPr>
        </w:p>
      </w:tc>
      <w:tc>
        <w:tcPr>
          <w:tcW w:w="1134" w:type="dxa"/>
        </w:tcPr>
        <w:p w14:paraId="0CAD40B4" w14:textId="77777777" w:rsidR="008F2AD9" w:rsidRPr="00931049" w:rsidRDefault="008F2AD9" w:rsidP="000F238E">
          <w:pPr>
            <w:ind w:left="34" w:right="-107" w:hanging="34"/>
            <w:jc w:val="center"/>
            <w:rPr>
              <w:rFonts w:ascii="Times New Roman" w:hAnsi="Times New Roman"/>
              <w:sz w:val="14"/>
              <w:szCs w:val="14"/>
              <w:lang w:val="en-US"/>
            </w:rPr>
          </w:pPr>
        </w:p>
      </w:tc>
      <w:tc>
        <w:tcPr>
          <w:tcW w:w="4110" w:type="dxa"/>
        </w:tcPr>
        <w:p w14:paraId="6D97E48C" w14:textId="77777777" w:rsidR="008F2AD9" w:rsidRPr="005E51EC" w:rsidRDefault="008F2AD9" w:rsidP="000F238E">
          <w:pPr>
            <w:ind w:right="123"/>
            <w:jc w:val="center"/>
            <w:rPr>
              <w:rFonts w:ascii="Times New Roman" w:hAnsi="Times New Roman"/>
              <w:sz w:val="12"/>
              <w:szCs w:val="12"/>
            </w:rPr>
          </w:pPr>
          <w:r w:rsidRPr="000E498B">
            <w:rPr>
              <w:rFonts w:ascii="Times New Roman" w:hAnsi="Times New Roman"/>
              <w:sz w:val="12"/>
              <w:szCs w:val="12"/>
            </w:rPr>
            <w:t>Reg. de Asoc. Prof. CPCECABA Tº 2 Fº 6</w:t>
          </w:r>
        </w:p>
      </w:tc>
    </w:tr>
    <w:tr w:rsidR="008F2AD9" w14:paraId="4F14FE02" w14:textId="77777777" w:rsidTr="00C72B5E">
      <w:tc>
        <w:tcPr>
          <w:tcW w:w="3402" w:type="dxa"/>
        </w:tcPr>
        <w:p w14:paraId="4B178364" w14:textId="77777777" w:rsidR="008F2AD9" w:rsidRPr="00931049" w:rsidRDefault="008F2AD9" w:rsidP="000F238E">
          <w:pPr>
            <w:ind w:right="123"/>
            <w:jc w:val="center"/>
            <w:rPr>
              <w:rFonts w:ascii="Times New Roman" w:hAnsi="Times New Roman"/>
              <w:sz w:val="14"/>
              <w:szCs w:val="14"/>
            </w:rPr>
          </w:pPr>
        </w:p>
      </w:tc>
      <w:tc>
        <w:tcPr>
          <w:tcW w:w="1134" w:type="dxa"/>
        </w:tcPr>
        <w:p w14:paraId="6018655F" w14:textId="77777777" w:rsidR="008F2AD9" w:rsidRPr="00931049" w:rsidRDefault="008F2AD9" w:rsidP="000F238E">
          <w:pPr>
            <w:ind w:right="123"/>
            <w:jc w:val="center"/>
            <w:rPr>
              <w:rFonts w:ascii="Times New Roman" w:hAnsi="Times New Roman"/>
              <w:sz w:val="14"/>
              <w:szCs w:val="14"/>
            </w:rPr>
          </w:pPr>
        </w:p>
      </w:tc>
      <w:tc>
        <w:tcPr>
          <w:tcW w:w="4110" w:type="dxa"/>
        </w:tcPr>
        <w:p w14:paraId="22F5E9BF" w14:textId="77777777" w:rsidR="008F2AD9" w:rsidRPr="005E51EC" w:rsidRDefault="008F2AD9" w:rsidP="000F238E">
          <w:pPr>
            <w:ind w:right="123"/>
            <w:jc w:val="center"/>
            <w:rPr>
              <w:rFonts w:ascii="Times New Roman" w:hAnsi="Times New Roman"/>
              <w:b/>
              <w:sz w:val="12"/>
              <w:szCs w:val="12"/>
            </w:rPr>
          </w:pPr>
        </w:p>
      </w:tc>
    </w:tr>
    <w:tr w:rsidR="008F2AD9" w14:paraId="61D47153" w14:textId="77777777" w:rsidTr="00C72B5E">
      <w:tc>
        <w:tcPr>
          <w:tcW w:w="3402" w:type="dxa"/>
        </w:tcPr>
        <w:p w14:paraId="73616059" w14:textId="77777777" w:rsidR="008F2AD9" w:rsidRPr="00931049" w:rsidRDefault="008F2AD9" w:rsidP="000F238E">
          <w:pPr>
            <w:ind w:right="123"/>
            <w:jc w:val="center"/>
            <w:rPr>
              <w:rFonts w:ascii="Times New Roman" w:hAnsi="Times New Roman"/>
              <w:sz w:val="14"/>
              <w:szCs w:val="14"/>
            </w:rPr>
          </w:pPr>
        </w:p>
      </w:tc>
      <w:tc>
        <w:tcPr>
          <w:tcW w:w="1134" w:type="dxa"/>
        </w:tcPr>
        <w:p w14:paraId="79BA3D6D" w14:textId="77777777" w:rsidR="008F2AD9" w:rsidRPr="00931049" w:rsidRDefault="008F2AD9" w:rsidP="000F238E">
          <w:pPr>
            <w:ind w:right="18"/>
            <w:jc w:val="center"/>
            <w:rPr>
              <w:rFonts w:ascii="Times New Roman" w:hAnsi="Times New Roman"/>
              <w:sz w:val="14"/>
              <w:szCs w:val="14"/>
            </w:rPr>
          </w:pPr>
        </w:p>
      </w:tc>
      <w:tc>
        <w:tcPr>
          <w:tcW w:w="4110" w:type="dxa"/>
        </w:tcPr>
        <w:p w14:paraId="78D36B9D" w14:textId="77777777" w:rsidR="008F2AD9" w:rsidRPr="00931049" w:rsidRDefault="008F2AD9" w:rsidP="000F238E">
          <w:pPr>
            <w:ind w:right="18"/>
            <w:jc w:val="center"/>
            <w:rPr>
              <w:rFonts w:ascii="Times New Roman" w:hAnsi="Times New Roman"/>
              <w:sz w:val="14"/>
              <w:szCs w:val="14"/>
            </w:rPr>
          </w:pPr>
        </w:p>
      </w:tc>
    </w:tr>
    <w:tr w:rsidR="008F2AD9" w14:paraId="6A47244F" w14:textId="77777777" w:rsidTr="00C72B5E">
      <w:tc>
        <w:tcPr>
          <w:tcW w:w="3402" w:type="dxa"/>
        </w:tcPr>
        <w:p w14:paraId="2E0C70C5" w14:textId="77777777" w:rsidR="008F2AD9" w:rsidRPr="00931049" w:rsidRDefault="008F2AD9" w:rsidP="000F238E">
          <w:pPr>
            <w:ind w:right="123"/>
            <w:jc w:val="center"/>
            <w:rPr>
              <w:rFonts w:ascii="Times New Roman" w:hAnsi="Times New Roman"/>
              <w:sz w:val="14"/>
              <w:szCs w:val="14"/>
            </w:rPr>
          </w:pPr>
        </w:p>
      </w:tc>
      <w:tc>
        <w:tcPr>
          <w:tcW w:w="1134" w:type="dxa"/>
        </w:tcPr>
        <w:p w14:paraId="2E4EF375" w14:textId="77777777" w:rsidR="008F2AD9" w:rsidRPr="00931049" w:rsidRDefault="008F2AD9" w:rsidP="000F238E">
          <w:pPr>
            <w:ind w:right="123"/>
            <w:jc w:val="center"/>
            <w:rPr>
              <w:rFonts w:ascii="Times New Roman" w:hAnsi="Times New Roman"/>
              <w:b/>
              <w:sz w:val="14"/>
              <w:szCs w:val="14"/>
            </w:rPr>
          </w:pPr>
        </w:p>
      </w:tc>
      <w:tc>
        <w:tcPr>
          <w:tcW w:w="4110" w:type="dxa"/>
        </w:tcPr>
        <w:p w14:paraId="25DEAAB2" w14:textId="77777777" w:rsidR="008F2AD9" w:rsidRPr="00931049" w:rsidRDefault="008F2AD9" w:rsidP="000F238E">
          <w:pPr>
            <w:ind w:right="123"/>
            <w:jc w:val="center"/>
            <w:rPr>
              <w:rFonts w:ascii="Times New Roman" w:hAnsi="Times New Roman"/>
              <w:b/>
              <w:sz w:val="14"/>
              <w:szCs w:val="14"/>
            </w:rPr>
          </w:pPr>
        </w:p>
      </w:tc>
    </w:tr>
    <w:tr w:rsidR="008F2AD9" w14:paraId="79DC0FDC" w14:textId="77777777" w:rsidTr="00C72B5E">
      <w:trPr>
        <w:trHeight w:hRule="exact" w:val="170"/>
      </w:trPr>
      <w:tc>
        <w:tcPr>
          <w:tcW w:w="3402" w:type="dxa"/>
          <w:vAlign w:val="center"/>
        </w:tcPr>
        <w:p w14:paraId="4648ED00" w14:textId="77777777" w:rsidR="008F2AD9" w:rsidRPr="00931049" w:rsidRDefault="008F2AD9" w:rsidP="000F238E">
          <w:pPr>
            <w:ind w:right="125"/>
            <w:jc w:val="center"/>
            <w:rPr>
              <w:rFonts w:ascii="Times New Roman" w:hAnsi="Times New Roman"/>
              <w:sz w:val="14"/>
              <w:szCs w:val="14"/>
              <w:lang w:val="es-ES"/>
            </w:rPr>
          </w:pPr>
        </w:p>
      </w:tc>
      <w:tc>
        <w:tcPr>
          <w:tcW w:w="1134" w:type="dxa"/>
          <w:vAlign w:val="center"/>
        </w:tcPr>
        <w:p w14:paraId="76B8EDF7" w14:textId="77777777" w:rsidR="008F2AD9" w:rsidRPr="00931049" w:rsidRDefault="008F2AD9" w:rsidP="000F238E">
          <w:pPr>
            <w:ind w:right="125"/>
            <w:jc w:val="center"/>
            <w:rPr>
              <w:rFonts w:ascii="Times New Roman" w:hAnsi="Times New Roman"/>
              <w:sz w:val="14"/>
              <w:szCs w:val="14"/>
            </w:rPr>
          </w:pPr>
        </w:p>
      </w:tc>
      <w:tc>
        <w:tcPr>
          <w:tcW w:w="4110" w:type="dxa"/>
          <w:vAlign w:val="center"/>
        </w:tcPr>
        <w:p w14:paraId="2F8E1C2F" w14:textId="77777777" w:rsidR="008F2AD9" w:rsidRPr="00931049" w:rsidRDefault="008F2AD9" w:rsidP="000F238E">
          <w:pPr>
            <w:ind w:right="125"/>
            <w:jc w:val="center"/>
            <w:rPr>
              <w:rFonts w:ascii="Times New Roman" w:hAnsi="Times New Roman"/>
              <w:sz w:val="14"/>
              <w:szCs w:val="14"/>
            </w:rPr>
          </w:pPr>
        </w:p>
      </w:tc>
    </w:tr>
    <w:tr w:rsidR="008F2AD9" w14:paraId="4D407C92" w14:textId="77777777" w:rsidTr="004446FC">
      <w:tc>
        <w:tcPr>
          <w:tcW w:w="3402" w:type="dxa"/>
        </w:tcPr>
        <w:p w14:paraId="0A59747E"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lang w:val="es-ES"/>
            </w:rPr>
            <w:t>ALEJANDRO MOSQUERA</w:t>
          </w:r>
          <w:r>
            <w:rPr>
              <w:rFonts w:ascii="Times New Roman" w:hAnsi="Times New Roman"/>
              <w:sz w:val="14"/>
              <w:szCs w:val="14"/>
              <w:lang w:val="es-ES"/>
            </w:rPr>
            <w:t xml:space="preserve"> (Síndico)</w:t>
          </w:r>
        </w:p>
      </w:tc>
      <w:tc>
        <w:tcPr>
          <w:tcW w:w="1134" w:type="dxa"/>
        </w:tcPr>
        <w:p w14:paraId="24D6CC22" w14:textId="77777777" w:rsidR="008F2AD9" w:rsidRPr="00931049" w:rsidRDefault="008F2AD9" w:rsidP="000F238E">
          <w:pPr>
            <w:ind w:right="123"/>
            <w:jc w:val="center"/>
            <w:rPr>
              <w:rFonts w:ascii="Times New Roman" w:hAnsi="Times New Roman"/>
              <w:sz w:val="14"/>
              <w:szCs w:val="14"/>
            </w:rPr>
          </w:pPr>
        </w:p>
      </w:tc>
      <w:tc>
        <w:tcPr>
          <w:tcW w:w="4110" w:type="dxa"/>
        </w:tcPr>
        <w:p w14:paraId="5F61FD55" w14:textId="602EBF0F" w:rsidR="008F2AD9" w:rsidRPr="00124475" w:rsidRDefault="008F2AD9" w:rsidP="000F238E">
          <w:pPr>
            <w:ind w:right="125"/>
            <w:jc w:val="center"/>
            <w:rPr>
              <w:rFonts w:ascii="Times New Roman" w:hAnsi="Times New Roman"/>
              <w:sz w:val="14"/>
              <w:szCs w:val="14"/>
            </w:rPr>
          </w:pPr>
          <w:r w:rsidRPr="00124475">
            <w:rPr>
              <w:rFonts w:ascii="Times New Roman" w:hAnsi="Times New Roman"/>
              <w:sz w:val="14"/>
              <w:szCs w:val="14"/>
            </w:rPr>
            <w:t>MAURICIO G. EIDELSTEIN (Socio)</w:t>
          </w:r>
        </w:p>
      </w:tc>
    </w:tr>
    <w:tr w:rsidR="008F2AD9" w14:paraId="21FC466C" w14:textId="77777777" w:rsidTr="00C72B5E">
      <w:tc>
        <w:tcPr>
          <w:tcW w:w="3402" w:type="dxa"/>
        </w:tcPr>
        <w:p w14:paraId="3DF7CCF3"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rPr>
            <w:t>Abogado - U.B.A.</w:t>
          </w:r>
        </w:p>
      </w:tc>
      <w:tc>
        <w:tcPr>
          <w:tcW w:w="1134" w:type="dxa"/>
        </w:tcPr>
        <w:p w14:paraId="667E4CEF" w14:textId="77777777" w:rsidR="008F2AD9" w:rsidRPr="00931049" w:rsidRDefault="008F2AD9" w:rsidP="000F238E">
          <w:pPr>
            <w:ind w:right="123"/>
            <w:jc w:val="center"/>
            <w:rPr>
              <w:rFonts w:ascii="Times New Roman" w:hAnsi="Times New Roman"/>
              <w:sz w:val="14"/>
              <w:szCs w:val="14"/>
            </w:rPr>
          </w:pPr>
        </w:p>
      </w:tc>
      <w:tc>
        <w:tcPr>
          <w:tcW w:w="4110" w:type="dxa"/>
        </w:tcPr>
        <w:p w14:paraId="165A51AE" w14:textId="3856D9A8" w:rsidR="008F2AD9" w:rsidRPr="00124475" w:rsidRDefault="008F2AD9" w:rsidP="000F238E">
          <w:pPr>
            <w:ind w:right="123"/>
            <w:jc w:val="center"/>
            <w:rPr>
              <w:rFonts w:ascii="Times New Roman" w:hAnsi="Times New Roman"/>
              <w:b/>
              <w:sz w:val="14"/>
              <w:szCs w:val="14"/>
            </w:rPr>
          </w:pPr>
          <w:r w:rsidRPr="00124475">
            <w:rPr>
              <w:rFonts w:ascii="Times New Roman" w:hAnsi="Times New Roman"/>
              <w:sz w:val="14"/>
              <w:szCs w:val="14"/>
            </w:rPr>
            <w:t xml:space="preserve">  Contador Público – U.B.A.</w:t>
          </w:r>
        </w:p>
      </w:tc>
    </w:tr>
    <w:tr w:rsidR="008F2AD9" w:rsidRPr="00F5567E" w14:paraId="1F18A3A3" w14:textId="77777777" w:rsidTr="00C72B5E">
      <w:tc>
        <w:tcPr>
          <w:tcW w:w="3402" w:type="dxa"/>
        </w:tcPr>
        <w:p w14:paraId="66265847" w14:textId="77777777" w:rsidR="008F2AD9" w:rsidRPr="00931049" w:rsidRDefault="008F2AD9" w:rsidP="000F238E">
          <w:pPr>
            <w:ind w:right="123"/>
            <w:jc w:val="center"/>
            <w:rPr>
              <w:rFonts w:ascii="Times New Roman" w:hAnsi="Times New Roman"/>
              <w:b/>
              <w:sz w:val="14"/>
              <w:szCs w:val="14"/>
              <w:lang w:val="fr-FR"/>
            </w:rPr>
          </w:pPr>
          <w:r>
            <w:rPr>
              <w:rFonts w:ascii="Times New Roman" w:hAnsi="Times New Roman"/>
              <w:sz w:val="14"/>
              <w:szCs w:val="14"/>
              <w:lang w:val="fr-FR"/>
            </w:rPr>
            <w:t>C.P.A.C.F</w:t>
          </w:r>
          <w:r w:rsidRPr="00931049">
            <w:rPr>
              <w:rFonts w:ascii="Times New Roman" w:hAnsi="Times New Roman"/>
              <w:sz w:val="14"/>
              <w:szCs w:val="14"/>
              <w:lang w:val="fr-FR"/>
            </w:rPr>
            <w:t>. Tº 30 Fº 536</w:t>
          </w:r>
        </w:p>
      </w:tc>
      <w:tc>
        <w:tcPr>
          <w:tcW w:w="1134" w:type="dxa"/>
        </w:tcPr>
        <w:p w14:paraId="68157ABA" w14:textId="77777777" w:rsidR="008F2AD9" w:rsidRPr="00931049" w:rsidRDefault="008F2AD9" w:rsidP="000F238E">
          <w:pPr>
            <w:ind w:right="123"/>
            <w:jc w:val="center"/>
            <w:rPr>
              <w:rFonts w:ascii="Times New Roman" w:hAnsi="Times New Roman"/>
              <w:sz w:val="14"/>
              <w:szCs w:val="14"/>
              <w:lang w:val="fr-FR"/>
            </w:rPr>
          </w:pPr>
        </w:p>
      </w:tc>
      <w:tc>
        <w:tcPr>
          <w:tcW w:w="4110" w:type="dxa"/>
        </w:tcPr>
        <w:p w14:paraId="1B1210BB" w14:textId="5C4262F6" w:rsidR="008F2AD9" w:rsidRPr="00124475" w:rsidRDefault="008F2AD9" w:rsidP="000F238E">
          <w:pPr>
            <w:ind w:right="123"/>
            <w:jc w:val="center"/>
            <w:rPr>
              <w:rFonts w:ascii="Times New Roman" w:hAnsi="Times New Roman"/>
              <w:b/>
              <w:sz w:val="14"/>
              <w:szCs w:val="14"/>
              <w:lang w:val="fr-FR"/>
            </w:rPr>
          </w:pPr>
          <w:r w:rsidRPr="00124475">
            <w:rPr>
              <w:rFonts w:ascii="Times New Roman" w:hAnsi="Times New Roman"/>
              <w:sz w:val="14"/>
              <w:szCs w:val="14"/>
              <w:lang w:val="fr-FR"/>
            </w:rPr>
            <w:t xml:space="preserve"> C.P.C.E.C.A.B.A. Tº CXX  Fº 228</w:t>
          </w:r>
        </w:p>
      </w:tc>
    </w:tr>
  </w:tbl>
  <w:p w14:paraId="0F4A658E" w14:textId="77777777" w:rsidR="008F2AD9" w:rsidRPr="00D73677" w:rsidRDefault="008F2AD9" w:rsidP="00C72B5E">
    <w:pPr>
      <w:ind w:left="-540" w:right="-1221"/>
      <w:rPr>
        <w:rFonts w:ascii="Times New Roman" w:hAnsi="Times New Roman"/>
        <w:sz w:val="16"/>
        <w:lang w:val="fr-FR"/>
      </w:rPr>
    </w:pPr>
  </w:p>
  <w:p w14:paraId="47526282" w14:textId="77777777" w:rsidR="008F2AD9" w:rsidRPr="00D73677" w:rsidRDefault="008F2AD9" w:rsidP="00C72B5E">
    <w:pPr>
      <w:ind w:left="-540" w:right="360"/>
      <w:rPr>
        <w:rFonts w:ascii="Times New Roman" w:hAnsi="Times New Roman"/>
        <w:sz w:val="16"/>
        <w:lang w:val="fr-F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6DF46" w14:textId="77777777" w:rsidR="008F2AD9" w:rsidRDefault="008F2AD9">
    <w:pPr>
      <w:pStyle w:val="Piedepgina"/>
      <w:framePr w:wrap="around" w:vAnchor="text" w:hAnchor="margin" w:xAlign="right" w:y="1"/>
      <w:rPr>
        <w:rStyle w:val="Nmerodepgina"/>
      </w:rPr>
    </w:pPr>
  </w:p>
  <w:p w14:paraId="0F4D9BF7" w14:textId="77777777" w:rsidR="008F2AD9" w:rsidRDefault="008F2AD9" w:rsidP="005C5FF7">
    <w:pPr>
      <w:ind w:left="-540" w:right="360"/>
      <w:rPr>
        <w:rFonts w:ascii="Book Antiqua" w:hAnsi="Book Antiqua"/>
        <w:sz w:val="16"/>
      </w:rPr>
    </w:pPr>
  </w:p>
  <w:p w14:paraId="07DBC365" w14:textId="77777777" w:rsidR="008F2AD9" w:rsidRPr="006E18E9" w:rsidRDefault="008F2AD9" w:rsidP="009E6BF6">
    <w:pPr>
      <w:ind w:left="-540" w:right="-1221"/>
      <w:rPr>
        <w:rFonts w:ascii="Times New Roman" w:hAnsi="Times New Roman"/>
        <w:sz w:val="16"/>
        <w:lang w:val="fr-FR"/>
      </w:rPr>
    </w:pPr>
  </w:p>
  <w:p w14:paraId="15D2C6B7" w14:textId="77777777" w:rsidR="008F2AD9" w:rsidRPr="00D73677" w:rsidRDefault="008F2AD9" w:rsidP="009E6BF6">
    <w:pPr>
      <w:ind w:left="-540" w:right="-1221"/>
      <w:rPr>
        <w:rFonts w:ascii="Times New Roman" w:hAnsi="Times New Roman"/>
        <w:sz w:val="16"/>
        <w:lang w:val="fr-FR"/>
      </w:rPr>
    </w:pPr>
  </w:p>
  <w:p w14:paraId="06F80EA4" w14:textId="77777777" w:rsidR="008F2AD9" w:rsidRPr="006E18E9" w:rsidRDefault="008F2AD9" w:rsidP="00885F4A">
    <w:pPr>
      <w:ind w:right="-1221"/>
      <w:jc w:val="center"/>
      <w:rPr>
        <w:rFonts w:ascii="Times New Roman" w:hAnsi="Times New Roman"/>
        <w:sz w:val="16"/>
        <w:lang w:val="fr-FR"/>
      </w:rPr>
    </w:pPr>
  </w:p>
  <w:p w14:paraId="75566AD6" w14:textId="77777777" w:rsidR="008F2AD9" w:rsidRPr="00D73677" w:rsidRDefault="008F2AD9">
    <w:pPr>
      <w:ind w:left="-540" w:right="-1221"/>
      <w:rPr>
        <w:rFonts w:ascii="Times New Roman" w:hAnsi="Times New Roman"/>
        <w:sz w:val="16"/>
        <w:lang w:val="fr-F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EC27F" w14:textId="77777777" w:rsidR="008F2AD9" w:rsidRDefault="008F2AD9">
    <w:pPr>
      <w:pStyle w:val="Piedepgina"/>
      <w:framePr w:wrap="around" w:vAnchor="text" w:hAnchor="margin" w:xAlign="right" w:y="1"/>
      <w:rPr>
        <w:rStyle w:val="Nmerodepgina"/>
      </w:rPr>
    </w:pPr>
  </w:p>
  <w:p w14:paraId="6CD852E8" w14:textId="77777777" w:rsidR="008F2AD9" w:rsidRDefault="008F2AD9" w:rsidP="005C5FF7">
    <w:pPr>
      <w:ind w:left="-540" w:right="360"/>
      <w:rPr>
        <w:rFonts w:ascii="Book Antiqua" w:hAnsi="Book Antiqua"/>
        <w:sz w:val="16"/>
      </w:rPr>
    </w:pPr>
  </w:p>
  <w:tbl>
    <w:tblPr>
      <w:tblW w:w="8647" w:type="dxa"/>
      <w:tblInd w:w="439" w:type="dxa"/>
      <w:tblLayout w:type="fixed"/>
      <w:tblLook w:val="0000" w:firstRow="0" w:lastRow="0" w:firstColumn="0" w:lastColumn="0" w:noHBand="0" w:noVBand="0"/>
    </w:tblPr>
    <w:tblGrid>
      <w:gridCol w:w="3402"/>
      <w:gridCol w:w="1701"/>
      <w:gridCol w:w="3544"/>
    </w:tblGrid>
    <w:tr w:rsidR="008F2AD9" w14:paraId="42799A0B" w14:textId="77777777" w:rsidTr="009E6BF6">
      <w:trPr>
        <w:cantSplit/>
      </w:trPr>
      <w:tc>
        <w:tcPr>
          <w:tcW w:w="3402" w:type="dxa"/>
        </w:tcPr>
        <w:p w14:paraId="41F18724" w14:textId="77777777" w:rsidR="008F2AD9" w:rsidRDefault="008F2AD9" w:rsidP="009E6BF6">
          <w:pPr>
            <w:ind w:right="123"/>
            <w:jc w:val="center"/>
            <w:rPr>
              <w:rFonts w:ascii="Times New Roman" w:hAnsi="Times New Roman"/>
              <w:sz w:val="16"/>
            </w:rPr>
          </w:pPr>
        </w:p>
      </w:tc>
      <w:tc>
        <w:tcPr>
          <w:tcW w:w="1701" w:type="dxa"/>
        </w:tcPr>
        <w:p w14:paraId="69DA4977" w14:textId="77777777" w:rsidR="008F2AD9" w:rsidRDefault="008F2AD9" w:rsidP="009E6BF6">
          <w:pPr>
            <w:ind w:right="123"/>
            <w:jc w:val="center"/>
            <w:rPr>
              <w:rFonts w:ascii="Times New Roman" w:hAnsi="Times New Roman"/>
              <w:sz w:val="16"/>
            </w:rPr>
          </w:pPr>
        </w:p>
      </w:tc>
      <w:tc>
        <w:tcPr>
          <w:tcW w:w="3544" w:type="dxa"/>
        </w:tcPr>
        <w:p w14:paraId="76414ED1" w14:textId="77777777" w:rsidR="008F2AD9" w:rsidRDefault="008F2AD9" w:rsidP="009E6BF6">
          <w:pPr>
            <w:ind w:right="123"/>
            <w:jc w:val="center"/>
            <w:rPr>
              <w:rFonts w:ascii="Times New Roman" w:hAnsi="Times New Roman"/>
              <w:sz w:val="16"/>
            </w:rPr>
          </w:pPr>
        </w:p>
      </w:tc>
    </w:tr>
    <w:tr w:rsidR="008F2AD9" w14:paraId="2A19FF8C" w14:textId="77777777" w:rsidTr="009E6BF6">
      <w:trPr>
        <w:cantSplit/>
      </w:trPr>
      <w:tc>
        <w:tcPr>
          <w:tcW w:w="3402" w:type="dxa"/>
        </w:tcPr>
        <w:p w14:paraId="4E17640C" w14:textId="77777777" w:rsidR="008F2AD9" w:rsidRDefault="008F2AD9" w:rsidP="009E6BF6">
          <w:pPr>
            <w:ind w:right="123"/>
            <w:jc w:val="center"/>
            <w:rPr>
              <w:rFonts w:ascii="Times New Roman" w:hAnsi="Times New Roman"/>
              <w:sz w:val="16"/>
            </w:rPr>
          </w:pPr>
        </w:p>
      </w:tc>
      <w:tc>
        <w:tcPr>
          <w:tcW w:w="1701" w:type="dxa"/>
        </w:tcPr>
        <w:p w14:paraId="72660835" w14:textId="77777777" w:rsidR="008F2AD9" w:rsidRDefault="008F2AD9" w:rsidP="009E6BF6">
          <w:pPr>
            <w:ind w:right="123"/>
            <w:jc w:val="center"/>
            <w:rPr>
              <w:rFonts w:ascii="Times New Roman" w:hAnsi="Times New Roman"/>
              <w:sz w:val="16"/>
            </w:rPr>
          </w:pPr>
        </w:p>
      </w:tc>
      <w:tc>
        <w:tcPr>
          <w:tcW w:w="3544" w:type="dxa"/>
        </w:tcPr>
        <w:p w14:paraId="4F55D004" w14:textId="77777777" w:rsidR="008F2AD9" w:rsidRDefault="008F2AD9" w:rsidP="009E6BF6">
          <w:pPr>
            <w:ind w:right="123"/>
            <w:jc w:val="center"/>
            <w:rPr>
              <w:rFonts w:ascii="Times New Roman" w:hAnsi="Times New Roman"/>
              <w:sz w:val="16"/>
            </w:rPr>
          </w:pPr>
        </w:p>
      </w:tc>
    </w:tr>
    <w:tr w:rsidR="008F2AD9" w14:paraId="15E2C3DC" w14:textId="77777777" w:rsidTr="009E6BF6">
      <w:trPr>
        <w:cantSplit/>
      </w:trPr>
      <w:tc>
        <w:tcPr>
          <w:tcW w:w="3402" w:type="dxa"/>
        </w:tcPr>
        <w:p w14:paraId="426D6C62" w14:textId="77777777" w:rsidR="008F2AD9" w:rsidRDefault="008F2AD9" w:rsidP="009E6BF6">
          <w:pPr>
            <w:ind w:right="123"/>
            <w:jc w:val="center"/>
            <w:rPr>
              <w:rFonts w:ascii="Times New Roman" w:hAnsi="Times New Roman"/>
              <w:sz w:val="16"/>
            </w:rPr>
          </w:pPr>
        </w:p>
      </w:tc>
      <w:tc>
        <w:tcPr>
          <w:tcW w:w="1701" w:type="dxa"/>
        </w:tcPr>
        <w:p w14:paraId="7AE3D339" w14:textId="77777777" w:rsidR="008F2AD9" w:rsidRDefault="008F2AD9" w:rsidP="009E6BF6">
          <w:pPr>
            <w:ind w:right="123"/>
            <w:jc w:val="center"/>
            <w:rPr>
              <w:rFonts w:ascii="Times New Roman" w:hAnsi="Times New Roman"/>
              <w:sz w:val="16"/>
            </w:rPr>
          </w:pPr>
        </w:p>
      </w:tc>
      <w:tc>
        <w:tcPr>
          <w:tcW w:w="3544" w:type="dxa"/>
        </w:tcPr>
        <w:p w14:paraId="112B39EE" w14:textId="77777777" w:rsidR="008F2AD9" w:rsidRDefault="008F2AD9" w:rsidP="009E6BF6">
          <w:pPr>
            <w:ind w:right="123"/>
            <w:jc w:val="center"/>
            <w:rPr>
              <w:rFonts w:ascii="Times New Roman" w:hAnsi="Times New Roman"/>
              <w:sz w:val="16"/>
            </w:rPr>
          </w:pPr>
        </w:p>
        <w:p w14:paraId="425A1BA1" w14:textId="77777777" w:rsidR="008F2AD9" w:rsidRDefault="008F2AD9" w:rsidP="009E6BF6">
          <w:pPr>
            <w:ind w:right="123"/>
            <w:jc w:val="center"/>
            <w:rPr>
              <w:rFonts w:ascii="Times New Roman" w:hAnsi="Times New Roman"/>
              <w:sz w:val="16"/>
            </w:rPr>
          </w:pPr>
        </w:p>
      </w:tc>
    </w:tr>
    <w:tr w:rsidR="008F2AD9" w14:paraId="0246262D" w14:textId="77777777" w:rsidTr="009E6BF6">
      <w:trPr>
        <w:cantSplit/>
      </w:trPr>
      <w:tc>
        <w:tcPr>
          <w:tcW w:w="3402" w:type="dxa"/>
        </w:tcPr>
        <w:p w14:paraId="378096A1" w14:textId="77777777" w:rsidR="008F2AD9" w:rsidRDefault="008F2AD9" w:rsidP="0073611F">
          <w:pPr>
            <w:ind w:right="123"/>
            <w:jc w:val="center"/>
            <w:rPr>
              <w:rFonts w:ascii="Times New Roman" w:hAnsi="Times New Roman"/>
              <w:sz w:val="14"/>
              <w:szCs w:val="14"/>
            </w:rPr>
          </w:pPr>
        </w:p>
        <w:p w14:paraId="5B1F71CF" w14:textId="77777777" w:rsidR="008F2AD9" w:rsidRPr="00931049" w:rsidRDefault="008F2AD9" w:rsidP="0073611F">
          <w:pPr>
            <w:ind w:right="123"/>
            <w:jc w:val="center"/>
            <w:rPr>
              <w:rFonts w:ascii="Times New Roman" w:hAnsi="Times New Roman"/>
              <w:sz w:val="14"/>
              <w:szCs w:val="14"/>
            </w:rPr>
          </w:pPr>
          <w:r>
            <w:rPr>
              <w:rFonts w:ascii="Times New Roman" w:hAnsi="Times New Roman"/>
              <w:sz w:val="14"/>
              <w:szCs w:val="14"/>
            </w:rPr>
            <w:t xml:space="preserve">  ERNESTO R. GALLARDO JIMENEZ</w:t>
          </w:r>
        </w:p>
      </w:tc>
      <w:tc>
        <w:tcPr>
          <w:tcW w:w="1701" w:type="dxa"/>
        </w:tcPr>
        <w:p w14:paraId="605DEB70" w14:textId="77777777" w:rsidR="008F2AD9" w:rsidRPr="00931049" w:rsidRDefault="008F2AD9" w:rsidP="0073611F">
          <w:pPr>
            <w:ind w:right="123"/>
            <w:jc w:val="center"/>
            <w:rPr>
              <w:rFonts w:ascii="Times New Roman" w:hAnsi="Times New Roman"/>
              <w:sz w:val="14"/>
              <w:szCs w:val="14"/>
              <w:lang w:val="es-ES_tradnl"/>
            </w:rPr>
          </w:pPr>
          <w:r>
            <w:rPr>
              <w:rFonts w:ascii="Times New Roman" w:hAnsi="Times New Roman"/>
              <w:sz w:val="14"/>
              <w:szCs w:val="14"/>
              <w:lang w:val="es-ES_tradnl"/>
            </w:rPr>
            <w:t xml:space="preserve">                                  JORGE D. LUNA</w:t>
          </w:r>
        </w:p>
      </w:tc>
      <w:tc>
        <w:tcPr>
          <w:tcW w:w="3544" w:type="dxa"/>
        </w:tcPr>
        <w:p w14:paraId="0E1E0E58" w14:textId="77777777" w:rsidR="008F2AD9" w:rsidRDefault="008F2AD9" w:rsidP="0073611F">
          <w:pPr>
            <w:ind w:right="123"/>
            <w:rPr>
              <w:rFonts w:ascii="Times New Roman" w:hAnsi="Times New Roman"/>
              <w:sz w:val="14"/>
              <w:szCs w:val="14"/>
              <w:lang w:val="es-ES_tradnl"/>
            </w:rPr>
          </w:pPr>
        </w:p>
        <w:p w14:paraId="3218F39A" w14:textId="77777777" w:rsidR="008F2AD9" w:rsidRPr="00931049" w:rsidRDefault="008F2AD9" w:rsidP="0073611F">
          <w:pPr>
            <w:ind w:right="123"/>
            <w:rPr>
              <w:rFonts w:ascii="Times New Roman" w:hAnsi="Times New Roman"/>
              <w:sz w:val="14"/>
              <w:szCs w:val="14"/>
              <w:lang w:val="es-ES_tradnl"/>
            </w:rPr>
          </w:pPr>
          <w:r>
            <w:rPr>
              <w:rFonts w:ascii="Times New Roman" w:hAnsi="Times New Roman"/>
              <w:sz w:val="14"/>
              <w:szCs w:val="14"/>
              <w:lang w:val="es-ES_tradnl"/>
            </w:rPr>
            <w:t xml:space="preserve">                     MARTIN E. ZARICH</w:t>
          </w:r>
        </w:p>
      </w:tc>
    </w:tr>
    <w:tr w:rsidR="008F2AD9" w14:paraId="0770B124" w14:textId="77777777" w:rsidTr="009E6BF6">
      <w:trPr>
        <w:cantSplit/>
        <w:trHeight w:val="279"/>
      </w:trPr>
      <w:tc>
        <w:tcPr>
          <w:tcW w:w="3402" w:type="dxa"/>
        </w:tcPr>
        <w:p w14:paraId="58334DE9" w14:textId="77777777" w:rsidR="008F2AD9" w:rsidRPr="00931049" w:rsidRDefault="008F2AD9" w:rsidP="0073611F">
          <w:pPr>
            <w:ind w:right="123"/>
            <w:rPr>
              <w:rFonts w:ascii="Times New Roman" w:hAnsi="Times New Roman"/>
              <w:sz w:val="14"/>
              <w:szCs w:val="14"/>
            </w:rPr>
          </w:pPr>
          <w:r>
            <w:rPr>
              <w:rFonts w:ascii="Times New Roman" w:hAnsi="Times New Roman"/>
              <w:sz w:val="14"/>
              <w:szCs w:val="14"/>
            </w:rPr>
            <w:t xml:space="preserve">              Director Financiero y de Planeamiento</w:t>
          </w:r>
          <w:r w:rsidRPr="00931049">
            <w:rPr>
              <w:rFonts w:ascii="Times New Roman" w:hAnsi="Times New Roman"/>
              <w:sz w:val="14"/>
              <w:szCs w:val="14"/>
            </w:rPr>
            <w:t xml:space="preserve"> </w:t>
          </w:r>
        </w:p>
      </w:tc>
      <w:tc>
        <w:tcPr>
          <w:tcW w:w="1701" w:type="dxa"/>
        </w:tcPr>
        <w:p w14:paraId="4340BB03" w14:textId="77777777" w:rsidR="008F2AD9" w:rsidRPr="00931049" w:rsidRDefault="008F2AD9" w:rsidP="0073611F">
          <w:pPr>
            <w:jc w:val="center"/>
            <w:rPr>
              <w:rFonts w:ascii="Times New Roman" w:hAnsi="Times New Roman"/>
              <w:sz w:val="14"/>
              <w:szCs w:val="14"/>
            </w:rPr>
          </w:pPr>
          <w:r>
            <w:rPr>
              <w:rFonts w:ascii="Times New Roman" w:hAnsi="Times New Roman"/>
              <w:sz w:val="14"/>
              <w:szCs w:val="14"/>
            </w:rPr>
            <w:t>Vicep</w:t>
          </w:r>
          <w:r w:rsidRPr="00912840">
            <w:rPr>
              <w:rFonts w:ascii="Times New Roman" w:hAnsi="Times New Roman"/>
              <w:sz w:val="14"/>
              <w:szCs w:val="14"/>
            </w:rPr>
            <w:t>residente</w:t>
          </w:r>
          <w:r>
            <w:rPr>
              <w:rFonts w:ascii="Times New Roman" w:hAnsi="Times New Roman"/>
              <w:sz w:val="14"/>
              <w:szCs w:val="14"/>
            </w:rPr>
            <w:t xml:space="preserve"> 1° en ejercicio de la presidencia</w:t>
          </w:r>
        </w:p>
      </w:tc>
      <w:tc>
        <w:tcPr>
          <w:tcW w:w="3544" w:type="dxa"/>
        </w:tcPr>
        <w:p w14:paraId="25534AFE" w14:textId="77777777" w:rsidR="008F2AD9" w:rsidRPr="00931049" w:rsidRDefault="008F2AD9" w:rsidP="0073611F">
          <w:pPr>
            <w:ind w:right="123"/>
            <w:rPr>
              <w:rFonts w:ascii="Times New Roman" w:hAnsi="Times New Roman"/>
              <w:sz w:val="14"/>
              <w:szCs w:val="14"/>
            </w:rPr>
          </w:pPr>
          <w:r>
            <w:rPr>
              <w:rFonts w:ascii="Times New Roman" w:hAnsi="Times New Roman"/>
              <w:sz w:val="14"/>
              <w:szCs w:val="14"/>
            </w:rPr>
            <w:t xml:space="preserve">                          Gerente General</w:t>
          </w:r>
        </w:p>
      </w:tc>
    </w:tr>
  </w:tbl>
  <w:p w14:paraId="094874C5" w14:textId="77777777" w:rsidR="008F2AD9" w:rsidRPr="006E18E9" w:rsidRDefault="008F2AD9" w:rsidP="009E6BF6">
    <w:pPr>
      <w:ind w:left="-540" w:right="-1221"/>
      <w:rPr>
        <w:rFonts w:ascii="Times New Roman" w:hAnsi="Times New Roman"/>
        <w:sz w:val="16"/>
        <w:lang w:val="fr-FR"/>
      </w:rPr>
    </w:pPr>
  </w:p>
  <w:tbl>
    <w:tblPr>
      <w:tblW w:w="8646" w:type="dxa"/>
      <w:tblInd w:w="430" w:type="dxa"/>
      <w:tblLayout w:type="fixed"/>
      <w:tblLook w:val="0000" w:firstRow="0" w:lastRow="0" w:firstColumn="0" w:lastColumn="0" w:noHBand="0" w:noVBand="0"/>
    </w:tblPr>
    <w:tblGrid>
      <w:gridCol w:w="3402"/>
      <w:gridCol w:w="1134"/>
      <w:gridCol w:w="4110"/>
    </w:tblGrid>
    <w:tr w:rsidR="008F2AD9" w14:paraId="5F962188" w14:textId="77777777" w:rsidTr="009E6BF6">
      <w:tc>
        <w:tcPr>
          <w:tcW w:w="3402" w:type="dxa"/>
        </w:tcPr>
        <w:p w14:paraId="3BB45001" w14:textId="77777777" w:rsidR="008F2AD9" w:rsidRPr="00A100B5" w:rsidRDefault="008F2AD9" w:rsidP="009E6BF6">
          <w:pPr>
            <w:ind w:right="18"/>
            <w:jc w:val="center"/>
            <w:rPr>
              <w:rFonts w:ascii="Times New Roman" w:hAnsi="Times New Roman"/>
              <w:sz w:val="12"/>
              <w:szCs w:val="12"/>
            </w:rPr>
          </w:pPr>
          <w:r w:rsidRPr="00A100B5">
            <w:rPr>
              <w:rFonts w:ascii="Times New Roman" w:hAnsi="Times New Roman"/>
              <w:sz w:val="12"/>
              <w:szCs w:val="12"/>
            </w:rPr>
            <w:t>Firmado a los efectos de su identificación</w:t>
          </w:r>
        </w:p>
      </w:tc>
      <w:tc>
        <w:tcPr>
          <w:tcW w:w="1134" w:type="dxa"/>
        </w:tcPr>
        <w:p w14:paraId="0F6E172D" w14:textId="77777777" w:rsidR="008F2AD9" w:rsidRPr="00931049" w:rsidRDefault="008F2AD9" w:rsidP="009E6BF6">
          <w:pPr>
            <w:ind w:right="18"/>
            <w:jc w:val="center"/>
            <w:rPr>
              <w:rFonts w:ascii="Times New Roman" w:hAnsi="Times New Roman"/>
              <w:sz w:val="14"/>
              <w:szCs w:val="14"/>
            </w:rPr>
          </w:pPr>
        </w:p>
      </w:tc>
      <w:tc>
        <w:tcPr>
          <w:tcW w:w="4110" w:type="dxa"/>
        </w:tcPr>
        <w:p w14:paraId="0D7BC08A" w14:textId="77777777" w:rsidR="008F2AD9" w:rsidRPr="00042795" w:rsidRDefault="008F2AD9" w:rsidP="009E6BF6">
          <w:pPr>
            <w:ind w:right="18"/>
            <w:jc w:val="center"/>
            <w:rPr>
              <w:rFonts w:ascii="Times New Roman" w:hAnsi="Times New Roman"/>
              <w:sz w:val="12"/>
              <w:szCs w:val="12"/>
            </w:rPr>
          </w:pPr>
          <w:r w:rsidRPr="00042795">
            <w:rPr>
              <w:rFonts w:ascii="Times New Roman" w:hAnsi="Times New Roman"/>
              <w:sz w:val="12"/>
              <w:szCs w:val="12"/>
            </w:rPr>
            <w:t>Firmado a los efectos de su identificación</w:t>
          </w:r>
        </w:p>
      </w:tc>
    </w:tr>
    <w:tr w:rsidR="008F2AD9" w14:paraId="2C4AABB1" w14:textId="77777777" w:rsidTr="009E6BF6">
      <w:tc>
        <w:tcPr>
          <w:tcW w:w="3402" w:type="dxa"/>
        </w:tcPr>
        <w:p w14:paraId="1D914F7A" w14:textId="77777777" w:rsidR="008F2AD9" w:rsidRPr="00A100B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c>
        <w:tcPr>
          <w:tcW w:w="1134" w:type="dxa"/>
        </w:tcPr>
        <w:p w14:paraId="6AA2B277" w14:textId="77777777" w:rsidR="008F2AD9" w:rsidRPr="00931049" w:rsidRDefault="008F2AD9" w:rsidP="000F238E">
          <w:pPr>
            <w:ind w:right="18"/>
            <w:jc w:val="center"/>
            <w:rPr>
              <w:rFonts w:ascii="Times New Roman" w:hAnsi="Times New Roman"/>
              <w:sz w:val="14"/>
              <w:szCs w:val="14"/>
            </w:rPr>
          </w:pPr>
        </w:p>
      </w:tc>
      <w:tc>
        <w:tcPr>
          <w:tcW w:w="4110" w:type="dxa"/>
        </w:tcPr>
        <w:p w14:paraId="7EA57371" w14:textId="77777777" w:rsidR="008F2AD9" w:rsidRPr="0004279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r>
    <w:tr w:rsidR="008F2AD9" w14:paraId="39494224" w14:textId="77777777" w:rsidTr="009E6BF6">
      <w:tc>
        <w:tcPr>
          <w:tcW w:w="3402" w:type="dxa"/>
        </w:tcPr>
        <w:p w14:paraId="47A95FAB" w14:textId="77777777" w:rsidR="008F2AD9" w:rsidRPr="00A100B5" w:rsidRDefault="008F2AD9" w:rsidP="000F238E">
          <w:pPr>
            <w:ind w:right="123"/>
            <w:jc w:val="center"/>
            <w:rPr>
              <w:rFonts w:ascii="Times New Roman" w:hAnsi="Times New Roman"/>
              <w:sz w:val="12"/>
              <w:szCs w:val="12"/>
            </w:rPr>
          </w:pPr>
          <w:r w:rsidRPr="00A100B5">
            <w:rPr>
              <w:rFonts w:ascii="Times New Roman" w:hAnsi="Times New Roman"/>
              <w:sz w:val="12"/>
              <w:szCs w:val="12"/>
            </w:rPr>
            <w:t>P/COMISIÓN FISCALIZADORA</w:t>
          </w:r>
        </w:p>
      </w:tc>
      <w:tc>
        <w:tcPr>
          <w:tcW w:w="1134" w:type="dxa"/>
        </w:tcPr>
        <w:p w14:paraId="47C81011" w14:textId="77777777" w:rsidR="008F2AD9" w:rsidRPr="00931049" w:rsidRDefault="008F2AD9" w:rsidP="000F238E">
          <w:pPr>
            <w:ind w:right="123"/>
            <w:jc w:val="center"/>
            <w:rPr>
              <w:rFonts w:ascii="Times New Roman" w:hAnsi="Times New Roman"/>
              <w:sz w:val="14"/>
              <w:szCs w:val="14"/>
              <w:lang w:val="en-US"/>
            </w:rPr>
          </w:pPr>
        </w:p>
      </w:tc>
      <w:tc>
        <w:tcPr>
          <w:tcW w:w="4110" w:type="dxa"/>
        </w:tcPr>
        <w:p w14:paraId="611D3A0F" w14:textId="77777777" w:rsidR="008F2AD9" w:rsidRPr="005E51EC" w:rsidRDefault="008F2AD9" w:rsidP="000F238E">
          <w:pPr>
            <w:ind w:right="123"/>
            <w:jc w:val="center"/>
            <w:rPr>
              <w:rFonts w:ascii="Times New Roman" w:hAnsi="Times New Roman"/>
              <w:b/>
              <w:sz w:val="12"/>
              <w:szCs w:val="12"/>
              <w:lang w:val="en-US"/>
            </w:rPr>
          </w:pPr>
          <w:r>
            <w:rPr>
              <w:rFonts w:ascii="Times New Roman" w:hAnsi="Times New Roman"/>
              <w:b/>
              <w:sz w:val="12"/>
              <w:szCs w:val="12"/>
              <w:lang w:val="en-US"/>
            </w:rPr>
            <w:t>KPMG</w:t>
          </w:r>
        </w:p>
      </w:tc>
    </w:tr>
    <w:tr w:rsidR="008F2AD9" w14:paraId="395C03BB" w14:textId="77777777" w:rsidTr="009E6BF6">
      <w:tc>
        <w:tcPr>
          <w:tcW w:w="3402" w:type="dxa"/>
        </w:tcPr>
        <w:p w14:paraId="4A7B401C" w14:textId="77777777" w:rsidR="008F2AD9" w:rsidRPr="00931049" w:rsidRDefault="008F2AD9" w:rsidP="000F238E">
          <w:pPr>
            <w:ind w:right="123"/>
            <w:jc w:val="center"/>
            <w:rPr>
              <w:rFonts w:ascii="Times New Roman" w:hAnsi="Times New Roman"/>
              <w:sz w:val="14"/>
              <w:szCs w:val="14"/>
              <w:lang w:val="en-US"/>
            </w:rPr>
          </w:pPr>
        </w:p>
      </w:tc>
      <w:tc>
        <w:tcPr>
          <w:tcW w:w="1134" w:type="dxa"/>
        </w:tcPr>
        <w:p w14:paraId="755754A0" w14:textId="77777777" w:rsidR="008F2AD9" w:rsidRPr="00931049" w:rsidRDefault="008F2AD9" w:rsidP="000F238E">
          <w:pPr>
            <w:ind w:left="34" w:right="-107" w:hanging="34"/>
            <w:jc w:val="center"/>
            <w:rPr>
              <w:rFonts w:ascii="Times New Roman" w:hAnsi="Times New Roman"/>
              <w:sz w:val="14"/>
              <w:szCs w:val="14"/>
              <w:lang w:val="en-US"/>
            </w:rPr>
          </w:pPr>
        </w:p>
      </w:tc>
      <w:tc>
        <w:tcPr>
          <w:tcW w:w="4110" w:type="dxa"/>
        </w:tcPr>
        <w:p w14:paraId="325671E4" w14:textId="77777777" w:rsidR="008F2AD9" w:rsidRPr="005E51EC" w:rsidRDefault="008F2AD9" w:rsidP="000F238E">
          <w:pPr>
            <w:ind w:right="123"/>
            <w:jc w:val="center"/>
            <w:rPr>
              <w:rFonts w:ascii="Times New Roman" w:hAnsi="Times New Roman"/>
              <w:sz w:val="12"/>
              <w:szCs w:val="12"/>
            </w:rPr>
          </w:pPr>
          <w:r w:rsidRPr="000E498B">
            <w:rPr>
              <w:rFonts w:ascii="Times New Roman" w:hAnsi="Times New Roman"/>
              <w:sz w:val="12"/>
              <w:szCs w:val="12"/>
            </w:rPr>
            <w:t>Reg. de Asoc. Prof. CPCECABA Tº 2 Fº 6</w:t>
          </w:r>
        </w:p>
      </w:tc>
    </w:tr>
    <w:tr w:rsidR="008F2AD9" w14:paraId="419E0DAC" w14:textId="77777777" w:rsidTr="009E6BF6">
      <w:tc>
        <w:tcPr>
          <w:tcW w:w="3402" w:type="dxa"/>
        </w:tcPr>
        <w:p w14:paraId="1A07F6DA" w14:textId="77777777" w:rsidR="008F2AD9" w:rsidRPr="00931049" w:rsidRDefault="008F2AD9" w:rsidP="000F238E">
          <w:pPr>
            <w:ind w:right="123"/>
            <w:jc w:val="center"/>
            <w:rPr>
              <w:rFonts w:ascii="Times New Roman" w:hAnsi="Times New Roman"/>
              <w:sz w:val="14"/>
              <w:szCs w:val="14"/>
            </w:rPr>
          </w:pPr>
        </w:p>
      </w:tc>
      <w:tc>
        <w:tcPr>
          <w:tcW w:w="1134" w:type="dxa"/>
        </w:tcPr>
        <w:p w14:paraId="3E95BB79" w14:textId="77777777" w:rsidR="008F2AD9" w:rsidRPr="00931049" w:rsidRDefault="008F2AD9" w:rsidP="000F238E">
          <w:pPr>
            <w:ind w:right="123"/>
            <w:jc w:val="center"/>
            <w:rPr>
              <w:rFonts w:ascii="Times New Roman" w:hAnsi="Times New Roman"/>
              <w:sz w:val="14"/>
              <w:szCs w:val="14"/>
            </w:rPr>
          </w:pPr>
        </w:p>
      </w:tc>
      <w:tc>
        <w:tcPr>
          <w:tcW w:w="4110" w:type="dxa"/>
        </w:tcPr>
        <w:p w14:paraId="1145E63B" w14:textId="77777777" w:rsidR="008F2AD9" w:rsidRPr="005E51EC" w:rsidRDefault="008F2AD9" w:rsidP="000F238E">
          <w:pPr>
            <w:ind w:right="123"/>
            <w:jc w:val="center"/>
            <w:rPr>
              <w:rFonts w:ascii="Times New Roman" w:hAnsi="Times New Roman"/>
              <w:b/>
              <w:sz w:val="12"/>
              <w:szCs w:val="12"/>
            </w:rPr>
          </w:pPr>
        </w:p>
      </w:tc>
    </w:tr>
    <w:tr w:rsidR="008F2AD9" w14:paraId="55CE3292" w14:textId="77777777" w:rsidTr="009E6BF6">
      <w:tc>
        <w:tcPr>
          <w:tcW w:w="3402" w:type="dxa"/>
        </w:tcPr>
        <w:p w14:paraId="677F47B7" w14:textId="77777777" w:rsidR="008F2AD9" w:rsidRPr="00931049" w:rsidRDefault="008F2AD9" w:rsidP="000F238E">
          <w:pPr>
            <w:ind w:right="123"/>
            <w:jc w:val="center"/>
            <w:rPr>
              <w:rFonts w:ascii="Times New Roman" w:hAnsi="Times New Roman"/>
              <w:sz w:val="14"/>
              <w:szCs w:val="14"/>
            </w:rPr>
          </w:pPr>
        </w:p>
      </w:tc>
      <w:tc>
        <w:tcPr>
          <w:tcW w:w="1134" w:type="dxa"/>
        </w:tcPr>
        <w:p w14:paraId="18EF1538" w14:textId="77777777" w:rsidR="008F2AD9" w:rsidRPr="00931049" w:rsidRDefault="008F2AD9" w:rsidP="000F238E">
          <w:pPr>
            <w:ind w:right="18"/>
            <w:jc w:val="center"/>
            <w:rPr>
              <w:rFonts w:ascii="Times New Roman" w:hAnsi="Times New Roman"/>
              <w:sz w:val="14"/>
              <w:szCs w:val="14"/>
            </w:rPr>
          </w:pPr>
        </w:p>
      </w:tc>
      <w:tc>
        <w:tcPr>
          <w:tcW w:w="4110" w:type="dxa"/>
        </w:tcPr>
        <w:p w14:paraId="270DC1BD" w14:textId="77777777" w:rsidR="008F2AD9" w:rsidRPr="00931049" w:rsidRDefault="008F2AD9" w:rsidP="000F238E">
          <w:pPr>
            <w:ind w:right="18"/>
            <w:jc w:val="center"/>
            <w:rPr>
              <w:rFonts w:ascii="Times New Roman" w:hAnsi="Times New Roman"/>
              <w:sz w:val="14"/>
              <w:szCs w:val="14"/>
            </w:rPr>
          </w:pPr>
        </w:p>
      </w:tc>
    </w:tr>
    <w:tr w:rsidR="008F2AD9" w14:paraId="310F6149" w14:textId="77777777" w:rsidTr="009E6BF6">
      <w:tc>
        <w:tcPr>
          <w:tcW w:w="3402" w:type="dxa"/>
        </w:tcPr>
        <w:p w14:paraId="6276ECBE" w14:textId="77777777" w:rsidR="008F2AD9" w:rsidRPr="00931049" w:rsidRDefault="008F2AD9" w:rsidP="000F238E">
          <w:pPr>
            <w:ind w:right="123"/>
            <w:jc w:val="center"/>
            <w:rPr>
              <w:rFonts w:ascii="Times New Roman" w:hAnsi="Times New Roman"/>
              <w:sz w:val="14"/>
              <w:szCs w:val="14"/>
            </w:rPr>
          </w:pPr>
        </w:p>
      </w:tc>
      <w:tc>
        <w:tcPr>
          <w:tcW w:w="1134" w:type="dxa"/>
        </w:tcPr>
        <w:p w14:paraId="07652FD6" w14:textId="77777777" w:rsidR="008F2AD9" w:rsidRPr="00931049" w:rsidRDefault="008F2AD9" w:rsidP="000F238E">
          <w:pPr>
            <w:ind w:right="123"/>
            <w:jc w:val="center"/>
            <w:rPr>
              <w:rFonts w:ascii="Times New Roman" w:hAnsi="Times New Roman"/>
              <w:b/>
              <w:sz w:val="14"/>
              <w:szCs w:val="14"/>
            </w:rPr>
          </w:pPr>
        </w:p>
      </w:tc>
      <w:tc>
        <w:tcPr>
          <w:tcW w:w="4110" w:type="dxa"/>
        </w:tcPr>
        <w:p w14:paraId="4FE8CD0E" w14:textId="77777777" w:rsidR="008F2AD9" w:rsidRPr="00931049" w:rsidRDefault="008F2AD9" w:rsidP="000F238E">
          <w:pPr>
            <w:ind w:right="123"/>
            <w:jc w:val="center"/>
            <w:rPr>
              <w:rFonts w:ascii="Times New Roman" w:hAnsi="Times New Roman"/>
              <w:b/>
              <w:sz w:val="14"/>
              <w:szCs w:val="14"/>
            </w:rPr>
          </w:pPr>
        </w:p>
      </w:tc>
    </w:tr>
    <w:tr w:rsidR="008F2AD9" w14:paraId="61404FC9" w14:textId="77777777" w:rsidTr="009E6BF6">
      <w:trPr>
        <w:trHeight w:hRule="exact" w:val="170"/>
      </w:trPr>
      <w:tc>
        <w:tcPr>
          <w:tcW w:w="3402" w:type="dxa"/>
          <w:vAlign w:val="center"/>
        </w:tcPr>
        <w:p w14:paraId="36140722" w14:textId="77777777" w:rsidR="008F2AD9" w:rsidRPr="00931049" w:rsidRDefault="008F2AD9" w:rsidP="000F238E">
          <w:pPr>
            <w:ind w:right="125"/>
            <w:jc w:val="center"/>
            <w:rPr>
              <w:rFonts w:ascii="Times New Roman" w:hAnsi="Times New Roman"/>
              <w:sz w:val="14"/>
              <w:szCs w:val="14"/>
              <w:lang w:val="es-ES"/>
            </w:rPr>
          </w:pPr>
        </w:p>
      </w:tc>
      <w:tc>
        <w:tcPr>
          <w:tcW w:w="1134" w:type="dxa"/>
          <w:vAlign w:val="center"/>
        </w:tcPr>
        <w:p w14:paraId="3962867B" w14:textId="77777777" w:rsidR="008F2AD9" w:rsidRPr="00931049" w:rsidRDefault="008F2AD9" w:rsidP="000F238E">
          <w:pPr>
            <w:ind w:right="125"/>
            <w:jc w:val="center"/>
            <w:rPr>
              <w:rFonts w:ascii="Times New Roman" w:hAnsi="Times New Roman"/>
              <w:sz w:val="14"/>
              <w:szCs w:val="14"/>
            </w:rPr>
          </w:pPr>
        </w:p>
      </w:tc>
      <w:tc>
        <w:tcPr>
          <w:tcW w:w="4110" w:type="dxa"/>
          <w:vAlign w:val="center"/>
        </w:tcPr>
        <w:p w14:paraId="13CE0270" w14:textId="77777777" w:rsidR="008F2AD9" w:rsidRPr="00931049" w:rsidRDefault="008F2AD9" w:rsidP="000F238E">
          <w:pPr>
            <w:ind w:right="125"/>
            <w:jc w:val="center"/>
            <w:rPr>
              <w:rFonts w:ascii="Times New Roman" w:hAnsi="Times New Roman"/>
              <w:sz w:val="14"/>
              <w:szCs w:val="14"/>
            </w:rPr>
          </w:pPr>
        </w:p>
      </w:tc>
    </w:tr>
    <w:tr w:rsidR="008F2AD9" w14:paraId="00AE050F" w14:textId="77777777" w:rsidTr="004446FC">
      <w:tc>
        <w:tcPr>
          <w:tcW w:w="3402" w:type="dxa"/>
        </w:tcPr>
        <w:p w14:paraId="7B41CEB2"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lang w:val="es-ES"/>
            </w:rPr>
            <w:t>ALEJANDRO MOSQUERA</w:t>
          </w:r>
          <w:r>
            <w:rPr>
              <w:rFonts w:ascii="Times New Roman" w:hAnsi="Times New Roman"/>
              <w:sz w:val="14"/>
              <w:szCs w:val="14"/>
              <w:lang w:val="es-ES"/>
            </w:rPr>
            <w:t xml:space="preserve"> (Síndico)</w:t>
          </w:r>
        </w:p>
      </w:tc>
      <w:tc>
        <w:tcPr>
          <w:tcW w:w="1134" w:type="dxa"/>
        </w:tcPr>
        <w:p w14:paraId="26A38C76" w14:textId="77777777" w:rsidR="008F2AD9" w:rsidRPr="00931049" w:rsidRDefault="008F2AD9" w:rsidP="000F238E">
          <w:pPr>
            <w:ind w:right="123"/>
            <w:jc w:val="center"/>
            <w:rPr>
              <w:rFonts w:ascii="Times New Roman" w:hAnsi="Times New Roman"/>
              <w:sz w:val="14"/>
              <w:szCs w:val="14"/>
            </w:rPr>
          </w:pPr>
        </w:p>
      </w:tc>
      <w:tc>
        <w:tcPr>
          <w:tcW w:w="4110" w:type="dxa"/>
        </w:tcPr>
        <w:p w14:paraId="6B503FD7" w14:textId="77777777" w:rsidR="008F2AD9" w:rsidRPr="00124475" w:rsidRDefault="008F2AD9" w:rsidP="000F238E">
          <w:pPr>
            <w:ind w:right="125"/>
            <w:jc w:val="center"/>
            <w:rPr>
              <w:rFonts w:ascii="Times New Roman" w:hAnsi="Times New Roman"/>
              <w:sz w:val="14"/>
              <w:szCs w:val="14"/>
            </w:rPr>
          </w:pPr>
          <w:r w:rsidRPr="00124475">
            <w:rPr>
              <w:rFonts w:ascii="Times New Roman" w:hAnsi="Times New Roman"/>
              <w:sz w:val="14"/>
              <w:szCs w:val="14"/>
            </w:rPr>
            <w:t>MAURICIO G. EIDELSTEIN (Socio)</w:t>
          </w:r>
        </w:p>
      </w:tc>
    </w:tr>
    <w:tr w:rsidR="008F2AD9" w14:paraId="0C8D6332" w14:textId="77777777" w:rsidTr="009E6BF6">
      <w:tc>
        <w:tcPr>
          <w:tcW w:w="3402" w:type="dxa"/>
        </w:tcPr>
        <w:p w14:paraId="2F04BDEF"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rPr>
            <w:t>Abogado - U.B.A.</w:t>
          </w:r>
        </w:p>
      </w:tc>
      <w:tc>
        <w:tcPr>
          <w:tcW w:w="1134" w:type="dxa"/>
        </w:tcPr>
        <w:p w14:paraId="63F7371D" w14:textId="77777777" w:rsidR="008F2AD9" w:rsidRPr="00931049" w:rsidRDefault="008F2AD9" w:rsidP="000F238E">
          <w:pPr>
            <w:ind w:right="123"/>
            <w:jc w:val="center"/>
            <w:rPr>
              <w:rFonts w:ascii="Times New Roman" w:hAnsi="Times New Roman"/>
              <w:sz w:val="14"/>
              <w:szCs w:val="14"/>
            </w:rPr>
          </w:pPr>
        </w:p>
      </w:tc>
      <w:tc>
        <w:tcPr>
          <w:tcW w:w="4110" w:type="dxa"/>
        </w:tcPr>
        <w:p w14:paraId="1E0A4F35" w14:textId="77777777" w:rsidR="008F2AD9" w:rsidRPr="00124475" w:rsidRDefault="008F2AD9" w:rsidP="000F238E">
          <w:pPr>
            <w:ind w:right="123"/>
            <w:jc w:val="center"/>
            <w:rPr>
              <w:rFonts w:ascii="Times New Roman" w:hAnsi="Times New Roman"/>
              <w:b/>
              <w:sz w:val="14"/>
              <w:szCs w:val="14"/>
            </w:rPr>
          </w:pPr>
          <w:r w:rsidRPr="00124475">
            <w:rPr>
              <w:rFonts w:ascii="Times New Roman" w:hAnsi="Times New Roman"/>
              <w:sz w:val="14"/>
              <w:szCs w:val="14"/>
            </w:rPr>
            <w:t xml:space="preserve">  Contador Público – U.B.A.</w:t>
          </w:r>
        </w:p>
      </w:tc>
    </w:tr>
    <w:tr w:rsidR="008F2AD9" w:rsidRPr="00F5567E" w14:paraId="1105E2D3" w14:textId="77777777" w:rsidTr="009E6BF6">
      <w:tc>
        <w:tcPr>
          <w:tcW w:w="3402" w:type="dxa"/>
        </w:tcPr>
        <w:p w14:paraId="27233ED2" w14:textId="77777777" w:rsidR="008F2AD9" w:rsidRPr="00931049" w:rsidRDefault="008F2AD9" w:rsidP="000F238E">
          <w:pPr>
            <w:ind w:right="123"/>
            <w:jc w:val="center"/>
            <w:rPr>
              <w:rFonts w:ascii="Times New Roman" w:hAnsi="Times New Roman"/>
              <w:b/>
              <w:sz w:val="14"/>
              <w:szCs w:val="14"/>
              <w:lang w:val="fr-FR"/>
            </w:rPr>
          </w:pPr>
          <w:r>
            <w:rPr>
              <w:rFonts w:ascii="Times New Roman" w:hAnsi="Times New Roman"/>
              <w:sz w:val="14"/>
              <w:szCs w:val="14"/>
              <w:lang w:val="fr-FR"/>
            </w:rPr>
            <w:t>C.P.A.C.F</w:t>
          </w:r>
          <w:r w:rsidRPr="00931049">
            <w:rPr>
              <w:rFonts w:ascii="Times New Roman" w:hAnsi="Times New Roman"/>
              <w:sz w:val="14"/>
              <w:szCs w:val="14"/>
              <w:lang w:val="fr-FR"/>
            </w:rPr>
            <w:t>. Tº 30 Fº 536</w:t>
          </w:r>
        </w:p>
      </w:tc>
      <w:tc>
        <w:tcPr>
          <w:tcW w:w="1134" w:type="dxa"/>
        </w:tcPr>
        <w:p w14:paraId="0E2DC6F9" w14:textId="77777777" w:rsidR="008F2AD9" w:rsidRPr="00931049" w:rsidRDefault="008F2AD9" w:rsidP="000F238E">
          <w:pPr>
            <w:ind w:right="123"/>
            <w:jc w:val="center"/>
            <w:rPr>
              <w:rFonts w:ascii="Times New Roman" w:hAnsi="Times New Roman"/>
              <w:sz w:val="14"/>
              <w:szCs w:val="14"/>
              <w:lang w:val="fr-FR"/>
            </w:rPr>
          </w:pPr>
        </w:p>
      </w:tc>
      <w:tc>
        <w:tcPr>
          <w:tcW w:w="4110" w:type="dxa"/>
        </w:tcPr>
        <w:p w14:paraId="0D36F947" w14:textId="77777777" w:rsidR="008F2AD9" w:rsidRPr="00124475" w:rsidRDefault="008F2AD9" w:rsidP="000F238E">
          <w:pPr>
            <w:ind w:right="123"/>
            <w:jc w:val="center"/>
            <w:rPr>
              <w:rFonts w:ascii="Times New Roman" w:hAnsi="Times New Roman"/>
              <w:b/>
              <w:sz w:val="14"/>
              <w:szCs w:val="14"/>
              <w:lang w:val="fr-FR"/>
            </w:rPr>
          </w:pPr>
          <w:r w:rsidRPr="00124475">
            <w:rPr>
              <w:rFonts w:ascii="Times New Roman" w:hAnsi="Times New Roman"/>
              <w:sz w:val="14"/>
              <w:szCs w:val="14"/>
              <w:lang w:val="fr-FR"/>
            </w:rPr>
            <w:t xml:space="preserve"> C.P.C.E.C.A.B.A. Tº CXX  Fº 228</w:t>
          </w:r>
        </w:p>
      </w:tc>
    </w:tr>
  </w:tbl>
  <w:p w14:paraId="29DB7DD0" w14:textId="77777777" w:rsidR="008F2AD9" w:rsidRPr="00D73677" w:rsidRDefault="008F2AD9" w:rsidP="009E6BF6">
    <w:pPr>
      <w:ind w:left="-540" w:right="-1221"/>
      <w:rPr>
        <w:rFonts w:ascii="Times New Roman" w:hAnsi="Times New Roman"/>
        <w:sz w:val="16"/>
        <w:lang w:val="fr-FR"/>
      </w:rPr>
    </w:pPr>
  </w:p>
  <w:p w14:paraId="64766123" w14:textId="77777777" w:rsidR="008F2AD9" w:rsidRPr="006E18E9" w:rsidRDefault="008F2AD9" w:rsidP="00885F4A">
    <w:pPr>
      <w:ind w:right="-1221"/>
      <w:jc w:val="center"/>
      <w:rPr>
        <w:rFonts w:ascii="Times New Roman" w:hAnsi="Times New Roman"/>
        <w:sz w:val="16"/>
        <w:lang w:val="fr-FR"/>
      </w:rPr>
    </w:pPr>
  </w:p>
  <w:p w14:paraId="2C796DFB" w14:textId="77777777" w:rsidR="008F2AD9" w:rsidRPr="00D73677" w:rsidRDefault="008F2AD9">
    <w:pPr>
      <w:ind w:left="-540" w:right="-1221"/>
      <w:rPr>
        <w:rFonts w:ascii="Times New Roman" w:hAnsi="Times New Roman"/>
        <w:sz w:val="16"/>
        <w:lang w:val="fr-FR"/>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44" w:type="dxa"/>
      <w:tblInd w:w="607" w:type="dxa"/>
      <w:tblLayout w:type="fixed"/>
      <w:tblLook w:val="0000" w:firstRow="0" w:lastRow="0" w:firstColumn="0" w:lastColumn="0" w:noHBand="0" w:noVBand="0"/>
    </w:tblPr>
    <w:tblGrid>
      <w:gridCol w:w="215"/>
      <w:gridCol w:w="3187"/>
      <w:gridCol w:w="215"/>
      <w:gridCol w:w="1061"/>
      <w:gridCol w:w="215"/>
      <w:gridCol w:w="283"/>
      <w:gridCol w:w="3470"/>
      <w:gridCol w:w="215"/>
      <w:gridCol w:w="283"/>
    </w:tblGrid>
    <w:tr w:rsidR="008F2AD9" w14:paraId="3B0435A4" w14:textId="77777777" w:rsidTr="00885F4A">
      <w:trPr>
        <w:gridAfter w:val="2"/>
        <w:wAfter w:w="498" w:type="dxa"/>
        <w:cantSplit/>
      </w:trPr>
      <w:tc>
        <w:tcPr>
          <w:tcW w:w="3402" w:type="dxa"/>
          <w:gridSpan w:val="2"/>
        </w:tcPr>
        <w:p w14:paraId="2A8C10A5" w14:textId="77777777" w:rsidR="008F2AD9" w:rsidRDefault="008F2AD9" w:rsidP="00885F4A">
          <w:pPr>
            <w:ind w:right="123"/>
            <w:jc w:val="center"/>
            <w:rPr>
              <w:rFonts w:ascii="Times New Roman" w:hAnsi="Times New Roman"/>
              <w:sz w:val="16"/>
            </w:rPr>
          </w:pPr>
        </w:p>
      </w:tc>
      <w:tc>
        <w:tcPr>
          <w:tcW w:w="1276" w:type="dxa"/>
          <w:gridSpan w:val="2"/>
        </w:tcPr>
        <w:p w14:paraId="5A6761E8" w14:textId="77777777" w:rsidR="008F2AD9" w:rsidRDefault="008F2AD9" w:rsidP="00885F4A">
          <w:pPr>
            <w:ind w:right="123"/>
            <w:jc w:val="center"/>
            <w:rPr>
              <w:rFonts w:ascii="Times New Roman" w:hAnsi="Times New Roman"/>
              <w:sz w:val="16"/>
            </w:rPr>
          </w:pPr>
        </w:p>
      </w:tc>
      <w:tc>
        <w:tcPr>
          <w:tcW w:w="3968" w:type="dxa"/>
          <w:gridSpan w:val="3"/>
        </w:tcPr>
        <w:p w14:paraId="4B23E490" w14:textId="77777777" w:rsidR="008F2AD9" w:rsidRDefault="008F2AD9" w:rsidP="00885F4A">
          <w:pPr>
            <w:ind w:right="123"/>
            <w:jc w:val="center"/>
            <w:rPr>
              <w:rFonts w:ascii="Times New Roman" w:hAnsi="Times New Roman"/>
              <w:sz w:val="16"/>
            </w:rPr>
          </w:pPr>
        </w:p>
      </w:tc>
    </w:tr>
    <w:tr w:rsidR="008F2AD9" w14:paraId="32DF82FE" w14:textId="77777777" w:rsidTr="00885F4A">
      <w:trPr>
        <w:gridBefore w:val="1"/>
        <w:gridAfter w:val="1"/>
        <w:wBefore w:w="215" w:type="dxa"/>
        <w:wAfter w:w="283" w:type="dxa"/>
        <w:cantSplit/>
      </w:trPr>
      <w:tc>
        <w:tcPr>
          <w:tcW w:w="3402" w:type="dxa"/>
          <w:gridSpan w:val="2"/>
        </w:tcPr>
        <w:p w14:paraId="2B8A9970" w14:textId="77777777" w:rsidR="008F2AD9" w:rsidRDefault="008F2AD9" w:rsidP="00885F4A">
          <w:pPr>
            <w:ind w:right="123"/>
            <w:jc w:val="center"/>
            <w:rPr>
              <w:rFonts w:ascii="Times New Roman" w:hAnsi="Times New Roman"/>
              <w:sz w:val="16"/>
            </w:rPr>
          </w:pPr>
        </w:p>
      </w:tc>
      <w:tc>
        <w:tcPr>
          <w:tcW w:w="1276" w:type="dxa"/>
          <w:gridSpan w:val="2"/>
        </w:tcPr>
        <w:p w14:paraId="7F2D34C0" w14:textId="77777777" w:rsidR="008F2AD9" w:rsidRDefault="008F2AD9" w:rsidP="00885F4A">
          <w:pPr>
            <w:ind w:right="123"/>
            <w:jc w:val="center"/>
            <w:rPr>
              <w:rFonts w:ascii="Times New Roman" w:hAnsi="Times New Roman"/>
              <w:sz w:val="16"/>
            </w:rPr>
          </w:pPr>
        </w:p>
      </w:tc>
      <w:tc>
        <w:tcPr>
          <w:tcW w:w="3968" w:type="dxa"/>
          <w:gridSpan w:val="3"/>
        </w:tcPr>
        <w:p w14:paraId="044DAC81" w14:textId="77777777" w:rsidR="008F2AD9" w:rsidRDefault="008F2AD9" w:rsidP="00885F4A">
          <w:pPr>
            <w:ind w:right="123"/>
            <w:jc w:val="center"/>
            <w:rPr>
              <w:rFonts w:ascii="Times New Roman" w:hAnsi="Times New Roman"/>
              <w:sz w:val="16"/>
            </w:rPr>
          </w:pPr>
        </w:p>
      </w:tc>
    </w:tr>
    <w:tr w:rsidR="008F2AD9" w14:paraId="7E1F363B" w14:textId="77777777" w:rsidTr="00885F4A">
      <w:trPr>
        <w:gridBefore w:val="1"/>
        <w:gridAfter w:val="1"/>
        <w:wBefore w:w="215" w:type="dxa"/>
        <w:wAfter w:w="283" w:type="dxa"/>
        <w:cantSplit/>
      </w:trPr>
      <w:tc>
        <w:tcPr>
          <w:tcW w:w="3402" w:type="dxa"/>
          <w:gridSpan w:val="2"/>
        </w:tcPr>
        <w:p w14:paraId="43B1119B" w14:textId="77777777" w:rsidR="008F2AD9" w:rsidRDefault="008F2AD9" w:rsidP="00885F4A">
          <w:pPr>
            <w:ind w:right="123"/>
            <w:jc w:val="center"/>
            <w:rPr>
              <w:rFonts w:ascii="Times New Roman" w:hAnsi="Times New Roman"/>
              <w:sz w:val="16"/>
            </w:rPr>
          </w:pPr>
        </w:p>
      </w:tc>
      <w:tc>
        <w:tcPr>
          <w:tcW w:w="1276" w:type="dxa"/>
          <w:gridSpan w:val="2"/>
        </w:tcPr>
        <w:p w14:paraId="7AFD3E26" w14:textId="77777777" w:rsidR="008F2AD9" w:rsidRDefault="008F2AD9" w:rsidP="00885F4A">
          <w:pPr>
            <w:ind w:right="123"/>
            <w:jc w:val="center"/>
            <w:rPr>
              <w:rFonts w:ascii="Times New Roman" w:hAnsi="Times New Roman"/>
              <w:sz w:val="16"/>
            </w:rPr>
          </w:pPr>
        </w:p>
      </w:tc>
      <w:tc>
        <w:tcPr>
          <w:tcW w:w="3968" w:type="dxa"/>
          <w:gridSpan w:val="3"/>
        </w:tcPr>
        <w:p w14:paraId="604625A6" w14:textId="77777777" w:rsidR="008F2AD9" w:rsidRDefault="008F2AD9" w:rsidP="00885F4A">
          <w:pPr>
            <w:ind w:right="123"/>
            <w:jc w:val="center"/>
            <w:rPr>
              <w:rFonts w:ascii="Times New Roman" w:hAnsi="Times New Roman"/>
              <w:sz w:val="16"/>
            </w:rPr>
          </w:pPr>
        </w:p>
      </w:tc>
    </w:tr>
    <w:tr w:rsidR="008F2AD9" w14:paraId="1DC360D2" w14:textId="77777777" w:rsidTr="00885F4A">
      <w:trPr>
        <w:gridBefore w:val="1"/>
        <w:gridAfter w:val="1"/>
        <w:wBefore w:w="215" w:type="dxa"/>
        <w:wAfter w:w="283" w:type="dxa"/>
        <w:cantSplit/>
      </w:trPr>
      <w:tc>
        <w:tcPr>
          <w:tcW w:w="3402" w:type="dxa"/>
          <w:gridSpan w:val="2"/>
        </w:tcPr>
        <w:p w14:paraId="0E7068FA" w14:textId="77777777" w:rsidR="008F2AD9" w:rsidRDefault="008F2AD9" w:rsidP="00885F4A">
          <w:pPr>
            <w:ind w:right="123"/>
            <w:jc w:val="center"/>
            <w:rPr>
              <w:rFonts w:ascii="Times New Roman" w:hAnsi="Times New Roman"/>
              <w:sz w:val="16"/>
            </w:rPr>
          </w:pPr>
        </w:p>
      </w:tc>
      <w:tc>
        <w:tcPr>
          <w:tcW w:w="1276" w:type="dxa"/>
          <w:gridSpan w:val="2"/>
        </w:tcPr>
        <w:p w14:paraId="0977F5E5" w14:textId="77777777" w:rsidR="008F2AD9" w:rsidRDefault="008F2AD9" w:rsidP="00885F4A">
          <w:pPr>
            <w:ind w:right="123"/>
            <w:jc w:val="center"/>
            <w:rPr>
              <w:rFonts w:ascii="Times New Roman" w:hAnsi="Times New Roman"/>
              <w:sz w:val="16"/>
            </w:rPr>
          </w:pPr>
        </w:p>
      </w:tc>
      <w:tc>
        <w:tcPr>
          <w:tcW w:w="3968" w:type="dxa"/>
          <w:gridSpan w:val="3"/>
        </w:tcPr>
        <w:p w14:paraId="5A211913" w14:textId="77777777" w:rsidR="008F2AD9" w:rsidRDefault="008F2AD9" w:rsidP="00885F4A">
          <w:pPr>
            <w:ind w:right="123"/>
            <w:jc w:val="center"/>
            <w:rPr>
              <w:rFonts w:ascii="Times New Roman" w:hAnsi="Times New Roman"/>
              <w:sz w:val="16"/>
            </w:rPr>
          </w:pPr>
        </w:p>
        <w:p w14:paraId="42CBC14C" w14:textId="77777777" w:rsidR="008F2AD9" w:rsidRDefault="008F2AD9" w:rsidP="00885F4A">
          <w:pPr>
            <w:ind w:right="123"/>
            <w:jc w:val="center"/>
            <w:rPr>
              <w:rFonts w:ascii="Times New Roman" w:hAnsi="Times New Roman"/>
              <w:sz w:val="16"/>
            </w:rPr>
          </w:pPr>
        </w:p>
      </w:tc>
    </w:tr>
    <w:tr w:rsidR="008F2AD9" w14:paraId="0982ADB2" w14:textId="77777777" w:rsidTr="00885F4A">
      <w:trPr>
        <w:gridBefore w:val="1"/>
        <w:wBefore w:w="215" w:type="dxa"/>
        <w:cantSplit/>
      </w:trPr>
      <w:tc>
        <w:tcPr>
          <w:tcW w:w="3402" w:type="dxa"/>
          <w:gridSpan w:val="2"/>
        </w:tcPr>
        <w:p w14:paraId="6B661474" w14:textId="77777777" w:rsidR="008F2AD9" w:rsidRPr="00931049" w:rsidRDefault="008F2AD9" w:rsidP="00885F4A">
          <w:pPr>
            <w:ind w:right="123"/>
            <w:jc w:val="center"/>
            <w:rPr>
              <w:rFonts w:ascii="Times New Roman" w:hAnsi="Times New Roman"/>
              <w:sz w:val="14"/>
              <w:szCs w:val="14"/>
            </w:rPr>
          </w:pPr>
          <w:r>
            <w:rPr>
              <w:rFonts w:ascii="Times New Roman" w:hAnsi="Times New Roman"/>
              <w:sz w:val="14"/>
              <w:szCs w:val="14"/>
            </w:rPr>
            <w:t>ERNESTO R. GALLARDO JIMENEZ</w:t>
          </w:r>
        </w:p>
      </w:tc>
      <w:tc>
        <w:tcPr>
          <w:tcW w:w="1559" w:type="dxa"/>
          <w:gridSpan w:val="3"/>
        </w:tcPr>
        <w:p w14:paraId="462BA0E0" w14:textId="77777777" w:rsidR="008F2AD9" w:rsidRPr="00931049" w:rsidRDefault="008F2AD9" w:rsidP="00885F4A">
          <w:pPr>
            <w:ind w:right="123"/>
            <w:jc w:val="center"/>
            <w:rPr>
              <w:rFonts w:ascii="Times New Roman" w:hAnsi="Times New Roman"/>
              <w:sz w:val="14"/>
              <w:szCs w:val="14"/>
              <w:lang w:val="es-ES_tradnl"/>
            </w:rPr>
          </w:pPr>
          <w:r>
            <w:rPr>
              <w:rFonts w:ascii="Times New Roman" w:hAnsi="Times New Roman"/>
              <w:sz w:val="14"/>
              <w:szCs w:val="14"/>
              <w:lang w:val="es-ES_tradnl"/>
            </w:rPr>
            <w:t>JORGE C. BLEDEL</w:t>
          </w:r>
        </w:p>
      </w:tc>
      <w:tc>
        <w:tcPr>
          <w:tcW w:w="3968" w:type="dxa"/>
          <w:gridSpan w:val="3"/>
        </w:tcPr>
        <w:p w14:paraId="12C7793C" w14:textId="77777777" w:rsidR="008F2AD9" w:rsidRPr="00931049" w:rsidRDefault="008F2AD9" w:rsidP="00885F4A">
          <w:pPr>
            <w:ind w:right="123"/>
            <w:jc w:val="center"/>
            <w:rPr>
              <w:rFonts w:ascii="Times New Roman" w:hAnsi="Times New Roman"/>
              <w:sz w:val="14"/>
              <w:szCs w:val="14"/>
              <w:lang w:val="es-ES_tradnl"/>
            </w:rPr>
          </w:pPr>
          <w:r>
            <w:rPr>
              <w:rFonts w:ascii="Times New Roman" w:hAnsi="Times New Roman"/>
              <w:sz w:val="14"/>
              <w:szCs w:val="14"/>
              <w:lang w:val="es-ES_tradnl"/>
            </w:rPr>
            <w:t>MARTIN E. ZARICH</w:t>
          </w:r>
        </w:p>
      </w:tc>
    </w:tr>
    <w:tr w:rsidR="008F2AD9" w14:paraId="00D78162" w14:textId="77777777" w:rsidTr="00885F4A">
      <w:trPr>
        <w:gridBefore w:val="1"/>
        <w:gridAfter w:val="1"/>
        <w:wBefore w:w="215" w:type="dxa"/>
        <w:wAfter w:w="283" w:type="dxa"/>
        <w:cantSplit/>
        <w:trHeight w:val="279"/>
      </w:trPr>
      <w:tc>
        <w:tcPr>
          <w:tcW w:w="3402" w:type="dxa"/>
          <w:gridSpan w:val="2"/>
        </w:tcPr>
        <w:p w14:paraId="754E304C" w14:textId="77777777" w:rsidR="008F2AD9" w:rsidRPr="00931049" w:rsidRDefault="008F2AD9" w:rsidP="00885F4A">
          <w:pPr>
            <w:ind w:right="123"/>
            <w:jc w:val="center"/>
            <w:rPr>
              <w:rFonts w:ascii="Times New Roman" w:hAnsi="Times New Roman"/>
              <w:sz w:val="14"/>
              <w:szCs w:val="14"/>
            </w:rPr>
          </w:pPr>
          <w:r>
            <w:rPr>
              <w:rFonts w:ascii="Times New Roman" w:hAnsi="Times New Roman"/>
              <w:sz w:val="14"/>
              <w:szCs w:val="14"/>
            </w:rPr>
            <w:t>Director Financiero y de Planeamiento</w:t>
          </w:r>
        </w:p>
      </w:tc>
      <w:tc>
        <w:tcPr>
          <w:tcW w:w="1276" w:type="dxa"/>
          <w:gridSpan w:val="2"/>
        </w:tcPr>
        <w:p w14:paraId="539FBB02" w14:textId="77777777" w:rsidR="008F2AD9" w:rsidRPr="00931049" w:rsidRDefault="008F2AD9" w:rsidP="00885F4A">
          <w:pPr>
            <w:ind w:right="123"/>
            <w:jc w:val="center"/>
            <w:rPr>
              <w:rFonts w:ascii="Times New Roman" w:hAnsi="Times New Roman"/>
              <w:sz w:val="14"/>
              <w:szCs w:val="14"/>
            </w:rPr>
          </w:pPr>
          <w:r w:rsidRPr="00912840">
            <w:rPr>
              <w:rFonts w:ascii="Times New Roman" w:hAnsi="Times New Roman"/>
              <w:sz w:val="14"/>
              <w:szCs w:val="14"/>
            </w:rPr>
            <w:t>Presidente</w:t>
          </w:r>
        </w:p>
      </w:tc>
      <w:tc>
        <w:tcPr>
          <w:tcW w:w="3968" w:type="dxa"/>
          <w:gridSpan w:val="3"/>
        </w:tcPr>
        <w:p w14:paraId="31D62F0B" w14:textId="77777777" w:rsidR="008F2AD9" w:rsidRPr="00931049" w:rsidRDefault="008F2AD9" w:rsidP="00885F4A">
          <w:pPr>
            <w:ind w:right="123"/>
            <w:jc w:val="center"/>
            <w:rPr>
              <w:rFonts w:ascii="Times New Roman" w:hAnsi="Times New Roman"/>
              <w:sz w:val="14"/>
              <w:szCs w:val="14"/>
            </w:rPr>
          </w:pPr>
          <w:r>
            <w:rPr>
              <w:rFonts w:ascii="Times New Roman" w:hAnsi="Times New Roman"/>
              <w:sz w:val="14"/>
              <w:szCs w:val="14"/>
            </w:rPr>
            <w:t>Gerente General</w:t>
          </w:r>
        </w:p>
      </w:tc>
    </w:tr>
  </w:tbl>
  <w:p w14:paraId="668B2B8C" w14:textId="77777777" w:rsidR="008F2AD9" w:rsidRPr="006E18E9" w:rsidRDefault="008F2AD9" w:rsidP="00885F4A">
    <w:pPr>
      <w:ind w:right="-1221"/>
      <w:jc w:val="center"/>
      <w:rPr>
        <w:rFonts w:ascii="Times New Roman" w:hAnsi="Times New Roman"/>
        <w:sz w:val="16"/>
        <w:lang w:val="fr-FR"/>
      </w:rPr>
    </w:pPr>
  </w:p>
  <w:tbl>
    <w:tblPr>
      <w:tblW w:w="8646" w:type="dxa"/>
      <w:tblInd w:w="822" w:type="dxa"/>
      <w:tblLayout w:type="fixed"/>
      <w:tblLook w:val="0000" w:firstRow="0" w:lastRow="0" w:firstColumn="0" w:lastColumn="0" w:noHBand="0" w:noVBand="0"/>
    </w:tblPr>
    <w:tblGrid>
      <w:gridCol w:w="3402"/>
      <w:gridCol w:w="1134"/>
      <w:gridCol w:w="4110"/>
    </w:tblGrid>
    <w:tr w:rsidR="008F2AD9" w14:paraId="1B3A7132" w14:textId="77777777" w:rsidTr="00885F4A">
      <w:tc>
        <w:tcPr>
          <w:tcW w:w="3402" w:type="dxa"/>
        </w:tcPr>
        <w:p w14:paraId="04127461" w14:textId="77777777" w:rsidR="008F2AD9" w:rsidRPr="00A100B5" w:rsidRDefault="008F2AD9" w:rsidP="00885F4A">
          <w:pPr>
            <w:ind w:right="18"/>
            <w:jc w:val="center"/>
            <w:rPr>
              <w:rFonts w:ascii="Times New Roman" w:hAnsi="Times New Roman"/>
              <w:sz w:val="12"/>
              <w:szCs w:val="12"/>
            </w:rPr>
          </w:pPr>
          <w:r w:rsidRPr="00A100B5">
            <w:rPr>
              <w:rFonts w:ascii="Times New Roman" w:hAnsi="Times New Roman"/>
              <w:sz w:val="12"/>
              <w:szCs w:val="12"/>
            </w:rPr>
            <w:t>Firmado a los efectos de su identificación</w:t>
          </w:r>
        </w:p>
      </w:tc>
      <w:tc>
        <w:tcPr>
          <w:tcW w:w="1134" w:type="dxa"/>
        </w:tcPr>
        <w:p w14:paraId="53075600" w14:textId="77777777" w:rsidR="008F2AD9" w:rsidRPr="00931049" w:rsidRDefault="008F2AD9" w:rsidP="00885F4A">
          <w:pPr>
            <w:ind w:right="18"/>
            <w:jc w:val="center"/>
            <w:rPr>
              <w:rFonts w:ascii="Times New Roman" w:hAnsi="Times New Roman"/>
              <w:sz w:val="14"/>
              <w:szCs w:val="14"/>
            </w:rPr>
          </w:pPr>
        </w:p>
      </w:tc>
      <w:tc>
        <w:tcPr>
          <w:tcW w:w="4110" w:type="dxa"/>
        </w:tcPr>
        <w:p w14:paraId="5B7B10A5" w14:textId="77777777" w:rsidR="008F2AD9" w:rsidRPr="00042795" w:rsidRDefault="008F2AD9" w:rsidP="00885F4A">
          <w:pPr>
            <w:ind w:right="18"/>
            <w:jc w:val="center"/>
            <w:rPr>
              <w:rFonts w:ascii="Times New Roman" w:hAnsi="Times New Roman"/>
              <w:sz w:val="12"/>
              <w:szCs w:val="12"/>
            </w:rPr>
          </w:pPr>
          <w:r w:rsidRPr="00042795">
            <w:rPr>
              <w:rFonts w:ascii="Times New Roman" w:hAnsi="Times New Roman"/>
              <w:sz w:val="12"/>
              <w:szCs w:val="12"/>
            </w:rPr>
            <w:t>Firmado a los efectos de su identificación</w:t>
          </w:r>
        </w:p>
      </w:tc>
    </w:tr>
    <w:tr w:rsidR="008F2AD9" w14:paraId="189BD408" w14:textId="77777777" w:rsidTr="00885F4A">
      <w:tc>
        <w:tcPr>
          <w:tcW w:w="3402" w:type="dxa"/>
        </w:tcPr>
        <w:p w14:paraId="2C154A2E" w14:textId="77777777" w:rsidR="008F2AD9" w:rsidRPr="00A100B5" w:rsidRDefault="008F2AD9" w:rsidP="00885F4A">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9 de febrero de 2018</w:t>
          </w:r>
        </w:p>
      </w:tc>
      <w:tc>
        <w:tcPr>
          <w:tcW w:w="1134" w:type="dxa"/>
        </w:tcPr>
        <w:p w14:paraId="47CB9755" w14:textId="77777777" w:rsidR="008F2AD9" w:rsidRPr="00931049" w:rsidRDefault="008F2AD9" w:rsidP="00885F4A">
          <w:pPr>
            <w:ind w:right="18"/>
            <w:jc w:val="center"/>
            <w:rPr>
              <w:rFonts w:ascii="Times New Roman" w:hAnsi="Times New Roman"/>
              <w:sz w:val="14"/>
              <w:szCs w:val="14"/>
            </w:rPr>
          </w:pPr>
        </w:p>
      </w:tc>
      <w:tc>
        <w:tcPr>
          <w:tcW w:w="4110" w:type="dxa"/>
        </w:tcPr>
        <w:p w14:paraId="687982CD" w14:textId="77777777" w:rsidR="008F2AD9" w:rsidRPr="00042795" w:rsidRDefault="008F2AD9" w:rsidP="00885F4A">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9</w:t>
          </w:r>
          <w:r w:rsidRPr="00A100B5">
            <w:rPr>
              <w:rFonts w:ascii="Times New Roman" w:hAnsi="Times New Roman"/>
              <w:sz w:val="12"/>
              <w:szCs w:val="12"/>
            </w:rPr>
            <w:t xml:space="preserve"> de </w:t>
          </w:r>
          <w:r>
            <w:rPr>
              <w:rFonts w:ascii="Times New Roman" w:hAnsi="Times New Roman"/>
              <w:sz w:val="12"/>
              <w:szCs w:val="12"/>
            </w:rPr>
            <w:t xml:space="preserve">febrero de  </w:t>
          </w:r>
          <w:r w:rsidRPr="00A100B5">
            <w:rPr>
              <w:rFonts w:ascii="Times New Roman" w:hAnsi="Times New Roman"/>
              <w:sz w:val="12"/>
              <w:szCs w:val="12"/>
            </w:rPr>
            <w:t>201</w:t>
          </w:r>
          <w:r>
            <w:rPr>
              <w:rFonts w:ascii="Times New Roman" w:hAnsi="Times New Roman"/>
              <w:sz w:val="12"/>
              <w:szCs w:val="12"/>
            </w:rPr>
            <w:t>8</w:t>
          </w:r>
        </w:p>
      </w:tc>
    </w:tr>
    <w:tr w:rsidR="008F2AD9" w14:paraId="4370F304" w14:textId="77777777" w:rsidTr="00885F4A">
      <w:tc>
        <w:tcPr>
          <w:tcW w:w="3402" w:type="dxa"/>
        </w:tcPr>
        <w:p w14:paraId="2D21FD6A" w14:textId="77777777" w:rsidR="008F2AD9" w:rsidRPr="00A100B5" w:rsidRDefault="008F2AD9" w:rsidP="00885F4A">
          <w:pPr>
            <w:ind w:right="123"/>
            <w:jc w:val="center"/>
            <w:rPr>
              <w:rFonts w:ascii="Times New Roman" w:hAnsi="Times New Roman"/>
              <w:sz w:val="12"/>
              <w:szCs w:val="12"/>
            </w:rPr>
          </w:pPr>
          <w:r w:rsidRPr="00A100B5">
            <w:rPr>
              <w:rFonts w:ascii="Times New Roman" w:hAnsi="Times New Roman"/>
              <w:sz w:val="12"/>
              <w:szCs w:val="12"/>
            </w:rPr>
            <w:t>P/COMISIÓN FISCALIZADORA</w:t>
          </w:r>
        </w:p>
      </w:tc>
      <w:tc>
        <w:tcPr>
          <w:tcW w:w="1134" w:type="dxa"/>
        </w:tcPr>
        <w:p w14:paraId="0C03A26E" w14:textId="77777777" w:rsidR="008F2AD9" w:rsidRPr="00931049" w:rsidRDefault="008F2AD9" w:rsidP="00885F4A">
          <w:pPr>
            <w:ind w:right="123"/>
            <w:jc w:val="center"/>
            <w:rPr>
              <w:rFonts w:ascii="Times New Roman" w:hAnsi="Times New Roman"/>
              <w:sz w:val="14"/>
              <w:szCs w:val="14"/>
              <w:lang w:val="en-US"/>
            </w:rPr>
          </w:pPr>
        </w:p>
      </w:tc>
      <w:tc>
        <w:tcPr>
          <w:tcW w:w="4110" w:type="dxa"/>
        </w:tcPr>
        <w:p w14:paraId="027AFE0D" w14:textId="77777777" w:rsidR="008F2AD9" w:rsidRPr="005E51EC" w:rsidRDefault="008F2AD9" w:rsidP="00885F4A">
          <w:pPr>
            <w:ind w:right="123"/>
            <w:jc w:val="center"/>
            <w:rPr>
              <w:rFonts w:ascii="Times New Roman" w:hAnsi="Times New Roman"/>
              <w:b/>
              <w:sz w:val="12"/>
              <w:szCs w:val="12"/>
              <w:lang w:val="en-US"/>
            </w:rPr>
          </w:pPr>
          <w:r>
            <w:rPr>
              <w:rFonts w:ascii="Times New Roman" w:hAnsi="Times New Roman"/>
              <w:b/>
              <w:sz w:val="12"/>
              <w:szCs w:val="12"/>
              <w:lang w:val="en-US"/>
            </w:rPr>
            <w:t>KPMG</w:t>
          </w:r>
        </w:p>
      </w:tc>
    </w:tr>
    <w:tr w:rsidR="008F2AD9" w14:paraId="200B3459" w14:textId="77777777" w:rsidTr="00885F4A">
      <w:tc>
        <w:tcPr>
          <w:tcW w:w="3402" w:type="dxa"/>
        </w:tcPr>
        <w:p w14:paraId="5F27C66E" w14:textId="77777777" w:rsidR="008F2AD9" w:rsidRPr="00931049" w:rsidRDefault="008F2AD9" w:rsidP="00885F4A">
          <w:pPr>
            <w:ind w:right="123"/>
            <w:jc w:val="center"/>
            <w:rPr>
              <w:rFonts w:ascii="Times New Roman" w:hAnsi="Times New Roman"/>
              <w:sz w:val="14"/>
              <w:szCs w:val="14"/>
              <w:lang w:val="en-US"/>
            </w:rPr>
          </w:pPr>
        </w:p>
      </w:tc>
      <w:tc>
        <w:tcPr>
          <w:tcW w:w="1134" w:type="dxa"/>
        </w:tcPr>
        <w:p w14:paraId="13F462F9" w14:textId="77777777" w:rsidR="008F2AD9" w:rsidRPr="00931049" w:rsidRDefault="008F2AD9" w:rsidP="00885F4A">
          <w:pPr>
            <w:ind w:left="34" w:right="-107" w:hanging="34"/>
            <w:jc w:val="center"/>
            <w:rPr>
              <w:rFonts w:ascii="Times New Roman" w:hAnsi="Times New Roman"/>
              <w:sz w:val="14"/>
              <w:szCs w:val="14"/>
              <w:lang w:val="en-US"/>
            </w:rPr>
          </w:pPr>
        </w:p>
      </w:tc>
      <w:tc>
        <w:tcPr>
          <w:tcW w:w="4110" w:type="dxa"/>
        </w:tcPr>
        <w:p w14:paraId="2185AB59" w14:textId="77777777" w:rsidR="008F2AD9" w:rsidRPr="005E51EC" w:rsidRDefault="008F2AD9" w:rsidP="00885F4A">
          <w:pPr>
            <w:ind w:right="123"/>
            <w:jc w:val="center"/>
            <w:rPr>
              <w:rFonts w:ascii="Times New Roman" w:hAnsi="Times New Roman"/>
              <w:sz w:val="12"/>
              <w:szCs w:val="12"/>
            </w:rPr>
          </w:pPr>
          <w:r w:rsidRPr="000E498B">
            <w:rPr>
              <w:rFonts w:ascii="Times New Roman" w:hAnsi="Times New Roman"/>
              <w:sz w:val="12"/>
              <w:szCs w:val="12"/>
            </w:rPr>
            <w:t>Reg. de Asoc. Prof. CPCECABA Tº 2 Fº 6</w:t>
          </w:r>
        </w:p>
      </w:tc>
    </w:tr>
    <w:tr w:rsidR="008F2AD9" w14:paraId="2CFD7785" w14:textId="77777777" w:rsidTr="00885F4A">
      <w:tc>
        <w:tcPr>
          <w:tcW w:w="3402" w:type="dxa"/>
        </w:tcPr>
        <w:p w14:paraId="68E40AF4" w14:textId="77777777" w:rsidR="008F2AD9" w:rsidRPr="00931049" w:rsidRDefault="008F2AD9" w:rsidP="00885F4A">
          <w:pPr>
            <w:ind w:right="123"/>
            <w:jc w:val="center"/>
            <w:rPr>
              <w:rFonts w:ascii="Times New Roman" w:hAnsi="Times New Roman"/>
              <w:sz w:val="14"/>
              <w:szCs w:val="14"/>
            </w:rPr>
          </w:pPr>
        </w:p>
      </w:tc>
      <w:tc>
        <w:tcPr>
          <w:tcW w:w="1134" w:type="dxa"/>
        </w:tcPr>
        <w:p w14:paraId="0F851D91" w14:textId="77777777" w:rsidR="008F2AD9" w:rsidRPr="00931049" w:rsidRDefault="008F2AD9" w:rsidP="00885F4A">
          <w:pPr>
            <w:ind w:right="123"/>
            <w:jc w:val="center"/>
            <w:rPr>
              <w:rFonts w:ascii="Times New Roman" w:hAnsi="Times New Roman"/>
              <w:sz w:val="14"/>
              <w:szCs w:val="14"/>
            </w:rPr>
          </w:pPr>
        </w:p>
      </w:tc>
      <w:tc>
        <w:tcPr>
          <w:tcW w:w="4110" w:type="dxa"/>
        </w:tcPr>
        <w:p w14:paraId="00CBFEE0" w14:textId="77777777" w:rsidR="008F2AD9" w:rsidRPr="005E51EC" w:rsidRDefault="008F2AD9" w:rsidP="00885F4A">
          <w:pPr>
            <w:ind w:right="123"/>
            <w:jc w:val="center"/>
            <w:rPr>
              <w:rFonts w:ascii="Times New Roman" w:hAnsi="Times New Roman"/>
              <w:b/>
              <w:sz w:val="12"/>
              <w:szCs w:val="12"/>
            </w:rPr>
          </w:pPr>
        </w:p>
      </w:tc>
    </w:tr>
    <w:tr w:rsidR="008F2AD9" w14:paraId="078FD1B2" w14:textId="77777777" w:rsidTr="00885F4A">
      <w:tc>
        <w:tcPr>
          <w:tcW w:w="3402" w:type="dxa"/>
        </w:tcPr>
        <w:p w14:paraId="12DF003D" w14:textId="77777777" w:rsidR="008F2AD9" w:rsidRPr="00931049" w:rsidRDefault="008F2AD9" w:rsidP="00885F4A">
          <w:pPr>
            <w:ind w:right="123"/>
            <w:jc w:val="center"/>
            <w:rPr>
              <w:rFonts w:ascii="Times New Roman" w:hAnsi="Times New Roman"/>
              <w:sz w:val="14"/>
              <w:szCs w:val="14"/>
            </w:rPr>
          </w:pPr>
        </w:p>
      </w:tc>
      <w:tc>
        <w:tcPr>
          <w:tcW w:w="1134" w:type="dxa"/>
        </w:tcPr>
        <w:p w14:paraId="1018D7C0" w14:textId="77777777" w:rsidR="008F2AD9" w:rsidRPr="00931049" w:rsidRDefault="008F2AD9" w:rsidP="00885F4A">
          <w:pPr>
            <w:ind w:right="18"/>
            <w:jc w:val="center"/>
            <w:rPr>
              <w:rFonts w:ascii="Times New Roman" w:hAnsi="Times New Roman"/>
              <w:sz w:val="14"/>
              <w:szCs w:val="14"/>
            </w:rPr>
          </w:pPr>
        </w:p>
      </w:tc>
      <w:tc>
        <w:tcPr>
          <w:tcW w:w="4110" w:type="dxa"/>
        </w:tcPr>
        <w:p w14:paraId="2419A9B2" w14:textId="77777777" w:rsidR="008F2AD9" w:rsidRPr="00931049" w:rsidRDefault="008F2AD9" w:rsidP="00885F4A">
          <w:pPr>
            <w:ind w:right="18"/>
            <w:jc w:val="center"/>
            <w:rPr>
              <w:rFonts w:ascii="Times New Roman" w:hAnsi="Times New Roman"/>
              <w:sz w:val="14"/>
              <w:szCs w:val="14"/>
            </w:rPr>
          </w:pPr>
        </w:p>
      </w:tc>
    </w:tr>
    <w:tr w:rsidR="008F2AD9" w14:paraId="11C2A75C" w14:textId="77777777" w:rsidTr="00885F4A">
      <w:tc>
        <w:tcPr>
          <w:tcW w:w="3402" w:type="dxa"/>
        </w:tcPr>
        <w:p w14:paraId="336C4217" w14:textId="77777777" w:rsidR="008F2AD9" w:rsidRPr="00931049" w:rsidRDefault="008F2AD9" w:rsidP="00885F4A">
          <w:pPr>
            <w:ind w:right="123"/>
            <w:jc w:val="center"/>
            <w:rPr>
              <w:rFonts w:ascii="Times New Roman" w:hAnsi="Times New Roman"/>
              <w:sz w:val="14"/>
              <w:szCs w:val="14"/>
            </w:rPr>
          </w:pPr>
        </w:p>
      </w:tc>
      <w:tc>
        <w:tcPr>
          <w:tcW w:w="1134" w:type="dxa"/>
        </w:tcPr>
        <w:p w14:paraId="5B3032D3" w14:textId="77777777" w:rsidR="008F2AD9" w:rsidRPr="00931049" w:rsidRDefault="008F2AD9" w:rsidP="00885F4A">
          <w:pPr>
            <w:ind w:right="123"/>
            <w:jc w:val="center"/>
            <w:rPr>
              <w:rFonts w:ascii="Times New Roman" w:hAnsi="Times New Roman"/>
              <w:b/>
              <w:sz w:val="14"/>
              <w:szCs w:val="14"/>
            </w:rPr>
          </w:pPr>
        </w:p>
      </w:tc>
      <w:tc>
        <w:tcPr>
          <w:tcW w:w="4110" w:type="dxa"/>
        </w:tcPr>
        <w:p w14:paraId="631AAF44" w14:textId="77777777" w:rsidR="008F2AD9" w:rsidRPr="00931049" w:rsidRDefault="008F2AD9" w:rsidP="00885F4A">
          <w:pPr>
            <w:ind w:right="123"/>
            <w:jc w:val="center"/>
            <w:rPr>
              <w:rFonts w:ascii="Times New Roman" w:hAnsi="Times New Roman"/>
              <w:b/>
              <w:sz w:val="14"/>
              <w:szCs w:val="14"/>
            </w:rPr>
          </w:pPr>
        </w:p>
      </w:tc>
    </w:tr>
    <w:tr w:rsidR="008F2AD9" w14:paraId="50C80F84" w14:textId="77777777" w:rsidTr="00885F4A">
      <w:trPr>
        <w:trHeight w:hRule="exact" w:val="170"/>
      </w:trPr>
      <w:tc>
        <w:tcPr>
          <w:tcW w:w="3402" w:type="dxa"/>
          <w:vAlign w:val="center"/>
        </w:tcPr>
        <w:p w14:paraId="739B3E39" w14:textId="77777777" w:rsidR="008F2AD9" w:rsidRPr="00931049" w:rsidRDefault="008F2AD9" w:rsidP="00885F4A">
          <w:pPr>
            <w:ind w:right="125"/>
            <w:jc w:val="center"/>
            <w:rPr>
              <w:rFonts w:ascii="Times New Roman" w:hAnsi="Times New Roman"/>
              <w:sz w:val="14"/>
              <w:szCs w:val="14"/>
              <w:lang w:val="es-ES"/>
            </w:rPr>
          </w:pPr>
        </w:p>
      </w:tc>
      <w:tc>
        <w:tcPr>
          <w:tcW w:w="1134" w:type="dxa"/>
          <w:vAlign w:val="center"/>
        </w:tcPr>
        <w:p w14:paraId="25AF0DB0" w14:textId="77777777" w:rsidR="008F2AD9" w:rsidRPr="00931049" w:rsidRDefault="008F2AD9" w:rsidP="00885F4A">
          <w:pPr>
            <w:ind w:right="125"/>
            <w:jc w:val="center"/>
            <w:rPr>
              <w:rFonts w:ascii="Times New Roman" w:hAnsi="Times New Roman"/>
              <w:sz w:val="14"/>
              <w:szCs w:val="14"/>
            </w:rPr>
          </w:pPr>
        </w:p>
      </w:tc>
      <w:tc>
        <w:tcPr>
          <w:tcW w:w="4110" w:type="dxa"/>
          <w:vAlign w:val="center"/>
        </w:tcPr>
        <w:p w14:paraId="47ACF1E1" w14:textId="77777777" w:rsidR="008F2AD9" w:rsidRPr="00931049" w:rsidRDefault="008F2AD9" w:rsidP="00885F4A">
          <w:pPr>
            <w:ind w:right="125"/>
            <w:jc w:val="center"/>
            <w:rPr>
              <w:rFonts w:ascii="Times New Roman" w:hAnsi="Times New Roman"/>
              <w:sz w:val="14"/>
              <w:szCs w:val="14"/>
            </w:rPr>
          </w:pPr>
        </w:p>
      </w:tc>
    </w:tr>
    <w:tr w:rsidR="008F2AD9" w14:paraId="6039B85B" w14:textId="77777777" w:rsidTr="00885F4A">
      <w:tc>
        <w:tcPr>
          <w:tcW w:w="3402" w:type="dxa"/>
        </w:tcPr>
        <w:p w14:paraId="26081F6F" w14:textId="77777777" w:rsidR="008F2AD9" w:rsidRPr="00931049" w:rsidRDefault="008F2AD9" w:rsidP="00885F4A">
          <w:pPr>
            <w:ind w:right="123"/>
            <w:jc w:val="center"/>
            <w:rPr>
              <w:rFonts w:ascii="Times New Roman" w:hAnsi="Times New Roman"/>
              <w:b/>
              <w:sz w:val="14"/>
              <w:szCs w:val="14"/>
            </w:rPr>
          </w:pPr>
          <w:r w:rsidRPr="00931049">
            <w:rPr>
              <w:rFonts w:ascii="Times New Roman" w:hAnsi="Times New Roman"/>
              <w:sz w:val="14"/>
              <w:szCs w:val="14"/>
              <w:lang w:val="es-ES"/>
            </w:rPr>
            <w:t>ALEJANDRO MOSQUERA</w:t>
          </w:r>
          <w:r>
            <w:rPr>
              <w:rFonts w:ascii="Times New Roman" w:hAnsi="Times New Roman"/>
              <w:sz w:val="14"/>
              <w:szCs w:val="14"/>
              <w:lang w:val="es-ES"/>
            </w:rPr>
            <w:t xml:space="preserve"> (Síndico)</w:t>
          </w:r>
        </w:p>
      </w:tc>
      <w:tc>
        <w:tcPr>
          <w:tcW w:w="1134" w:type="dxa"/>
        </w:tcPr>
        <w:p w14:paraId="20AAAF0E" w14:textId="77777777" w:rsidR="008F2AD9" w:rsidRPr="00931049" w:rsidRDefault="008F2AD9" w:rsidP="00885F4A">
          <w:pPr>
            <w:ind w:right="123"/>
            <w:jc w:val="center"/>
            <w:rPr>
              <w:rFonts w:ascii="Times New Roman" w:hAnsi="Times New Roman"/>
              <w:sz w:val="14"/>
              <w:szCs w:val="14"/>
            </w:rPr>
          </w:pPr>
        </w:p>
      </w:tc>
      <w:tc>
        <w:tcPr>
          <w:tcW w:w="4110" w:type="dxa"/>
          <w:vAlign w:val="center"/>
        </w:tcPr>
        <w:p w14:paraId="4F0A7BBC" w14:textId="77777777" w:rsidR="008F2AD9" w:rsidRPr="00931049" w:rsidRDefault="008F2AD9" w:rsidP="00885F4A">
          <w:pPr>
            <w:ind w:right="125"/>
            <w:jc w:val="center"/>
            <w:rPr>
              <w:rFonts w:ascii="Times New Roman" w:hAnsi="Times New Roman"/>
              <w:sz w:val="14"/>
              <w:szCs w:val="14"/>
            </w:rPr>
          </w:pPr>
          <w:r>
            <w:rPr>
              <w:rFonts w:ascii="Times New Roman" w:hAnsi="Times New Roman"/>
              <w:sz w:val="14"/>
              <w:szCs w:val="14"/>
            </w:rPr>
            <w:t>MARÍA GABRIELA SAAVEDRA   (Socia)</w:t>
          </w:r>
        </w:p>
      </w:tc>
    </w:tr>
    <w:tr w:rsidR="008F2AD9" w14:paraId="02367225" w14:textId="77777777" w:rsidTr="00885F4A">
      <w:tc>
        <w:tcPr>
          <w:tcW w:w="3402" w:type="dxa"/>
        </w:tcPr>
        <w:p w14:paraId="21626BD4" w14:textId="77777777" w:rsidR="008F2AD9" w:rsidRPr="00931049" w:rsidRDefault="008F2AD9" w:rsidP="00885F4A">
          <w:pPr>
            <w:ind w:right="123"/>
            <w:jc w:val="center"/>
            <w:rPr>
              <w:rFonts w:ascii="Times New Roman" w:hAnsi="Times New Roman"/>
              <w:b/>
              <w:sz w:val="14"/>
              <w:szCs w:val="14"/>
            </w:rPr>
          </w:pPr>
          <w:r w:rsidRPr="00931049">
            <w:rPr>
              <w:rFonts w:ascii="Times New Roman" w:hAnsi="Times New Roman"/>
              <w:sz w:val="14"/>
              <w:szCs w:val="14"/>
            </w:rPr>
            <w:t>Abogado - U.B.A.</w:t>
          </w:r>
        </w:p>
      </w:tc>
      <w:tc>
        <w:tcPr>
          <w:tcW w:w="1134" w:type="dxa"/>
        </w:tcPr>
        <w:p w14:paraId="57CF65A7" w14:textId="77777777" w:rsidR="008F2AD9" w:rsidRPr="00931049" w:rsidRDefault="008F2AD9" w:rsidP="00885F4A">
          <w:pPr>
            <w:ind w:right="123"/>
            <w:jc w:val="center"/>
            <w:rPr>
              <w:rFonts w:ascii="Times New Roman" w:hAnsi="Times New Roman"/>
              <w:sz w:val="14"/>
              <w:szCs w:val="14"/>
            </w:rPr>
          </w:pPr>
        </w:p>
      </w:tc>
      <w:tc>
        <w:tcPr>
          <w:tcW w:w="4110" w:type="dxa"/>
        </w:tcPr>
        <w:p w14:paraId="4A7B9601" w14:textId="77777777" w:rsidR="008F2AD9" w:rsidRPr="00931049" w:rsidRDefault="008F2AD9" w:rsidP="00885F4A">
          <w:pPr>
            <w:ind w:right="123"/>
            <w:jc w:val="center"/>
            <w:rPr>
              <w:rFonts w:ascii="Times New Roman" w:hAnsi="Times New Roman"/>
              <w:b/>
              <w:sz w:val="14"/>
              <w:szCs w:val="14"/>
            </w:rPr>
          </w:pPr>
          <w:r w:rsidRPr="00931049">
            <w:rPr>
              <w:rFonts w:ascii="Times New Roman" w:hAnsi="Times New Roman"/>
              <w:sz w:val="14"/>
              <w:szCs w:val="14"/>
            </w:rPr>
            <w:t>Contador</w:t>
          </w:r>
          <w:r>
            <w:rPr>
              <w:rFonts w:ascii="Times New Roman" w:hAnsi="Times New Roman"/>
              <w:sz w:val="14"/>
              <w:szCs w:val="14"/>
            </w:rPr>
            <w:t>a</w:t>
          </w:r>
          <w:r w:rsidRPr="00931049">
            <w:rPr>
              <w:rFonts w:ascii="Times New Roman" w:hAnsi="Times New Roman"/>
              <w:sz w:val="14"/>
              <w:szCs w:val="14"/>
            </w:rPr>
            <w:t xml:space="preserve"> Públic</w:t>
          </w:r>
          <w:r>
            <w:rPr>
              <w:rFonts w:ascii="Times New Roman" w:hAnsi="Times New Roman"/>
              <w:sz w:val="14"/>
              <w:szCs w:val="14"/>
            </w:rPr>
            <w:t>a</w:t>
          </w:r>
          <w:r w:rsidRPr="00931049">
            <w:rPr>
              <w:rFonts w:ascii="Times New Roman" w:hAnsi="Times New Roman"/>
              <w:sz w:val="14"/>
              <w:szCs w:val="14"/>
            </w:rPr>
            <w:t xml:space="preserve"> </w:t>
          </w:r>
          <w:r>
            <w:rPr>
              <w:rFonts w:ascii="Times New Roman" w:hAnsi="Times New Roman"/>
              <w:sz w:val="14"/>
              <w:szCs w:val="14"/>
            </w:rPr>
            <w:t>–</w:t>
          </w:r>
          <w:r w:rsidRPr="00931049">
            <w:rPr>
              <w:rFonts w:ascii="Times New Roman" w:hAnsi="Times New Roman"/>
              <w:sz w:val="14"/>
              <w:szCs w:val="14"/>
            </w:rPr>
            <w:t xml:space="preserve"> </w:t>
          </w:r>
          <w:r>
            <w:rPr>
              <w:rFonts w:ascii="Times New Roman" w:hAnsi="Times New Roman"/>
              <w:sz w:val="14"/>
              <w:szCs w:val="14"/>
            </w:rPr>
            <w:t>U.N.S.</w:t>
          </w:r>
        </w:p>
      </w:tc>
    </w:tr>
    <w:tr w:rsidR="008F2AD9" w:rsidRPr="00F5567E" w14:paraId="746628E8" w14:textId="77777777" w:rsidTr="00885F4A">
      <w:tc>
        <w:tcPr>
          <w:tcW w:w="3402" w:type="dxa"/>
        </w:tcPr>
        <w:p w14:paraId="7DC59761" w14:textId="77777777" w:rsidR="008F2AD9" w:rsidRPr="00931049" w:rsidRDefault="008F2AD9" w:rsidP="00885F4A">
          <w:pPr>
            <w:ind w:right="123"/>
            <w:jc w:val="center"/>
            <w:rPr>
              <w:rFonts w:ascii="Times New Roman" w:hAnsi="Times New Roman"/>
              <w:b/>
              <w:sz w:val="14"/>
              <w:szCs w:val="14"/>
              <w:lang w:val="fr-FR"/>
            </w:rPr>
          </w:pPr>
          <w:r>
            <w:rPr>
              <w:rFonts w:ascii="Times New Roman" w:hAnsi="Times New Roman"/>
              <w:sz w:val="14"/>
              <w:szCs w:val="14"/>
              <w:lang w:val="fr-FR"/>
            </w:rPr>
            <w:t>C.P.A.C.F</w:t>
          </w:r>
          <w:r w:rsidRPr="00931049">
            <w:rPr>
              <w:rFonts w:ascii="Times New Roman" w:hAnsi="Times New Roman"/>
              <w:sz w:val="14"/>
              <w:szCs w:val="14"/>
              <w:lang w:val="fr-FR"/>
            </w:rPr>
            <w:t>. Tº 30 Fº 536</w:t>
          </w:r>
        </w:p>
      </w:tc>
      <w:tc>
        <w:tcPr>
          <w:tcW w:w="1134" w:type="dxa"/>
        </w:tcPr>
        <w:p w14:paraId="204D6F4F" w14:textId="77777777" w:rsidR="008F2AD9" w:rsidRPr="00931049" w:rsidRDefault="008F2AD9" w:rsidP="00885F4A">
          <w:pPr>
            <w:ind w:right="123"/>
            <w:jc w:val="center"/>
            <w:rPr>
              <w:rFonts w:ascii="Times New Roman" w:hAnsi="Times New Roman"/>
              <w:sz w:val="14"/>
              <w:szCs w:val="14"/>
              <w:lang w:val="fr-FR"/>
            </w:rPr>
          </w:pPr>
        </w:p>
      </w:tc>
      <w:tc>
        <w:tcPr>
          <w:tcW w:w="4110" w:type="dxa"/>
        </w:tcPr>
        <w:p w14:paraId="55B3F90C" w14:textId="77777777" w:rsidR="008F2AD9" w:rsidRPr="00931049" w:rsidRDefault="008F2AD9" w:rsidP="00885F4A">
          <w:pPr>
            <w:ind w:right="123"/>
            <w:jc w:val="center"/>
            <w:rPr>
              <w:rFonts w:ascii="Times New Roman" w:hAnsi="Times New Roman"/>
              <w:b/>
              <w:sz w:val="14"/>
              <w:szCs w:val="14"/>
              <w:lang w:val="fr-FR"/>
            </w:rPr>
          </w:pPr>
          <w:r w:rsidRPr="00931049">
            <w:rPr>
              <w:rFonts w:ascii="Times New Roman" w:hAnsi="Times New Roman"/>
              <w:sz w:val="14"/>
              <w:szCs w:val="14"/>
              <w:lang w:val="fr-FR"/>
            </w:rPr>
            <w:t xml:space="preserve">C.P.C.E.C.A.B.A. Tº </w:t>
          </w:r>
          <w:r>
            <w:rPr>
              <w:rFonts w:ascii="Times New Roman" w:hAnsi="Times New Roman"/>
              <w:sz w:val="14"/>
              <w:szCs w:val="14"/>
              <w:lang w:val="fr-FR"/>
            </w:rPr>
            <w:t>260</w:t>
          </w:r>
          <w:r w:rsidRPr="00931049">
            <w:rPr>
              <w:rFonts w:ascii="Times New Roman" w:hAnsi="Times New Roman"/>
              <w:sz w:val="14"/>
              <w:szCs w:val="14"/>
              <w:lang w:val="fr-FR"/>
            </w:rPr>
            <w:t xml:space="preserve"> Fº </w:t>
          </w:r>
          <w:r>
            <w:rPr>
              <w:rFonts w:ascii="Times New Roman" w:hAnsi="Times New Roman"/>
              <w:sz w:val="14"/>
              <w:szCs w:val="14"/>
              <w:lang w:val="fr-FR"/>
            </w:rPr>
            <w:t>161</w:t>
          </w:r>
        </w:p>
      </w:tc>
    </w:tr>
  </w:tbl>
  <w:p w14:paraId="0E3C4D89" w14:textId="77777777" w:rsidR="008F2AD9" w:rsidRPr="001C2FD4" w:rsidRDefault="008F2AD9" w:rsidP="00885F4A">
    <w:pPr>
      <w:pStyle w:val="Piedepgina"/>
      <w:ind w:left="889"/>
      <w:rPr>
        <w:lang w:val="fr-FR"/>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4D094" w14:textId="77777777" w:rsidR="008F2AD9" w:rsidRDefault="008F2AD9" w:rsidP="00885F4A">
    <w:pPr>
      <w:pStyle w:val="Piedepgina"/>
      <w:framePr w:wrap="around" w:vAnchor="text" w:hAnchor="margin" w:xAlign="right" w:y="1"/>
      <w:ind w:left="4249"/>
      <w:rPr>
        <w:rStyle w:val="Nmerodepgina"/>
      </w:rPr>
    </w:pPr>
  </w:p>
  <w:p w14:paraId="2FC266C1" w14:textId="77777777" w:rsidR="008F2AD9" w:rsidRDefault="008F2AD9" w:rsidP="00885F4A">
    <w:pPr>
      <w:ind w:left="3035" w:right="360"/>
      <w:rPr>
        <w:rFonts w:ascii="Book Antiqua" w:hAnsi="Book Antiqua"/>
        <w:sz w:val="16"/>
      </w:rPr>
    </w:pPr>
  </w:p>
  <w:p w14:paraId="7D169433" w14:textId="77777777" w:rsidR="008F2AD9" w:rsidRDefault="008F2AD9" w:rsidP="009E6BF6">
    <w:pPr>
      <w:ind w:left="-540" w:right="360"/>
      <w:rPr>
        <w:rFonts w:ascii="Book Antiqua" w:hAnsi="Book Antiqua"/>
        <w:sz w:val="16"/>
      </w:rPr>
    </w:pPr>
  </w:p>
  <w:tbl>
    <w:tblPr>
      <w:tblW w:w="8647" w:type="dxa"/>
      <w:tblInd w:w="3760" w:type="dxa"/>
      <w:tblLayout w:type="fixed"/>
      <w:tblLook w:val="0000" w:firstRow="0" w:lastRow="0" w:firstColumn="0" w:lastColumn="0" w:noHBand="0" w:noVBand="0"/>
    </w:tblPr>
    <w:tblGrid>
      <w:gridCol w:w="3402"/>
      <w:gridCol w:w="1701"/>
      <w:gridCol w:w="3544"/>
    </w:tblGrid>
    <w:tr w:rsidR="008F2AD9" w14:paraId="3100F9BC" w14:textId="77777777" w:rsidTr="009E6BF6">
      <w:trPr>
        <w:cantSplit/>
      </w:trPr>
      <w:tc>
        <w:tcPr>
          <w:tcW w:w="3402" w:type="dxa"/>
        </w:tcPr>
        <w:p w14:paraId="66406308" w14:textId="77777777" w:rsidR="008F2AD9" w:rsidRDefault="008F2AD9" w:rsidP="009E6BF6">
          <w:pPr>
            <w:ind w:right="123"/>
            <w:jc w:val="center"/>
            <w:rPr>
              <w:rFonts w:ascii="Times New Roman" w:hAnsi="Times New Roman"/>
              <w:sz w:val="16"/>
            </w:rPr>
          </w:pPr>
        </w:p>
      </w:tc>
      <w:tc>
        <w:tcPr>
          <w:tcW w:w="1701" w:type="dxa"/>
        </w:tcPr>
        <w:p w14:paraId="4F242982" w14:textId="77777777" w:rsidR="008F2AD9" w:rsidRDefault="008F2AD9" w:rsidP="009E6BF6">
          <w:pPr>
            <w:ind w:right="123"/>
            <w:jc w:val="center"/>
            <w:rPr>
              <w:rFonts w:ascii="Times New Roman" w:hAnsi="Times New Roman"/>
              <w:sz w:val="16"/>
            </w:rPr>
          </w:pPr>
        </w:p>
      </w:tc>
      <w:tc>
        <w:tcPr>
          <w:tcW w:w="3544" w:type="dxa"/>
        </w:tcPr>
        <w:p w14:paraId="395946E1" w14:textId="77777777" w:rsidR="008F2AD9" w:rsidRDefault="008F2AD9" w:rsidP="009E6BF6">
          <w:pPr>
            <w:ind w:right="123"/>
            <w:jc w:val="center"/>
            <w:rPr>
              <w:rFonts w:ascii="Times New Roman" w:hAnsi="Times New Roman"/>
              <w:sz w:val="16"/>
            </w:rPr>
          </w:pPr>
        </w:p>
      </w:tc>
    </w:tr>
    <w:tr w:rsidR="008F2AD9" w14:paraId="2077E3BF" w14:textId="77777777" w:rsidTr="009E6BF6">
      <w:trPr>
        <w:cantSplit/>
      </w:trPr>
      <w:tc>
        <w:tcPr>
          <w:tcW w:w="3402" w:type="dxa"/>
        </w:tcPr>
        <w:p w14:paraId="0D796C87" w14:textId="77777777" w:rsidR="008F2AD9" w:rsidRDefault="008F2AD9" w:rsidP="009E6BF6">
          <w:pPr>
            <w:ind w:right="123"/>
            <w:jc w:val="center"/>
            <w:rPr>
              <w:rFonts w:ascii="Times New Roman" w:hAnsi="Times New Roman"/>
              <w:sz w:val="16"/>
            </w:rPr>
          </w:pPr>
        </w:p>
      </w:tc>
      <w:tc>
        <w:tcPr>
          <w:tcW w:w="1701" w:type="dxa"/>
        </w:tcPr>
        <w:p w14:paraId="0645389C" w14:textId="77777777" w:rsidR="008F2AD9" w:rsidRDefault="008F2AD9" w:rsidP="009E6BF6">
          <w:pPr>
            <w:ind w:right="123"/>
            <w:jc w:val="center"/>
            <w:rPr>
              <w:rFonts w:ascii="Times New Roman" w:hAnsi="Times New Roman"/>
              <w:sz w:val="16"/>
            </w:rPr>
          </w:pPr>
        </w:p>
      </w:tc>
      <w:tc>
        <w:tcPr>
          <w:tcW w:w="3544" w:type="dxa"/>
        </w:tcPr>
        <w:p w14:paraId="289969AD" w14:textId="77777777" w:rsidR="008F2AD9" w:rsidRDefault="008F2AD9" w:rsidP="009E6BF6">
          <w:pPr>
            <w:ind w:right="123"/>
            <w:jc w:val="center"/>
            <w:rPr>
              <w:rFonts w:ascii="Times New Roman" w:hAnsi="Times New Roman"/>
              <w:sz w:val="16"/>
            </w:rPr>
          </w:pPr>
        </w:p>
      </w:tc>
    </w:tr>
    <w:tr w:rsidR="008F2AD9" w14:paraId="64C47299" w14:textId="77777777" w:rsidTr="009E6BF6">
      <w:trPr>
        <w:cantSplit/>
      </w:trPr>
      <w:tc>
        <w:tcPr>
          <w:tcW w:w="3402" w:type="dxa"/>
        </w:tcPr>
        <w:p w14:paraId="3268DE52" w14:textId="77777777" w:rsidR="008F2AD9" w:rsidRDefault="008F2AD9" w:rsidP="009E6BF6">
          <w:pPr>
            <w:ind w:right="123"/>
            <w:jc w:val="center"/>
            <w:rPr>
              <w:rFonts w:ascii="Times New Roman" w:hAnsi="Times New Roman"/>
              <w:sz w:val="16"/>
            </w:rPr>
          </w:pPr>
        </w:p>
      </w:tc>
      <w:tc>
        <w:tcPr>
          <w:tcW w:w="1701" w:type="dxa"/>
        </w:tcPr>
        <w:p w14:paraId="7C25B1A6" w14:textId="77777777" w:rsidR="008F2AD9" w:rsidRDefault="008F2AD9" w:rsidP="009E6BF6">
          <w:pPr>
            <w:ind w:right="123"/>
            <w:jc w:val="center"/>
            <w:rPr>
              <w:rFonts w:ascii="Times New Roman" w:hAnsi="Times New Roman"/>
              <w:sz w:val="16"/>
            </w:rPr>
          </w:pPr>
        </w:p>
      </w:tc>
      <w:tc>
        <w:tcPr>
          <w:tcW w:w="3544" w:type="dxa"/>
        </w:tcPr>
        <w:p w14:paraId="4D1D208B" w14:textId="77777777" w:rsidR="008F2AD9" w:rsidRDefault="008F2AD9" w:rsidP="009E6BF6">
          <w:pPr>
            <w:ind w:right="123"/>
            <w:jc w:val="center"/>
            <w:rPr>
              <w:rFonts w:ascii="Times New Roman" w:hAnsi="Times New Roman"/>
              <w:sz w:val="16"/>
            </w:rPr>
          </w:pPr>
        </w:p>
        <w:p w14:paraId="71765C6B" w14:textId="77777777" w:rsidR="008F2AD9" w:rsidRDefault="008F2AD9" w:rsidP="009E6BF6">
          <w:pPr>
            <w:ind w:right="123"/>
            <w:jc w:val="center"/>
            <w:rPr>
              <w:rFonts w:ascii="Times New Roman" w:hAnsi="Times New Roman"/>
              <w:sz w:val="16"/>
            </w:rPr>
          </w:pPr>
        </w:p>
      </w:tc>
    </w:tr>
    <w:tr w:rsidR="008F2AD9" w14:paraId="3A6711B5" w14:textId="77777777" w:rsidTr="009E6BF6">
      <w:trPr>
        <w:cantSplit/>
      </w:trPr>
      <w:tc>
        <w:tcPr>
          <w:tcW w:w="3402" w:type="dxa"/>
        </w:tcPr>
        <w:p w14:paraId="2795F2F9" w14:textId="77777777" w:rsidR="008F2AD9" w:rsidRDefault="008F2AD9" w:rsidP="0073611F">
          <w:pPr>
            <w:ind w:right="123"/>
            <w:jc w:val="center"/>
            <w:rPr>
              <w:rFonts w:ascii="Times New Roman" w:hAnsi="Times New Roman"/>
              <w:sz w:val="14"/>
              <w:szCs w:val="14"/>
            </w:rPr>
          </w:pPr>
        </w:p>
        <w:p w14:paraId="7FA29923" w14:textId="54C53199" w:rsidR="008F2AD9" w:rsidRPr="00931049" w:rsidRDefault="008F2AD9" w:rsidP="0073611F">
          <w:pPr>
            <w:ind w:right="123"/>
            <w:jc w:val="center"/>
            <w:rPr>
              <w:rFonts w:ascii="Times New Roman" w:hAnsi="Times New Roman"/>
              <w:sz w:val="14"/>
              <w:szCs w:val="14"/>
            </w:rPr>
          </w:pPr>
          <w:r>
            <w:rPr>
              <w:rFonts w:ascii="Times New Roman" w:hAnsi="Times New Roman"/>
              <w:sz w:val="14"/>
              <w:szCs w:val="14"/>
            </w:rPr>
            <w:t xml:space="preserve">  ERNESTO R. GALLARDO JIMENEZ</w:t>
          </w:r>
        </w:p>
      </w:tc>
      <w:tc>
        <w:tcPr>
          <w:tcW w:w="1701" w:type="dxa"/>
        </w:tcPr>
        <w:p w14:paraId="1BD9DA10" w14:textId="4154B27F" w:rsidR="008F2AD9" w:rsidRPr="00931049" w:rsidRDefault="008F2AD9" w:rsidP="0073611F">
          <w:pPr>
            <w:ind w:right="123"/>
            <w:jc w:val="center"/>
            <w:rPr>
              <w:rFonts w:ascii="Times New Roman" w:hAnsi="Times New Roman"/>
              <w:sz w:val="14"/>
              <w:szCs w:val="14"/>
              <w:lang w:val="es-ES_tradnl"/>
            </w:rPr>
          </w:pPr>
          <w:r>
            <w:rPr>
              <w:rFonts w:ascii="Times New Roman" w:hAnsi="Times New Roman"/>
              <w:sz w:val="14"/>
              <w:szCs w:val="14"/>
              <w:lang w:val="es-ES_tradnl"/>
            </w:rPr>
            <w:t xml:space="preserve">                                    JORGE D. LUNA</w:t>
          </w:r>
        </w:p>
      </w:tc>
      <w:tc>
        <w:tcPr>
          <w:tcW w:w="3544" w:type="dxa"/>
        </w:tcPr>
        <w:p w14:paraId="0F8F6584" w14:textId="77777777" w:rsidR="008F2AD9" w:rsidRDefault="008F2AD9" w:rsidP="0073611F">
          <w:pPr>
            <w:ind w:right="123"/>
            <w:rPr>
              <w:rFonts w:ascii="Times New Roman" w:hAnsi="Times New Roman"/>
              <w:sz w:val="14"/>
              <w:szCs w:val="14"/>
              <w:lang w:val="es-ES_tradnl"/>
            </w:rPr>
          </w:pPr>
        </w:p>
        <w:p w14:paraId="0B363A4B" w14:textId="6F52448F" w:rsidR="008F2AD9" w:rsidRPr="00931049" w:rsidRDefault="008F2AD9" w:rsidP="0073611F">
          <w:pPr>
            <w:ind w:right="123"/>
            <w:rPr>
              <w:rFonts w:ascii="Times New Roman" w:hAnsi="Times New Roman"/>
              <w:sz w:val="14"/>
              <w:szCs w:val="14"/>
              <w:lang w:val="es-ES_tradnl"/>
            </w:rPr>
          </w:pPr>
          <w:r>
            <w:rPr>
              <w:rFonts w:ascii="Times New Roman" w:hAnsi="Times New Roman"/>
              <w:sz w:val="14"/>
              <w:szCs w:val="14"/>
              <w:lang w:val="es-ES_tradnl"/>
            </w:rPr>
            <w:t xml:space="preserve">                     MARTIN E. ZARICH</w:t>
          </w:r>
        </w:p>
      </w:tc>
    </w:tr>
    <w:tr w:rsidR="008F2AD9" w14:paraId="79CE3887" w14:textId="77777777" w:rsidTr="009E6BF6">
      <w:trPr>
        <w:cantSplit/>
        <w:trHeight w:val="279"/>
      </w:trPr>
      <w:tc>
        <w:tcPr>
          <w:tcW w:w="3402" w:type="dxa"/>
        </w:tcPr>
        <w:p w14:paraId="1F1F2B04" w14:textId="49517368" w:rsidR="008F2AD9" w:rsidRPr="00931049" w:rsidRDefault="008F2AD9" w:rsidP="0073611F">
          <w:pPr>
            <w:ind w:right="123"/>
            <w:rPr>
              <w:rFonts w:ascii="Times New Roman" w:hAnsi="Times New Roman"/>
              <w:sz w:val="14"/>
              <w:szCs w:val="14"/>
            </w:rPr>
          </w:pPr>
          <w:r>
            <w:rPr>
              <w:rFonts w:ascii="Times New Roman" w:hAnsi="Times New Roman"/>
              <w:sz w:val="14"/>
              <w:szCs w:val="14"/>
            </w:rPr>
            <w:t xml:space="preserve">              Director Financiero y de Planeamiento</w:t>
          </w:r>
          <w:r w:rsidRPr="00931049">
            <w:rPr>
              <w:rFonts w:ascii="Times New Roman" w:hAnsi="Times New Roman"/>
              <w:sz w:val="14"/>
              <w:szCs w:val="14"/>
            </w:rPr>
            <w:t xml:space="preserve"> </w:t>
          </w:r>
        </w:p>
      </w:tc>
      <w:tc>
        <w:tcPr>
          <w:tcW w:w="1701" w:type="dxa"/>
        </w:tcPr>
        <w:p w14:paraId="09C1FF44" w14:textId="696AB098" w:rsidR="008F2AD9" w:rsidRPr="00931049" w:rsidRDefault="008F2AD9" w:rsidP="0073611F">
          <w:pPr>
            <w:jc w:val="center"/>
            <w:rPr>
              <w:rFonts w:ascii="Times New Roman" w:hAnsi="Times New Roman"/>
              <w:sz w:val="14"/>
              <w:szCs w:val="14"/>
            </w:rPr>
          </w:pPr>
          <w:r>
            <w:rPr>
              <w:rFonts w:ascii="Times New Roman" w:hAnsi="Times New Roman"/>
              <w:sz w:val="14"/>
              <w:szCs w:val="14"/>
            </w:rPr>
            <w:t>Vicep</w:t>
          </w:r>
          <w:r w:rsidRPr="00912840">
            <w:rPr>
              <w:rFonts w:ascii="Times New Roman" w:hAnsi="Times New Roman"/>
              <w:sz w:val="14"/>
              <w:szCs w:val="14"/>
            </w:rPr>
            <w:t>residente</w:t>
          </w:r>
          <w:r>
            <w:rPr>
              <w:rFonts w:ascii="Times New Roman" w:hAnsi="Times New Roman"/>
              <w:sz w:val="14"/>
              <w:szCs w:val="14"/>
            </w:rPr>
            <w:t xml:space="preserve"> 1° en ejercicio de la presidencia</w:t>
          </w:r>
        </w:p>
      </w:tc>
      <w:tc>
        <w:tcPr>
          <w:tcW w:w="3544" w:type="dxa"/>
        </w:tcPr>
        <w:p w14:paraId="726A79C4" w14:textId="421D0408" w:rsidR="008F2AD9" w:rsidRPr="00931049" w:rsidRDefault="008F2AD9" w:rsidP="0073611F">
          <w:pPr>
            <w:ind w:right="123"/>
            <w:rPr>
              <w:rFonts w:ascii="Times New Roman" w:hAnsi="Times New Roman"/>
              <w:sz w:val="14"/>
              <w:szCs w:val="14"/>
            </w:rPr>
          </w:pPr>
          <w:r>
            <w:rPr>
              <w:rFonts w:ascii="Times New Roman" w:hAnsi="Times New Roman"/>
              <w:sz w:val="14"/>
              <w:szCs w:val="14"/>
            </w:rPr>
            <w:t xml:space="preserve">                         Gerente General</w:t>
          </w:r>
        </w:p>
      </w:tc>
    </w:tr>
  </w:tbl>
  <w:p w14:paraId="775B9BA2" w14:textId="77777777" w:rsidR="008F2AD9" w:rsidRPr="006E18E9" w:rsidRDefault="008F2AD9" w:rsidP="009E6BF6">
    <w:pPr>
      <w:ind w:left="-540" w:right="-1221"/>
      <w:rPr>
        <w:rFonts w:ascii="Times New Roman" w:hAnsi="Times New Roman"/>
        <w:sz w:val="16"/>
        <w:lang w:val="fr-FR"/>
      </w:rPr>
    </w:pPr>
  </w:p>
  <w:tbl>
    <w:tblPr>
      <w:tblW w:w="8646" w:type="dxa"/>
      <w:tblInd w:w="3760" w:type="dxa"/>
      <w:tblLayout w:type="fixed"/>
      <w:tblLook w:val="0000" w:firstRow="0" w:lastRow="0" w:firstColumn="0" w:lastColumn="0" w:noHBand="0" w:noVBand="0"/>
    </w:tblPr>
    <w:tblGrid>
      <w:gridCol w:w="3402"/>
      <w:gridCol w:w="1134"/>
      <w:gridCol w:w="4110"/>
    </w:tblGrid>
    <w:tr w:rsidR="008F2AD9" w14:paraId="31A6D1B4" w14:textId="77777777" w:rsidTr="009E6BF6">
      <w:tc>
        <w:tcPr>
          <w:tcW w:w="3402" w:type="dxa"/>
        </w:tcPr>
        <w:p w14:paraId="106E9B27" w14:textId="77777777" w:rsidR="008F2AD9" w:rsidRPr="00A100B5" w:rsidRDefault="008F2AD9" w:rsidP="009E6BF6">
          <w:pPr>
            <w:ind w:right="18"/>
            <w:jc w:val="center"/>
            <w:rPr>
              <w:rFonts w:ascii="Times New Roman" w:hAnsi="Times New Roman"/>
              <w:sz w:val="12"/>
              <w:szCs w:val="12"/>
            </w:rPr>
          </w:pPr>
          <w:r w:rsidRPr="00A100B5">
            <w:rPr>
              <w:rFonts w:ascii="Times New Roman" w:hAnsi="Times New Roman"/>
              <w:sz w:val="12"/>
              <w:szCs w:val="12"/>
            </w:rPr>
            <w:t>Firmado a los efectos de su identificación</w:t>
          </w:r>
        </w:p>
      </w:tc>
      <w:tc>
        <w:tcPr>
          <w:tcW w:w="1134" w:type="dxa"/>
        </w:tcPr>
        <w:p w14:paraId="7E42E009" w14:textId="77777777" w:rsidR="008F2AD9" w:rsidRPr="00931049" w:rsidRDefault="008F2AD9" w:rsidP="009E6BF6">
          <w:pPr>
            <w:ind w:right="18"/>
            <w:jc w:val="center"/>
            <w:rPr>
              <w:rFonts w:ascii="Times New Roman" w:hAnsi="Times New Roman"/>
              <w:sz w:val="14"/>
              <w:szCs w:val="14"/>
            </w:rPr>
          </w:pPr>
        </w:p>
      </w:tc>
      <w:tc>
        <w:tcPr>
          <w:tcW w:w="4110" w:type="dxa"/>
        </w:tcPr>
        <w:p w14:paraId="6699B44D" w14:textId="77777777" w:rsidR="008F2AD9" w:rsidRPr="00042795" w:rsidRDefault="008F2AD9" w:rsidP="009E6BF6">
          <w:pPr>
            <w:ind w:right="18"/>
            <w:jc w:val="center"/>
            <w:rPr>
              <w:rFonts w:ascii="Times New Roman" w:hAnsi="Times New Roman"/>
              <w:sz w:val="12"/>
              <w:szCs w:val="12"/>
            </w:rPr>
          </w:pPr>
          <w:r w:rsidRPr="00042795">
            <w:rPr>
              <w:rFonts w:ascii="Times New Roman" w:hAnsi="Times New Roman"/>
              <w:sz w:val="12"/>
              <w:szCs w:val="12"/>
            </w:rPr>
            <w:t>Firmado a los efectos de su identificación</w:t>
          </w:r>
        </w:p>
      </w:tc>
    </w:tr>
    <w:tr w:rsidR="008F2AD9" w14:paraId="10D12C39" w14:textId="77777777" w:rsidTr="009E6BF6">
      <w:tc>
        <w:tcPr>
          <w:tcW w:w="3402" w:type="dxa"/>
        </w:tcPr>
        <w:p w14:paraId="67C7B729" w14:textId="2DEF0F32" w:rsidR="008F2AD9" w:rsidRPr="00A100B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c>
        <w:tcPr>
          <w:tcW w:w="1134" w:type="dxa"/>
        </w:tcPr>
        <w:p w14:paraId="73CA98C0" w14:textId="77777777" w:rsidR="008F2AD9" w:rsidRPr="00931049" w:rsidRDefault="008F2AD9" w:rsidP="000F238E">
          <w:pPr>
            <w:ind w:right="18"/>
            <w:jc w:val="center"/>
            <w:rPr>
              <w:rFonts w:ascii="Times New Roman" w:hAnsi="Times New Roman"/>
              <w:sz w:val="14"/>
              <w:szCs w:val="14"/>
            </w:rPr>
          </w:pPr>
        </w:p>
      </w:tc>
      <w:tc>
        <w:tcPr>
          <w:tcW w:w="4110" w:type="dxa"/>
        </w:tcPr>
        <w:p w14:paraId="3E52FD6E" w14:textId="69288486" w:rsidR="008F2AD9" w:rsidRPr="00042795" w:rsidRDefault="008F2AD9" w:rsidP="000F238E">
          <w:pPr>
            <w:ind w:right="18"/>
            <w:jc w:val="center"/>
            <w:rPr>
              <w:rFonts w:ascii="Times New Roman" w:hAnsi="Times New Roman"/>
              <w:sz w:val="12"/>
              <w:szCs w:val="12"/>
            </w:rPr>
          </w:pPr>
          <w:r w:rsidRPr="00A100B5">
            <w:rPr>
              <w:rFonts w:ascii="Times New Roman" w:hAnsi="Times New Roman"/>
              <w:sz w:val="12"/>
              <w:szCs w:val="12"/>
            </w:rPr>
            <w:t xml:space="preserve">con nuestro informe de fecha </w:t>
          </w:r>
          <w:r>
            <w:rPr>
              <w:rFonts w:ascii="Times New Roman" w:hAnsi="Times New Roman"/>
              <w:sz w:val="12"/>
              <w:szCs w:val="12"/>
            </w:rPr>
            <w:t>24 de noviembre de 2021</w:t>
          </w:r>
        </w:p>
      </w:tc>
    </w:tr>
    <w:tr w:rsidR="008F2AD9" w14:paraId="17BC6B8E" w14:textId="77777777" w:rsidTr="009E6BF6">
      <w:tc>
        <w:tcPr>
          <w:tcW w:w="3402" w:type="dxa"/>
        </w:tcPr>
        <w:p w14:paraId="439A3038" w14:textId="77777777" w:rsidR="008F2AD9" w:rsidRPr="00A100B5" w:rsidRDefault="008F2AD9" w:rsidP="000F238E">
          <w:pPr>
            <w:ind w:right="123"/>
            <w:jc w:val="center"/>
            <w:rPr>
              <w:rFonts w:ascii="Times New Roman" w:hAnsi="Times New Roman"/>
              <w:sz w:val="12"/>
              <w:szCs w:val="12"/>
            </w:rPr>
          </w:pPr>
          <w:r w:rsidRPr="00A100B5">
            <w:rPr>
              <w:rFonts w:ascii="Times New Roman" w:hAnsi="Times New Roman"/>
              <w:sz w:val="12"/>
              <w:szCs w:val="12"/>
            </w:rPr>
            <w:t>P/COMISIÓN FISCALIZADORA</w:t>
          </w:r>
        </w:p>
      </w:tc>
      <w:tc>
        <w:tcPr>
          <w:tcW w:w="1134" w:type="dxa"/>
        </w:tcPr>
        <w:p w14:paraId="0D389FF3" w14:textId="77777777" w:rsidR="008F2AD9" w:rsidRPr="00931049" w:rsidRDefault="008F2AD9" w:rsidP="000F238E">
          <w:pPr>
            <w:ind w:right="123"/>
            <w:jc w:val="center"/>
            <w:rPr>
              <w:rFonts w:ascii="Times New Roman" w:hAnsi="Times New Roman"/>
              <w:sz w:val="14"/>
              <w:szCs w:val="14"/>
              <w:lang w:val="en-US"/>
            </w:rPr>
          </w:pPr>
        </w:p>
      </w:tc>
      <w:tc>
        <w:tcPr>
          <w:tcW w:w="4110" w:type="dxa"/>
        </w:tcPr>
        <w:p w14:paraId="505CEB51" w14:textId="77777777" w:rsidR="008F2AD9" w:rsidRPr="005E51EC" w:rsidRDefault="008F2AD9" w:rsidP="000F238E">
          <w:pPr>
            <w:ind w:right="123"/>
            <w:jc w:val="center"/>
            <w:rPr>
              <w:rFonts w:ascii="Times New Roman" w:hAnsi="Times New Roman"/>
              <w:b/>
              <w:sz w:val="12"/>
              <w:szCs w:val="12"/>
              <w:lang w:val="en-US"/>
            </w:rPr>
          </w:pPr>
          <w:r>
            <w:rPr>
              <w:rFonts w:ascii="Times New Roman" w:hAnsi="Times New Roman"/>
              <w:b/>
              <w:sz w:val="12"/>
              <w:szCs w:val="12"/>
              <w:lang w:val="en-US"/>
            </w:rPr>
            <w:t>KPMG</w:t>
          </w:r>
        </w:p>
      </w:tc>
    </w:tr>
    <w:tr w:rsidR="008F2AD9" w14:paraId="1CE69D7E" w14:textId="77777777" w:rsidTr="009E6BF6">
      <w:tc>
        <w:tcPr>
          <w:tcW w:w="3402" w:type="dxa"/>
        </w:tcPr>
        <w:p w14:paraId="3276D3FE" w14:textId="77777777" w:rsidR="008F2AD9" w:rsidRPr="00931049" w:rsidRDefault="008F2AD9" w:rsidP="000F238E">
          <w:pPr>
            <w:ind w:right="123"/>
            <w:jc w:val="center"/>
            <w:rPr>
              <w:rFonts w:ascii="Times New Roman" w:hAnsi="Times New Roman"/>
              <w:sz w:val="14"/>
              <w:szCs w:val="14"/>
              <w:lang w:val="en-US"/>
            </w:rPr>
          </w:pPr>
        </w:p>
      </w:tc>
      <w:tc>
        <w:tcPr>
          <w:tcW w:w="1134" w:type="dxa"/>
        </w:tcPr>
        <w:p w14:paraId="13AF93F6" w14:textId="77777777" w:rsidR="008F2AD9" w:rsidRPr="00931049" w:rsidRDefault="008F2AD9" w:rsidP="000F238E">
          <w:pPr>
            <w:ind w:left="34" w:right="-107" w:hanging="34"/>
            <w:jc w:val="center"/>
            <w:rPr>
              <w:rFonts w:ascii="Times New Roman" w:hAnsi="Times New Roman"/>
              <w:sz w:val="14"/>
              <w:szCs w:val="14"/>
              <w:lang w:val="en-US"/>
            </w:rPr>
          </w:pPr>
        </w:p>
      </w:tc>
      <w:tc>
        <w:tcPr>
          <w:tcW w:w="4110" w:type="dxa"/>
        </w:tcPr>
        <w:p w14:paraId="51CC124B" w14:textId="77777777" w:rsidR="008F2AD9" w:rsidRPr="005E51EC" w:rsidRDefault="008F2AD9" w:rsidP="000F238E">
          <w:pPr>
            <w:ind w:right="123"/>
            <w:jc w:val="center"/>
            <w:rPr>
              <w:rFonts w:ascii="Times New Roman" w:hAnsi="Times New Roman"/>
              <w:sz w:val="12"/>
              <w:szCs w:val="12"/>
            </w:rPr>
          </w:pPr>
          <w:r w:rsidRPr="000E498B">
            <w:rPr>
              <w:rFonts w:ascii="Times New Roman" w:hAnsi="Times New Roman"/>
              <w:sz w:val="12"/>
              <w:szCs w:val="12"/>
            </w:rPr>
            <w:t>Reg. de Asoc. Prof. CPCECABA Tº 2 Fº 6</w:t>
          </w:r>
        </w:p>
      </w:tc>
    </w:tr>
    <w:tr w:rsidR="008F2AD9" w14:paraId="030549F3" w14:textId="77777777" w:rsidTr="009E6BF6">
      <w:tc>
        <w:tcPr>
          <w:tcW w:w="3402" w:type="dxa"/>
        </w:tcPr>
        <w:p w14:paraId="5634A0DF" w14:textId="77777777" w:rsidR="008F2AD9" w:rsidRPr="00931049" w:rsidRDefault="008F2AD9" w:rsidP="000F238E">
          <w:pPr>
            <w:ind w:right="123"/>
            <w:jc w:val="center"/>
            <w:rPr>
              <w:rFonts w:ascii="Times New Roman" w:hAnsi="Times New Roman"/>
              <w:sz w:val="14"/>
              <w:szCs w:val="14"/>
            </w:rPr>
          </w:pPr>
        </w:p>
      </w:tc>
      <w:tc>
        <w:tcPr>
          <w:tcW w:w="1134" w:type="dxa"/>
        </w:tcPr>
        <w:p w14:paraId="3C0C6A65" w14:textId="77777777" w:rsidR="008F2AD9" w:rsidRPr="00931049" w:rsidRDefault="008F2AD9" w:rsidP="000F238E">
          <w:pPr>
            <w:ind w:right="123"/>
            <w:jc w:val="center"/>
            <w:rPr>
              <w:rFonts w:ascii="Times New Roman" w:hAnsi="Times New Roman"/>
              <w:sz w:val="14"/>
              <w:szCs w:val="14"/>
            </w:rPr>
          </w:pPr>
        </w:p>
      </w:tc>
      <w:tc>
        <w:tcPr>
          <w:tcW w:w="4110" w:type="dxa"/>
        </w:tcPr>
        <w:p w14:paraId="435A874C" w14:textId="77777777" w:rsidR="008F2AD9" w:rsidRPr="005E51EC" w:rsidRDefault="008F2AD9" w:rsidP="000F238E">
          <w:pPr>
            <w:ind w:right="123"/>
            <w:jc w:val="center"/>
            <w:rPr>
              <w:rFonts w:ascii="Times New Roman" w:hAnsi="Times New Roman"/>
              <w:b/>
              <w:sz w:val="12"/>
              <w:szCs w:val="12"/>
            </w:rPr>
          </w:pPr>
        </w:p>
      </w:tc>
    </w:tr>
    <w:tr w:rsidR="008F2AD9" w14:paraId="4FAE0543" w14:textId="77777777" w:rsidTr="009E6BF6">
      <w:tc>
        <w:tcPr>
          <w:tcW w:w="3402" w:type="dxa"/>
        </w:tcPr>
        <w:p w14:paraId="7CF2B2DC" w14:textId="77777777" w:rsidR="008F2AD9" w:rsidRPr="00931049" w:rsidRDefault="008F2AD9" w:rsidP="000F238E">
          <w:pPr>
            <w:ind w:right="123"/>
            <w:jc w:val="center"/>
            <w:rPr>
              <w:rFonts w:ascii="Times New Roman" w:hAnsi="Times New Roman"/>
              <w:sz w:val="14"/>
              <w:szCs w:val="14"/>
            </w:rPr>
          </w:pPr>
        </w:p>
      </w:tc>
      <w:tc>
        <w:tcPr>
          <w:tcW w:w="1134" w:type="dxa"/>
        </w:tcPr>
        <w:p w14:paraId="05C49BFC" w14:textId="77777777" w:rsidR="008F2AD9" w:rsidRPr="00931049" w:rsidRDefault="008F2AD9" w:rsidP="000F238E">
          <w:pPr>
            <w:ind w:right="18"/>
            <w:jc w:val="center"/>
            <w:rPr>
              <w:rFonts w:ascii="Times New Roman" w:hAnsi="Times New Roman"/>
              <w:sz w:val="14"/>
              <w:szCs w:val="14"/>
            </w:rPr>
          </w:pPr>
        </w:p>
      </w:tc>
      <w:tc>
        <w:tcPr>
          <w:tcW w:w="4110" w:type="dxa"/>
        </w:tcPr>
        <w:p w14:paraId="62A0D8E7" w14:textId="77777777" w:rsidR="008F2AD9" w:rsidRPr="00931049" w:rsidRDefault="008F2AD9" w:rsidP="000F238E">
          <w:pPr>
            <w:ind w:right="18"/>
            <w:jc w:val="center"/>
            <w:rPr>
              <w:rFonts w:ascii="Times New Roman" w:hAnsi="Times New Roman"/>
              <w:sz w:val="14"/>
              <w:szCs w:val="14"/>
            </w:rPr>
          </w:pPr>
        </w:p>
      </w:tc>
    </w:tr>
    <w:tr w:rsidR="008F2AD9" w14:paraId="205D8CFC" w14:textId="77777777" w:rsidTr="009E6BF6">
      <w:tc>
        <w:tcPr>
          <w:tcW w:w="3402" w:type="dxa"/>
        </w:tcPr>
        <w:p w14:paraId="620CB208" w14:textId="77777777" w:rsidR="008F2AD9" w:rsidRPr="00931049" w:rsidRDefault="008F2AD9" w:rsidP="000F238E">
          <w:pPr>
            <w:ind w:right="123"/>
            <w:jc w:val="center"/>
            <w:rPr>
              <w:rFonts w:ascii="Times New Roman" w:hAnsi="Times New Roman"/>
              <w:sz w:val="14"/>
              <w:szCs w:val="14"/>
            </w:rPr>
          </w:pPr>
        </w:p>
      </w:tc>
      <w:tc>
        <w:tcPr>
          <w:tcW w:w="1134" w:type="dxa"/>
        </w:tcPr>
        <w:p w14:paraId="1C16BCD1" w14:textId="77777777" w:rsidR="008F2AD9" w:rsidRPr="00931049" w:rsidRDefault="008F2AD9" w:rsidP="000F238E">
          <w:pPr>
            <w:ind w:right="123"/>
            <w:jc w:val="center"/>
            <w:rPr>
              <w:rFonts w:ascii="Times New Roman" w:hAnsi="Times New Roman"/>
              <w:b/>
              <w:sz w:val="14"/>
              <w:szCs w:val="14"/>
            </w:rPr>
          </w:pPr>
        </w:p>
      </w:tc>
      <w:tc>
        <w:tcPr>
          <w:tcW w:w="4110" w:type="dxa"/>
        </w:tcPr>
        <w:p w14:paraId="2F566496" w14:textId="77777777" w:rsidR="008F2AD9" w:rsidRPr="00931049" w:rsidRDefault="008F2AD9" w:rsidP="000F238E">
          <w:pPr>
            <w:ind w:right="123"/>
            <w:jc w:val="center"/>
            <w:rPr>
              <w:rFonts w:ascii="Times New Roman" w:hAnsi="Times New Roman"/>
              <w:b/>
              <w:sz w:val="14"/>
              <w:szCs w:val="14"/>
            </w:rPr>
          </w:pPr>
        </w:p>
      </w:tc>
    </w:tr>
    <w:tr w:rsidR="008F2AD9" w14:paraId="7551DD68" w14:textId="77777777" w:rsidTr="009E6BF6">
      <w:trPr>
        <w:trHeight w:hRule="exact" w:val="170"/>
      </w:trPr>
      <w:tc>
        <w:tcPr>
          <w:tcW w:w="3402" w:type="dxa"/>
          <w:vAlign w:val="center"/>
        </w:tcPr>
        <w:p w14:paraId="3FF665C1" w14:textId="77777777" w:rsidR="008F2AD9" w:rsidRPr="00931049" w:rsidRDefault="008F2AD9" w:rsidP="000F238E">
          <w:pPr>
            <w:ind w:right="125"/>
            <w:jc w:val="center"/>
            <w:rPr>
              <w:rFonts w:ascii="Times New Roman" w:hAnsi="Times New Roman"/>
              <w:sz w:val="14"/>
              <w:szCs w:val="14"/>
              <w:lang w:val="es-ES"/>
            </w:rPr>
          </w:pPr>
        </w:p>
      </w:tc>
      <w:tc>
        <w:tcPr>
          <w:tcW w:w="1134" w:type="dxa"/>
          <w:vAlign w:val="center"/>
        </w:tcPr>
        <w:p w14:paraId="6AAA7E85" w14:textId="77777777" w:rsidR="008F2AD9" w:rsidRPr="00931049" w:rsidRDefault="008F2AD9" w:rsidP="000F238E">
          <w:pPr>
            <w:ind w:right="125"/>
            <w:jc w:val="center"/>
            <w:rPr>
              <w:rFonts w:ascii="Times New Roman" w:hAnsi="Times New Roman"/>
              <w:sz w:val="14"/>
              <w:szCs w:val="14"/>
            </w:rPr>
          </w:pPr>
        </w:p>
      </w:tc>
      <w:tc>
        <w:tcPr>
          <w:tcW w:w="4110" w:type="dxa"/>
          <w:vAlign w:val="center"/>
        </w:tcPr>
        <w:p w14:paraId="29C49341" w14:textId="77777777" w:rsidR="008F2AD9" w:rsidRPr="00931049" w:rsidRDefault="008F2AD9" w:rsidP="000F238E">
          <w:pPr>
            <w:ind w:right="125"/>
            <w:jc w:val="center"/>
            <w:rPr>
              <w:rFonts w:ascii="Times New Roman" w:hAnsi="Times New Roman"/>
              <w:sz w:val="14"/>
              <w:szCs w:val="14"/>
            </w:rPr>
          </w:pPr>
        </w:p>
      </w:tc>
    </w:tr>
    <w:tr w:rsidR="008F2AD9" w14:paraId="51591F90" w14:textId="77777777" w:rsidTr="004446FC">
      <w:tc>
        <w:tcPr>
          <w:tcW w:w="3402" w:type="dxa"/>
        </w:tcPr>
        <w:p w14:paraId="60A7D2D8"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lang w:val="es-ES"/>
            </w:rPr>
            <w:t>ALEJANDRO MOSQUERA</w:t>
          </w:r>
          <w:r>
            <w:rPr>
              <w:rFonts w:ascii="Times New Roman" w:hAnsi="Times New Roman"/>
              <w:sz w:val="14"/>
              <w:szCs w:val="14"/>
              <w:lang w:val="es-ES"/>
            </w:rPr>
            <w:t xml:space="preserve"> (Síndico)</w:t>
          </w:r>
        </w:p>
      </w:tc>
      <w:tc>
        <w:tcPr>
          <w:tcW w:w="1134" w:type="dxa"/>
        </w:tcPr>
        <w:p w14:paraId="2150903F" w14:textId="77777777" w:rsidR="008F2AD9" w:rsidRPr="00931049" w:rsidRDefault="008F2AD9" w:rsidP="000F238E">
          <w:pPr>
            <w:ind w:right="123"/>
            <w:jc w:val="center"/>
            <w:rPr>
              <w:rFonts w:ascii="Times New Roman" w:hAnsi="Times New Roman"/>
              <w:sz w:val="14"/>
              <w:szCs w:val="14"/>
            </w:rPr>
          </w:pPr>
        </w:p>
      </w:tc>
      <w:tc>
        <w:tcPr>
          <w:tcW w:w="4110" w:type="dxa"/>
        </w:tcPr>
        <w:p w14:paraId="2ABA8A51" w14:textId="72617201" w:rsidR="008F2AD9" w:rsidRPr="004446FC" w:rsidRDefault="008F2AD9" w:rsidP="000F238E">
          <w:pPr>
            <w:ind w:right="125"/>
            <w:jc w:val="center"/>
            <w:rPr>
              <w:rFonts w:ascii="Times New Roman" w:hAnsi="Times New Roman"/>
              <w:sz w:val="14"/>
              <w:szCs w:val="14"/>
            </w:rPr>
          </w:pPr>
          <w:r w:rsidRPr="004446FC">
            <w:rPr>
              <w:rFonts w:ascii="Times New Roman" w:hAnsi="Times New Roman"/>
              <w:sz w:val="14"/>
              <w:szCs w:val="14"/>
            </w:rPr>
            <w:t>MAURICIO G. EIDELSTEIN (Socio)</w:t>
          </w:r>
        </w:p>
      </w:tc>
    </w:tr>
    <w:tr w:rsidR="008F2AD9" w14:paraId="6AAE8EB0" w14:textId="77777777" w:rsidTr="009E6BF6">
      <w:tc>
        <w:tcPr>
          <w:tcW w:w="3402" w:type="dxa"/>
        </w:tcPr>
        <w:p w14:paraId="631CC4DB" w14:textId="77777777" w:rsidR="008F2AD9" w:rsidRPr="00931049" w:rsidRDefault="008F2AD9" w:rsidP="000F238E">
          <w:pPr>
            <w:ind w:right="123"/>
            <w:jc w:val="center"/>
            <w:rPr>
              <w:rFonts w:ascii="Times New Roman" w:hAnsi="Times New Roman"/>
              <w:b/>
              <w:sz w:val="14"/>
              <w:szCs w:val="14"/>
            </w:rPr>
          </w:pPr>
          <w:r w:rsidRPr="00931049">
            <w:rPr>
              <w:rFonts w:ascii="Times New Roman" w:hAnsi="Times New Roman"/>
              <w:sz w:val="14"/>
              <w:szCs w:val="14"/>
            </w:rPr>
            <w:t>Abogado - U.B.A.</w:t>
          </w:r>
        </w:p>
      </w:tc>
      <w:tc>
        <w:tcPr>
          <w:tcW w:w="1134" w:type="dxa"/>
        </w:tcPr>
        <w:p w14:paraId="61B8F4D3" w14:textId="77777777" w:rsidR="008F2AD9" w:rsidRPr="00931049" w:rsidRDefault="008F2AD9" w:rsidP="000F238E">
          <w:pPr>
            <w:ind w:right="123"/>
            <w:jc w:val="center"/>
            <w:rPr>
              <w:rFonts w:ascii="Times New Roman" w:hAnsi="Times New Roman"/>
              <w:sz w:val="14"/>
              <w:szCs w:val="14"/>
            </w:rPr>
          </w:pPr>
        </w:p>
      </w:tc>
      <w:tc>
        <w:tcPr>
          <w:tcW w:w="4110" w:type="dxa"/>
        </w:tcPr>
        <w:p w14:paraId="0F9538BE" w14:textId="2F9BC376" w:rsidR="008F2AD9" w:rsidRPr="004446FC" w:rsidRDefault="008F2AD9" w:rsidP="000F238E">
          <w:pPr>
            <w:ind w:right="123"/>
            <w:jc w:val="center"/>
            <w:rPr>
              <w:rFonts w:ascii="Times New Roman" w:hAnsi="Times New Roman"/>
              <w:b/>
              <w:sz w:val="14"/>
              <w:szCs w:val="14"/>
            </w:rPr>
          </w:pPr>
          <w:r w:rsidRPr="004446FC">
            <w:rPr>
              <w:rFonts w:ascii="Times New Roman" w:hAnsi="Times New Roman"/>
              <w:sz w:val="14"/>
              <w:szCs w:val="14"/>
            </w:rPr>
            <w:t xml:space="preserve">  Contador Público – U.B.A.</w:t>
          </w:r>
        </w:p>
      </w:tc>
    </w:tr>
    <w:tr w:rsidR="008F2AD9" w:rsidRPr="00F5567E" w14:paraId="45906562" w14:textId="77777777" w:rsidTr="009E6BF6">
      <w:tc>
        <w:tcPr>
          <w:tcW w:w="3402" w:type="dxa"/>
        </w:tcPr>
        <w:p w14:paraId="45A4E295" w14:textId="77777777" w:rsidR="008F2AD9" w:rsidRPr="00931049" w:rsidRDefault="008F2AD9" w:rsidP="000F238E">
          <w:pPr>
            <w:ind w:right="123"/>
            <w:jc w:val="center"/>
            <w:rPr>
              <w:rFonts w:ascii="Times New Roman" w:hAnsi="Times New Roman"/>
              <w:b/>
              <w:sz w:val="14"/>
              <w:szCs w:val="14"/>
              <w:lang w:val="fr-FR"/>
            </w:rPr>
          </w:pPr>
          <w:r>
            <w:rPr>
              <w:rFonts w:ascii="Times New Roman" w:hAnsi="Times New Roman"/>
              <w:sz w:val="14"/>
              <w:szCs w:val="14"/>
              <w:lang w:val="fr-FR"/>
            </w:rPr>
            <w:t>C.P.A.C.F</w:t>
          </w:r>
          <w:r w:rsidRPr="00931049">
            <w:rPr>
              <w:rFonts w:ascii="Times New Roman" w:hAnsi="Times New Roman"/>
              <w:sz w:val="14"/>
              <w:szCs w:val="14"/>
              <w:lang w:val="fr-FR"/>
            </w:rPr>
            <w:t>. Tº 30 Fº 536</w:t>
          </w:r>
        </w:p>
      </w:tc>
      <w:tc>
        <w:tcPr>
          <w:tcW w:w="1134" w:type="dxa"/>
        </w:tcPr>
        <w:p w14:paraId="61955681" w14:textId="77777777" w:rsidR="008F2AD9" w:rsidRPr="00931049" w:rsidRDefault="008F2AD9" w:rsidP="000F238E">
          <w:pPr>
            <w:ind w:right="123"/>
            <w:jc w:val="center"/>
            <w:rPr>
              <w:rFonts w:ascii="Times New Roman" w:hAnsi="Times New Roman"/>
              <w:sz w:val="14"/>
              <w:szCs w:val="14"/>
              <w:lang w:val="fr-FR"/>
            </w:rPr>
          </w:pPr>
        </w:p>
      </w:tc>
      <w:tc>
        <w:tcPr>
          <w:tcW w:w="4110" w:type="dxa"/>
        </w:tcPr>
        <w:p w14:paraId="39246DAD" w14:textId="5A1A1B47" w:rsidR="008F2AD9" w:rsidRPr="004446FC" w:rsidRDefault="008F2AD9" w:rsidP="000F238E">
          <w:pPr>
            <w:ind w:right="123"/>
            <w:jc w:val="center"/>
            <w:rPr>
              <w:rFonts w:ascii="Times New Roman" w:hAnsi="Times New Roman"/>
              <w:b/>
              <w:sz w:val="14"/>
              <w:szCs w:val="14"/>
              <w:lang w:val="fr-FR"/>
            </w:rPr>
          </w:pPr>
          <w:r w:rsidRPr="004446FC">
            <w:rPr>
              <w:rFonts w:ascii="Times New Roman" w:hAnsi="Times New Roman"/>
              <w:sz w:val="14"/>
              <w:szCs w:val="14"/>
              <w:lang w:val="fr-FR"/>
            </w:rPr>
            <w:t xml:space="preserve"> C.P.C.E.C.A.B.A. Tº CXX  Fº 228</w:t>
          </w:r>
        </w:p>
      </w:tc>
    </w:tr>
  </w:tbl>
  <w:p w14:paraId="4F8E2AC8" w14:textId="77777777" w:rsidR="008F2AD9" w:rsidRPr="00D73677" w:rsidRDefault="008F2AD9" w:rsidP="009E6BF6">
    <w:pPr>
      <w:ind w:left="-540" w:right="-1221"/>
      <w:rPr>
        <w:rFonts w:ascii="Times New Roman" w:hAnsi="Times New Roman"/>
        <w:sz w:val="16"/>
        <w:lang w:val="fr-FR"/>
      </w:rPr>
    </w:pPr>
  </w:p>
  <w:p w14:paraId="589D17CD" w14:textId="77777777" w:rsidR="008F2AD9" w:rsidRPr="00D73677" w:rsidRDefault="008F2AD9" w:rsidP="00885F4A">
    <w:pPr>
      <w:ind w:right="-1221"/>
      <w:rPr>
        <w:rFonts w:ascii="Times New Roman" w:hAnsi="Times New Roman"/>
        <w:sz w:val="16"/>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89541" w14:textId="77777777" w:rsidR="008F2AD9" w:rsidRDefault="008F2AD9">
      <w:r>
        <w:separator/>
      </w:r>
    </w:p>
  </w:footnote>
  <w:footnote w:type="continuationSeparator" w:id="0">
    <w:p w14:paraId="493E5DA9" w14:textId="77777777" w:rsidR="008F2AD9" w:rsidRDefault="008F2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44A71" w14:textId="77777777" w:rsidR="008F2AD9" w:rsidRDefault="008F2AD9">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F689216" w14:textId="77777777" w:rsidR="008F2AD9" w:rsidRDefault="008F2AD9">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E3422" w14:textId="463691D8" w:rsidR="008F2AD9" w:rsidRDefault="008F2AD9" w:rsidP="00780CFF">
    <w:pPr>
      <w:pStyle w:val="Encabezado"/>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B2A39" w14:textId="77777777" w:rsidR="008F2AD9" w:rsidRDefault="008F2AD9">
    <w:pPr>
      <w:pStyle w:val="Encabezado"/>
    </w:pPr>
    <w:r>
      <w:t xml:space="preserve">    </w:t>
    </w:r>
    <w:r>
      <w:rPr>
        <w:noProof/>
        <w:lang w:eastAsia="es-AR"/>
      </w:rPr>
      <w:drawing>
        <wp:inline distT="0" distB="0" distL="0" distR="0" wp14:anchorId="3EE5B1DE" wp14:editId="0CE56379">
          <wp:extent cx="1471074" cy="512064"/>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nuevo BBVA.jpg"/>
                  <pic:cNvPicPr/>
                </pic:nvPicPr>
                <pic:blipFill rotWithShape="1">
                  <a:blip r:embed="rId1" cstate="print">
                    <a:extLst>
                      <a:ext uri="{28A0092B-C50C-407E-A947-70E740481C1C}">
                        <a14:useLocalDpi xmlns:a14="http://schemas.microsoft.com/office/drawing/2010/main" val="0"/>
                      </a:ext>
                    </a:extLst>
                  </a:blip>
                  <a:srcRect l="6280" t="26911" r="9369" b="31146"/>
                  <a:stretch/>
                </pic:blipFill>
                <pic:spPr bwMode="auto">
                  <a:xfrm>
                    <a:off x="0" y="0"/>
                    <a:ext cx="1533885" cy="533928"/>
                  </a:xfrm>
                  <a:prstGeom prst="rect">
                    <a:avLst/>
                  </a:prstGeom>
                  <a:ln>
                    <a:noFill/>
                  </a:ln>
                  <a:extLst>
                    <a:ext uri="{53640926-AAD7-44D8-BBD7-CCE9431645EC}">
                      <a14:shadowObscured xmlns:a14="http://schemas.microsoft.com/office/drawing/2010/main"/>
                    </a:ext>
                  </a:extLst>
                </pic:spPr>
              </pic:pic>
            </a:graphicData>
          </a:graphic>
        </wp:inline>
      </w:drawing>
    </w:r>
  </w:p>
  <w:p w14:paraId="6A7FAB90" w14:textId="77777777" w:rsidR="008F2AD9" w:rsidRDefault="00F5567E" w:rsidP="00DA7642">
    <w:pPr>
      <w:pStyle w:val="Encabezado"/>
      <w:jc w:val="center"/>
    </w:pPr>
    <w:sdt>
      <w:sdtPr>
        <w:id w:val="-284046403"/>
        <w:docPartObj>
          <w:docPartGallery w:val="Page Numbers (Top of Page)"/>
          <w:docPartUnique/>
        </w:docPartObj>
      </w:sdtPr>
      <w:sdtEndPr/>
      <w:sdtContent>
        <w:r w:rsidR="008F2AD9">
          <w:fldChar w:fldCharType="begin"/>
        </w:r>
        <w:r w:rsidR="008F2AD9">
          <w:instrText>PAGE   \* MERGEFORMAT</w:instrText>
        </w:r>
        <w:r w:rsidR="008F2AD9">
          <w:fldChar w:fldCharType="separate"/>
        </w:r>
        <w:r w:rsidRPr="00F5567E">
          <w:rPr>
            <w:noProof/>
            <w:lang w:val="es-ES"/>
          </w:rPr>
          <w:t>-</w:t>
        </w:r>
        <w:r>
          <w:rPr>
            <w:noProof/>
          </w:rPr>
          <w:t xml:space="preserve"> 85 -</w:t>
        </w:r>
        <w:r w:rsidR="008F2AD9">
          <w:fldChar w:fldCharType="end"/>
        </w:r>
      </w:sdtContent>
    </w:sdt>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27656" w14:textId="77777777" w:rsidR="008F2AD9" w:rsidRDefault="008F2AD9">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36880" w14:textId="77777777" w:rsidR="008F2AD9" w:rsidRPr="007226B6" w:rsidRDefault="008F2AD9" w:rsidP="00885F4A">
    <w:pPr>
      <w:pStyle w:val="Encabezado"/>
      <w:tabs>
        <w:tab w:val="clear" w:pos="4320"/>
        <w:tab w:val="clear" w:pos="8640"/>
      </w:tabs>
      <w:ind w:left="4249"/>
      <w:jc w:val="center"/>
      <w:rPr>
        <w:rFonts w:ascii="Times New Roman" w:hAnsi="Times New Roman"/>
        <w:sz w:val="22"/>
        <w:szCs w:val="22"/>
      </w:rPr>
    </w:pPr>
    <w:r w:rsidRPr="007226B6">
      <w:rPr>
        <w:rFonts w:ascii="Times New Roman" w:hAnsi="Times New Roman"/>
        <w:sz w:val="22"/>
        <w:szCs w:val="22"/>
      </w:rPr>
      <w:fldChar w:fldCharType="begin"/>
    </w:r>
    <w:r w:rsidRPr="007226B6">
      <w:rPr>
        <w:rFonts w:ascii="Times New Roman" w:hAnsi="Times New Roman"/>
        <w:sz w:val="22"/>
        <w:szCs w:val="22"/>
      </w:rPr>
      <w:instrText xml:space="preserve"> PAGE   \* MERGEFORMAT </w:instrText>
    </w:r>
    <w:r w:rsidRPr="007226B6">
      <w:rPr>
        <w:rFonts w:ascii="Times New Roman" w:hAnsi="Times New Roman"/>
        <w:sz w:val="22"/>
        <w:szCs w:val="22"/>
      </w:rPr>
      <w:fldChar w:fldCharType="separate"/>
    </w:r>
    <w:r>
      <w:rPr>
        <w:rFonts w:ascii="Times New Roman" w:hAnsi="Times New Roman"/>
        <w:noProof/>
        <w:sz w:val="22"/>
        <w:szCs w:val="22"/>
      </w:rPr>
      <w:t>1</w:t>
    </w:r>
    <w:r w:rsidRPr="007226B6">
      <w:rPr>
        <w:rFonts w:ascii="Times New Roman" w:hAnsi="Times New Roman"/>
        <w:noProof/>
        <w:sz w:val="22"/>
        <w:szCs w:val="22"/>
      </w:rPr>
      <w:fldChar w:fldCharType="end"/>
    </w:r>
  </w:p>
  <w:p w14:paraId="7C9CC938" w14:textId="77777777" w:rsidR="008F2AD9" w:rsidRPr="009C55FA" w:rsidRDefault="008F2AD9" w:rsidP="00885F4A">
    <w:pPr>
      <w:pStyle w:val="Encabezado"/>
      <w:ind w:left="424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2FC28" w14:textId="77777777" w:rsidR="008F2AD9" w:rsidRDefault="008F2AD9">
    <w:pPr>
      <w:pStyle w:val="Encabezado"/>
    </w:pPr>
    <w:r>
      <w:t xml:space="preserve">    </w:t>
    </w:r>
    <w:r>
      <w:rPr>
        <w:noProof/>
        <w:lang w:eastAsia="es-AR"/>
      </w:rPr>
      <w:drawing>
        <wp:inline distT="0" distB="0" distL="0" distR="0" wp14:anchorId="1AA7D890" wp14:editId="342BD8F7">
          <wp:extent cx="1471074" cy="512064"/>
          <wp:effectExtent l="0" t="0" r="0" b="254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nuevo BBVA.jpg"/>
                  <pic:cNvPicPr/>
                </pic:nvPicPr>
                <pic:blipFill rotWithShape="1">
                  <a:blip r:embed="rId1" cstate="print">
                    <a:extLst>
                      <a:ext uri="{28A0092B-C50C-407E-A947-70E740481C1C}">
                        <a14:useLocalDpi xmlns:a14="http://schemas.microsoft.com/office/drawing/2010/main" val="0"/>
                      </a:ext>
                    </a:extLst>
                  </a:blip>
                  <a:srcRect l="6280" t="26911" r="9369" b="31146"/>
                  <a:stretch/>
                </pic:blipFill>
                <pic:spPr bwMode="auto">
                  <a:xfrm>
                    <a:off x="0" y="0"/>
                    <a:ext cx="1533885" cy="533928"/>
                  </a:xfrm>
                  <a:prstGeom prst="rect">
                    <a:avLst/>
                  </a:prstGeom>
                  <a:ln>
                    <a:noFill/>
                  </a:ln>
                  <a:extLst>
                    <a:ext uri="{53640926-AAD7-44D8-BBD7-CCE9431645EC}">
                      <a14:shadowObscured xmlns:a14="http://schemas.microsoft.com/office/drawing/2010/main"/>
                    </a:ext>
                  </a:extLst>
                </pic:spPr>
              </pic:pic>
            </a:graphicData>
          </a:graphic>
        </wp:inline>
      </w:drawing>
    </w:r>
  </w:p>
  <w:p w14:paraId="71B07C92" w14:textId="77777777" w:rsidR="008F2AD9" w:rsidRDefault="00F5567E" w:rsidP="00DA7642">
    <w:pPr>
      <w:pStyle w:val="Encabezado"/>
      <w:jc w:val="center"/>
    </w:pPr>
    <w:sdt>
      <w:sdtPr>
        <w:id w:val="-368221556"/>
        <w:docPartObj>
          <w:docPartGallery w:val="Page Numbers (Top of Page)"/>
          <w:docPartUnique/>
        </w:docPartObj>
      </w:sdtPr>
      <w:sdtEndPr/>
      <w:sdtContent>
        <w:r w:rsidR="008F2AD9">
          <w:fldChar w:fldCharType="begin"/>
        </w:r>
        <w:r w:rsidR="008F2AD9">
          <w:instrText>PAGE   \* MERGEFORMAT</w:instrText>
        </w:r>
        <w:r w:rsidR="008F2AD9">
          <w:fldChar w:fldCharType="separate"/>
        </w:r>
        <w:r w:rsidRPr="00F5567E">
          <w:rPr>
            <w:noProof/>
            <w:lang w:val="es-ES"/>
          </w:rPr>
          <w:t>-</w:t>
        </w:r>
        <w:r>
          <w:rPr>
            <w:noProof/>
          </w:rPr>
          <w:t xml:space="preserve"> 123 -</w:t>
        </w:r>
        <w:r w:rsidR="008F2AD9">
          <w:fldChar w:fldCharType="end"/>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18DA5" w14:textId="77777777" w:rsidR="008F2AD9" w:rsidRDefault="008F2AD9" w:rsidP="0000524C">
    <w:pPr>
      <w:pStyle w:val="Encabezado"/>
      <w:rPr>
        <w:rStyle w:val="Nmerodepgin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7F735" w14:textId="7A2DA3E4" w:rsidR="008F2AD9" w:rsidRPr="00126A04" w:rsidRDefault="008F2AD9" w:rsidP="00126A04">
    <w:pPr>
      <w:pStyle w:val="Encabezado"/>
      <w:ind w:left="-142"/>
      <w:rPr>
        <w:rFonts w:ascii="Arial" w:hAnsi="Arial" w:cs="Arial"/>
      </w:rPr>
    </w:pPr>
  </w:p>
  <w:p w14:paraId="3DD380A0" w14:textId="77777777" w:rsidR="008F2AD9" w:rsidRDefault="008F2AD9">
    <w:pPr>
      <w:pStyle w:val="Encabezado"/>
    </w:pPr>
  </w:p>
  <w:p w14:paraId="75FA41D4" w14:textId="77777777" w:rsidR="008F2AD9" w:rsidRDefault="008F2AD9">
    <w:pPr>
      <w:pStyle w:val="Encabezado"/>
    </w:pPr>
    <w:r>
      <w:object w:dxaOrig="10800" w:dyaOrig="9350" w14:anchorId="3E4EA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40.75pt;height:467.25pt" o:ole="">
          <v:imagedata r:id="rId1" o:title=""/>
        </v:shape>
        <o:OLEObject Type="Embed" ProgID="Word.Picture.8" ShapeID="_x0000_i1034" DrawAspect="Content" ObjectID="_1699004341" r:id="rId2"/>
      </w:object>
    </w:r>
  </w:p>
  <w:p w14:paraId="1CBC5BB4" w14:textId="77777777" w:rsidR="008F2AD9" w:rsidRDefault="008F2AD9">
    <w:pPr>
      <w:pStyle w:val="Encabezado"/>
    </w:pPr>
    <w:r>
      <w:object w:dxaOrig="10800" w:dyaOrig="9636" w14:anchorId="6B48EE0C">
        <v:shape id="_x0000_i1035" type="#_x0000_t75" style="width:540.75pt;height:482.25pt" o:ole="">
          <v:imagedata r:id="rId3" o:title=""/>
        </v:shape>
        <o:OLEObject Type="Embed" ProgID="Word.Picture.8" ShapeID="_x0000_i1035" DrawAspect="Content" ObjectID="_1699004342" r:id="rId4"/>
      </w:obje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81C38" w14:textId="564B8C7C" w:rsidR="008F2AD9" w:rsidRDefault="008F2AD9" w:rsidP="00126A04">
    <w:pPr>
      <w:pStyle w:val="Encabezado"/>
      <w:ind w:left="-142"/>
      <w:rPr>
        <w:rFonts w:ascii="Arial" w:hAnsi="Arial" w:cs="Arial"/>
      </w:rPr>
    </w:pPr>
    <w:r>
      <w:rPr>
        <w:noProof/>
        <w:lang w:eastAsia="es-AR"/>
      </w:rPr>
      <w:drawing>
        <wp:inline distT="0" distB="0" distL="0" distR="0" wp14:anchorId="2B5961D1" wp14:editId="1F0A5091">
          <wp:extent cx="1471074" cy="512064"/>
          <wp:effectExtent l="0" t="0" r="0" b="254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nuevo BBVA.jpg"/>
                  <pic:cNvPicPr/>
                </pic:nvPicPr>
                <pic:blipFill rotWithShape="1">
                  <a:blip r:embed="rId1" cstate="print">
                    <a:extLst>
                      <a:ext uri="{28A0092B-C50C-407E-A947-70E740481C1C}">
                        <a14:useLocalDpi xmlns:a14="http://schemas.microsoft.com/office/drawing/2010/main" val="0"/>
                      </a:ext>
                    </a:extLst>
                  </a:blip>
                  <a:srcRect l="6280" t="26911" r="9369" b="31146"/>
                  <a:stretch/>
                </pic:blipFill>
                <pic:spPr bwMode="auto">
                  <a:xfrm>
                    <a:off x="0" y="0"/>
                    <a:ext cx="1533885" cy="533928"/>
                  </a:xfrm>
                  <a:prstGeom prst="rect">
                    <a:avLst/>
                  </a:prstGeom>
                  <a:ln>
                    <a:noFill/>
                  </a:ln>
                  <a:extLst>
                    <a:ext uri="{53640926-AAD7-44D8-BBD7-CCE9431645EC}">
                      <a14:shadowObscured xmlns:a14="http://schemas.microsoft.com/office/drawing/2010/main"/>
                    </a:ext>
                  </a:extLst>
                </pic:spPr>
              </pic:pic>
            </a:graphicData>
          </a:graphic>
        </wp:inline>
      </w:drawing>
    </w:r>
  </w:p>
  <w:p w14:paraId="6B12524F" w14:textId="45E3EB96" w:rsidR="008F2AD9" w:rsidRDefault="008F2AD9" w:rsidP="000E16CA">
    <w:pPr>
      <w:pStyle w:val="Encabezado"/>
      <w:ind w:left="-142"/>
    </w:pPr>
    <w:r>
      <w:rPr>
        <w:rFonts w:ascii="Arial" w:hAnsi="Arial" w:cs="Arial"/>
      </w:rPr>
      <w:t xml:space="preserve">                                                                                  </w:t>
    </w:r>
    <w:r>
      <w:t xml:space="preserve"> </w:t>
    </w:r>
    <w:sdt>
      <w:sdtPr>
        <w:id w:val="243306017"/>
        <w:docPartObj>
          <w:docPartGallery w:val="Page Numbers (Top of Page)"/>
          <w:docPartUnique/>
        </w:docPartObj>
      </w:sdtPr>
      <w:sdtEndPr/>
      <w:sdtContent>
        <w:r>
          <w:fldChar w:fldCharType="begin"/>
        </w:r>
        <w:r>
          <w:instrText>PAGE   \* MERGEFORMAT</w:instrText>
        </w:r>
        <w:r>
          <w:fldChar w:fldCharType="separate"/>
        </w:r>
        <w:r w:rsidR="00F5567E" w:rsidRPr="00F5567E">
          <w:rPr>
            <w:noProof/>
            <w:lang w:val="es-ES"/>
          </w:rPr>
          <w:t>-</w:t>
        </w:r>
        <w:r w:rsidR="00F5567E">
          <w:rPr>
            <w:noProof/>
          </w:rPr>
          <w:t xml:space="preserve"> 125 -</w:t>
        </w:r>
        <w:r>
          <w:fldChar w:fldCharType="end"/>
        </w:r>
      </w:sdtContent>
    </w:sdt>
  </w:p>
  <w:p w14:paraId="4B1F9305" w14:textId="69DE1108" w:rsidR="008F2AD9" w:rsidRDefault="008F2AD9">
    <w:pPr>
      <w:pStyle w:val="Encabezado"/>
    </w:pPr>
  </w:p>
  <w:p w14:paraId="1557F844" w14:textId="77777777" w:rsidR="008F2AD9" w:rsidRDefault="008F2AD9">
    <w:pPr>
      <w:pStyle w:val="Encabezado"/>
    </w:pPr>
    <w:r>
      <w:object w:dxaOrig="10800" w:dyaOrig="9350" w14:anchorId="39DAA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40.75pt;height:467.25pt" o:ole="">
          <v:imagedata r:id="rId2" o:title=""/>
        </v:shape>
        <o:OLEObject Type="Embed" ProgID="Word.Picture.8" ShapeID="_x0000_i1036" DrawAspect="Content" ObjectID="_1699004343" r:id="rId3"/>
      </w:object>
    </w:r>
  </w:p>
  <w:p w14:paraId="6ADC0D2F" w14:textId="77777777" w:rsidR="008F2AD9" w:rsidRDefault="008F2AD9">
    <w:pPr>
      <w:pStyle w:val="Encabezado"/>
    </w:pPr>
    <w:r>
      <w:object w:dxaOrig="10800" w:dyaOrig="9636" w14:anchorId="159AC65A">
        <v:shape id="_x0000_i1037" type="#_x0000_t75" style="width:540.75pt;height:482.25pt" o:ole="">
          <v:imagedata r:id="rId4" o:title=""/>
        </v:shape>
        <o:OLEObject Type="Embed" ProgID="Word.Picture.8" ShapeID="_x0000_i1037" DrawAspect="Content" ObjectID="_1699004344" r:id="rId5"/>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E2414" w14:textId="77777777" w:rsidR="008F2AD9" w:rsidRDefault="008F2AD9">
    <w:pPr>
      <w:pStyle w:val="Encabezado"/>
    </w:pPr>
    <w:r>
      <w:rPr>
        <w:noProof/>
        <w:lang w:eastAsia="es-AR"/>
      </w:rPr>
      <w:drawing>
        <wp:inline distT="0" distB="0" distL="0" distR="0" wp14:anchorId="58056824" wp14:editId="627906FE">
          <wp:extent cx="1752600" cy="276225"/>
          <wp:effectExtent l="0" t="0" r="0" b="9525"/>
          <wp:docPr id="128" name="Picture 5" descr="bbvabfc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vabfc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752600" cy="2762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317B4" w14:textId="77777777" w:rsidR="008F2AD9" w:rsidRDefault="008F2AD9">
    <w:pPr>
      <w:pStyle w:val="Encabezado"/>
    </w:pPr>
  </w:p>
  <w:p w14:paraId="7D81180C" w14:textId="77777777" w:rsidR="008F2AD9" w:rsidRDefault="008F2AD9">
    <w:pPr>
      <w:pStyle w:val="Encabezado"/>
    </w:pPr>
  </w:p>
  <w:p w14:paraId="5C848562" w14:textId="77777777" w:rsidR="008F2AD9" w:rsidRDefault="008F2AD9">
    <w:pPr>
      <w:pStyle w:val="Encabezado"/>
    </w:pPr>
  </w:p>
  <w:p w14:paraId="62FDF8B6" w14:textId="77777777" w:rsidR="008F2AD9" w:rsidRDefault="008F2AD9">
    <w:pPr>
      <w:pStyle w:val="Encabezado"/>
    </w:pPr>
  </w:p>
  <w:p w14:paraId="443B3E7A" w14:textId="77777777" w:rsidR="008F2AD9" w:rsidRDefault="008F2AD9">
    <w:pPr>
      <w:pStyle w:val="Encabezado"/>
    </w:pPr>
    <w:r>
      <w:object w:dxaOrig="10800" w:dyaOrig="9350" w14:anchorId="580E1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0.75pt;height:467.25pt" o:ole="">
          <v:imagedata r:id="rId1" o:title=""/>
        </v:shape>
        <o:OLEObject Type="Embed" ProgID="Word.Picture.8" ShapeID="_x0000_i1026" DrawAspect="Content" ObjectID="_1699004333" r:id="rId2"/>
      </w:object>
    </w:r>
  </w:p>
  <w:p w14:paraId="2FD8986D" w14:textId="77777777" w:rsidR="008F2AD9" w:rsidRDefault="008F2AD9">
    <w:pPr>
      <w:pStyle w:val="Encabezado"/>
    </w:pPr>
    <w:r>
      <w:object w:dxaOrig="10800" w:dyaOrig="9636" w14:anchorId="2F91E447">
        <v:shape id="_x0000_i1027" type="#_x0000_t75" style="width:540.75pt;height:482.25pt" o:ole="">
          <v:imagedata r:id="rId3" o:title=""/>
        </v:shape>
        <o:OLEObject Type="Embed" ProgID="Word.Picture.8" ShapeID="_x0000_i1027" DrawAspect="Content" ObjectID="_1699004334" r:id="rId4"/>
      </w:obje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8DC9D" w14:textId="77777777" w:rsidR="008F2AD9" w:rsidRDefault="008F2AD9" w:rsidP="0000524C">
    <w:pPr>
      <w:pStyle w:val="Encabezado"/>
      <w:rPr>
        <w:rStyle w:val="Nmerodepgina"/>
      </w:rPr>
    </w:pPr>
    <w:r>
      <w:rPr>
        <w:noProof/>
        <w:lang w:eastAsia="es-AR"/>
      </w:rPr>
      <w:drawing>
        <wp:inline distT="0" distB="0" distL="0" distR="0" wp14:anchorId="0AEF4665" wp14:editId="186C58ED">
          <wp:extent cx="2344420" cy="530225"/>
          <wp:effectExtent l="19050" t="0" r="0" b="0"/>
          <wp:docPr id="40" name="Imagen 35" descr="BBVA_Franc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VA_Frances_+[1]"/>
                  <pic:cNvPicPr>
                    <a:picLocks noChangeAspect="1" noChangeArrowheads="1"/>
                  </pic:cNvPicPr>
                </pic:nvPicPr>
                <pic:blipFill>
                  <a:blip r:embed="rId1"/>
                  <a:srcRect l="12073" t="37833" r="13452" b="38356"/>
                  <a:stretch>
                    <a:fillRect/>
                  </a:stretch>
                </pic:blipFill>
                <pic:spPr bwMode="auto">
                  <a:xfrm>
                    <a:off x="0" y="0"/>
                    <a:ext cx="2344420" cy="530225"/>
                  </a:xfrm>
                  <a:prstGeom prst="rect">
                    <a:avLst/>
                  </a:prstGeom>
                  <a:solidFill>
                    <a:srgbClr val="006EC1"/>
                  </a:solidFill>
                </pic:spPr>
              </pic:pic>
            </a:graphicData>
          </a:graphic>
        </wp:inline>
      </w:drawing>
    </w:r>
  </w:p>
  <w:p w14:paraId="72E423D0" w14:textId="77777777" w:rsidR="008F2AD9" w:rsidRPr="0000524C" w:rsidRDefault="008F2AD9" w:rsidP="0000524C">
    <w:pPr>
      <w:pStyle w:val="Encabezado"/>
      <w:rPr>
        <w:rStyle w:val="Nmerodepgina"/>
      </w:rPr>
    </w:pPr>
    <w:r>
      <w:rPr>
        <w:rStyle w:val="Nmerodepgina"/>
      </w:rPr>
      <w:t xml:space="preserve">                                                                               -54-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B9CD1" w14:textId="11838093" w:rsidR="008F2AD9" w:rsidRDefault="008F2AD9" w:rsidP="00E5500A">
    <w:pPr>
      <w:pStyle w:val="Encabezado"/>
      <w:framePr w:w="676" w:h="271" w:hRule="exact" w:wrap="around" w:vAnchor="text" w:hAnchor="page" w:x="6054" w:y="645"/>
      <w:rPr>
        <w:rStyle w:val="Nmerodepgina"/>
      </w:rPr>
    </w:pPr>
    <w:r>
      <w:rPr>
        <w:rStyle w:val="Nmerodepgina"/>
      </w:rPr>
      <w:t>-</w:t>
    </w:r>
    <w:r>
      <w:rPr>
        <w:rStyle w:val="Nmerodepgina"/>
      </w:rPr>
      <w:fldChar w:fldCharType="begin"/>
    </w:r>
    <w:r>
      <w:rPr>
        <w:rStyle w:val="Nmerodepgina"/>
      </w:rPr>
      <w:instrText xml:space="preserve"> PAGE </w:instrText>
    </w:r>
    <w:r>
      <w:rPr>
        <w:rStyle w:val="Nmerodepgina"/>
      </w:rPr>
      <w:fldChar w:fldCharType="separate"/>
    </w:r>
    <w:r w:rsidR="00F5567E">
      <w:rPr>
        <w:rStyle w:val="Nmerodepgina"/>
        <w:noProof/>
      </w:rPr>
      <w:t>5</w:t>
    </w:r>
    <w:r>
      <w:rPr>
        <w:rStyle w:val="Nmerodepgina"/>
      </w:rPr>
      <w:fldChar w:fldCharType="end"/>
    </w:r>
    <w:r>
      <w:rPr>
        <w:rStyle w:val="Nmerodepgina"/>
      </w:rPr>
      <w:t xml:space="preserve">- </w:t>
    </w:r>
    <w:r>
      <w:rPr>
        <w:rStyle w:val="Nmerodepgina"/>
        <w:vanish/>
      </w:rPr>
      <w:pgNum/>
    </w:r>
    <w:r>
      <w:rPr>
        <w:rStyle w:val="Nmerodepgina"/>
        <w:vanish/>
      </w:rPr>
      <w:pgNum/>
    </w:r>
  </w:p>
  <w:p w14:paraId="3DFBCC9A" w14:textId="555EC4B5" w:rsidR="008F2AD9" w:rsidRDefault="008F2AD9" w:rsidP="00126A04">
    <w:pPr>
      <w:pStyle w:val="Encabezado"/>
      <w:ind w:left="-142"/>
      <w:rPr>
        <w:rFonts w:ascii="Arial" w:hAnsi="Arial" w:cs="Arial"/>
      </w:rPr>
    </w:pPr>
    <w:r>
      <w:rPr>
        <w:rFonts w:ascii="Arial" w:hAnsi="Arial" w:cs="Arial"/>
      </w:rPr>
      <w:t xml:space="preserve"> </w:t>
    </w:r>
    <w:r>
      <w:rPr>
        <w:noProof/>
        <w:lang w:eastAsia="es-AR"/>
      </w:rPr>
      <w:drawing>
        <wp:inline distT="0" distB="0" distL="0" distR="0" wp14:anchorId="12D67853" wp14:editId="48D2C9A4">
          <wp:extent cx="1471074" cy="512064"/>
          <wp:effectExtent l="0" t="0" r="0"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nuevo BBVA.jpg"/>
                  <pic:cNvPicPr/>
                </pic:nvPicPr>
                <pic:blipFill rotWithShape="1">
                  <a:blip r:embed="rId1" cstate="print">
                    <a:extLst>
                      <a:ext uri="{28A0092B-C50C-407E-A947-70E740481C1C}">
                        <a14:useLocalDpi xmlns:a14="http://schemas.microsoft.com/office/drawing/2010/main" val="0"/>
                      </a:ext>
                    </a:extLst>
                  </a:blip>
                  <a:srcRect l="6280" t="26911" r="9369" b="31146"/>
                  <a:stretch/>
                </pic:blipFill>
                <pic:spPr bwMode="auto">
                  <a:xfrm>
                    <a:off x="0" y="0"/>
                    <a:ext cx="1533885" cy="533928"/>
                  </a:xfrm>
                  <a:prstGeom prst="rect">
                    <a:avLst/>
                  </a:prstGeom>
                  <a:ln>
                    <a:noFill/>
                  </a:ln>
                  <a:extLst>
                    <a:ext uri="{53640926-AAD7-44D8-BBD7-CCE9431645EC}">
                      <a14:shadowObscured xmlns:a14="http://schemas.microsoft.com/office/drawing/2010/main"/>
                    </a:ext>
                  </a:extLst>
                </pic:spPr>
              </pic:pic>
            </a:graphicData>
          </a:graphic>
        </wp:inline>
      </w:drawing>
    </w:r>
  </w:p>
  <w:p w14:paraId="7FE4FF24" w14:textId="77777777" w:rsidR="008F2AD9" w:rsidRPr="009D42DD" w:rsidRDefault="008F2AD9">
    <w:pPr>
      <w:pStyle w:val="Encabezado"/>
      <w:rPr>
        <w:lang w:val="fr-FR"/>
      </w:rPr>
    </w:pPr>
  </w:p>
  <w:p w14:paraId="0F1D080F" w14:textId="77777777" w:rsidR="008F2AD9" w:rsidRDefault="008F2AD9">
    <w:pPr>
      <w:pStyle w:val="Encabezado"/>
    </w:pPr>
    <w:r>
      <w:object w:dxaOrig="10800" w:dyaOrig="9350" w14:anchorId="2A8FF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40.75pt;height:467.25pt" o:ole="">
          <v:imagedata r:id="rId2" o:title=""/>
        </v:shape>
        <o:OLEObject Type="Embed" ProgID="Word.Picture.8" ShapeID="_x0000_i1028" DrawAspect="Content" ObjectID="_1699004335" r:id="rId3"/>
      </w:object>
    </w:r>
  </w:p>
  <w:p w14:paraId="67CAE437" w14:textId="77777777" w:rsidR="008F2AD9" w:rsidRDefault="008F2AD9">
    <w:pPr>
      <w:pStyle w:val="Encabezado"/>
    </w:pPr>
    <w:r>
      <w:object w:dxaOrig="10800" w:dyaOrig="9745" w14:anchorId="6F0E4C16">
        <v:shape id="_x0000_i1029" type="#_x0000_t75" style="width:540.75pt;height:489.75pt" o:ole="">
          <v:imagedata r:id="rId4" o:title=""/>
        </v:shape>
        <o:OLEObject Type="Embed" ProgID="Word.Picture.8" ShapeID="_x0000_i1029" DrawAspect="Content" ObjectID="_1699004336" r:id="rId5"/>
      </w:obje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B8C8B" w14:textId="77777777" w:rsidR="008F2AD9" w:rsidRDefault="008F2AD9">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D11E9" w14:textId="77777777" w:rsidR="008F2AD9" w:rsidRPr="007226B6" w:rsidRDefault="008F2AD9" w:rsidP="00E86E49">
    <w:pPr>
      <w:pStyle w:val="Encabezado"/>
      <w:tabs>
        <w:tab w:val="clear" w:pos="4320"/>
        <w:tab w:val="clear" w:pos="8640"/>
      </w:tabs>
      <w:jc w:val="center"/>
      <w:rPr>
        <w:rFonts w:ascii="Times New Roman" w:hAnsi="Times New Roman"/>
        <w:sz w:val="22"/>
        <w:szCs w:val="22"/>
      </w:rPr>
    </w:pPr>
    <w:r w:rsidRPr="007226B6">
      <w:rPr>
        <w:rFonts w:ascii="Times New Roman" w:hAnsi="Times New Roman"/>
        <w:sz w:val="22"/>
        <w:szCs w:val="22"/>
      </w:rPr>
      <w:fldChar w:fldCharType="begin"/>
    </w:r>
    <w:r w:rsidRPr="007226B6">
      <w:rPr>
        <w:rFonts w:ascii="Times New Roman" w:hAnsi="Times New Roman"/>
        <w:sz w:val="22"/>
        <w:szCs w:val="22"/>
      </w:rPr>
      <w:instrText xml:space="preserve"> PAGE   \* MERGEFORMAT </w:instrText>
    </w:r>
    <w:r w:rsidRPr="007226B6">
      <w:rPr>
        <w:rFonts w:ascii="Times New Roman" w:hAnsi="Times New Roman"/>
        <w:sz w:val="22"/>
        <w:szCs w:val="22"/>
      </w:rPr>
      <w:fldChar w:fldCharType="separate"/>
    </w:r>
    <w:r>
      <w:rPr>
        <w:rFonts w:ascii="Times New Roman" w:hAnsi="Times New Roman"/>
        <w:noProof/>
        <w:sz w:val="22"/>
        <w:szCs w:val="22"/>
      </w:rPr>
      <w:t>8</w:t>
    </w:r>
    <w:r w:rsidRPr="007226B6">
      <w:rPr>
        <w:rFonts w:ascii="Times New Roman" w:hAnsi="Times New Roman"/>
        <w:noProof/>
        <w:sz w:val="22"/>
        <w:szCs w:val="22"/>
      </w:rPr>
      <w:fldChar w:fldCharType="end"/>
    </w:r>
  </w:p>
  <w:p w14:paraId="76F4D4B5" w14:textId="77777777" w:rsidR="008F2AD9" w:rsidRDefault="008F2AD9" w:rsidP="00E86E49">
    <w:pPr>
      <w:pStyle w:val="Encabezado"/>
      <w:tabs>
        <w:tab w:val="clear" w:pos="4320"/>
        <w:tab w:val="clear" w:pos="8640"/>
      </w:tabs>
    </w:pPr>
  </w:p>
  <w:p w14:paraId="29912562" w14:textId="77777777" w:rsidR="008F2AD9" w:rsidRPr="00335AE5" w:rsidRDefault="008F2AD9" w:rsidP="00E86E49">
    <w:pPr>
      <w:tabs>
        <w:tab w:val="right" w:pos="7200"/>
        <w:tab w:val="right" w:pos="8880"/>
        <w:tab w:val="left" w:pos="9600"/>
      </w:tabs>
      <w:spacing w:line="200" w:lineRule="exact"/>
      <w:jc w:val="center"/>
      <w:rPr>
        <w:rFonts w:ascii="Times New Roman" w:hAnsi="Times New Roman"/>
        <w:szCs w:val="24"/>
      </w:rPr>
    </w:pPr>
    <w:r w:rsidRPr="00335AE5">
      <w:rPr>
        <w:rFonts w:ascii="Times New Roman" w:hAnsi="Times New Roman"/>
        <w:b/>
        <w:szCs w:val="24"/>
      </w:rPr>
      <w:t>[</w:t>
    </w:r>
    <w:r>
      <w:rPr>
        <w:rFonts w:ascii="Times New Roman" w:hAnsi="Times New Roman"/>
        <w:b/>
        <w:szCs w:val="24"/>
      </w:rPr>
      <w:t>NOMBRE DE LA ENTIDAD</w:t>
    </w:r>
    <w:r w:rsidRPr="00335AE5">
      <w:rPr>
        <w:rFonts w:ascii="Times New Roman" w:hAnsi="Times New Roman"/>
        <w:b/>
        <w:szCs w:val="24"/>
      </w:rPr>
      <w:t>]</w:t>
    </w:r>
  </w:p>
  <w:p w14:paraId="4053DD5E" w14:textId="77777777" w:rsidR="008F2AD9" w:rsidRDefault="008F2AD9" w:rsidP="00E86E49">
    <w:pPr>
      <w:autoSpaceDE w:val="0"/>
      <w:autoSpaceDN w:val="0"/>
      <w:spacing w:before="40" w:after="40" w:line="200" w:lineRule="exact"/>
      <w:jc w:val="center"/>
      <w:rPr>
        <w:rFonts w:ascii="Times New Roman" w:hAnsi="Times New Roman"/>
        <w:b/>
        <w:bCs/>
        <w:szCs w:val="24"/>
      </w:rPr>
    </w:pPr>
  </w:p>
  <w:p w14:paraId="6C6044E6" w14:textId="77777777" w:rsidR="008F2AD9" w:rsidRPr="007226B6" w:rsidRDefault="008F2AD9" w:rsidP="00E86E49">
    <w:pPr>
      <w:autoSpaceDE w:val="0"/>
      <w:autoSpaceDN w:val="0"/>
      <w:spacing w:before="40" w:after="40" w:line="200" w:lineRule="exact"/>
      <w:jc w:val="center"/>
      <w:rPr>
        <w:rFonts w:ascii="Times New Roman" w:hAnsi="Times New Roman"/>
        <w:b/>
        <w:bCs/>
        <w:sz w:val="22"/>
        <w:szCs w:val="22"/>
      </w:rPr>
    </w:pPr>
    <w:r w:rsidRPr="007226B6">
      <w:rPr>
        <w:rFonts w:ascii="Times New Roman" w:hAnsi="Times New Roman"/>
        <w:b/>
        <w:bCs/>
        <w:sz w:val="22"/>
        <w:szCs w:val="22"/>
      </w:rPr>
      <w:t>NOTAS A LOS ESTADOS FINANCIEROS {INTERMEDIOS}</w:t>
    </w:r>
  </w:p>
  <w:p w14:paraId="44401F05" w14:textId="77777777" w:rsidR="008F2AD9" w:rsidRDefault="008F2AD9" w:rsidP="00E86E49">
    <w:pPr>
      <w:autoSpaceDE w:val="0"/>
      <w:autoSpaceDN w:val="0"/>
      <w:spacing w:before="40" w:after="40" w:line="200" w:lineRule="exact"/>
      <w:jc w:val="center"/>
      <w:rPr>
        <w:rFonts w:ascii="Times New Roman" w:hAnsi="Times New Roman"/>
        <w:sz w:val="22"/>
        <w:szCs w:val="22"/>
      </w:rPr>
    </w:pPr>
    <w:r w:rsidRPr="007226B6">
      <w:rPr>
        <w:rFonts w:ascii="Times New Roman" w:hAnsi="Times New Roman"/>
        <w:sz w:val="22"/>
        <w:szCs w:val="22"/>
      </w:rPr>
      <w:t xml:space="preserve">al [fecha de cierre del período] [fecha de cierre del ejercicio] presentadas en forma comparativa </w:t>
    </w:r>
  </w:p>
  <w:p w14:paraId="6AF2D935" w14:textId="77777777" w:rsidR="008F2AD9" w:rsidRPr="007226B6" w:rsidRDefault="008F2AD9" w:rsidP="00E86E49">
    <w:pPr>
      <w:autoSpaceDE w:val="0"/>
      <w:autoSpaceDN w:val="0"/>
      <w:spacing w:before="40" w:after="40" w:line="200" w:lineRule="exact"/>
      <w:jc w:val="center"/>
      <w:rPr>
        <w:sz w:val="22"/>
        <w:szCs w:val="22"/>
      </w:rPr>
    </w:pPr>
    <w:r w:rsidRPr="007226B6">
      <w:rPr>
        <w:rFonts w:ascii="Times New Roman" w:hAnsi="Times New Roman"/>
        <w:sz w:val="22"/>
        <w:szCs w:val="22"/>
      </w:rPr>
      <w:t>(en miles de pesos)</w:t>
    </w:r>
  </w:p>
  <w:p w14:paraId="0183B0A8" w14:textId="77777777" w:rsidR="008F2AD9" w:rsidRPr="009C55FA" w:rsidRDefault="008F2AD9" w:rsidP="00E86E49">
    <w:pPr>
      <w:pStyle w:val="Encabezado"/>
    </w:pPr>
  </w:p>
  <w:p w14:paraId="15B82DB2" w14:textId="77777777" w:rsidR="008F2AD9" w:rsidRDefault="008F2AD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5BED" w14:textId="624251DC" w:rsidR="008F2AD9" w:rsidRDefault="008F2AD9" w:rsidP="00527423">
    <w:pPr>
      <w:pStyle w:val="Encabezado"/>
      <w:framePr w:w="676" w:h="271" w:hRule="exact" w:wrap="around" w:vAnchor="text" w:hAnchor="page" w:x="8063" w:y="682"/>
      <w:rPr>
        <w:rStyle w:val="Nmerodepgina"/>
      </w:rPr>
    </w:pPr>
    <w:r>
      <w:rPr>
        <w:rStyle w:val="Nmerodepgina"/>
      </w:rPr>
      <w:t>-</w:t>
    </w:r>
    <w:r>
      <w:rPr>
        <w:rStyle w:val="Nmerodepgina"/>
      </w:rPr>
      <w:fldChar w:fldCharType="begin"/>
    </w:r>
    <w:r>
      <w:rPr>
        <w:rStyle w:val="Nmerodepgina"/>
      </w:rPr>
      <w:instrText xml:space="preserve"> PAGE </w:instrText>
    </w:r>
    <w:r>
      <w:rPr>
        <w:rStyle w:val="Nmerodepgina"/>
      </w:rPr>
      <w:fldChar w:fldCharType="separate"/>
    </w:r>
    <w:r w:rsidR="00F5567E">
      <w:rPr>
        <w:rStyle w:val="Nmerodepgina"/>
        <w:noProof/>
      </w:rPr>
      <w:t>6</w:t>
    </w:r>
    <w:r>
      <w:rPr>
        <w:rStyle w:val="Nmerodepgina"/>
      </w:rPr>
      <w:fldChar w:fldCharType="end"/>
    </w:r>
    <w:r>
      <w:rPr>
        <w:rStyle w:val="Nmerodepgina"/>
      </w:rPr>
      <w:t xml:space="preserve">- </w:t>
    </w:r>
    <w:r>
      <w:rPr>
        <w:rStyle w:val="Nmerodepgina"/>
        <w:vanish/>
      </w:rPr>
      <w:pgNum/>
    </w:r>
    <w:r>
      <w:rPr>
        <w:rStyle w:val="Nmerodepgina"/>
        <w:vanish/>
      </w:rPr>
      <w:pgNum/>
    </w:r>
  </w:p>
  <w:p w14:paraId="70CB7879" w14:textId="1F8B9DFE" w:rsidR="008F2AD9" w:rsidRPr="00126A04" w:rsidRDefault="008F2AD9" w:rsidP="00E5500A">
    <w:pPr>
      <w:pStyle w:val="Encabezado"/>
      <w:tabs>
        <w:tab w:val="clear" w:pos="4320"/>
        <w:tab w:val="clear" w:pos="8640"/>
        <w:tab w:val="left" w:pos="6439"/>
      </w:tabs>
      <w:ind w:left="-142"/>
      <w:rPr>
        <w:rFonts w:ascii="Arial" w:hAnsi="Arial" w:cs="Arial"/>
      </w:rPr>
    </w:pPr>
    <w:r>
      <w:rPr>
        <w:rFonts w:ascii="Arial" w:hAnsi="Arial" w:cs="Arial"/>
      </w:rPr>
      <w:t xml:space="preserve">           </w:t>
    </w:r>
    <w:r>
      <w:rPr>
        <w:noProof/>
        <w:lang w:eastAsia="es-AR"/>
      </w:rPr>
      <w:drawing>
        <wp:inline distT="0" distB="0" distL="0" distR="0" wp14:anchorId="1A782E7A" wp14:editId="0F9BCA87">
          <wp:extent cx="1471074" cy="512064"/>
          <wp:effectExtent l="0" t="0" r="0" b="254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nuevo BBVA.jpg"/>
                  <pic:cNvPicPr/>
                </pic:nvPicPr>
                <pic:blipFill rotWithShape="1">
                  <a:blip r:embed="rId1" cstate="print">
                    <a:extLst>
                      <a:ext uri="{28A0092B-C50C-407E-A947-70E740481C1C}">
                        <a14:useLocalDpi xmlns:a14="http://schemas.microsoft.com/office/drawing/2010/main" val="0"/>
                      </a:ext>
                    </a:extLst>
                  </a:blip>
                  <a:srcRect l="6280" t="26911" r="9369" b="31146"/>
                  <a:stretch/>
                </pic:blipFill>
                <pic:spPr bwMode="auto">
                  <a:xfrm>
                    <a:off x="0" y="0"/>
                    <a:ext cx="1533885" cy="53392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ab/>
    </w:r>
  </w:p>
  <w:p w14:paraId="48D9B105" w14:textId="77777777" w:rsidR="008F2AD9" w:rsidRDefault="008F2AD9">
    <w:pPr>
      <w:pStyle w:val="Encabezado"/>
    </w:pPr>
  </w:p>
  <w:p w14:paraId="6268D86B" w14:textId="77777777" w:rsidR="008F2AD9" w:rsidRDefault="008F2AD9">
    <w:pPr>
      <w:pStyle w:val="Encabezado"/>
    </w:pPr>
    <w:r>
      <w:object w:dxaOrig="10800" w:dyaOrig="9350" w14:anchorId="4D450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40.75pt;height:467.25pt" o:ole="">
          <v:imagedata r:id="rId2" o:title=""/>
        </v:shape>
        <o:OLEObject Type="Embed" ProgID="Word.Picture.8" ShapeID="_x0000_i1030" DrawAspect="Content" ObjectID="_1699004337" r:id="rId3"/>
      </w:object>
    </w:r>
  </w:p>
  <w:p w14:paraId="6B436546" w14:textId="77777777" w:rsidR="008F2AD9" w:rsidRDefault="008F2AD9">
    <w:pPr>
      <w:pStyle w:val="Encabezado"/>
    </w:pPr>
    <w:r>
      <w:object w:dxaOrig="10800" w:dyaOrig="9745" w14:anchorId="6CD311A2">
        <v:shape id="_x0000_i1031" type="#_x0000_t75" style="width:540.75pt;height:489.75pt" o:ole="">
          <v:imagedata r:id="rId4" o:title=""/>
        </v:shape>
        <o:OLEObject Type="Embed" ProgID="Word.Picture.8" ShapeID="_x0000_i1031" DrawAspect="Content" ObjectID="_1699004338" r:id="rId5"/>
      </w:obje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3C6E0" w14:textId="6D5E0A28" w:rsidR="008F2AD9" w:rsidRDefault="008F2AD9" w:rsidP="00384422">
    <w:pPr>
      <w:pStyle w:val="Encabezado"/>
      <w:framePr w:w="676" w:h="271" w:hRule="exact" w:wrap="around" w:vAnchor="text" w:hAnchor="page" w:x="5821" w:y="695"/>
      <w:rPr>
        <w:rStyle w:val="Nmerodepgina"/>
      </w:rPr>
    </w:pPr>
    <w:r>
      <w:rPr>
        <w:rStyle w:val="Nmerodepgina"/>
      </w:rPr>
      <w:t>-</w:t>
    </w:r>
    <w:r>
      <w:rPr>
        <w:rStyle w:val="Nmerodepgina"/>
      </w:rPr>
      <w:fldChar w:fldCharType="begin"/>
    </w:r>
    <w:r>
      <w:rPr>
        <w:rStyle w:val="Nmerodepgina"/>
      </w:rPr>
      <w:instrText xml:space="preserve"> PAGE </w:instrText>
    </w:r>
    <w:r>
      <w:rPr>
        <w:rStyle w:val="Nmerodepgina"/>
      </w:rPr>
      <w:fldChar w:fldCharType="separate"/>
    </w:r>
    <w:r w:rsidR="00F5567E">
      <w:rPr>
        <w:rStyle w:val="Nmerodepgina"/>
        <w:noProof/>
      </w:rPr>
      <w:t>79</w:t>
    </w:r>
    <w:r>
      <w:rPr>
        <w:rStyle w:val="Nmerodepgina"/>
      </w:rPr>
      <w:fldChar w:fldCharType="end"/>
    </w:r>
    <w:r>
      <w:rPr>
        <w:rStyle w:val="Nmerodepgina"/>
      </w:rPr>
      <w:t xml:space="preserve">- </w:t>
    </w:r>
    <w:r>
      <w:rPr>
        <w:rStyle w:val="Nmerodepgina"/>
        <w:vanish/>
      </w:rPr>
      <w:pgNum/>
    </w:r>
    <w:r>
      <w:rPr>
        <w:rStyle w:val="Nmerodepgina"/>
        <w:vanish/>
      </w:rPr>
      <w:pgNum/>
    </w:r>
  </w:p>
  <w:p w14:paraId="7B018591" w14:textId="1FC0AE7D" w:rsidR="008F2AD9" w:rsidRPr="00126A04" w:rsidRDefault="008F2AD9" w:rsidP="00126A04">
    <w:pPr>
      <w:pStyle w:val="Encabezado"/>
      <w:ind w:left="-142"/>
      <w:rPr>
        <w:rFonts w:ascii="Arial" w:hAnsi="Arial" w:cs="Arial"/>
      </w:rPr>
    </w:pPr>
    <w:r>
      <w:rPr>
        <w:rFonts w:ascii="Arial" w:hAnsi="Arial" w:cs="Arial"/>
      </w:rPr>
      <w:t xml:space="preserve">  </w:t>
    </w:r>
    <w:r>
      <w:rPr>
        <w:noProof/>
        <w:lang w:eastAsia="es-AR"/>
      </w:rPr>
      <w:drawing>
        <wp:inline distT="0" distB="0" distL="0" distR="0" wp14:anchorId="2919D049" wp14:editId="5E5839FD">
          <wp:extent cx="1471074" cy="512064"/>
          <wp:effectExtent l="0" t="0" r="0" b="254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nuevo BBVA.jpg"/>
                  <pic:cNvPicPr/>
                </pic:nvPicPr>
                <pic:blipFill rotWithShape="1">
                  <a:blip r:embed="rId1" cstate="print">
                    <a:extLst>
                      <a:ext uri="{28A0092B-C50C-407E-A947-70E740481C1C}">
                        <a14:useLocalDpi xmlns:a14="http://schemas.microsoft.com/office/drawing/2010/main" val="0"/>
                      </a:ext>
                    </a:extLst>
                  </a:blip>
                  <a:srcRect l="6280" t="26911" r="9369" b="31146"/>
                  <a:stretch/>
                </pic:blipFill>
                <pic:spPr bwMode="auto">
                  <a:xfrm>
                    <a:off x="0" y="0"/>
                    <a:ext cx="1533885" cy="533928"/>
                  </a:xfrm>
                  <a:prstGeom prst="rect">
                    <a:avLst/>
                  </a:prstGeom>
                  <a:ln>
                    <a:noFill/>
                  </a:ln>
                  <a:extLst>
                    <a:ext uri="{53640926-AAD7-44D8-BBD7-CCE9431645EC}">
                      <a14:shadowObscured xmlns:a14="http://schemas.microsoft.com/office/drawing/2010/main"/>
                    </a:ext>
                  </a:extLst>
                </pic:spPr>
              </pic:pic>
            </a:graphicData>
          </a:graphic>
        </wp:inline>
      </w:drawing>
    </w:r>
  </w:p>
  <w:p w14:paraId="046E182C" w14:textId="77777777" w:rsidR="008F2AD9" w:rsidRDefault="008F2AD9">
    <w:pPr>
      <w:pStyle w:val="Encabezado"/>
    </w:pPr>
  </w:p>
  <w:p w14:paraId="0EA1F347" w14:textId="77777777" w:rsidR="008F2AD9" w:rsidRDefault="008F2AD9">
    <w:pPr>
      <w:pStyle w:val="Encabezado"/>
    </w:pPr>
    <w:r>
      <w:object w:dxaOrig="10800" w:dyaOrig="9350" w14:anchorId="18183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40.75pt;height:467.25pt" o:ole="">
          <v:imagedata r:id="rId2" o:title=""/>
        </v:shape>
        <o:OLEObject Type="Embed" ProgID="Word.Picture.8" ShapeID="_x0000_i1032" DrawAspect="Content" ObjectID="_1699004339" r:id="rId3"/>
      </w:object>
    </w:r>
  </w:p>
  <w:p w14:paraId="75FEB378" w14:textId="77777777" w:rsidR="008F2AD9" w:rsidRDefault="008F2AD9">
    <w:pPr>
      <w:pStyle w:val="Encabezado"/>
    </w:pPr>
    <w:r>
      <w:object w:dxaOrig="10800" w:dyaOrig="9636" w14:anchorId="73435D00">
        <v:shape id="_x0000_i1033" type="#_x0000_t75" style="width:540.75pt;height:482.25pt" o:ole="">
          <v:imagedata r:id="rId4" o:title=""/>
        </v:shape>
        <o:OLEObject Type="Embed" ProgID="Word.Picture.8" ShapeID="_x0000_i1033" DrawAspect="Content" ObjectID="_1699004340" r:id="rId5"/>
      </w:object>
    </w:r>
  </w:p>
  <w:p w14:paraId="054FFD63" w14:textId="77777777" w:rsidR="008F2AD9" w:rsidRDefault="008F2AD9"/>
  <w:p w14:paraId="183F39FD" w14:textId="77777777" w:rsidR="008F2AD9" w:rsidRDefault="008F2A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30.75pt" o:bullet="t">
        <v:imagedata r:id="rId1" o:title="bullet medium"/>
      </v:shape>
    </w:pict>
  </w:numPicBullet>
  <w:abstractNum w:abstractNumId="0" w15:restartNumberingAfterBreak="0">
    <w:nsid w:val="FFFFFF81"/>
    <w:multiLevelType w:val="singleLevel"/>
    <w:tmpl w:val="D7F464C8"/>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DAA6C21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3AAE62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F1AAD8C"/>
    <w:lvl w:ilvl="0">
      <w:start w:val="1"/>
      <w:numFmt w:val="decimal"/>
      <w:pStyle w:val="Listaconnmeros"/>
      <w:lvlText w:val="%1."/>
      <w:lvlJc w:val="left"/>
      <w:pPr>
        <w:tabs>
          <w:tab w:val="num" w:pos="360"/>
        </w:tabs>
        <w:ind w:left="360" w:hanging="360"/>
      </w:pPr>
    </w:lvl>
  </w:abstractNum>
  <w:abstractNum w:abstractNumId="4" w15:restartNumberingAfterBreak="0">
    <w:nsid w:val="00000006"/>
    <w:multiLevelType w:val="hybridMultilevel"/>
    <w:tmpl w:val="C94A99B2"/>
    <w:lvl w:ilvl="0" w:tplc="B2C26F54">
      <w:start w:val="1"/>
      <w:numFmt w:val="bullet"/>
      <w:pStyle w:val="Bullets0"/>
      <w:lvlText w:val=""/>
      <w:lvlPicBulletId w:val="0"/>
      <w:lvlJc w:val="left"/>
      <w:pPr>
        <w:ind w:left="720" w:hanging="360"/>
      </w:pPr>
      <w:rPr>
        <w:rFonts w:ascii="Symbol" w:hAnsi="Symbol" w:hint="default"/>
        <w:color w:val="auto"/>
      </w:rPr>
    </w:lvl>
    <w:lvl w:ilvl="1" w:tplc="77009D82">
      <w:start w:val="1"/>
      <w:numFmt w:val="bullet"/>
      <w:lvlText w:val="o"/>
      <w:lvlJc w:val="left"/>
      <w:pPr>
        <w:ind w:left="1440" w:hanging="360"/>
      </w:pPr>
      <w:rPr>
        <w:rFonts w:ascii="Courier New" w:hAnsi="Courier New" w:cs="Courier New" w:hint="default"/>
      </w:rPr>
    </w:lvl>
    <w:lvl w:ilvl="2" w:tplc="0F324F42">
      <w:start w:val="1"/>
      <w:numFmt w:val="bullet"/>
      <w:lvlText w:val=""/>
      <w:lvlJc w:val="left"/>
      <w:pPr>
        <w:ind w:left="2160" w:hanging="360"/>
      </w:pPr>
      <w:rPr>
        <w:rFonts w:ascii="Wingdings" w:hAnsi="Wingdings" w:hint="default"/>
      </w:rPr>
    </w:lvl>
    <w:lvl w:ilvl="3" w:tplc="04C8AB8E">
      <w:start w:val="1"/>
      <w:numFmt w:val="bullet"/>
      <w:lvlText w:val=""/>
      <w:lvlJc w:val="left"/>
      <w:pPr>
        <w:ind w:left="2880" w:hanging="360"/>
      </w:pPr>
      <w:rPr>
        <w:rFonts w:ascii="Symbol" w:hAnsi="Symbol" w:hint="default"/>
      </w:rPr>
    </w:lvl>
    <w:lvl w:ilvl="4" w:tplc="01D24452">
      <w:start w:val="1"/>
      <w:numFmt w:val="bullet"/>
      <w:lvlText w:val="o"/>
      <w:lvlJc w:val="left"/>
      <w:pPr>
        <w:ind w:left="3600" w:hanging="360"/>
      </w:pPr>
      <w:rPr>
        <w:rFonts w:ascii="Courier New" w:hAnsi="Courier New" w:cs="Courier New" w:hint="default"/>
      </w:rPr>
    </w:lvl>
    <w:lvl w:ilvl="5" w:tplc="538C9714">
      <w:start w:val="1"/>
      <w:numFmt w:val="bullet"/>
      <w:lvlText w:val=""/>
      <w:lvlJc w:val="left"/>
      <w:pPr>
        <w:ind w:left="4320" w:hanging="360"/>
      </w:pPr>
      <w:rPr>
        <w:rFonts w:ascii="Wingdings" w:hAnsi="Wingdings" w:hint="default"/>
      </w:rPr>
    </w:lvl>
    <w:lvl w:ilvl="6" w:tplc="7A384AA6">
      <w:start w:val="1"/>
      <w:numFmt w:val="bullet"/>
      <w:lvlText w:val=""/>
      <w:lvlJc w:val="left"/>
      <w:pPr>
        <w:ind w:left="5040" w:hanging="360"/>
      </w:pPr>
      <w:rPr>
        <w:rFonts w:ascii="Symbol" w:hAnsi="Symbol" w:hint="default"/>
      </w:rPr>
    </w:lvl>
    <w:lvl w:ilvl="7" w:tplc="2BD85C2A">
      <w:start w:val="1"/>
      <w:numFmt w:val="bullet"/>
      <w:lvlText w:val="o"/>
      <w:lvlJc w:val="left"/>
      <w:pPr>
        <w:ind w:left="5760" w:hanging="360"/>
      </w:pPr>
      <w:rPr>
        <w:rFonts w:ascii="Courier New" w:hAnsi="Courier New" w:cs="Courier New" w:hint="default"/>
      </w:rPr>
    </w:lvl>
    <w:lvl w:ilvl="8" w:tplc="39CEF004">
      <w:start w:val="1"/>
      <w:numFmt w:val="bullet"/>
      <w:lvlText w:val=""/>
      <w:lvlJc w:val="left"/>
      <w:pPr>
        <w:ind w:left="6480" w:hanging="360"/>
      </w:pPr>
      <w:rPr>
        <w:rFonts w:ascii="Wingdings" w:hAnsi="Wingdings" w:hint="default"/>
      </w:rPr>
    </w:lvl>
  </w:abstractNum>
  <w:abstractNum w:abstractNumId="5" w15:restartNumberingAfterBreak="0">
    <w:nsid w:val="00102384"/>
    <w:multiLevelType w:val="hybridMultilevel"/>
    <w:tmpl w:val="671ABB48"/>
    <w:lvl w:ilvl="0" w:tplc="CF56A38C">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30577BA"/>
    <w:multiLevelType w:val="hybridMultilevel"/>
    <w:tmpl w:val="E0825CA8"/>
    <w:lvl w:ilvl="0" w:tplc="2C0A0001">
      <w:start w:val="1"/>
      <w:numFmt w:val="bullet"/>
      <w:lvlText w:val=""/>
      <w:lvlJc w:val="left"/>
      <w:pPr>
        <w:ind w:left="1276" w:hanging="360"/>
      </w:pPr>
      <w:rPr>
        <w:rFonts w:ascii="Symbol" w:hAnsi="Symbol" w:hint="default"/>
      </w:rPr>
    </w:lvl>
    <w:lvl w:ilvl="1" w:tplc="2C0A0003" w:tentative="1">
      <w:start w:val="1"/>
      <w:numFmt w:val="bullet"/>
      <w:lvlText w:val="o"/>
      <w:lvlJc w:val="left"/>
      <w:pPr>
        <w:ind w:left="1996" w:hanging="360"/>
      </w:pPr>
      <w:rPr>
        <w:rFonts w:ascii="Courier New" w:hAnsi="Courier New" w:cs="Courier New" w:hint="default"/>
      </w:rPr>
    </w:lvl>
    <w:lvl w:ilvl="2" w:tplc="2C0A0005" w:tentative="1">
      <w:start w:val="1"/>
      <w:numFmt w:val="bullet"/>
      <w:lvlText w:val=""/>
      <w:lvlJc w:val="left"/>
      <w:pPr>
        <w:ind w:left="2716" w:hanging="360"/>
      </w:pPr>
      <w:rPr>
        <w:rFonts w:ascii="Wingdings" w:hAnsi="Wingdings" w:hint="default"/>
      </w:rPr>
    </w:lvl>
    <w:lvl w:ilvl="3" w:tplc="2C0A0001" w:tentative="1">
      <w:start w:val="1"/>
      <w:numFmt w:val="bullet"/>
      <w:lvlText w:val=""/>
      <w:lvlJc w:val="left"/>
      <w:pPr>
        <w:ind w:left="3436" w:hanging="360"/>
      </w:pPr>
      <w:rPr>
        <w:rFonts w:ascii="Symbol" w:hAnsi="Symbol" w:hint="default"/>
      </w:rPr>
    </w:lvl>
    <w:lvl w:ilvl="4" w:tplc="2C0A0003" w:tentative="1">
      <w:start w:val="1"/>
      <w:numFmt w:val="bullet"/>
      <w:lvlText w:val="o"/>
      <w:lvlJc w:val="left"/>
      <w:pPr>
        <w:ind w:left="4156" w:hanging="360"/>
      </w:pPr>
      <w:rPr>
        <w:rFonts w:ascii="Courier New" w:hAnsi="Courier New" w:cs="Courier New" w:hint="default"/>
      </w:rPr>
    </w:lvl>
    <w:lvl w:ilvl="5" w:tplc="2C0A0005" w:tentative="1">
      <w:start w:val="1"/>
      <w:numFmt w:val="bullet"/>
      <w:lvlText w:val=""/>
      <w:lvlJc w:val="left"/>
      <w:pPr>
        <w:ind w:left="4876" w:hanging="360"/>
      </w:pPr>
      <w:rPr>
        <w:rFonts w:ascii="Wingdings" w:hAnsi="Wingdings" w:hint="default"/>
      </w:rPr>
    </w:lvl>
    <w:lvl w:ilvl="6" w:tplc="2C0A0001" w:tentative="1">
      <w:start w:val="1"/>
      <w:numFmt w:val="bullet"/>
      <w:lvlText w:val=""/>
      <w:lvlJc w:val="left"/>
      <w:pPr>
        <w:ind w:left="5596" w:hanging="360"/>
      </w:pPr>
      <w:rPr>
        <w:rFonts w:ascii="Symbol" w:hAnsi="Symbol" w:hint="default"/>
      </w:rPr>
    </w:lvl>
    <w:lvl w:ilvl="7" w:tplc="2C0A0003" w:tentative="1">
      <w:start w:val="1"/>
      <w:numFmt w:val="bullet"/>
      <w:lvlText w:val="o"/>
      <w:lvlJc w:val="left"/>
      <w:pPr>
        <w:ind w:left="6316" w:hanging="360"/>
      </w:pPr>
      <w:rPr>
        <w:rFonts w:ascii="Courier New" w:hAnsi="Courier New" w:cs="Courier New" w:hint="default"/>
      </w:rPr>
    </w:lvl>
    <w:lvl w:ilvl="8" w:tplc="2C0A0005" w:tentative="1">
      <w:start w:val="1"/>
      <w:numFmt w:val="bullet"/>
      <w:lvlText w:val=""/>
      <w:lvlJc w:val="left"/>
      <w:pPr>
        <w:ind w:left="7036" w:hanging="360"/>
      </w:pPr>
      <w:rPr>
        <w:rFonts w:ascii="Wingdings" w:hAnsi="Wingdings" w:hint="default"/>
      </w:rPr>
    </w:lvl>
  </w:abstractNum>
  <w:abstractNum w:abstractNumId="7" w15:restartNumberingAfterBreak="0">
    <w:nsid w:val="07270C6C"/>
    <w:multiLevelType w:val="hybridMultilevel"/>
    <w:tmpl w:val="1F8A6F50"/>
    <w:lvl w:ilvl="0" w:tplc="C7B4D8E6">
      <w:start w:val="1"/>
      <w:numFmt w:val="decimal"/>
      <w:lvlText w:val="%1."/>
      <w:lvlJc w:val="left"/>
      <w:pPr>
        <w:ind w:left="700" w:hanging="360"/>
      </w:pPr>
      <w:rPr>
        <w:rFonts w:hint="default"/>
        <w:b/>
        <w:sz w:val="20"/>
        <w:szCs w:val="20"/>
      </w:rPr>
    </w:lvl>
    <w:lvl w:ilvl="1" w:tplc="2C0A0019">
      <w:start w:val="1"/>
      <w:numFmt w:val="lowerLetter"/>
      <w:lvlText w:val="%2."/>
      <w:lvlJc w:val="left"/>
      <w:pPr>
        <w:ind w:left="1420" w:hanging="360"/>
      </w:pPr>
    </w:lvl>
    <w:lvl w:ilvl="2" w:tplc="2C0A001B">
      <w:start w:val="1"/>
      <w:numFmt w:val="lowerRoman"/>
      <w:lvlText w:val="%3."/>
      <w:lvlJc w:val="right"/>
      <w:pPr>
        <w:ind w:left="2140" w:hanging="180"/>
      </w:pPr>
    </w:lvl>
    <w:lvl w:ilvl="3" w:tplc="2C0A000F" w:tentative="1">
      <w:start w:val="1"/>
      <w:numFmt w:val="decimal"/>
      <w:lvlText w:val="%4."/>
      <w:lvlJc w:val="left"/>
      <w:pPr>
        <w:ind w:left="2860" w:hanging="360"/>
      </w:pPr>
    </w:lvl>
    <w:lvl w:ilvl="4" w:tplc="2C0A0019" w:tentative="1">
      <w:start w:val="1"/>
      <w:numFmt w:val="lowerLetter"/>
      <w:lvlText w:val="%5."/>
      <w:lvlJc w:val="left"/>
      <w:pPr>
        <w:ind w:left="3580" w:hanging="360"/>
      </w:pPr>
    </w:lvl>
    <w:lvl w:ilvl="5" w:tplc="2C0A001B" w:tentative="1">
      <w:start w:val="1"/>
      <w:numFmt w:val="lowerRoman"/>
      <w:lvlText w:val="%6."/>
      <w:lvlJc w:val="right"/>
      <w:pPr>
        <w:ind w:left="4300" w:hanging="180"/>
      </w:pPr>
    </w:lvl>
    <w:lvl w:ilvl="6" w:tplc="2C0A000F" w:tentative="1">
      <w:start w:val="1"/>
      <w:numFmt w:val="decimal"/>
      <w:lvlText w:val="%7."/>
      <w:lvlJc w:val="left"/>
      <w:pPr>
        <w:ind w:left="5020" w:hanging="360"/>
      </w:pPr>
    </w:lvl>
    <w:lvl w:ilvl="7" w:tplc="2C0A0019" w:tentative="1">
      <w:start w:val="1"/>
      <w:numFmt w:val="lowerLetter"/>
      <w:lvlText w:val="%8."/>
      <w:lvlJc w:val="left"/>
      <w:pPr>
        <w:ind w:left="5740" w:hanging="360"/>
      </w:pPr>
    </w:lvl>
    <w:lvl w:ilvl="8" w:tplc="2C0A001B" w:tentative="1">
      <w:start w:val="1"/>
      <w:numFmt w:val="lowerRoman"/>
      <w:lvlText w:val="%9."/>
      <w:lvlJc w:val="right"/>
      <w:pPr>
        <w:ind w:left="6460" w:hanging="180"/>
      </w:pPr>
    </w:lvl>
  </w:abstractNum>
  <w:abstractNum w:abstractNumId="8" w15:restartNumberingAfterBreak="0">
    <w:nsid w:val="07916CF2"/>
    <w:multiLevelType w:val="hybridMultilevel"/>
    <w:tmpl w:val="D3F6FADA"/>
    <w:lvl w:ilvl="0" w:tplc="16A050D2">
      <w:start w:val="1"/>
      <w:numFmt w:val="decimal"/>
      <w:lvlText w:val="(%1)"/>
      <w:lvlJc w:val="left"/>
      <w:pPr>
        <w:ind w:left="-187" w:hanging="360"/>
      </w:pPr>
      <w:rPr>
        <w:rFonts w:hint="default"/>
        <w:sz w:val="18"/>
        <w:vertAlign w:val="superscript"/>
      </w:rPr>
    </w:lvl>
    <w:lvl w:ilvl="1" w:tplc="2C0A0019" w:tentative="1">
      <w:start w:val="1"/>
      <w:numFmt w:val="lowerLetter"/>
      <w:lvlText w:val="%2."/>
      <w:lvlJc w:val="left"/>
      <w:pPr>
        <w:ind w:left="533" w:hanging="360"/>
      </w:pPr>
    </w:lvl>
    <w:lvl w:ilvl="2" w:tplc="2C0A001B" w:tentative="1">
      <w:start w:val="1"/>
      <w:numFmt w:val="lowerRoman"/>
      <w:lvlText w:val="%3."/>
      <w:lvlJc w:val="right"/>
      <w:pPr>
        <w:ind w:left="1253" w:hanging="180"/>
      </w:pPr>
    </w:lvl>
    <w:lvl w:ilvl="3" w:tplc="2C0A000F" w:tentative="1">
      <w:start w:val="1"/>
      <w:numFmt w:val="decimal"/>
      <w:lvlText w:val="%4."/>
      <w:lvlJc w:val="left"/>
      <w:pPr>
        <w:ind w:left="1973" w:hanging="360"/>
      </w:pPr>
    </w:lvl>
    <w:lvl w:ilvl="4" w:tplc="2C0A0019" w:tentative="1">
      <w:start w:val="1"/>
      <w:numFmt w:val="lowerLetter"/>
      <w:lvlText w:val="%5."/>
      <w:lvlJc w:val="left"/>
      <w:pPr>
        <w:ind w:left="2693" w:hanging="360"/>
      </w:pPr>
    </w:lvl>
    <w:lvl w:ilvl="5" w:tplc="2C0A001B" w:tentative="1">
      <w:start w:val="1"/>
      <w:numFmt w:val="lowerRoman"/>
      <w:lvlText w:val="%6."/>
      <w:lvlJc w:val="right"/>
      <w:pPr>
        <w:ind w:left="3413" w:hanging="180"/>
      </w:pPr>
    </w:lvl>
    <w:lvl w:ilvl="6" w:tplc="2C0A000F" w:tentative="1">
      <w:start w:val="1"/>
      <w:numFmt w:val="decimal"/>
      <w:lvlText w:val="%7."/>
      <w:lvlJc w:val="left"/>
      <w:pPr>
        <w:ind w:left="4133" w:hanging="360"/>
      </w:pPr>
    </w:lvl>
    <w:lvl w:ilvl="7" w:tplc="2C0A0019" w:tentative="1">
      <w:start w:val="1"/>
      <w:numFmt w:val="lowerLetter"/>
      <w:lvlText w:val="%8."/>
      <w:lvlJc w:val="left"/>
      <w:pPr>
        <w:ind w:left="4853" w:hanging="360"/>
      </w:pPr>
    </w:lvl>
    <w:lvl w:ilvl="8" w:tplc="2C0A001B" w:tentative="1">
      <w:start w:val="1"/>
      <w:numFmt w:val="lowerRoman"/>
      <w:lvlText w:val="%9."/>
      <w:lvlJc w:val="right"/>
      <w:pPr>
        <w:ind w:left="5573" w:hanging="180"/>
      </w:pPr>
    </w:lvl>
  </w:abstractNum>
  <w:abstractNum w:abstractNumId="9" w15:restartNumberingAfterBreak="0">
    <w:nsid w:val="0B6D11AA"/>
    <w:multiLevelType w:val="multilevel"/>
    <w:tmpl w:val="B0F8C4FA"/>
    <w:lvl w:ilvl="0">
      <w:start w:val="1"/>
      <w:numFmt w:val="decimal"/>
      <w:lvlText w:val="%1"/>
      <w:lvlJc w:val="left"/>
      <w:pPr>
        <w:tabs>
          <w:tab w:val="num" w:pos="340"/>
        </w:tabs>
        <w:ind w:left="340" w:hanging="340"/>
      </w:pPr>
      <w:rPr>
        <w:rFonts w:ascii="Arial" w:hAnsi="Arial" w:cs="Arial" w:hint="default"/>
        <w:b/>
        <w:bCs w:val="0"/>
        <w:i w:val="0"/>
        <w:iCs w:val="0"/>
        <w:caps w:val="0"/>
        <w:strike w:val="0"/>
        <w:dstrike w:val="0"/>
        <w:outline w:val="0"/>
        <w:shadow w:val="0"/>
        <w:emboss w:val="0"/>
        <w:imprint w:val="0"/>
        <w:snapToGrid w:val="0"/>
        <w:color w:val="auto"/>
        <w:sz w:val="20"/>
      </w:rPr>
    </w:lvl>
    <w:lvl w:ilvl="1">
      <w:start w:val="1"/>
      <w:numFmt w:val="lowerLetter"/>
      <w:lvlText w:val="—"/>
      <w:lvlJc w:val="left"/>
      <w:pPr>
        <w:tabs>
          <w:tab w:val="num" w:pos="680"/>
        </w:tabs>
        <w:ind w:left="680" w:hanging="340"/>
      </w:pPr>
      <w:rPr>
        <w:rFonts w:ascii="Arial" w:hAnsi="Arial" w:cs="Arial" w:hint="default"/>
        <w:b w:val="0"/>
        <w:bCs w:val="0"/>
        <w:i w:val="0"/>
        <w:iCs w:val="0"/>
        <w:caps w:val="0"/>
        <w:strike w:val="0"/>
        <w:dstrike w:val="0"/>
        <w:outline w:val="0"/>
        <w:shadow w:val="0"/>
        <w:emboss w:val="0"/>
        <w:imprint w:val="0"/>
        <w:snapToGrid w:val="0"/>
        <w:color w:val="auto"/>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 w15:restartNumberingAfterBreak="0">
    <w:nsid w:val="0C6B0E0E"/>
    <w:multiLevelType w:val="hybridMultilevel"/>
    <w:tmpl w:val="9318709E"/>
    <w:lvl w:ilvl="0" w:tplc="C7DE4008">
      <w:start w:val="1"/>
      <w:numFmt w:val="decimal"/>
      <w:lvlText w:val="(%1)"/>
      <w:lvlJc w:val="left"/>
      <w:pPr>
        <w:ind w:left="1146" w:hanging="360"/>
      </w:pPr>
      <w:rPr>
        <w:rFonts w:hint="default"/>
        <w:b w:val="0"/>
      </w:rPr>
    </w:lvl>
    <w:lvl w:ilvl="1" w:tplc="2C0A0019" w:tentative="1">
      <w:start w:val="1"/>
      <w:numFmt w:val="lowerLetter"/>
      <w:lvlText w:val="%2."/>
      <w:lvlJc w:val="left"/>
      <w:pPr>
        <w:ind w:left="1866" w:hanging="360"/>
      </w:pPr>
    </w:lvl>
    <w:lvl w:ilvl="2" w:tplc="2C0A001B" w:tentative="1">
      <w:start w:val="1"/>
      <w:numFmt w:val="lowerRoman"/>
      <w:lvlText w:val="%3."/>
      <w:lvlJc w:val="right"/>
      <w:pPr>
        <w:ind w:left="2586" w:hanging="180"/>
      </w:pPr>
    </w:lvl>
    <w:lvl w:ilvl="3" w:tplc="2C0A000F" w:tentative="1">
      <w:start w:val="1"/>
      <w:numFmt w:val="decimal"/>
      <w:lvlText w:val="%4."/>
      <w:lvlJc w:val="left"/>
      <w:pPr>
        <w:ind w:left="3306" w:hanging="360"/>
      </w:pPr>
    </w:lvl>
    <w:lvl w:ilvl="4" w:tplc="2C0A0019" w:tentative="1">
      <w:start w:val="1"/>
      <w:numFmt w:val="lowerLetter"/>
      <w:lvlText w:val="%5."/>
      <w:lvlJc w:val="left"/>
      <w:pPr>
        <w:ind w:left="4026" w:hanging="360"/>
      </w:pPr>
    </w:lvl>
    <w:lvl w:ilvl="5" w:tplc="2C0A001B" w:tentative="1">
      <w:start w:val="1"/>
      <w:numFmt w:val="lowerRoman"/>
      <w:lvlText w:val="%6."/>
      <w:lvlJc w:val="right"/>
      <w:pPr>
        <w:ind w:left="4746" w:hanging="180"/>
      </w:pPr>
    </w:lvl>
    <w:lvl w:ilvl="6" w:tplc="2C0A000F" w:tentative="1">
      <w:start w:val="1"/>
      <w:numFmt w:val="decimal"/>
      <w:lvlText w:val="%7."/>
      <w:lvlJc w:val="left"/>
      <w:pPr>
        <w:ind w:left="5466" w:hanging="360"/>
      </w:pPr>
    </w:lvl>
    <w:lvl w:ilvl="7" w:tplc="2C0A0019" w:tentative="1">
      <w:start w:val="1"/>
      <w:numFmt w:val="lowerLetter"/>
      <w:lvlText w:val="%8."/>
      <w:lvlJc w:val="left"/>
      <w:pPr>
        <w:ind w:left="6186" w:hanging="360"/>
      </w:pPr>
    </w:lvl>
    <w:lvl w:ilvl="8" w:tplc="2C0A001B" w:tentative="1">
      <w:start w:val="1"/>
      <w:numFmt w:val="lowerRoman"/>
      <w:lvlText w:val="%9."/>
      <w:lvlJc w:val="right"/>
      <w:pPr>
        <w:ind w:left="6906" w:hanging="180"/>
      </w:pPr>
    </w:lvl>
  </w:abstractNum>
  <w:abstractNum w:abstractNumId="11" w15:restartNumberingAfterBreak="0">
    <w:nsid w:val="0C8A427D"/>
    <w:multiLevelType w:val="hybridMultilevel"/>
    <w:tmpl w:val="E4A64BE6"/>
    <w:lvl w:ilvl="0" w:tplc="4B149EC2">
      <w:start w:val="1"/>
      <w:numFmt w:val="lowerLetter"/>
      <w:lvlText w:val="%1)"/>
      <w:lvlJc w:val="left"/>
      <w:pPr>
        <w:ind w:left="1778" w:hanging="360"/>
      </w:pPr>
      <w:rPr>
        <w:rFonts w:hint="default"/>
      </w:rPr>
    </w:lvl>
    <w:lvl w:ilvl="1" w:tplc="2C0A0019" w:tentative="1">
      <w:start w:val="1"/>
      <w:numFmt w:val="lowerLetter"/>
      <w:lvlText w:val="%2."/>
      <w:lvlJc w:val="left"/>
      <w:pPr>
        <w:ind w:left="2498" w:hanging="360"/>
      </w:pPr>
    </w:lvl>
    <w:lvl w:ilvl="2" w:tplc="2C0A001B" w:tentative="1">
      <w:start w:val="1"/>
      <w:numFmt w:val="lowerRoman"/>
      <w:lvlText w:val="%3."/>
      <w:lvlJc w:val="right"/>
      <w:pPr>
        <w:ind w:left="3218" w:hanging="180"/>
      </w:pPr>
    </w:lvl>
    <w:lvl w:ilvl="3" w:tplc="2C0A000F" w:tentative="1">
      <w:start w:val="1"/>
      <w:numFmt w:val="decimal"/>
      <w:lvlText w:val="%4."/>
      <w:lvlJc w:val="left"/>
      <w:pPr>
        <w:ind w:left="3938" w:hanging="360"/>
      </w:pPr>
    </w:lvl>
    <w:lvl w:ilvl="4" w:tplc="2C0A0019" w:tentative="1">
      <w:start w:val="1"/>
      <w:numFmt w:val="lowerLetter"/>
      <w:lvlText w:val="%5."/>
      <w:lvlJc w:val="left"/>
      <w:pPr>
        <w:ind w:left="4658" w:hanging="360"/>
      </w:pPr>
    </w:lvl>
    <w:lvl w:ilvl="5" w:tplc="2C0A001B" w:tentative="1">
      <w:start w:val="1"/>
      <w:numFmt w:val="lowerRoman"/>
      <w:lvlText w:val="%6."/>
      <w:lvlJc w:val="right"/>
      <w:pPr>
        <w:ind w:left="5378" w:hanging="180"/>
      </w:pPr>
    </w:lvl>
    <w:lvl w:ilvl="6" w:tplc="2C0A000F" w:tentative="1">
      <w:start w:val="1"/>
      <w:numFmt w:val="decimal"/>
      <w:lvlText w:val="%7."/>
      <w:lvlJc w:val="left"/>
      <w:pPr>
        <w:ind w:left="6098" w:hanging="360"/>
      </w:pPr>
    </w:lvl>
    <w:lvl w:ilvl="7" w:tplc="2C0A0019" w:tentative="1">
      <w:start w:val="1"/>
      <w:numFmt w:val="lowerLetter"/>
      <w:lvlText w:val="%8."/>
      <w:lvlJc w:val="left"/>
      <w:pPr>
        <w:ind w:left="6818" w:hanging="360"/>
      </w:pPr>
    </w:lvl>
    <w:lvl w:ilvl="8" w:tplc="2C0A001B" w:tentative="1">
      <w:start w:val="1"/>
      <w:numFmt w:val="lowerRoman"/>
      <w:lvlText w:val="%9."/>
      <w:lvlJc w:val="right"/>
      <w:pPr>
        <w:ind w:left="7538" w:hanging="180"/>
      </w:pPr>
    </w:lvl>
  </w:abstractNum>
  <w:abstractNum w:abstractNumId="12" w15:restartNumberingAfterBreak="0">
    <w:nsid w:val="0C8D419C"/>
    <w:multiLevelType w:val="hybridMultilevel"/>
    <w:tmpl w:val="421A46B2"/>
    <w:lvl w:ilvl="0" w:tplc="0AC470DC">
      <w:start w:val="1"/>
      <w:numFmt w:val="decimal"/>
      <w:lvlText w:val="(%1)"/>
      <w:lvlJc w:val="left"/>
      <w:pPr>
        <w:ind w:left="1145" w:hanging="360"/>
      </w:pPr>
      <w:rPr>
        <w:rFonts w:hint="default"/>
      </w:rPr>
    </w:lvl>
    <w:lvl w:ilvl="1" w:tplc="10E472FE">
      <w:start w:val="1"/>
      <w:numFmt w:val="lowerRoman"/>
      <w:lvlText w:val="(%2)"/>
      <w:lvlJc w:val="left"/>
      <w:pPr>
        <w:ind w:left="2225" w:hanging="720"/>
      </w:pPr>
      <w:rPr>
        <w:rFonts w:hint="default"/>
      </w:rPr>
    </w:lvl>
    <w:lvl w:ilvl="2" w:tplc="9D8438E6">
      <w:start w:val="1"/>
      <w:numFmt w:val="lowerLetter"/>
      <w:lvlText w:val="(%3)"/>
      <w:lvlJc w:val="left"/>
      <w:pPr>
        <w:ind w:left="2765" w:hanging="360"/>
      </w:pPr>
      <w:rPr>
        <w:rFonts w:hint="default"/>
      </w:rPr>
    </w:lvl>
    <w:lvl w:ilvl="3" w:tplc="2C0A000F" w:tentative="1">
      <w:start w:val="1"/>
      <w:numFmt w:val="decimal"/>
      <w:lvlText w:val="%4."/>
      <w:lvlJc w:val="left"/>
      <w:pPr>
        <w:ind w:left="3305" w:hanging="360"/>
      </w:pPr>
    </w:lvl>
    <w:lvl w:ilvl="4" w:tplc="2C0A0019" w:tentative="1">
      <w:start w:val="1"/>
      <w:numFmt w:val="lowerLetter"/>
      <w:lvlText w:val="%5."/>
      <w:lvlJc w:val="left"/>
      <w:pPr>
        <w:ind w:left="4025" w:hanging="360"/>
      </w:pPr>
    </w:lvl>
    <w:lvl w:ilvl="5" w:tplc="2C0A001B" w:tentative="1">
      <w:start w:val="1"/>
      <w:numFmt w:val="lowerRoman"/>
      <w:lvlText w:val="%6."/>
      <w:lvlJc w:val="right"/>
      <w:pPr>
        <w:ind w:left="4745" w:hanging="180"/>
      </w:pPr>
    </w:lvl>
    <w:lvl w:ilvl="6" w:tplc="2C0A000F" w:tentative="1">
      <w:start w:val="1"/>
      <w:numFmt w:val="decimal"/>
      <w:lvlText w:val="%7."/>
      <w:lvlJc w:val="left"/>
      <w:pPr>
        <w:ind w:left="5465" w:hanging="360"/>
      </w:pPr>
    </w:lvl>
    <w:lvl w:ilvl="7" w:tplc="2C0A0019" w:tentative="1">
      <w:start w:val="1"/>
      <w:numFmt w:val="lowerLetter"/>
      <w:lvlText w:val="%8."/>
      <w:lvlJc w:val="left"/>
      <w:pPr>
        <w:ind w:left="6185" w:hanging="360"/>
      </w:pPr>
    </w:lvl>
    <w:lvl w:ilvl="8" w:tplc="2C0A001B" w:tentative="1">
      <w:start w:val="1"/>
      <w:numFmt w:val="lowerRoman"/>
      <w:lvlText w:val="%9."/>
      <w:lvlJc w:val="right"/>
      <w:pPr>
        <w:ind w:left="6905" w:hanging="180"/>
      </w:pPr>
    </w:lvl>
  </w:abstractNum>
  <w:abstractNum w:abstractNumId="13" w15:restartNumberingAfterBreak="0">
    <w:nsid w:val="0DEE107F"/>
    <w:multiLevelType w:val="hybridMultilevel"/>
    <w:tmpl w:val="DA022DB8"/>
    <w:lvl w:ilvl="0" w:tplc="B1024622">
      <w:start w:val="1"/>
      <w:numFmt w:val="decimal"/>
      <w:lvlText w:val="(%1)"/>
      <w:lvlJc w:val="left"/>
      <w:pPr>
        <w:ind w:left="2193" w:hanging="360"/>
      </w:pPr>
      <w:rPr>
        <w:rFonts w:hint="default"/>
      </w:rPr>
    </w:lvl>
    <w:lvl w:ilvl="1" w:tplc="2C0A0019" w:tentative="1">
      <w:start w:val="1"/>
      <w:numFmt w:val="lowerLetter"/>
      <w:lvlText w:val="%2."/>
      <w:lvlJc w:val="left"/>
      <w:pPr>
        <w:ind w:left="2913" w:hanging="360"/>
      </w:pPr>
    </w:lvl>
    <w:lvl w:ilvl="2" w:tplc="2C0A001B" w:tentative="1">
      <w:start w:val="1"/>
      <w:numFmt w:val="lowerRoman"/>
      <w:lvlText w:val="%3."/>
      <w:lvlJc w:val="right"/>
      <w:pPr>
        <w:ind w:left="3633" w:hanging="180"/>
      </w:pPr>
    </w:lvl>
    <w:lvl w:ilvl="3" w:tplc="2C0A000F" w:tentative="1">
      <w:start w:val="1"/>
      <w:numFmt w:val="decimal"/>
      <w:lvlText w:val="%4."/>
      <w:lvlJc w:val="left"/>
      <w:pPr>
        <w:ind w:left="4353" w:hanging="360"/>
      </w:pPr>
    </w:lvl>
    <w:lvl w:ilvl="4" w:tplc="2C0A0019" w:tentative="1">
      <w:start w:val="1"/>
      <w:numFmt w:val="lowerLetter"/>
      <w:lvlText w:val="%5."/>
      <w:lvlJc w:val="left"/>
      <w:pPr>
        <w:ind w:left="5073" w:hanging="360"/>
      </w:pPr>
    </w:lvl>
    <w:lvl w:ilvl="5" w:tplc="2C0A001B" w:tentative="1">
      <w:start w:val="1"/>
      <w:numFmt w:val="lowerRoman"/>
      <w:lvlText w:val="%6."/>
      <w:lvlJc w:val="right"/>
      <w:pPr>
        <w:ind w:left="5793" w:hanging="180"/>
      </w:pPr>
    </w:lvl>
    <w:lvl w:ilvl="6" w:tplc="2C0A000F" w:tentative="1">
      <w:start w:val="1"/>
      <w:numFmt w:val="decimal"/>
      <w:lvlText w:val="%7."/>
      <w:lvlJc w:val="left"/>
      <w:pPr>
        <w:ind w:left="6513" w:hanging="360"/>
      </w:pPr>
    </w:lvl>
    <w:lvl w:ilvl="7" w:tplc="2C0A0019" w:tentative="1">
      <w:start w:val="1"/>
      <w:numFmt w:val="lowerLetter"/>
      <w:lvlText w:val="%8."/>
      <w:lvlJc w:val="left"/>
      <w:pPr>
        <w:ind w:left="7233" w:hanging="360"/>
      </w:pPr>
    </w:lvl>
    <w:lvl w:ilvl="8" w:tplc="2C0A001B" w:tentative="1">
      <w:start w:val="1"/>
      <w:numFmt w:val="lowerRoman"/>
      <w:lvlText w:val="%9."/>
      <w:lvlJc w:val="right"/>
      <w:pPr>
        <w:ind w:left="7953" w:hanging="180"/>
      </w:pPr>
    </w:lvl>
  </w:abstractNum>
  <w:abstractNum w:abstractNumId="14" w15:restartNumberingAfterBreak="0">
    <w:nsid w:val="12446A6B"/>
    <w:multiLevelType w:val="hybridMultilevel"/>
    <w:tmpl w:val="5C0EEB42"/>
    <w:lvl w:ilvl="0" w:tplc="2C0A0017">
      <w:start w:val="1"/>
      <w:numFmt w:val="lowerLetter"/>
      <w:lvlText w:val="%1)"/>
      <w:lvlJc w:val="left"/>
      <w:pPr>
        <w:ind w:left="363" w:hanging="360"/>
      </w:pPr>
      <w:rPr>
        <w:rFonts w:hint="default"/>
      </w:rPr>
    </w:lvl>
    <w:lvl w:ilvl="1" w:tplc="2C0A0019">
      <w:start w:val="1"/>
      <w:numFmt w:val="lowerLetter"/>
      <w:lvlText w:val="%2."/>
      <w:lvlJc w:val="left"/>
      <w:pPr>
        <w:ind w:left="1083" w:hanging="360"/>
      </w:pPr>
    </w:lvl>
    <w:lvl w:ilvl="2" w:tplc="2C0A001B" w:tentative="1">
      <w:start w:val="1"/>
      <w:numFmt w:val="lowerRoman"/>
      <w:lvlText w:val="%3."/>
      <w:lvlJc w:val="right"/>
      <w:pPr>
        <w:ind w:left="1803" w:hanging="180"/>
      </w:pPr>
    </w:lvl>
    <w:lvl w:ilvl="3" w:tplc="2C0A000F" w:tentative="1">
      <w:start w:val="1"/>
      <w:numFmt w:val="decimal"/>
      <w:lvlText w:val="%4."/>
      <w:lvlJc w:val="left"/>
      <w:pPr>
        <w:ind w:left="2523" w:hanging="360"/>
      </w:pPr>
    </w:lvl>
    <w:lvl w:ilvl="4" w:tplc="2C0A0019" w:tentative="1">
      <w:start w:val="1"/>
      <w:numFmt w:val="lowerLetter"/>
      <w:lvlText w:val="%5."/>
      <w:lvlJc w:val="left"/>
      <w:pPr>
        <w:ind w:left="3243" w:hanging="360"/>
      </w:pPr>
    </w:lvl>
    <w:lvl w:ilvl="5" w:tplc="2C0A001B" w:tentative="1">
      <w:start w:val="1"/>
      <w:numFmt w:val="lowerRoman"/>
      <w:lvlText w:val="%6."/>
      <w:lvlJc w:val="right"/>
      <w:pPr>
        <w:ind w:left="3963" w:hanging="180"/>
      </w:pPr>
    </w:lvl>
    <w:lvl w:ilvl="6" w:tplc="2C0A000F" w:tentative="1">
      <w:start w:val="1"/>
      <w:numFmt w:val="decimal"/>
      <w:lvlText w:val="%7."/>
      <w:lvlJc w:val="left"/>
      <w:pPr>
        <w:ind w:left="4683" w:hanging="360"/>
      </w:pPr>
    </w:lvl>
    <w:lvl w:ilvl="7" w:tplc="2C0A0019" w:tentative="1">
      <w:start w:val="1"/>
      <w:numFmt w:val="lowerLetter"/>
      <w:lvlText w:val="%8."/>
      <w:lvlJc w:val="left"/>
      <w:pPr>
        <w:ind w:left="5403" w:hanging="360"/>
      </w:pPr>
    </w:lvl>
    <w:lvl w:ilvl="8" w:tplc="2C0A001B" w:tentative="1">
      <w:start w:val="1"/>
      <w:numFmt w:val="lowerRoman"/>
      <w:lvlText w:val="%9."/>
      <w:lvlJc w:val="right"/>
      <w:pPr>
        <w:ind w:left="6123" w:hanging="180"/>
      </w:pPr>
    </w:lvl>
  </w:abstractNum>
  <w:abstractNum w:abstractNumId="15" w15:restartNumberingAfterBreak="0">
    <w:nsid w:val="13E2682A"/>
    <w:multiLevelType w:val="hybridMultilevel"/>
    <w:tmpl w:val="6374E4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3F674F4"/>
    <w:multiLevelType w:val="hybridMultilevel"/>
    <w:tmpl w:val="4A342454"/>
    <w:lvl w:ilvl="0" w:tplc="D21890E0">
      <w:start w:val="1"/>
      <w:numFmt w:val="decimal"/>
      <w:lvlText w:val="(%1)"/>
      <w:lvlJc w:val="left"/>
      <w:pPr>
        <w:ind w:left="1574" w:hanging="360"/>
      </w:pPr>
      <w:rPr>
        <w:rFonts w:hint="default"/>
      </w:rPr>
    </w:lvl>
    <w:lvl w:ilvl="1" w:tplc="2C0A0019" w:tentative="1">
      <w:start w:val="1"/>
      <w:numFmt w:val="lowerLetter"/>
      <w:lvlText w:val="%2."/>
      <w:lvlJc w:val="left"/>
      <w:pPr>
        <w:ind w:left="2294" w:hanging="360"/>
      </w:pPr>
    </w:lvl>
    <w:lvl w:ilvl="2" w:tplc="2C0A001B" w:tentative="1">
      <w:start w:val="1"/>
      <w:numFmt w:val="lowerRoman"/>
      <w:lvlText w:val="%3."/>
      <w:lvlJc w:val="right"/>
      <w:pPr>
        <w:ind w:left="3014" w:hanging="180"/>
      </w:pPr>
    </w:lvl>
    <w:lvl w:ilvl="3" w:tplc="2C0A000F" w:tentative="1">
      <w:start w:val="1"/>
      <w:numFmt w:val="decimal"/>
      <w:lvlText w:val="%4."/>
      <w:lvlJc w:val="left"/>
      <w:pPr>
        <w:ind w:left="3734" w:hanging="360"/>
      </w:pPr>
    </w:lvl>
    <w:lvl w:ilvl="4" w:tplc="2C0A0019" w:tentative="1">
      <w:start w:val="1"/>
      <w:numFmt w:val="lowerLetter"/>
      <w:lvlText w:val="%5."/>
      <w:lvlJc w:val="left"/>
      <w:pPr>
        <w:ind w:left="4454" w:hanging="360"/>
      </w:pPr>
    </w:lvl>
    <w:lvl w:ilvl="5" w:tplc="2C0A001B" w:tentative="1">
      <w:start w:val="1"/>
      <w:numFmt w:val="lowerRoman"/>
      <w:lvlText w:val="%6."/>
      <w:lvlJc w:val="right"/>
      <w:pPr>
        <w:ind w:left="5174" w:hanging="180"/>
      </w:pPr>
    </w:lvl>
    <w:lvl w:ilvl="6" w:tplc="2C0A000F" w:tentative="1">
      <w:start w:val="1"/>
      <w:numFmt w:val="decimal"/>
      <w:lvlText w:val="%7."/>
      <w:lvlJc w:val="left"/>
      <w:pPr>
        <w:ind w:left="5894" w:hanging="360"/>
      </w:pPr>
    </w:lvl>
    <w:lvl w:ilvl="7" w:tplc="2C0A0019" w:tentative="1">
      <w:start w:val="1"/>
      <w:numFmt w:val="lowerLetter"/>
      <w:lvlText w:val="%8."/>
      <w:lvlJc w:val="left"/>
      <w:pPr>
        <w:ind w:left="6614" w:hanging="360"/>
      </w:pPr>
    </w:lvl>
    <w:lvl w:ilvl="8" w:tplc="2C0A001B" w:tentative="1">
      <w:start w:val="1"/>
      <w:numFmt w:val="lowerRoman"/>
      <w:lvlText w:val="%9."/>
      <w:lvlJc w:val="right"/>
      <w:pPr>
        <w:ind w:left="7334" w:hanging="180"/>
      </w:pPr>
    </w:lvl>
  </w:abstractNum>
  <w:abstractNum w:abstractNumId="17" w15:restartNumberingAfterBreak="0">
    <w:nsid w:val="140D7B9B"/>
    <w:multiLevelType w:val="hybridMultilevel"/>
    <w:tmpl w:val="88EE98B6"/>
    <w:lvl w:ilvl="0" w:tplc="7CE03620">
      <w:start w:val="1"/>
      <w:numFmt w:val="bullet"/>
      <w:lvlText w:val=""/>
      <w:lvlJc w:val="left"/>
      <w:pPr>
        <w:ind w:left="3087" w:hanging="360"/>
      </w:pPr>
      <w:rPr>
        <w:rFonts w:ascii="Symbol" w:hAnsi="Symbol" w:hint="default"/>
        <w:color w:val="auto"/>
        <w:sz w:val="18"/>
      </w:rPr>
    </w:lvl>
    <w:lvl w:ilvl="1" w:tplc="2C0A0003">
      <w:start w:val="1"/>
      <w:numFmt w:val="bullet"/>
      <w:lvlText w:val="o"/>
      <w:lvlJc w:val="left"/>
      <w:pPr>
        <w:ind w:left="3807" w:hanging="360"/>
      </w:pPr>
      <w:rPr>
        <w:rFonts w:ascii="Courier New" w:hAnsi="Courier New" w:cs="Courier New" w:hint="default"/>
      </w:rPr>
    </w:lvl>
    <w:lvl w:ilvl="2" w:tplc="2C0A0005">
      <w:start w:val="1"/>
      <w:numFmt w:val="bullet"/>
      <w:lvlText w:val=""/>
      <w:lvlJc w:val="left"/>
      <w:pPr>
        <w:ind w:left="4527" w:hanging="360"/>
      </w:pPr>
      <w:rPr>
        <w:rFonts w:ascii="Wingdings" w:hAnsi="Wingdings" w:hint="default"/>
      </w:rPr>
    </w:lvl>
    <w:lvl w:ilvl="3" w:tplc="2C0A0001">
      <w:start w:val="1"/>
      <w:numFmt w:val="bullet"/>
      <w:lvlText w:val=""/>
      <w:lvlJc w:val="left"/>
      <w:pPr>
        <w:ind w:left="5247" w:hanging="360"/>
      </w:pPr>
      <w:rPr>
        <w:rFonts w:ascii="Symbol" w:hAnsi="Symbol" w:hint="default"/>
      </w:rPr>
    </w:lvl>
    <w:lvl w:ilvl="4" w:tplc="2C0A0003">
      <w:start w:val="1"/>
      <w:numFmt w:val="bullet"/>
      <w:lvlText w:val="o"/>
      <w:lvlJc w:val="left"/>
      <w:pPr>
        <w:ind w:left="5967" w:hanging="360"/>
      </w:pPr>
      <w:rPr>
        <w:rFonts w:ascii="Courier New" w:hAnsi="Courier New" w:cs="Courier New" w:hint="default"/>
      </w:rPr>
    </w:lvl>
    <w:lvl w:ilvl="5" w:tplc="2C0A0005">
      <w:start w:val="1"/>
      <w:numFmt w:val="bullet"/>
      <w:lvlText w:val=""/>
      <w:lvlJc w:val="left"/>
      <w:pPr>
        <w:ind w:left="6687" w:hanging="360"/>
      </w:pPr>
      <w:rPr>
        <w:rFonts w:ascii="Wingdings" w:hAnsi="Wingdings" w:hint="default"/>
      </w:rPr>
    </w:lvl>
    <w:lvl w:ilvl="6" w:tplc="2C0A0001">
      <w:start w:val="1"/>
      <w:numFmt w:val="bullet"/>
      <w:lvlText w:val=""/>
      <w:lvlJc w:val="left"/>
      <w:pPr>
        <w:ind w:left="7407" w:hanging="360"/>
      </w:pPr>
      <w:rPr>
        <w:rFonts w:ascii="Symbol" w:hAnsi="Symbol" w:hint="default"/>
      </w:rPr>
    </w:lvl>
    <w:lvl w:ilvl="7" w:tplc="2C0A0003">
      <w:start w:val="1"/>
      <w:numFmt w:val="bullet"/>
      <w:lvlText w:val="o"/>
      <w:lvlJc w:val="left"/>
      <w:pPr>
        <w:ind w:left="8127" w:hanging="360"/>
      </w:pPr>
      <w:rPr>
        <w:rFonts w:ascii="Courier New" w:hAnsi="Courier New" w:cs="Courier New" w:hint="default"/>
      </w:rPr>
    </w:lvl>
    <w:lvl w:ilvl="8" w:tplc="2C0A0005">
      <w:start w:val="1"/>
      <w:numFmt w:val="bullet"/>
      <w:lvlText w:val=""/>
      <w:lvlJc w:val="left"/>
      <w:pPr>
        <w:ind w:left="8847" w:hanging="360"/>
      </w:pPr>
      <w:rPr>
        <w:rFonts w:ascii="Wingdings" w:hAnsi="Wingdings" w:hint="default"/>
      </w:rPr>
    </w:lvl>
  </w:abstractNum>
  <w:abstractNum w:abstractNumId="18" w15:restartNumberingAfterBreak="0">
    <w:nsid w:val="158A752E"/>
    <w:multiLevelType w:val="hybridMultilevel"/>
    <w:tmpl w:val="B5E21C2A"/>
    <w:lvl w:ilvl="0" w:tplc="8D24437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16CA7599"/>
    <w:multiLevelType w:val="hybridMultilevel"/>
    <w:tmpl w:val="76B6C3BA"/>
    <w:lvl w:ilvl="0" w:tplc="2C0A000F">
      <w:start w:val="1"/>
      <w:numFmt w:val="decimal"/>
      <w:lvlText w:val="%1."/>
      <w:lvlJc w:val="left"/>
      <w:pPr>
        <w:ind w:left="1574" w:hanging="360"/>
      </w:pPr>
    </w:lvl>
    <w:lvl w:ilvl="1" w:tplc="2C0A0019">
      <w:start w:val="1"/>
      <w:numFmt w:val="lowerLetter"/>
      <w:lvlText w:val="%2."/>
      <w:lvlJc w:val="left"/>
      <w:pPr>
        <w:ind w:left="2294" w:hanging="360"/>
      </w:pPr>
    </w:lvl>
    <w:lvl w:ilvl="2" w:tplc="2C0A001B">
      <w:start w:val="1"/>
      <w:numFmt w:val="lowerRoman"/>
      <w:lvlText w:val="%3."/>
      <w:lvlJc w:val="right"/>
      <w:pPr>
        <w:ind w:left="3014" w:hanging="180"/>
      </w:pPr>
    </w:lvl>
    <w:lvl w:ilvl="3" w:tplc="2C0A000F">
      <w:start w:val="1"/>
      <w:numFmt w:val="decimal"/>
      <w:lvlText w:val="%4."/>
      <w:lvlJc w:val="left"/>
      <w:pPr>
        <w:ind w:left="3734" w:hanging="360"/>
      </w:pPr>
    </w:lvl>
    <w:lvl w:ilvl="4" w:tplc="2C0A0019">
      <w:start w:val="1"/>
      <w:numFmt w:val="lowerLetter"/>
      <w:lvlText w:val="%5."/>
      <w:lvlJc w:val="left"/>
      <w:pPr>
        <w:ind w:left="4454" w:hanging="360"/>
      </w:pPr>
    </w:lvl>
    <w:lvl w:ilvl="5" w:tplc="2C0A001B">
      <w:start w:val="1"/>
      <w:numFmt w:val="lowerRoman"/>
      <w:lvlText w:val="%6."/>
      <w:lvlJc w:val="right"/>
      <w:pPr>
        <w:ind w:left="5174" w:hanging="180"/>
      </w:pPr>
    </w:lvl>
    <w:lvl w:ilvl="6" w:tplc="2C0A000F">
      <w:start w:val="1"/>
      <w:numFmt w:val="decimal"/>
      <w:lvlText w:val="%7."/>
      <w:lvlJc w:val="left"/>
      <w:pPr>
        <w:ind w:left="5894" w:hanging="360"/>
      </w:pPr>
    </w:lvl>
    <w:lvl w:ilvl="7" w:tplc="2C0A0019">
      <w:start w:val="1"/>
      <w:numFmt w:val="lowerLetter"/>
      <w:lvlText w:val="%8."/>
      <w:lvlJc w:val="left"/>
      <w:pPr>
        <w:ind w:left="6614" w:hanging="360"/>
      </w:pPr>
    </w:lvl>
    <w:lvl w:ilvl="8" w:tplc="2C0A001B">
      <w:start w:val="1"/>
      <w:numFmt w:val="lowerRoman"/>
      <w:lvlText w:val="%9."/>
      <w:lvlJc w:val="right"/>
      <w:pPr>
        <w:ind w:left="7334" w:hanging="180"/>
      </w:pPr>
    </w:lvl>
  </w:abstractNum>
  <w:abstractNum w:abstractNumId="20" w15:restartNumberingAfterBreak="0">
    <w:nsid w:val="18A35853"/>
    <w:multiLevelType w:val="hybridMultilevel"/>
    <w:tmpl w:val="1676EB84"/>
    <w:lvl w:ilvl="0" w:tplc="D5E2D776">
      <w:start w:val="1"/>
      <w:numFmt w:val="decimal"/>
      <w:lvlText w:val="(%1)"/>
      <w:lvlJc w:val="left"/>
      <w:pPr>
        <w:ind w:left="1146" w:hanging="360"/>
      </w:pPr>
      <w:rPr>
        <w:rFonts w:hint="default"/>
        <w:vertAlign w:val="superscript"/>
      </w:rPr>
    </w:lvl>
    <w:lvl w:ilvl="1" w:tplc="2C0A0019" w:tentative="1">
      <w:start w:val="1"/>
      <w:numFmt w:val="lowerLetter"/>
      <w:lvlText w:val="%2."/>
      <w:lvlJc w:val="left"/>
      <w:pPr>
        <w:ind w:left="1866" w:hanging="360"/>
      </w:pPr>
    </w:lvl>
    <w:lvl w:ilvl="2" w:tplc="2C0A001B" w:tentative="1">
      <w:start w:val="1"/>
      <w:numFmt w:val="lowerRoman"/>
      <w:lvlText w:val="%3."/>
      <w:lvlJc w:val="right"/>
      <w:pPr>
        <w:ind w:left="2586" w:hanging="180"/>
      </w:pPr>
    </w:lvl>
    <w:lvl w:ilvl="3" w:tplc="2C0A000F" w:tentative="1">
      <w:start w:val="1"/>
      <w:numFmt w:val="decimal"/>
      <w:lvlText w:val="%4."/>
      <w:lvlJc w:val="left"/>
      <w:pPr>
        <w:ind w:left="3306" w:hanging="360"/>
      </w:pPr>
    </w:lvl>
    <w:lvl w:ilvl="4" w:tplc="2C0A0019" w:tentative="1">
      <w:start w:val="1"/>
      <w:numFmt w:val="lowerLetter"/>
      <w:lvlText w:val="%5."/>
      <w:lvlJc w:val="left"/>
      <w:pPr>
        <w:ind w:left="4026" w:hanging="360"/>
      </w:pPr>
    </w:lvl>
    <w:lvl w:ilvl="5" w:tplc="2C0A001B" w:tentative="1">
      <w:start w:val="1"/>
      <w:numFmt w:val="lowerRoman"/>
      <w:lvlText w:val="%6."/>
      <w:lvlJc w:val="right"/>
      <w:pPr>
        <w:ind w:left="4746" w:hanging="180"/>
      </w:pPr>
    </w:lvl>
    <w:lvl w:ilvl="6" w:tplc="2C0A000F" w:tentative="1">
      <w:start w:val="1"/>
      <w:numFmt w:val="decimal"/>
      <w:lvlText w:val="%7."/>
      <w:lvlJc w:val="left"/>
      <w:pPr>
        <w:ind w:left="5466" w:hanging="360"/>
      </w:pPr>
    </w:lvl>
    <w:lvl w:ilvl="7" w:tplc="2C0A0019" w:tentative="1">
      <w:start w:val="1"/>
      <w:numFmt w:val="lowerLetter"/>
      <w:lvlText w:val="%8."/>
      <w:lvlJc w:val="left"/>
      <w:pPr>
        <w:ind w:left="6186" w:hanging="360"/>
      </w:pPr>
    </w:lvl>
    <w:lvl w:ilvl="8" w:tplc="2C0A001B" w:tentative="1">
      <w:start w:val="1"/>
      <w:numFmt w:val="lowerRoman"/>
      <w:lvlText w:val="%9."/>
      <w:lvlJc w:val="right"/>
      <w:pPr>
        <w:ind w:left="6906" w:hanging="180"/>
      </w:pPr>
    </w:lvl>
  </w:abstractNum>
  <w:abstractNum w:abstractNumId="21" w15:restartNumberingAfterBreak="0">
    <w:nsid w:val="196155F4"/>
    <w:multiLevelType w:val="hybridMultilevel"/>
    <w:tmpl w:val="7EBA4D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96D1469"/>
    <w:multiLevelType w:val="multilevel"/>
    <w:tmpl w:val="76F8813A"/>
    <w:lvl w:ilvl="0">
      <w:start w:val="1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1648" w:hanging="1440"/>
      </w:pPr>
      <w:rPr>
        <w:rFonts w:hint="default"/>
      </w:rPr>
    </w:lvl>
  </w:abstractNum>
  <w:abstractNum w:abstractNumId="23" w15:restartNumberingAfterBreak="0">
    <w:nsid w:val="199E7D58"/>
    <w:multiLevelType w:val="hybridMultilevel"/>
    <w:tmpl w:val="2078DBDA"/>
    <w:lvl w:ilvl="0" w:tplc="DF684748">
      <w:start w:val="1"/>
      <w:numFmt w:val="decimal"/>
      <w:lvlText w:val="%1."/>
      <w:lvlJc w:val="left"/>
      <w:pPr>
        <w:tabs>
          <w:tab w:val="num" w:pos="2062"/>
        </w:tabs>
        <w:ind w:left="2062" w:hanging="360"/>
      </w:pPr>
      <w:rPr>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4" w15:restartNumberingAfterBreak="0">
    <w:nsid w:val="19B01A24"/>
    <w:multiLevelType w:val="multilevel"/>
    <w:tmpl w:val="40D6D4B8"/>
    <w:styleLink w:val="Style3"/>
    <w:lvl w:ilvl="0">
      <w:start w:val="1"/>
      <w:numFmt w:val="upperRoman"/>
      <w:lvlText w:val="%1."/>
      <w:lvlJc w:val="left"/>
      <w:pPr>
        <w:ind w:left="360" w:hanging="360"/>
      </w:pPr>
      <w:rPr>
        <w:rFonts w:hint="default"/>
      </w:rPr>
    </w:lvl>
    <w:lvl w:ilvl="1">
      <w:start w:val="1"/>
      <w:numFmt w:val="upperRoman"/>
      <w:lvlText w:val="%2."/>
      <w:lvlJc w:val="left"/>
      <w:pPr>
        <w:ind w:left="792" w:hanging="432"/>
      </w:pPr>
      <w:rPr>
        <w:rFonts w:hint="default"/>
      </w:rPr>
    </w:lvl>
    <w:lvl w:ilvl="2">
      <w:start w:val="1"/>
      <w:numFmt w:val="upp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1C376A4"/>
    <w:multiLevelType w:val="hybridMultilevel"/>
    <w:tmpl w:val="40F0B300"/>
    <w:lvl w:ilvl="0" w:tplc="4A3C41B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DD57BD"/>
    <w:multiLevelType w:val="hybridMultilevel"/>
    <w:tmpl w:val="46B02E82"/>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7" w15:restartNumberingAfterBreak="0">
    <w:nsid w:val="294162D1"/>
    <w:multiLevelType w:val="hybridMultilevel"/>
    <w:tmpl w:val="7E7862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B5465AC"/>
    <w:multiLevelType w:val="hybridMultilevel"/>
    <w:tmpl w:val="6B7C11CC"/>
    <w:lvl w:ilvl="0" w:tplc="CE204486">
      <w:start w:val="1"/>
      <w:numFmt w:val="lowerLetter"/>
      <w:lvlText w:val="%1)"/>
      <w:lvlJc w:val="left"/>
      <w:pPr>
        <w:ind w:left="363"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30030FA7"/>
    <w:multiLevelType w:val="hybridMultilevel"/>
    <w:tmpl w:val="7272F572"/>
    <w:lvl w:ilvl="0" w:tplc="04090001">
      <w:start w:val="1"/>
      <w:numFmt w:val="bullet"/>
      <w:lvlText w:val=""/>
      <w:lvlJc w:val="left"/>
      <w:pPr>
        <w:ind w:left="967" w:hanging="360"/>
      </w:pPr>
      <w:rPr>
        <w:rFonts w:ascii="Symbol" w:hAnsi="Symbol"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30" w15:restartNumberingAfterBreak="0">
    <w:nsid w:val="3057480C"/>
    <w:multiLevelType w:val="hybridMultilevel"/>
    <w:tmpl w:val="E55C88B4"/>
    <w:lvl w:ilvl="0" w:tplc="DE306436">
      <w:start w:val="1"/>
      <w:numFmt w:val="lowerLetter"/>
      <w:lvlText w:val="(%1)"/>
      <w:lvlJc w:val="left"/>
      <w:pPr>
        <w:ind w:left="1069" w:hanging="360"/>
      </w:pPr>
    </w:lvl>
    <w:lvl w:ilvl="1" w:tplc="2C0A0019">
      <w:start w:val="1"/>
      <w:numFmt w:val="lowerLetter"/>
      <w:lvlText w:val="%2."/>
      <w:lvlJc w:val="left"/>
      <w:pPr>
        <w:ind w:left="1789" w:hanging="360"/>
      </w:pPr>
    </w:lvl>
    <w:lvl w:ilvl="2" w:tplc="2C0A001B">
      <w:start w:val="1"/>
      <w:numFmt w:val="lowerRoman"/>
      <w:lvlText w:val="%3."/>
      <w:lvlJc w:val="right"/>
      <w:pPr>
        <w:ind w:left="2509" w:hanging="180"/>
      </w:pPr>
    </w:lvl>
    <w:lvl w:ilvl="3" w:tplc="2C0A000F">
      <w:start w:val="1"/>
      <w:numFmt w:val="decimal"/>
      <w:lvlText w:val="%4."/>
      <w:lvlJc w:val="left"/>
      <w:pPr>
        <w:ind w:left="3229" w:hanging="360"/>
      </w:pPr>
    </w:lvl>
    <w:lvl w:ilvl="4" w:tplc="2C0A0019">
      <w:start w:val="1"/>
      <w:numFmt w:val="lowerLetter"/>
      <w:lvlText w:val="%5."/>
      <w:lvlJc w:val="left"/>
      <w:pPr>
        <w:ind w:left="3949" w:hanging="360"/>
      </w:pPr>
    </w:lvl>
    <w:lvl w:ilvl="5" w:tplc="2C0A001B">
      <w:start w:val="1"/>
      <w:numFmt w:val="lowerRoman"/>
      <w:lvlText w:val="%6."/>
      <w:lvlJc w:val="right"/>
      <w:pPr>
        <w:ind w:left="4669" w:hanging="180"/>
      </w:pPr>
    </w:lvl>
    <w:lvl w:ilvl="6" w:tplc="2C0A000F">
      <w:start w:val="1"/>
      <w:numFmt w:val="decimal"/>
      <w:lvlText w:val="%7."/>
      <w:lvlJc w:val="left"/>
      <w:pPr>
        <w:ind w:left="5389" w:hanging="360"/>
      </w:pPr>
    </w:lvl>
    <w:lvl w:ilvl="7" w:tplc="2C0A0019">
      <w:start w:val="1"/>
      <w:numFmt w:val="lowerLetter"/>
      <w:lvlText w:val="%8."/>
      <w:lvlJc w:val="left"/>
      <w:pPr>
        <w:ind w:left="6109" w:hanging="360"/>
      </w:pPr>
    </w:lvl>
    <w:lvl w:ilvl="8" w:tplc="2C0A001B">
      <w:start w:val="1"/>
      <w:numFmt w:val="lowerRoman"/>
      <w:lvlText w:val="%9."/>
      <w:lvlJc w:val="right"/>
      <w:pPr>
        <w:ind w:left="6829" w:hanging="180"/>
      </w:pPr>
    </w:lvl>
  </w:abstractNum>
  <w:abstractNum w:abstractNumId="31" w15:restartNumberingAfterBreak="0">
    <w:nsid w:val="34D765E9"/>
    <w:multiLevelType w:val="hybridMultilevel"/>
    <w:tmpl w:val="D3469E44"/>
    <w:lvl w:ilvl="0" w:tplc="2C0A001B">
      <w:start w:val="1"/>
      <w:numFmt w:val="lowerRoman"/>
      <w:lvlText w:val="%1."/>
      <w:lvlJc w:val="right"/>
      <w:pPr>
        <w:ind w:left="540" w:hanging="180"/>
      </w:pPr>
    </w:lvl>
    <w:lvl w:ilvl="1" w:tplc="2C0A0019" w:tentative="1">
      <w:start w:val="1"/>
      <w:numFmt w:val="lowerLetter"/>
      <w:lvlText w:val="%2."/>
      <w:lvlJc w:val="left"/>
      <w:pPr>
        <w:ind w:left="-450" w:hanging="360"/>
      </w:pPr>
    </w:lvl>
    <w:lvl w:ilvl="2" w:tplc="2C0A001B" w:tentative="1">
      <w:start w:val="1"/>
      <w:numFmt w:val="lowerRoman"/>
      <w:lvlText w:val="%3."/>
      <w:lvlJc w:val="right"/>
      <w:pPr>
        <w:ind w:left="270" w:hanging="180"/>
      </w:pPr>
    </w:lvl>
    <w:lvl w:ilvl="3" w:tplc="2C0A000F" w:tentative="1">
      <w:start w:val="1"/>
      <w:numFmt w:val="decimal"/>
      <w:lvlText w:val="%4."/>
      <w:lvlJc w:val="left"/>
      <w:pPr>
        <w:ind w:left="990" w:hanging="360"/>
      </w:pPr>
    </w:lvl>
    <w:lvl w:ilvl="4" w:tplc="2C0A0019" w:tentative="1">
      <w:start w:val="1"/>
      <w:numFmt w:val="lowerLetter"/>
      <w:lvlText w:val="%5."/>
      <w:lvlJc w:val="left"/>
      <w:pPr>
        <w:ind w:left="1710" w:hanging="360"/>
      </w:pPr>
    </w:lvl>
    <w:lvl w:ilvl="5" w:tplc="2C0A001B" w:tentative="1">
      <w:start w:val="1"/>
      <w:numFmt w:val="lowerRoman"/>
      <w:lvlText w:val="%6."/>
      <w:lvlJc w:val="right"/>
      <w:pPr>
        <w:ind w:left="2430" w:hanging="180"/>
      </w:pPr>
    </w:lvl>
    <w:lvl w:ilvl="6" w:tplc="2C0A000F" w:tentative="1">
      <w:start w:val="1"/>
      <w:numFmt w:val="decimal"/>
      <w:lvlText w:val="%7."/>
      <w:lvlJc w:val="left"/>
      <w:pPr>
        <w:ind w:left="3150" w:hanging="360"/>
      </w:pPr>
    </w:lvl>
    <w:lvl w:ilvl="7" w:tplc="2C0A0019" w:tentative="1">
      <w:start w:val="1"/>
      <w:numFmt w:val="lowerLetter"/>
      <w:lvlText w:val="%8."/>
      <w:lvlJc w:val="left"/>
      <w:pPr>
        <w:ind w:left="3870" w:hanging="360"/>
      </w:pPr>
    </w:lvl>
    <w:lvl w:ilvl="8" w:tplc="2C0A001B" w:tentative="1">
      <w:start w:val="1"/>
      <w:numFmt w:val="lowerRoman"/>
      <w:lvlText w:val="%9."/>
      <w:lvlJc w:val="right"/>
      <w:pPr>
        <w:ind w:left="4590" w:hanging="180"/>
      </w:pPr>
    </w:lvl>
  </w:abstractNum>
  <w:abstractNum w:abstractNumId="32" w15:restartNumberingAfterBreak="0">
    <w:nsid w:val="34D76952"/>
    <w:multiLevelType w:val="hybridMultilevel"/>
    <w:tmpl w:val="DEB8FB56"/>
    <w:lvl w:ilvl="0" w:tplc="B48E2550">
      <w:start w:val="1"/>
      <w:numFmt w:val="lowerLetter"/>
      <w:lvlText w:val="%1)"/>
      <w:lvlJc w:val="left"/>
      <w:pPr>
        <w:ind w:left="1636" w:hanging="360"/>
      </w:pPr>
      <w:rPr>
        <w:rFonts w:hint="default"/>
      </w:rPr>
    </w:lvl>
    <w:lvl w:ilvl="1" w:tplc="2C0A0019">
      <w:start w:val="1"/>
      <w:numFmt w:val="lowerLetter"/>
      <w:lvlText w:val="%2."/>
      <w:lvlJc w:val="left"/>
      <w:pPr>
        <w:ind w:left="2356" w:hanging="360"/>
      </w:pPr>
    </w:lvl>
    <w:lvl w:ilvl="2" w:tplc="2C0A001B">
      <w:start w:val="1"/>
      <w:numFmt w:val="lowerRoman"/>
      <w:lvlText w:val="%3."/>
      <w:lvlJc w:val="right"/>
      <w:pPr>
        <w:ind w:left="3076" w:hanging="180"/>
      </w:pPr>
    </w:lvl>
    <w:lvl w:ilvl="3" w:tplc="2C0A000F" w:tentative="1">
      <w:start w:val="1"/>
      <w:numFmt w:val="decimal"/>
      <w:lvlText w:val="%4."/>
      <w:lvlJc w:val="left"/>
      <w:pPr>
        <w:ind w:left="3796" w:hanging="360"/>
      </w:pPr>
    </w:lvl>
    <w:lvl w:ilvl="4" w:tplc="2C0A0019" w:tentative="1">
      <w:start w:val="1"/>
      <w:numFmt w:val="lowerLetter"/>
      <w:lvlText w:val="%5."/>
      <w:lvlJc w:val="left"/>
      <w:pPr>
        <w:ind w:left="4516" w:hanging="360"/>
      </w:pPr>
    </w:lvl>
    <w:lvl w:ilvl="5" w:tplc="2C0A001B" w:tentative="1">
      <w:start w:val="1"/>
      <w:numFmt w:val="lowerRoman"/>
      <w:lvlText w:val="%6."/>
      <w:lvlJc w:val="right"/>
      <w:pPr>
        <w:ind w:left="5236" w:hanging="180"/>
      </w:pPr>
    </w:lvl>
    <w:lvl w:ilvl="6" w:tplc="2C0A000F" w:tentative="1">
      <w:start w:val="1"/>
      <w:numFmt w:val="decimal"/>
      <w:lvlText w:val="%7."/>
      <w:lvlJc w:val="left"/>
      <w:pPr>
        <w:ind w:left="5956" w:hanging="360"/>
      </w:pPr>
    </w:lvl>
    <w:lvl w:ilvl="7" w:tplc="2C0A0019" w:tentative="1">
      <w:start w:val="1"/>
      <w:numFmt w:val="lowerLetter"/>
      <w:lvlText w:val="%8."/>
      <w:lvlJc w:val="left"/>
      <w:pPr>
        <w:ind w:left="6676" w:hanging="360"/>
      </w:pPr>
    </w:lvl>
    <w:lvl w:ilvl="8" w:tplc="2C0A001B" w:tentative="1">
      <w:start w:val="1"/>
      <w:numFmt w:val="lowerRoman"/>
      <w:lvlText w:val="%9."/>
      <w:lvlJc w:val="right"/>
      <w:pPr>
        <w:ind w:left="7396" w:hanging="180"/>
      </w:pPr>
    </w:lvl>
  </w:abstractNum>
  <w:abstractNum w:abstractNumId="33" w15:restartNumberingAfterBreak="0">
    <w:nsid w:val="3525193D"/>
    <w:multiLevelType w:val="multilevel"/>
    <w:tmpl w:val="4E208106"/>
    <w:lvl w:ilvl="0">
      <w:start w:val="1"/>
      <w:numFmt w:val="decimal"/>
      <w:lvlText w:val="%1."/>
      <w:lvlJc w:val="left"/>
      <w:pPr>
        <w:ind w:left="786" w:hanging="360"/>
      </w:pPr>
      <w:rPr>
        <w:rFonts w:hint="default"/>
        <w:b/>
      </w:rPr>
    </w:lvl>
    <w:lvl w:ilvl="1">
      <w:start w:val="8"/>
      <w:numFmt w:val="decimal"/>
      <w:isLgl/>
      <w:lvlText w:val="%1.%2"/>
      <w:lvlJc w:val="left"/>
      <w:pPr>
        <w:ind w:left="1574" w:hanging="360"/>
      </w:pPr>
      <w:rPr>
        <w:rFonts w:hint="default"/>
      </w:rPr>
    </w:lvl>
    <w:lvl w:ilvl="2">
      <w:start w:val="1"/>
      <w:numFmt w:val="decimal"/>
      <w:isLgl/>
      <w:lvlText w:val="%1.%2.%3"/>
      <w:lvlJc w:val="left"/>
      <w:pPr>
        <w:ind w:left="2581" w:hanging="720"/>
      </w:pPr>
      <w:rPr>
        <w:rFonts w:hint="default"/>
      </w:rPr>
    </w:lvl>
    <w:lvl w:ilvl="3">
      <w:start w:val="1"/>
      <w:numFmt w:val="decimal"/>
      <w:isLgl/>
      <w:lvlText w:val="%1.%2.%3.%4"/>
      <w:lvlJc w:val="left"/>
      <w:pPr>
        <w:ind w:left="3228" w:hanging="720"/>
      </w:pPr>
      <w:rPr>
        <w:rFonts w:hint="default"/>
      </w:rPr>
    </w:lvl>
    <w:lvl w:ilvl="4">
      <w:start w:val="1"/>
      <w:numFmt w:val="decimal"/>
      <w:isLgl/>
      <w:lvlText w:val="%1.%2.%3.%4.%5"/>
      <w:lvlJc w:val="left"/>
      <w:pPr>
        <w:ind w:left="3875" w:hanging="720"/>
      </w:pPr>
      <w:rPr>
        <w:rFonts w:hint="default"/>
      </w:rPr>
    </w:lvl>
    <w:lvl w:ilvl="5">
      <w:start w:val="1"/>
      <w:numFmt w:val="decimal"/>
      <w:isLgl/>
      <w:lvlText w:val="%1.%2.%3.%4.%5.%6"/>
      <w:lvlJc w:val="left"/>
      <w:pPr>
        <w:ind w:left="4882" w:hanging="1080"/>
      </w:pPr>
      <w:rPr>
        <w:rFonts w:hint="default"/>
      </w:rPr>
    </w:lvl>
    <w:lvl w:ilvl="6">
      <w:start w:val="1"/>
      <w:numFmt w:val="decimal"/>
      <w:isLgl/>
      <w:lvlText w:val="%1.%2.%3.%4.%5.%6.%7"/>
      <w:lvlJc w:val="left"/>
      <w:pPr>
        <w:ind w:left="5529" w:hanging="1080"/>
      </w:pPr>
      <w:rPr>
        <w:rFonts w:hint="default"/>
      </w:rPr>
    </w:lvl>
    <w:lvl w:ilvl="7">
      <w:start w:val="1"/>
      <w:numFmt w:val="decimal"/>
      <w:isLgl/>
      <w:lvlText w:val="%1.%2.%3.%4.%5.%6.%7.%8"/>
      <w:lvlJc w:val="left"/>
      <w:pPr>
        <w:ind w:left="6536" w:hanging="1440"/>
      </w:pPr>
      <w:rPr>
        <w:rFonts w:hint="default"/>
      </w:rPr>
    </w:lvl>
    <w:lvl w:ilvl="8">
      <w:start w:val="1"/>
      <w:numFmt w:val="decimal"/>
      <w:isLgl/>
      <w:lvlText w:val="%1.%2.%3.%4.%5.%6.%7.%8.%9"/>
      <w:lvlJc w:val="left"/>
      <w:pPr>
        <w:ind w:left="7183" w:hanging="1440"/>
      </w:pPr>
      <w:rPr>
        <w:rFonts w:hint="default"/>
      </w:rPr>
    </w:lvl>
  </w:abstractNum>
  <w:abstractNum w:abstractNumId="34" w15:restartNumberingAfterBreak="0">
    <w:nsid w:val="354C4FC9"/>
    <w:multiLevelType w:val="hybridMultilevel"/>
    <w:tmpl w:val="1B3E846E"/>
    <w:lvl w:ilvl="0" w:tplc="12E8A3FC">
      <w:start w:val="1"/>
      <w:numFmt w:val="decimal"/>
      <w:lvlText w:val="(%1)"/>
      <w:lvlJc w:val="left"/>
      <w:pPr>
        <w:ind w:left="927" w:hanging="360"/>
      </w:pPr>
      <w:rPr>
        <w:rFonts w:hint="default"/>
        <w:sz w:val="16"/>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35" w15:restartNumberingAfterBreak="0">
    <w:nsid w:val="3B637C09"/>
    <w:multiLevelType w:val="hybridMultilevel"/>
    <w:tmpl w:val="460ED744"/>
    <w:lvl w:ilvl="0" w:tplc="939AEF06">
      <w:start w:val="1"/>
      <w:numFmt w:val="lowerLetter"/>
      <w:lvlText w:val="%1)"/>
      <w:lvlJc w:val="left"/>
      <w:pPr>
        <w:ind w:left="967" w:hanging="360"/>
      </w:pPr>
      <w:rPr>
        <w:rFonts w:hint="default"/>
      </w:rPr>
    </w:lvl>
    <w:lvl w:ilvl="1" w:tplc="2C0A0019" w:tentative="1">
      <w:start w:val="1"/>
      <w:numFmt w:val="lowerLetter"/>
      <w:lvlText w:val="%2."/>
      <w:lvlJc w:val="left"/>
      <w:pPr>
        <w:ind w:left="1687" w:hanging="360"/>
      </w:pPr>
    </w:lvl>
    <w:lvl w:ilvl="2" w:tplc="2C0A001B" w:tentative="1">
      <w:start w:val="1"/>
      <w:numFmt w:val="lowerRoman"/>
      <w:lvlText w:val="%3."/>
      <w:lvlJc w:val="right"/>
      <w:pPr>
        <w:ind w:left="2407" w:hanging="180"/>
      </w:pPr>
    </w:lvl>
    <w:lvl w:ilvl="3" w:tplc="2C0A000F" w:tentative="1">
      <w:start w:val="1"/>
      <w:numFmt w:val="decimal"/>
      <w:lvlText w:val="%4."/>
      <w:lvlJc w:val="left"/>
      <w:pPr>
        <w:ind w:left="3127" w:hanging="360"/>
      </w:pPr>
    </w:lvl>
    <w:lvl w:ilvl="4" w:tplc="2C0A0019" w:tentative="1">
      <w:start w:val="1"/>
      <w:numFmt w:val="lowerLetter"/>
      <w:lvlText w:val="%5."/>
      <w:lvlJc w:val="left"/>
      <w:pPr>
        <w:ind w:left="3847" w:hanging="360"/>
      </w:pPr>
    </w:lvl>
    <w:lvl w:ilvl="5" w:tplc="2C0A001B" w:tentative="1">
      <w:start w:val="1"/>
      <w:numFmt w:val="lowerRoman"/>
      <w:lvlText w:val="%6."/>
      <w:lvlJc w:val="right"/>
      <w:pPr>
        <w:ind w:left="4567" w:hanging="180"/>
      </w:pPr>
    </w:lvl>
    <w:lvl w:ilvl="6" w:tplc="2C0A000F" w:tentative="1">
      <w:start w:val="1"/>
      <w:numFmt w:val="decimal"/>
      <w:lvlText w:val="%7."/>
      <w:lvlJc w:val="left"/>
      <w:pPr>
        <w:ind w:left="5287" w:hanging="360"/>
      </w:pPr>
    </w:lvl>
    <w:lvl w:ilvl="7" w:tplc="2C0A0019" w:tentative="1">
      <w:start w:val="1"/>
      <w:numFmt w:val="lowerLetter"/>
      <w:lvlText w:val="%8."/>
      <w:lvlJc w:val="left"/>
      <w:pPr>
        <w:ind w:left="6007" w:hanging="360"/>
      </w:pPr>
    </w:lvl>
    <w:lvl w:ilvl="8" w:tplc="2C0A001B" w:tentative="1">
      <w:start w:val="1"/>
      <w:numFmt w:val="lowerRoman"/>
      <w:lvlText w:val="%9."/>
      <w:lvlJc w:val="right"/>
      <w:pPr>
        <w:ind w:left="6727" w:hanging="180"/>
      </w:pPr>
    </w:lvl>
  </w:abstractNum>
  <w:abstractNum w:abstractNumId="36" w15:restartNumberingAfterBreak="0">
    <w:nsid w:val="3C3C7C8F"/>
    <w:multiLevelType w:val="hybridMultilevel"/>
    <w:tmpl w:val="76B6C3BA"/>
    <w:lvl w:ilvl="0" w:tplc="2C0A000F">
      <w:start w:val="1"/>
      <w:numFmt w:val="decimal"/>
      <w:lvlText w:val="%1."/>
      <w:lvlJc w:val="left"/>
      <w:pPr>
        <w:ind w:left="1068" w:hanging="360"/>
      </w:pPr>
    </w:lvl>
    <w:lvl w:ilvl="1" w:tplc="2C0A0019">
      <w:start w:val="1"/>
      <w:numFmt w:val="lowerLetter"/>
      <w:lvlText w:val="%2."/>
      <w:lvlJc w:val="left"/>
      <w:pPr>
        <w:ind w:left="1788" w:hanging="360"/>
      </w:pPr>
    </w:lvl>
    <w:lvl w:ilvl="2" w:tplc="2C0A001B">
      <w:start w:val="1"/>
      <w:numFmt w:val="lowerRoman"/>
      <w:lvlText w:val="%3."/>
      <w:lvlJc w:val="right"/>
      <w:pPr>
        <w:ind w:left="2508" w:hanging="180"/>
      </w:pPr>
    </w:lvl>
    <w:lvl w:ilvl="3" w:tplc="2C0A000F">
      <w:start w:val="1"/>
      <w:numFmt w:val="decimal"/>
      <w:lvlText w:val="%4."/>
      <w:lvlJc w:val="left"/>
      <w:pPr>
        <w:ind w:left="3228" w:hanging="360"/>
      </w:pPr>
    </w:lvl>
    <w:lvl w:ilvl="4" w:tplc="2C0A0019">
      <w:start w:val="1"/>
      <w:numFmt w:val="lowerLetter"/>
      <w:lvlText w:val="%5."/>
      <w:lvlJc w:val="left"/>
      <w:pPr>
        <w:ind w:left="3948" w:hanging="360"/>
      </w:pPr>
    </w:lvl>
    <w:lvl w:ilvl="5" w:tplc="2C0A001B">
      <w:start w:val="1"/>
      <w:numFmt w:val="lowerRoman"/>
      <w:lvlText w:val="%6."/>
      <w:lvlJc w:val="right"/>
      <w:pPr>
        <w:ind w:left="4668" w:hanging="180"/>
      </w:pPr>
    </w:lvl>
    <w:lvl w:ilvl="6" w:tplc="2C0A000F">
      <w:start w:val="1"/>
      <w:numFmt w:val="decimal"/>
      <w:lvlText w:val="%7."/>
      <w:lvlJc w:val="left"/>
      <w:pPr>
        <w:ind w:left="5388" w:hanging="360"/>
      </w:pPr>
    </w:lvl>
    <w:lvl w:ilvl="7" w:tplc="2C0A0019">
      <w:start w:val="1"/>
      <w:numFmt w:val="lowerLetter"/>
      <w:lvlText w:val="%8."/>
      <w:lvlJc w:val="left"/>
      <w:pPr>
        <w:ind w:left="6108" w:hanging="360"/>
      </w:pPr>
    </w:lvl>
    <w:lvl w:ilvl="8" w:tplc="2C0A001B">
      <w:start w:val="1"/>
      <w:numFmt w:val="lowerRoman"/>
      <w:lvlText w:val="%9."/>
      <w:lvlJc w:val="right"/>
      <w:pPr>
        <w:ind w:left="6828" w:hanging="180"/>
      </w:pPr>
    </w:lvl>
  </w:abstractNum>
  <w:abstractNum w:abstractNumId="37" w15:restartNumberingAfterBreak="0">
    <w:nsid w:val="3DC56E3F"/>
    <w:multiLevelType w:val="hybridMultilevel"/>
    <w:tmpl w:val="30069AE6"/>
    <w:lvl w:ilvl="0" w:tplc="04090017">
      <w:start w:val="1"/>
      <w:numFmt w:val="lowerLetter"/>
      <w:lvlText w:val="%1)"/>
      <w:lvlJc w:val="left"/>
      <w:pPr>
        <w:ind w:left="6314" w:hanging="360"/>
      </w:pPr>
      <w:rPr>
        <w:rFonts w:hint="default"/>
      </w:rPr>
    </w:lvl>
    <w:lvl w:ilvl="1" w:tplc="04090019">
      <w:start w:val="1"/>
      <w:numFmt w:val="lowerLetter"/>
      <w:lvlText w:val="%2."/>
      <w:lvlJc w:val="left"/>
      <w:pPr>
        <w:ind w:left="7034" w:hanging="360"/>
      </w:pPr>
    </w:lvl>
    <w:lvl w:ilvl="2" w:tplc="0409001B" w:tentative="1">
      <w:start w:val="1"/>
      <w:numFmt w:val="lowerRoman"/>
      <w:lvlText w:val="%3."/>
      <w:lvlJc w:val="right"/>
      <w:pPr>
        <w:ind w:left="7754" w:hanging="180"/>
      </w:pPr>
    </w:lvl>
    <w:lvl w:ilvl="3" w:tplc="0409000F" w:tentative="1">
      <w:start w:val="1"/>
      <w:numFmt w:val="decimal"/>
      <w:lvlText w:val="%4."/>
      <w:lvlJc w:val="left"/>
      <w:pPr>
        <w:ind w:left="8474" w:hanging="360"/>
      </w:pPr>
    </w:lvl>
    <w:lvl w:ilvl="4" w:tplc="04090019" w:tentative="1">
      <w:start w:val="1"/>
      <w:numFmt w:val="lowerLetter"/>
      <w:lvlText w:val="%5."/>
      <w:lvlJc w:val="left"/>
      <w:pPr>
        <w:ind w:left="9194" w:hanging="360"/>
      </w:pPr>
    </w:lvl>
    <w:lvl w:ilvl="5" w:tplc="0409001B" w:tentative="1">
      <w:start w:val="1"/>
      <w:numFmt w:val="lowerRoman"/>
      <w:lvlText w:val="%6."/>
      <w:lvlJc w:val="right"/>
      <w:pPr>
        <w:ind w:left="9914" w:hanging="180"/>
      </w:pPr>
    </w:lvl>
    <w:lvl w:ilvl="6" w:tplc="0409000F" w:tentative="1">
      <w:start w:val="1"/>
      <w:numFmt w:val="decimal"/>
      <w:lvlText w:val="%7."/>
      <w:lvlJc w:val="left"/>
      <w:pPr>
        <w:ind w:left="10634" w:hanging="360"/>
      </w:pPr>
    </w:lvl>
    <w:lvl w:ilvl="7" w:tplc="04090019" w:tentative="1">
      <w:start w:val="1"/>
      <w:numFmt w:val="lowerLetter"/>
      <w:lvlText w:val="%8."/>
      <w:lvlJc w:val="left"/>
      <w:pPr>
        <w:ind w:left="11354" w:hanging="360"/>
      </w:pPr>
    </w:lvl>
    <w:lvl w:ilvl="8" w:tplc="0409001B" w:tentative="1">
      <w:start w:val="1"/>
      <w:numFmt w:val="lowerRoman"/>
      <w:lvlText w:val="%9."/>
      <w:lvlJc w:val="right"/>
      <w:pPr>
        <w:ind w:left="12074" w:hanging="180"/>
      </w:pPr>
    </w:lvl>
  </w:abstractNum>
  <w:abstractNum w:abstractNumId="38" w15:restartNumberingAfterBreak="0">
    <w:nsid w:val="3FE15821"/>
    <w:multiLevelType w:val="hybridMultilevel"/>
    <w:tmpl w:val="597ECA5E"/>
    <w:lvl w:ilvl="0" w:tplc="795E669C">
      <w:start w:val="19"/>
      <w:numFmt w:val="bullet"/>
      <w:lvlText w:val="-"/>
      <w:lvlJc w:val="left"/>
      <w:pPr>
        <w:ind w:left="1800" w:hanging="360"/>
      </w:pPr>
      <w:rPr>
        <w:rFonts w:ascii="Times New Roman" w:eastAsia="Times New Roman" w:hAnsi="Times New Roman" w:cs="Times New Roman" w:hint="default"/>
      </w:rPr>
    </w:lvl>
    <w:lvl w:ilvl="1" w:tplc="2C0A0003">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39" w15:restartNumberingAfterBreak="0">
    <w:nsid w:val="405A7276"/>
    <w:multiLevelType w:val="hybridMultilevel"/>
    <w:tmpl w:val="61D2328A"/>
    <w:lvl w:ilvl="0" w:tplc="C1B6DA5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40EC6A5D"/>
    <w:multiLevelType w:val="hybridMultilevel"/>
    <w:tmpl w:val="4D1C8122"/>
    <w:lvl w:ilvl="0" w:tplc="39027D38">
      <w:start w:val="1"/>
      <w:numFmt w:val="decimal"/>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41" w15:restartNumberingAfterBreak="0">
    <w:nsid w:val="41CC759A"/>
    <w:multiLevelType w:val="hybridMultilevel"/>
    <w:tmpl w:val="EC4CC214"/>
    <w:lvl w:ilvl="0" w:tplc="B364930A">
      <w:start w:val="2"/>
      <w:numFmt w:val="lowerLetter"/>
      <w:lvlText w:val="%1)"/>
      <w:lvlJc w:val="left"/>
      <w:pPr>
        <w:ind w:left="36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15:restartNumberingAfterBreak="0">
    <w:nsid w:val="423E09E9"/>
    <w:multiLevelType w:val="multilevel"/>
    <w:tmpl w:val="2C0A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5FA5E0C"/>
    <w:multiLevelType w:val="hybridMultilevel"/>
    <w:tmpl w:val="F348AAA0"/>
    <w:lvl w:ilvl="0" w:tplc="23F8417E">
      <w:start w:val="19"/>
      <w:numFmt w:val="bullet"/>
      <w:lvlText w:val="-"/>
      <w:lvlJc w:val="left"/>
      <w:pPr>
        <w:ind w:left="785" w:hanging="360"/>
      </w:pPr>
      <w:rPr>
        <w:rFonts w:ascii="Times New Roman" w:eastAsia="Times New Roman" w:hAnsi="Times New Roman" w:cs="Times New Roman" w:hint="default"/>
      </w:rPr>
    </w:lvl>
    <w:lvl w:ilvl="1" w:tplc="2C0A0003" w:tentative="1">
      <w:start w:val="1"/>
      <w:numFmt w:val="bullet"/>
      <w:lvlText w:val="o"/>
      <w:lvlJc w:val="left"/>
      <w:pPr>
        <w:ind w:left="1505" w:hanging="360"/>
      </w:pPr>
      <w:rPr>
        <w:rFonts w:ascii="Courier New" w:hAnsi="Courier New" w:cs="Courier New" w:hint="default"/>
      </w:rPr>
    </w:lvl>
    <w:lvl w:ilvl="2" w:tplc="2C0A0005" w:tentative="1">
      <w:start w:val="1"/>
      <w:numFmt w:val="bullet"/>
      <w:lvlText w:val=""/>
      <w:lvlJc w:val="left"/>
      <w:pPr>
        <w:ind w:left="2225" w:hanging="360"/>
      </w:pPr>
      <w:rPr>
        <w:rFonts w:ascii="Wingdings" w:hAnsi="Wingdings" w:hint="default"/>
      </w:rPr>
    </w:lvl>
    <w:lvl w:ilvl="3" w:tplc="2C0A0001" w:tentative="1">
      <w:start w:val="1"/>
      <w:numFmt w:val="bullet"/>
      <w:lvlText w:val=""/>
      <w:lvlJc w:val="left"/>
      <w:pPr>
        <w:ind w:left="2945" w:hanging="360"/>
      </w:pPr>
      <w:rPr>
        <w:rFonts w:ascii="Symbol" w:hAnsi="Symbol" w:hint="default"/>
      </w:rPr>
    </w:lvl>
    <w:lvl w:ilvl="4" w:tplc="2C0A0003" w:tentative="1">
      <w:start w:val="1"/>
      <w:numFmt w:val="bullet"/>
      <w:lvlText w:val="o"/>
      <w:lvlJc w:val="left"/>
      <w:pPr>
        <w:ind w:left="3665" w:hanging="360"/>
      </w:pPr>
      <w:rPr>
        <w:rFonts w:ascii="Courier New" w:hAnsi="Courier New" w:cs="Courier New" w:hint="default"/>
      </w:rPr>
    </w:lvl>
    <w:lvl w:ilvl="5" w:tplc="2C0A0005" w:tentative="1">
      <w:start w:val="1"/>
      <w:numFmt w:val="bullet"/>
      <w:lvlText w:val=""/>
      <w:lvlJc w:val="left"/>
      <w:pPr>
        <w:ind w:left="4385" w:hanging="360"/>
      </w:pPr>
      <w:rPr>
        <w:rFonts w:ascii="Wingdings" w:hAnsi="Wingdings" w:hint="default"/>
      </w:rPr>
    </w:lvl>
    <w:lvl w:ilvl="6" w:tplc="2C0A0001" w:tentative="1">
      <w:start w:val="1"/>
      <w:numFmt w:val="bullet"/>
      <w:lvlText w:val=""/>
      <w:lvlJc w:val="left"/>
      <w:pPr>
        <w:ind w:left="5105" w:hanging="360"/>
      </w:pPr>
      <w:rPr>
        <w:rFonts w:ascii="Symbol" w:hAnsi="Symbol" w:hint="default"/>
      </w:rPr>
    </w:lvl>
    <w:lvl w:ilvl="7" w:tplc="2C0A0003" w:tentative="1">
      <w:start w:val="1"/>
      <w:numFmt w:val="bullet"/>
      <w:lvlText w:val="o"/>
      <w:lvlJc w:val="left"/>
      <w:pPr>
        <w:ind w:left="5825" w:hanging="360"/>
      </w:pPr>
      <w:rPr>
        <w:rFonts w:ascii="Courier New" w:hAnsi="Courier New" w:cs="Courier New" w:hint="default"/>
      </w:rPr>
    </w:lvl>
    <w:lvl w:ilvl="8" w:tplc="2C0A0005" w:tentative="1">
      <w:start w:val="1"/>
      <w:numFmt w:val="bullet"/>
      <w:lvlText w:val=""/>
      <w:lvlJc w:val="left"/>
      <w:pPr>
        <w:ind w:left="6545" w:hanging="360"/>
      </w:pPr>
      <w:rPr>
        <w:rFonts w:ascii="Wingdings" w:hAnsi="Wingdings" w:hint="default"/>
      </w:rPr>
    </w:lvl>
  </w:abstractNum>
  <w:abstractNum w:abstractNumId="44" w15:restartNumberingAfterBreak="0">
    <w:nsid w:val="47F550CD"/>
    <w:multiLevelType w:val="hybridMultilevel"/>
    <w:tmpl w:val="43D4ABF0"/>
    <w:lvl w:ilvl="0" w:tplc="E998F0B8">
      <w:start w:val="1"/>
      <w:numFmt w:val="lowerLetter"/>
      <w:lvlText w:val="%1)"/>
      <w:lvlJc w:val="left"/>
      <w:pPr>
        <w:ind w:left="1571" w:hanging="360"/>
      </w:pPr>
      <w:rPr>
        <w:color w:val="auto"/>
      </w:rPr>
    </w:lvl>
    <w:lvl w:ilvl="1" w:tplc="2C0A0019">
      <w:start w:val="1"/>
      <w:numFmt w:val="lowerLetter"/>
      <w:lvlText w:val="%2."/>
      <w:lvlJc w:val="left"/>
      <w:pPr>
        <w:ind w:left="2291" w:hanging="360"/>
      </w:pPr>
    </w:lvl>
    <w:lvl w:ilvl="2" w:tplc="2C0A001B">
      <w:start w:val="1"/>
      <w:numFmt w:val="lowerRoman"/>
      <w:lvlText w:val="%3."/>
      <w:lvlJc w:val="right"/>
      <w:pPr>
        <w:ind w:left="3011" w:hanging="180"/>
      </w:pPr>
    </w:lvl>
    <w:lvl w:ilvl="3" w:tplc="2C0A000F">
      <w:start w:val="1"/>
      <w:numFmt w:val="decimal"/>
      <w:lvlText w:val="%4."/>
      <w:lvlJc w:val="left"/>
      <w:pPr>
        <w:ind w:left="3731" w:hanging="360"/>
      </w:pPr>
    </w:lvl>
    <w:lvl w:ilvl="4" w:tplc="2C0A0019">
      <w:start w:val="1"/>
      <w:numFmt w:val="lowerLetter"/>
      <w:lvlText w:val="%5."/>
      <w:lvlJc w:val="left"/>
      <w:pPr>
        <w:ind w:left="4451" w:hanging="360"/>
      </w:pPr>
    </w:lvl>
    <w:lvl w:ilvl="5" w:tplc="2C0A001B">
      <w:start w:val="1"/>
      <w:numFmt w:val="lowerRoman"/>
      <w:lvlText w:val="%6."/>
      <w:lvlJc w:val="right"/>
      <w:pPr>
        <w:ind w:left="5171" w:hanging="180"/>
      </w:pPr>
    </w:lvl>
    <w:lvl w:ilvl="6" w:tplc="2C0A000F">
      <w:start w:val="1"/>
      <w:numFmt w:val="decimal"/>
      <w:lvlText w:val="%7."/>
      <w:lvlJc w:val="left"/>
      <w:pPr>
        <w:ind w:left="5891" w:hanging="360"/>
      </w:pPr>
    </w:lvl>
    <w:lvl w:ilvl="7" w:tplc="2C0A0019">
      <w:start w:val="1"/>
      <w:numFmt w:val="lowerLetter"/>
      <w:lvlText w:val="%8."/>
      <w:lvlJc w:val="left"/>
      <w:pPr>
        <w:ind w:left="6611" w:hanging="360"/>
      </w:pPr>
    </w:lvl>
    <w:lvl w:ilvl="8" w:tplc="2C0A001B">
      <w:start w:val="1"/>
      <w:numFmt w:val="lowerRoman"/>
      <w:lvlText w:val="%9."/>
      <w:lvlJc w:val="right"/>
      <w:pPr>
        <w:ind w:left="7331" w:hanging="180"/>
      </w:pPr>
    </w:lvl>
  </w:abstractNum>
  <w:abstractNum w:abstractNumId="45" w15:restartNumberingAfterBreak="0">
    <w:nsid w:val="48C044BF"/>
    <w:multiLevelType w:val="hybridMultilevel"/>
    <w:tmpl w:val="3E0A8BEE"/>
    <w:lvl w:ilvl="0" w:tplc="0AC470DC">
      <w:start w:val="1"/>
      <w:numFmt w:val="decimal"/>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46" w15:restartNumberingAfterBreak="0">
    <w:nsid w:val="48CD2100"/>
    <w:multiLevelType w:val="hybridMultilevel"/>
    <w:tmpl w:val="AF8E536C"/>
    <w:lvl w:ilvl="0" w:tplc="0570F264">
      <w:numFmt w:val="bullet"/>
      <w:lvlText w:val=""/>
      <w:lvlJc w:val="left"/>
      <w:pPr>
        <w:ind w:left="1069" w:hanging="360"/>
      </w:pPr>
      <w:rPr>
        <w:rFonts w:ascii="Symbol" w:eastAsia="Times New Roman"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7" w15:restartNumberingAfterBreak="0">
    <w:nsid w:val="48CF6666"/>
    <w:multiLevelType w:val="hybridMultilevel"/>
    <w:tmpl w:val="88080130"/>
    <w:lvl w:ilvl="0" w:tplc="334A08E4">
      <w:start w:val="1"/>
      <w:numFmt w:val="bullet"/>
      <w:lvlText w:val="-"/>
      <w:lvlJc w:val="left"/>
      <w:pPr>
        <w:ind w:left="1069" w:hanging="360"/>
      </w:pPr>
      <w:rPr>
        <w:rFonts w:ascii="Times New Roman" w:eastAsia="Times New Roman" w:hAnsi="Times New Roman" w:cs="Times New Roman"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48" w15:restartNumberingAfterBreak="0">
    <w:nsid w:val="490F0C4F"/>
    <w:multiLevelType w:val="hybridMultilevel"/>
    <w:tmpl w:val="EC62FA00"/>
    <w:lvl w:ilvl="0" w:tplc="E998F0B8">
      <w:start w:val="1"/>
      <w:numFmt w:val="lowerLetter"/>
      <w:lvlText w:val="%1)"/>
      <w:lvlJc w:val="left"/>
      <w:pPr>
        <w:ind w:left="360" w:hanging="360"/>
      </w:pPr>
      <w:rPr>
        <w:rFonts w:hint="default"/>
        <w:color w:val="auto"/>
      </w:rPr>
    </w:lvl>
    <w:lvl w:ilvl="1" w:tplc="2C0A0019" w:tentative="1">
      <w:start w:val="1"/>
      <w:numFmt w:val="lowerLetter"/>
      <w:lvlText w:val="%2."/>
      <w:lvlJc w:val="left"/>
      <w:pPr>
        <w:ind w:left="90" w:hanging="360"/>
      </w:pPr>
    </w:lvl>
    <w:lvl w:ilvl="2" w:tplc="2C0A001B" w:tentative="1">
      <w:start w:val="1"/>
      <w:numFmt w:val="lowerRoman"/>
      <w:lvlText w:val="%3."/>
      <w:lvlJc w:val="right"/>
      <w:pPr>
        <w:ind w:left="810" w:hanging="180"/>
      </w:pPr>
    </w:lvl>
    <w:lvl w:ilvl="3" w:tplc="2C0A000F" w:tentative="1">
      <w:start w:val="1"/>
      <w:numFmt w:val="decimal"/>
      <w:lvlText w:val="%4."/>
      <w:lvlJc w:val="left"/>
      <w:pPr>
        <w:ind w:left="1530" w:hanging="360"/>
      </w:pPr>
    </w:lvl>
    <w:lvl w:ilvl="4" w:tplc="2C0A0019" w:tentative="1">
      <w:start w:val="1"/>
      <w:numFmt w:val="lowerLetter"/>
      <w:lvlText w:val="%5."/>
      <w:lvlJc w:val="left"/>
      <w:pPr>
        <w:ind w:left="2250" w:hanging="360"/>
      </w:pPr>
    </w:lvl>
    <w:lvl w:ilvl="5" w:tplc="2C0A001B" w:tentative="1">
      <w:start w:val="1"/>
      <w:numFmt w:val="lowerRoman"/>
      <w:lvlText w:val="%6."/>
      <w:lvlJc w:val="right"/>
      <w:pPr>
        <w:ind w:left="2970" w:hanging="180"/>
      </w:pPr>
    </w:lvl>
    <w:lvl w:ilvl="6" w:tplc="2C0A000F" w:tentative="1">
      <w:start w:val="1"/>
      <w:numFmt w:val="decimal"/>
      <w:lvlText w:val="%7."/>
      <w:lvlJc w:val="left"/>
      <w:pPr>
        <w:ind w:left="3690" w:hanging="360"/>
      </w:pPr>
    </w:lvl>
    <w:lvl w:ilvl="7" w:tplc="2C0A0019" w:tentative="1">
      <w:start w:val="1"/>
      <w:numFmt w:val="lowerLetter"/>
      <w:lvlText w:val="%8."/>
      <w:lvlJc w:val="left"/>
      <w:pPr>
        <w:ind w:left="4410" w:hanging="360"/>
      </w:pPr>
    </w:lvl>
    <w:lvl w:ilvl="8" w:tplc="2C0A001B" w:tentative="1">
      <w:start w:val="1"/>
      <w:numFmt w:val="lowerRoman"/>
      <w:lvlText w:val="%9."/>
      <w:lvlJc w:val="right"/>
      <w:pPr>
        <w:ind w:left="5130" w:hanging="180"/>
      </w:pPr>
    </w:lvl>
  </w:abstractNum>
  <w:abstractNum w:abstractNumId="49" w15:restartNumberingAfterBreak="0">
    <w:nsid w:val="4E461D8E"/>
    <w:multiLevelType w:val="hybridMultilevel"/>
    <w:tmpl w:val="25024BA2"/>
    <w:lvl w:ilvl="0" w:tplc="E998F0B8">
      <w:start w:val="1"/>
      <w:numFmt w:val="lowerLetter"/>
      <w:lvlText w:val="%1)"/>
      <w:lvlJc w:val="left"/>
      <w:pPr>
        <w:ind w:left="1287" w:hanging="360"/>
      </w:pPr>
      <w:rPr>
        <w:color w:val="auto"/>
      </w:rPr>
    </w:lvl>
    <w:lvl w:ilvl="1" w:tplc="2C0A0019">
      <w:start w:val="1"/>
      <w:numFmt w:val="lowerLetter"/>
      <w:lvlText w:val="%2."/>
      <w:lvlJc w:val="left"/>
      <w:pPr>
        <w:ind w:left="2007" w:hanging="360"/>
      </w:pPr>
    </w:lvl>
    <w:lvl w:ilvl="2" w:tplc="2C0A001B">
      <w:start w:val="1"/>
      <w:numFmt w:val="lowerRoman"/>
      <w:lvlText w:val="%3."/>
      <w:lvlJc w:val="right"/>
      <w:pPr>
        <w:ind w:left="2727" w:hanging="180"/>
      </w:pPr>
    </w:lvl>
    <w:lvl w:ilvl="3" w:tplc="2C0A000F">
      <w:start w:val="1"/>
      <w:numFmt w:val="decimal"/>
      <w:lvlText w:val="%4."/>
      <w:lvlJc w:val="left"/>
      <w:pPr>
        <w:ind w:left="3447" w:hanging="360"/>
      </w:pPr>
    </w:lvl>
    <w:lvl w:ilvl="4" w:tplc="2C0A0019">
      <w:start w:val="1"/>
      <w:numFmt w:val="lowerLetter"/>
      <w:lvlText w:val="%5."/>
      <w:lvlJc w:val="left"/>
      <w:pPr>
        <w:ind w:left="4167" w:hanging="360"/>
      </w:pPr>
    </w:lvl>
    <w:lvl w:ilvl="5" w:tplc="2C0A001B">
      <w:start w:val="1"/>
      <w:numFmt w:val="lowerRoman"/>
      <w:lvlText w:val="%6."/>
      <w:lvlJc w:val="right"/>
      <w:pPr>
        <w:ind w:left="4887" w:hanging="180"/>
      </w:pPr>
    </w:lvl>
    <w:lvl w:ilvl="6" w:tplc="2C0A000F">
      <w:start w:val="1"/>
      <w:numFmt w:val="decimal"/>
      <w:lvlText w:val="%7."/>
      <w:lvlJc w:val="left"/>
      <w:pPr>
        <w:ind w:left="5607" w:hanging="360"/>
      </w:pPr>
    </w:lvl>
    <w:lvl w:ilvl="7" w:tplc="2C0A0019">
      <w:start w:val="1"/>
      <w:numFmt w:val="lowerLetter"/>
      <w:lvlText w:val="%8."/>
      <w:lvlJc w:val="left"/>
      <w:pPr>
        <w:ind w:left="6327" w:hanging="360"/>
      </w:pPr>
    </w:lvl>
    <w:lvl w:ilvl="8" w:tplc="2C0A001B">
      <w:start w:val="1"/>
      <w:numFmt w:val="lowerRoman"/>
      <w:lvlText w:val="%9."/>
      <w:lvlJc w:val="right"/>
      <w:pPr>
        <w:ind w:left="7047" w:hanging="180"/>
      </w:pPr>
    </w:lvl>
  </w:abstractNum>
  <w:abstractNum w:abstractNumId="50" w15:restartNumberingAfterBreak="0">
    <w:nsid w:val="52164D94"/>
    <w:multiLevelType w:val="hybridMultilevel"/>
    <w:tmpl w:val="AA54DFEA"/>
    <w:lvl w:ilvl="0" w:tplc="3720197A">
      <w:start w:val="19"/>
      <w:numFmt w:val="bullet"/>
      <w:lvlText w:val="-"/>
      <w:lvlJc w:val="left"/>
      <w:pPr>
        <w:ind w:left="785" w:hanging="360"/>
      </w:pPr>
      <w:rPr>
        <w:rFonts w:ascii="Times New Roman" w:eastAsia="Times New Roman" w:hAnsi="Times New Roman" w:cs="Times New Roman" w:hint="default"/>
      </w:rPr>
    </w:lvl>
    <w:lvl w:ilvl="1" w:tplc="2C0A0003" w:tentative="1">
      <w:start w:val="1"/>
      <w:numFmt w:val="bullet"/>
      <w:lvlText w:val="o"/>
      <w:lvlJc w:val="left"/>
      <w:pPr>
        <w:ind w:left="1505" w:hanging="360"/>
      </w:pPr>
      <w:rPr>
        <w:rFonts w:ascii="Courier New" w:hAnsi="Courier New" w:cs="Courier New" w:hint="default"/>
      </w:rPr>
    </w:lvl>
    <w:lvl w:ilvl="2" w:tplc="2C0A0005" w:tentative="1">
      <w:start w:val="1"/>
      <w:numFmt w:val="bullet"/>
      <w:lvlText w:val=""/>
      <w:lvlJc w:val="left"/>
      <w:pPr>
        <w:ind w:left="2225" w:hanging="360"/>
      </w:pPr>
      <w:rPr>
        <w:rFonts w:ascii="Wingdings" w:hAnsi="Wingdings" w:hint="default"/>
      </w:rPr>
    </w:lvl>
    <w:lvl w:ilvl="3" w:tplc="2C0A0001" w:tentative="1">
      <w:start w:val="1"/>
      <w:numFmt w:val="bullet"/>
      <w:lvlText w:val=""/>
      <w:lvlJc w:val="left"/>
      <w:pPr>
        <w:ind w:left="2945" w:hanging="360"/>
      </w:pPr>
      <w:rPr>
        <w:rFonts w:ascii="Symbol" w:hAnsi="Symbol" w:hint="default"/>
      </w:rPr>
    </w:lvl>
    <w:lvl w:ilvl="4" w:tplc="2C0A0003" w:tentative="1">
      <w:start w:val="1"/>
      <w:numFmt w:val="bullet"/>
      <w:lvlText w:val="o"/>
      <w:lvlJc w:val="left"/>
      <w:pPr>
        <w:ind w:left="3665" w:hanging="360"/>
      </w:pPr>
      <w:rPr>
        <w:rFonts w:ascii="Courier New" w:hAnsi="Courier New" w:cs="Courier New" w:hint="default"/>
      </w:rPr>
    </w:lvl>
    <w:lvl w:ilvl="5" w:tplc="2C0A0005" w:tentative="1">
      <w:start w:val="1"/>
      <w:numFmt w:val="bullet"/>
      <w:lvlText w:val=""/>
      <w:lvlJc w:val="left"/>
      <w:pPr>
        <w:ind w:left="4385" w:hanging="360"/>
      </w:pPr>
      <w:rPr>
        <w:rFonts w:ascii="Wingdings" w:hAnsi="Wingdings" w:hint="default"/>
      </w:rPr>
    </w:lvl>
    <w:lvl w:ilvl="6" w:tplc="2C0A0001" w:tentative="1">
      <w:start w:val="1"/>
      <w:numFmt w:val="bullet"/>
      <w:lvlText w:val=""/>
      <w:lvlJc w:val="left"/>
      <w:pPr>
        <w:ind w:left="5105" w:hanging="360"/>
      </w:pPr>
      <w:rPr>
        <w:rFonts w:ascii="Symbol" w:hAnsi="Symbol" w:hint="default"/>
      </w:rPr>
    </w:lvl>
    <w:lvl w:ilvl="7" w:tplc="2C0A0003" w:tentative="1">
      <w:start w:val="1"/>
      <w:numFmt w:val="bullet"/>
      <w:lvlText w:val="o"/>
      <w:lvlJc w:val="left"/>
      <w:pPr>
        <w:ind w:left="5825" w:hanging="360"/>
      </w:pPr>
      <w:rPr>
        <w:rFonts w:ascii="Courier New" w:hAnsi="Courier New" w:cs="Courier New" w:hint="default"/>
      </w:rPr>
    </w:lvl>
    <w:lvl w:ilvl="8" w:tplc="2C0A0005" w:tentative="1">
      <w:start w:val="1"/>
      <w:numFmt w:val="bullet"/>
      <w:lvlText w:val=""/>
      <w:lvlJc w:val="left"/>
      <w:pPr>
        <w:ind w:left="6545" w:hanging="360"/>
      </w:pPr>
      <w:rPr>
        <w:rFonts w:ascii="Wingdings" w:hAnsi="Wingdings" w:hint="default"/>
      </w:rPr>
    </w:lvl>
  </w:abstractNum>
  <w:abstractNum w:abstractNumId="51" w15:restartNumberingAfterBreak="0">
    <w:nsid w:val="53860D49"/>
    <w:multiLevelType w:val="hybridMultilevel"/>
    <w:tmpl w:val="76B6C3BA"/>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52" w15:restartNumberingAfterBreak="0">
    <w:nsid w:val="569F60E4"/>
    <w:multiLevelType w:val="hybridMultilevel"/>
    <w:tmpl w:val="A29CC26E"/>
    <w:lvl w:ilvl="0" w:tplc="E998F0B8">
      <w:start w:val="1"/>
      <w:numFmt w:val="lowerLetter"/>
      <w:lvlText w:val="%1)"/>
      <w:lvlJc w:val="left"/>
      <w:pPr>
        <w:ind w:left="1125" w:hanging="360"/>
      </w:pPr>
      <w:rPr>
        <w:rFonts w:hint="default"/>
        <w:color w:val="auto"/>
      </w:rPr>
    </w:lvl>
    <w:lvl w:ilvl="1" w:tplc="2C0A0019" w:tentative="1">
      <w:start w:val="1"/>
      <w:numFmt w:val="lowerLetter"/>
      <w:lvlText w:val="%2."/>
      <w:lvlJc w:val="left"/>
      <w:pPr>
        <w:ind w:left="1845" w:hanging="360"/>
      </w:pPr>
    </w:lvl>
    <w:lvl w:ilvl="2" w:tplc="2C0A001B" w:tentative="1">
      <w:start w:val="1"/>
      <w:numFmt w:val="lowerRoman"/>
      <w:lvlText w:val="%3."/>
      <w:lvlJc w:val="right"/>
      <w:pPr>
        <w:ind w:left="2565" w:hanging="180"/>
      </w:pPr>
    </w:lvl>
    <w:lvl w:ilvl="3" w:tplc="2C0A000F" w:tentative="1">
      <w:start w:val="1"/>
      <w:numFmt w:val="decimal"/>
      <w:lvlText w:val="%4."/>
      <w:lvlJc w:val="left"/>
      <w:pPr>
        <w:ind w:left="3285" w:hanging="360"/>
      </w:pPr>
    </w:lvl>
    <w:lvl w:ilvl="4" w:tplc="2C0A0019" w:tentative="1">
      <w:start w:val="1"/>
      <w:numFmt w:val="lowerLetter"/>
      <w:lvlText w:val="%5."/>
      <w:lvlJc w:val="left"/>
      <w:pPr>
        <w:ind w:left="4005" w:hanging="360"/>
      </w:pPr>
    </w:lvl>
    <w:lvl w:ilvl="5" w:tplc="2C0A001B" w:tentative="1">
      <w:start w:val="1"/>
      <w:numFmt w:val="lowerRoman"/>
      <w:lvlText w:val="%6."/>
      <w:lvlJc w:val="right"/>
      <w:pPr>
        <w:ind w:left="4725" w:hanging="180"/>
      </w:pPr>
    </w:lvl>
    <w:lvl w:ilvl="6" w:tplc="2C0A000F" w:tentative="1">
      <w:start w:val="1"/>
      <w:numFmt w:val="decimal"/>
      <w:lvlText w:val="%7."/>
      <w:lvlJc w:val="left"/>
      <w:pPr>
        <w:ind w:left="5445" w:hanging="360"/>
      </w:pPr>
    </w:lvl>
    <w:lvl w:ilvl="7" w:tplc="2C0A0019" w:tentative="1">
      <w:start w:val="1"/>
      <w:numFmt w:val="lowerLetter"/>
      <w:lvlText w:val="%8."/>
      <w:lvlJc w:val="left"/>
      <w:pPr>
        <w:ind w:left="6165" w:hanging="360"/>
      </w:pPr>
    </w:lvl>
    <w:lvl w:ilvl="8" w:tplc="2C0A001B" w:tentative="1">
      <w:start w:val="1"/>
      <w:numFmt w:val="lowerRoman"/>
      <w:lvlText w:val="%9."/>
      <w:lvlJc w:val="right"/>
      <w:pPr>
        <w:ind w:left="6885" w:hanging="180"/>
      </w:pPr>
    </w:lvl>
  </w:abstractNum>
  <w:abstractNum w:abstractNumId="53" w15:restartNumberingAfterBreak="0">
    <w:nsid w:val="582974A7"/>
    <w:multiLevelType w:val="hybridMultilevel"/>
    <w:tmpl w:val="76B6C3BA"/>
    <w:lvl w:ilvl="0" w:tplc="2C0A000F">
      <w:start w:val="1"/>
      <w:numFmt w:val="decimal"/>
      <w:lvlText w:val="%1."/>
      <w:lvlJc w:val="left"/>
      <w:pPr>
        <w:ind w:left="1068" w:hanging="360"/>
      </w:pPr>
    </w:lvl>
    <w:lvl w:ilvl="1" w:tplc="2C0A0019">
      <w:start w:val="1"/>
      <w:numFmt w:val="lowerLetter"/>
      <w:lvlText w:val="%2."/>
      <w:lvlJc w:val="left"/>
      <w:pPr>
        <w:ind w:left="1788" w:hanging="360"/>
      </w:pPr>
    </w:lvl>
    <w:lvl w:ilvl="2" w:tplc="2C0A001B">
      <w:start w:val="1"/>
      <w:numFmt w:val="lowerRoman"/>
      <w:lvlText w:val="%3."/>
      <w:lvlJc w:val="right"/>
      <w:pPr>
        <w:ind w:left="2508" w:hanging="180"/>
      </w:pPr>
    </w:lvl>
    <w:lvl w:ilvl="3" w:tplc="2C0A000F">
      <w:start w:val="1"/>
      <w:numFmt w:val="decimal"/>
      <w:lvlText w:val="%4."/>
      <w:lvlJc w:val="left"/>
      <w:pPr>
        <w:ind w:left="3228" w:hanging="360"/>
      </w:pPr>
    </w:lvl>
    <w:lvl w:ilvl="4" w:tplc="2C0A0019">
      <w:start w:val="1"/>
      <w:numFmt w:val="lowerLetter"/>
      <w:lvlText w:val="%5."/>
      <w:lvlJc w:val="left"/>
      <w:pPr>
        <w:ind w:left="3948" w:hanging="360"/>
      </w:pPr>
    </w:lvl>
    <w:lvl w:ilvl="5" w:tplc="2C0A001B">
      <w:start w:val="1"/>
      <w:numFmt w:val="lowerRoman"/>
      <w:lvlText w:val="%6."/>
      <w:lvlJc w:val="right"/>
      <w:pPr>
        <w:ind w:left="4668" w:hanging="180"/>
      </w:pPr>
    </w:lvl>
    <w:lvl w:ilvl="6" w:tplc="2C0A000F">
      <w:start w:val="1"/>
      <w:numFmt w:val="decimal"/>
      <w:lvlText w:val="%7."/>
      <w:lvlJc w:val="left"/>
      <w:pPr>
        <w:ind w:left="5388" w:hanging="360"/>
      </w:pPr>
    </w:lvl>
    <w:lvl w:ilvl="7" w:tplc="2C0A0019">
      <w:start w:val="1"/>
      <w:numFmt w:val="lowerLetter"/>
      <w:lvlText w:val="%8."/>
      <w:lvlJc w:val="left"/>
      <w:pPr>
        <w:ind w:left="6108" w:hanging="360"/>
      </w:pPr>
    </w:lvl>
    <w:lvl w:ilvl="8" w:tplc="2C0A001B">
      <w:start w:val="1"/>
      <w:numFmt w:val="lowerRoman"/>
      <w:lvlText w:val="%9."/>
      <w:lvlJc w:val="right"/>
      <w:pPr>
        <w:ind w:left="6828" w:hanging="180"/>
      </w:pPr>
    </w:lvl>
  </w:abstractNum>
  <w:abstractNum w:abstractNumId="54" w15:restartNumberingAfterBreak="0">
    <w:nsid w:val="58AA34F4"/>
    <w:multiLevelType w:val="hybridMultilevel"/>
    <w:tmpl w:val="69241572"/>
    <w:lvl w:ilvl="0" w:tplc="795E669C">
      <w:start w:val="19"/>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5" w15:restartNumberingAfterBreak="0">
    <w:nsid w:val="5908507A"/>
    <w:multiLevelType w:val="hybridMultilevel"/>
    <w:tmpl w:val="671ABB48"/>
    <w:lvl w:ilvl="0" w:tplc="CF56A38C">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6" w15:restartNumberingAfterBreak="0">
    <w:nsid w:val="5B436A08"/>
    <w:multiLevelType w:val="hybridMultilevel"/>
    <w:tmpl w:val="2706977E"/>
    <w:lvl w:ilvl="0" w:tplc="2C0A0017">
      <w:start w:val="1"/>
      <w:numFmt w:val="lowerLetter"/>
      <w:lvlText w:val="%1)"/>
      <w:lvlJc w:val="left"/>
      <w:pPr>
        <w:ind w:left="1287" w:hanging="360"/>
      </w:pPr>
    </w:lvl>
    <w:lvl w:ilvl="1" w:tplc="2C0A0019">
      <w:start w:val="1"/>
      <w:numFmt w:val="lowerLetter"/>
      <w:lvlText w:val="%2."/>
      <w:lvlJc w:val="left"/>
      <w:pPr>
        <w:ind w:left="2007" w:hanging="360"/>
      </w:pPr>
    </w:lvl>
    <w:lvl w:ilvl="2" w:tplc="2C0A001B">
      <w:start w:val="1"/>
      <w:numFmt w:val="lowerRoman"/>
      <w:lvlText w:val="%3."/>
      <w:lvlJc w:val="right"/>
      <w:pPr>
        <w:ind w:left="2727" w:hanging="180"/>
      </w:pPr>
    </w:lvl>
    <w:lvl w:ilvl="3" w:tplc="2C0A000F">
      <w:start w:val="1"/>
      <w:numFmt w:val="decimal"/>
      <w:lvlText w:val="%4."/>
      <w:lvlJc w:val="left"/>
      <w:pPr>
        <w:ind w:left="3447" w:hanging="360"/>
      </w:pPr>
    </w:lvl>
    <w:lvl w:ilvl="4" w:tplc="2C0A0019">
      <w:start w:val="1"/>
      <w:numFmt w:val="lowerLetter"/>
      <w:lvlText w:val="%5."/>
      <w:lvlJc w:val="left"/>
      <w:pPr>
        <w:ind w:left="4167" w:hanging="360"/>
      </w:pPr>
    </w:lvl>
    <w:lvl w:ilvl="5" w:tplc="2C0A001B">
      <w:start w:val="1"/>
      <w:numFmt w:val="lowerRoman"/>
      <w:lvlText w:val="%6."/>
      <w:lvlJc w:val="right"/>
      <w:pPr>
        <w:ind w:left="4887" w:hanging="180"/>
      </w:pPr>
    </w:lvl>
    <w:lvl w:ilvl="6" w:tplc="2C0A000F">
      <w:start w:val="1"/>
      <w:numFmt w:val="decimal"/>
      <w:lvlText w:val="%7."/>
      <w:lvlJc w:val="left"/>
      <w:pPr>
        <w:ind w:left="5607" w:hanging="360"/>
      </w:pPr>
    </w:lvl>
    <w:lvl w:ilvl="7" w:tplc="2C0A0019">
      <w:start w:val="1"/>
      <w:numFmt w:val="lowerLetter"/>
      <w:lvlText w:val="%8."/>
      <w:lvlJc w:val="left"/>
      <w:pPr>
        <w:ind w:left="6327" w:hanging="360"/>
      </w:pPr>
    </w:lvl>
    <w:lvl w:ilvl="8" w:tplc="2C0A001B">
      <w:start w:val="1"/>
      <w:numFmt w:val="lowerRoman"/>
      <w:lvlText w:val="%9."/>
      <w:lvlJc w:val="right"/>
      <w:pPr>
        <w:ind w:left="7047" w:hanging="180"/>
      </w:pPr>
    </w:lvl>
  </w:abstractNum>
  <w:abstractNum w:abstractNumId="57" w15:restartNumberingAfterBreak="0">
    <w:nsid w:val="5CF15A31"/>
    <w:multiLevelType w:val="multilevel"/>
    <w:tmpl w:val="2C0A001D"/>
    <w:styleLink w:val="Style2"/>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5E2D2867"/>
    <w:multiLevelType w:val="hybridMultilevel"/>
    <w:tmpl w:val="76B6C3BA"/>
    <w:lvl w:ilvl="0" w:tplc="2C0A000F">
      <w:start w:val="1"/>
      <w:numFmt w:val="decimal"/>
      <w:lvlText w:val="%1."/>
      <w:lvlJc w:val="left"/>
      <w:pPr>
        <w:ind w:left="1068" w:hanging="360"/>
      </w:pPr>
    </w:lvl>
    <w:lvl w:ilvl="1" w:tplc="2C0A0019">
      <w:start w:val="1"/>
      <w:numFmt w:val="lowerLetter"/>
      <w:lvlText w:val="%2."/>
      <w:lvlJc w:val="left"/>
      <w:pPr>
        <w:ind w:left="1788" w:hanging="360"/>
      </w:pPr>
    </w:lvl>
    <w:lvl w:ilvl="2" w:tplc="2C0A001B">
      <w:start w:val="1"/>
      <w:numFmt w:val="lowerRoman"/>
      <w:lvlText w:val="%3."/>
      <w:lvlJc w:val="right"/>
      <w:pPr>
        <w:ind w:left="2508" w:hanging="180"/>
      </w:pPr>
    </w:lvl>
    <w:lvl w:ilvl="3" w:tplc="2C0A000F">
      <w:start w:val="1"/>
      <w:numFmt w:val="decimal"/>
      <w:lvlText w:val="%4."/>
      <w:lvlJc w:val="left"/>
      <w:pPr>
        <w:ind w:left="3228" w:hanging="360"/>
      </w:pPr>
    </w:lvl>
    <w:lvl w:ilvl="4" w:tplc="2C0A0019">
      <w:start w:val="1"/>
      <w:numFmt w:val="lowerLetter"/>
      <w:lvlText w:val="%5."/>
      <w:lvlJc w:val="left"/>
      <w:pPr>
        <w:ind w:left="3948" w:hanging="360"/>
      </w:pPr>
    </w:lvl>
    <w:lvl w:ilvl="5" w:tplc="2C0A001B">
      <w:start w:val="1"/>
      <w:numFmt w:val="lowerRoman"/>
      <w:lvlText w:val="%6."/>
      <w:lvlJc w:val="right"/>
      <w:pPr>
        <w:ind w:left="4668" w:hanging="180"/>
      </w:pPr>
    </w:lvl>
    <w:lvl w:ilvl="6" w:tplc="2C0A000F">
      <w:start w:val="1"/>
      <w:numFmt w:val="decimal"/>
      <w:lvlText w:val="%7."/>
      <w:lvlJc w:val="left"/>
      <w:pPr>
        <w:ind w:left="5388" w:hanging="360"/>
      </w:pPr>
    </w:lvl>
    <w:lvl w:ilvl="7" w:tplc="2C0A0019">
      <w:start w:val="1"/>
      <w:numFmt w:val="lowerLetter"/>
      <w:lvlText w:val="%8."/>
      <w:lvlJc w:val="left"/>
      <w:pPr>
        <w:ind w:left="6108" w:hanging="360"/>
      </w:pPr>
    </w:lvl>
    <w:lvl w:ilvl="8" w:tplc="2C0A001B">
      <w:start w:val="1"/>
      <w:numFmt w:val="lowerRoman"/>
      <w:lvlText w:val="%9."/>
      <w:lvlJc w:val="right"/>
      <w:pPr>
        <w:ind w:left="6828" w:hanging="180"/>
      </w:pPr>
    </w:lvl>
  </w:abstractNum>
  <w:abstractNum w:abstractNumId="59" w15:restartNumberingAfterBreak="0">
    <w:nsid w:val="5F934D89"/>
    <w:multiLevelType w:val="hybridMultilevel"/>
    <w:tmpl w:val="3244B080"/>
    <w:lvl w:ilvl="0" w:tplc="EA160D4A">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0" w15:restartNumberingAfterBreak="0">
    <w:nsid w:val="601311E3"/>
    <w:multiLevelType w:val="hybridMultilevel"/>
    <w:tmpl w:val="5C0EEB42"/>
    <w:lvl w:ilvl="0" w:tplc="2C0A0017">
      <w:start w:val="1"/>
      <w:numFmt w:val="lowerLetter"/>
      <w:lvlText w:val="%1)"/>
      <w:lvlJc w:val="left"/>
      <w:pPr>
        <w:ind w:left="363" w:hanging="360"/>
      </w:pPr>
      <w:rPr>
        <w:rFonts w:hint="default"/>
      </w:rPr>
    </w:lvl>
    <w:lvl w:ilvl="1" w:tplc="2C0A0019">
      <w:start w:val="1"/>
      <w:numFmt w:val="lowerLetter"/>
      <w:lvlText w:val="%2."/>
      <w:lvlJc w:val="left"/>
      <w:pPr>
        <w:ind w:left="1083" w:hanging="360"/>
      </w:pPr>
    </w:lvl>
    <w:lvl w:ilvl="2" w:tplc="2C0A001B" w:tentative="1">
      <w:start w:val="1"/>
      <w:numFmt w:val="lowerRoman"/>
      <w:lvlText w:val="%3."/>
      <w:lvlJc w:val="right"/>
      <w:pPr>
        <w:ind w:left="1803" w:hanging="180"/>
      </w:pPr>
    </w:lvl>
    <w:lvl w:ilvl="3" w:tplc="2C0A000F" w:tentative="1">
      <w:start w:val="1"/>
      <w:numFmt w:val="decimal"/>
      <w:lvlText w:val="%4."/>
      <w:lvlJc w:val="left"/>
      <w:pPr>
        <w:ind w:left="2523" w:hanging="360"/>
      </w:pPr>
    </w:lvl>
    <w:lvl w:ilvl="4" w:tplc="2C0A0019" w:tentative="1">
      <w:start w:val="1"/>
      <w:numFmt w:val="lowerLetter"/>
      <w:lvlText w:val="%5."/>
      <w:lvlJc w:val="left"/>
      <w:pPr>
        <w:ind w:left="3243" w:hanging="360"/>
      </w:pPr>
    </w:lvl>
    <w:lvl w:ilvl="5" w:tplc="2C0A001B" w:tentative="1">
      <w:start w:val="1"/>
      <w:numFmt w:val="lowerRoman"/>
      <w:lvlText w:val="%6."/>
      <w:lvlJc w:val="right"/>
      <w:pPr>
        <w:ind w:left="3963" w:hanging="180"/>
      </w:pPr>
    </w:lvl>
    <w:lvl w:ilvl="6" w:tplc="2C0A000F" w:tentative="1">
      <w:start w:val="1"/>
      <w:numFmt w:val="decimal"/>
      <w:lvlText w:val="%7."/>
      <w:lvlJc w:val="left"/>
      <w:pPr>
        <w:ind w:left="4683" w:hanging="360"/>
      </w:pPr>
    </w:lvl>
    <w:lvl w:ilvl="7" w:tplc="2C0A0019" w:tentative="1">
      <w:start w:val="1"/>
      <w:numFmt w:val="lowerLetter"/>
      <w:lvlText w:val="%8."/>
      <w:lvlJc w:val="left"/>
      <w:pPr>
        <w:ind w:left="5403" w:hanging="360"/>
      </w:pPr>
    </w:lvl>
    <w:lvl w:ilvl="8" w:tplc="2C0A001B" w:tentative="1">
      <w:start w:val="1"/>
      <w:numFmt w:val="lowerRoman"/>
      <w:lvlText w:val="%9."/>
      <w:lvlJc w:val="right"/>
      <w:pPr>
        <w:ind w:left="6123" w:hanging="180"/>
      </w:pPr>
    </w:lvl>
  </w:abstractNum>
  <w:abstractNum w:abstractNumId="61" w15:restartNumberingAfterBreak="0">
    <w:nsid w:val="63613D23"/>
    <w:multiLevelType w:val="hybridMultilevel"/>
    <w:tmpl w:val="42C85798"/>
    <w:lvl w:ilvl="0" w:tplc="795E669C">
      <w:start w:val="19"/>
      <w:numFmt w:val="bullet"/>
      <w:lvlText w:val="-"/>
      <w:lvlJc w:val="left"/>
      <w:pPr>
        <w:ind w:left="1429" w:hanging="360"/>
      </w:pPr>
      <w:rPr>
        <w:rFonts w:ascii="Times New Roman" w:eastAsia="Times New Roman" w:hAnsi="Times New Roman" w:cs="Times New Roman"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62" w15:restartNumberingAfterBreak="0">
    <w:nsid w:val="66725E41"/>
    <w:multiLevelType w:val="hybridMultilevel"/>
    <w:tmpl w:val="DF86AF60"/>
    <w:lvl w:ilvl="0" w:tplc="A33251D2">
      <w:start w:val="1"/>
      <w:numFmt w:val="lowerLetter"/>
      <w:lvlText w:val="%1)"/>
      <w:lvlJc w:val="left"/>
      <w:pPr>
        <w:tabs>
          <w:tab w:val="num" w:pos="1125"/>
        </w:tabs>
        <w:ind w:left="1125" w:hanging="360"/>
      </w:pPr>
      <w:rPr>
        <w:rFonts w:ascii="Times New Roman" w:hAnsi="Times New Roman" w:hint="default"/>
        <w:b w:val="0"/>
        <w:bCs w:val="0"/>
        <w:i w:val="0"/>
        <w:iCs w:val="0"/>
        <w:caps w:val="0"/>
        <w:smallCaps w:val="0"/>
        <w:strike w:val="0"/>
        <w:dstrike w:val="0"/>
        <w:outline w:val="0"/>
        <w:shadow w:val="0"/>
        <w:emboss w:val="0"/>
        <w:imprint w:val="0"/>
        <w:snapToGrid w:val="0"/>
        <w:sz w:val="20"/>
        <w:szCs w:val="20"/>
      </w:rPr>
    </w:lvl>
    <w:lvl w:ilvl="1" w:tplc="0C0A0019" w:tentative="1">
      <w:start w:val="1"/>
      <w:numFmt w:val="lowerLetter"/>
      <w:lvlText w:val="%2."/>
      <w:lvlJc w:val="left"/>
      <w:pPr>
        <w:tabs>
          <w:tab w:val="num" w:pos="2205"/>
        </w:tabs>
        <w:ind w:left="2205" w:hanging="360"/>
      </w:pPr>
    </w:lvl>
    <w:lvl w:ilvl="2" w:tplc="0C0A001B" w:tentative="1">
      <w:start w:val="1"/>
      <w:numFmt w:val="lowerRoman"/>
      <w:lvlText w:val="%3."/>
      <w:lvlJc w:val="right"/>
      <w:pPr>
        <w:tabs>
          <w:tab w:val="num" w:pos="2925"/>
        </w:tabs>
        <w:ind w:left="2925" w:hanging="180"/>
      </w:pPr>
    </w:lvl>
    <w:lvl w:ilvl="3" w:tplc="0C0A000F" w:tentative="1">
      <w:start w:val="1"/>
      <w:numFmt w:val="decimal"/>
      <w:lvlText w:val="%4."/>
      <w:lvlJc w:val="left"/>
      <w:pPr>
        <w:tabs>
          <w:tab w:val="num" w:pos="3645"/>
        </w:tabs>
        <w:ind w:left="3645" w:hanging="360"/>
      </w:pPr>
    </w:lvl>
    <w:lvl w:ilvl="4" w:tplc="0C0A0019" w:tentative="1">
      <w:start w:val="1"/>
      <w:numFmt w:val="lowerLetter"/>
      <w:lvlText w:val="%5."/>
      <w:lvlJc w:val="left"/>
      <w:pPr>
        <w:tabs>
          <w:tab w:val="num" w:pos="4365"/>
        </w:tabs>
        <w:ind w:left="4365" w:hanging="360"/>
      </w:pPr>
    </w:lvl>
    <w:lvl w:ilvl="5" w:tplc="0C0A001B" w:tentative="1">
      <w:start w:val="1"/>
      <w:numFmt w:val="lowerRoman"/>
      <w:lvlText w:val="%6."/>
      <w:lvlJc w:val="right"/>
      <w:pPr>
        <w:tabs>
          <w:tab w:val="num" w:pos="5085"/>
        </w:tabs>
        <w:ind w:left="5085" w:hanging="180"/>
      </w:pPr>
    </w:lvl>
    <w:lvl w:ilvl="6" w:tplc="0C0A000F" w:tentative="1">
      <w:start w:val="1"/>
      <w:numFmt w:val="decimal"/>
      <w:lvlText w:val="%7."/>
      <w:lvlJc w:val="left"/>
      <w:pPr>
        <w:tabs>
          <w:tab w:val="num" w:pos="5805"/>
        </w:tabs>
        <w:ind w:left="5805" w:hanging="360"/>
      </w:pPr>
    </w:lvl>
    <w:lvl w:ilvl="7" w:tplc="0C0A0019" w:tentative="1">
      <w:start w:val="1"/>
      <w:numFmt w:val="lowerLetter"/>
      <w:lvlText w:val="%8."/>
      <w:lvlJc w:val="left"/>
      <w:pPr>
        <w:tabs>
          <w:tab w:val="num" w:pos="6525"/>
        </w:tabs>
        <w:ind w:left="6525" w:hanging="360"/>
      </w:pPr>
    </w:lvl>
    <w:lvl w:ilvl="8" w:tplc="0C0A001B" w:tentative="1">
      <w:start w:val="1"/>
      <w:numFmt w:val="lowerRoman"/>
      <w:lvlText w:val="%9."/>
      <w:lvlJc w:val="right"/>
      <w:pPr>
        <w:tabs>
          <w:tab w:val="num" w:pos="7245"/>
        </w:tabs>
        <w:ind w:left="7245" w:hanging="180"/>
      </w:pPr>
    </w:lvl>
  </w:abstractNum>
  <w:abstractNum w:abstractNumId="63" w15:restartNumberingAfterBreak="0">
    <w:nsid w:val="68474BC7"/>
    <w:multiLevelType w:val="hybridMultilevel"/>
    <w:tmpl w:val="653E7EFA"/>
    <w:lvl w:ilvl="0" w:tplc="AFF2786E">
      <w:start w:val="1"/>
      <w:numFmt w:val="decimal"/>
      <w:lvlText w:val="%1."/>
      <w:lvlJc w:val="left"/>
      <w:pPr>
        <w:ind w:left="720" w:hanging="360"/>
      </w:pPr>
      <w:rPr>
        <w:rFonts w:hint="default"/>
        <w:b w:val="0"/>
      </w:rPr>
    </w:lvl>
    <w:lvl w:ilvl="1" w:tplc="E998F0B8">
      <w:start w:val="1"/>
      <w:numFmt w:val="lowerLetter"/>
      <w:lvlText w:val="%2)"/>
      <w:lvlJc w:val="left"/>
      <w:pPr>
        <w:ind w:left="1710" w:hanging="360"/>
      </w:pPr>
      <w:rPr>
        <w:rFonts w:hint="default"/>
        <w:color w:val="auto"/>
      </w:rPr>
    </w:lvl>
    <w:lvl w:ilvl="2" w:tplc="2C0A001B">
      <w:start w:val="1"/>
      <w:numFmt w:val="lowerRoman"/>
      <w:lvlText w:val="%3."/>
      <w:lvlJc w:val="right"/>
      <w:pPr>
        <w:ind w:left="2430" w:hanging="180"/>
      </w:pPr>
    </w:lvl>
    <w:lvl w:ilvl="3" w:tplc="2C0A000F" w:tentative="1">
      <w:start w:val="1"/>
      <w:numFmt w:val="decimal"/>
      <w:lvlText w:val="%4."/>
      <w:lvlJc w:val="left"/>
      <w:pPr>
        <w:ind w:left="3150" w:hanging="360"/>
      </w:pPr>
    </w:lvl>
    <w:lvl w:ilvl="4" w:tplc="2C0A0019" w:tentative="1">
      <w:start w:val="1"/>
      <w:numFmt w:val="lowerLetter"/>
      <w:lvlText w:val="%5."/>
      <w:lvlJc w:val="left"/>
      <w:pPr>
        <w:ind w:left="3870" w:hanging="360"/>
      </w:pPr>
    </w:lvl>
    <w:lvl w:ilvl="5" w:tplc="2C0A001B" w:tentative="1">
      <w:start w:val="1"/>
      <w:numFmt w:val="lowerRoman"/>
      <w:lvlText w:val="%6."/>
      <w:lvlJc w:val="right"/>
      <w:pPr>
        <w:ind w:left="4590" w:hanging="180"/>
      </w:pPr>
    </w:lvl>
    <w:lvl w:ilvl="6" w:tplc="2C0A000F" w:tentative="1">
      <w:start w:val="1"/>
      <w:numFmt w:val="decimal"/>
      <w:lvlText w:val="%7."/>
      <w:lvlJc w:val="left"/>
      <w:pPr>
        <w:ind w:left="5310" w:hanging="360"/>
      </w:pPr>
    </w:lvl>
    <w:lvl w:ilvl="7" w:tplc="2C0A0019" w:tentative="1">
      <w:start w:val="1"/>
      <w:numFmt w:val="lowerLetter"/>
      <w:lvlText w:val="%8."/>
      <w:lvlJc w:val="left"/>
      <w:pPr>
        <w:ind w:left="6030" w:hanging="360"/>
      </w:pPr>
    </w:lvl>
    <w:lvl w:ilvl="8" w:tplc="2C0A001B" w:tentative="1">
      <w:start w:val="1"/>
      <w:numFmt w:val="lowerRoman"/>
      <w:lvlText w:val="%9."/>
      <w:lvlJc w:val="right"/>
      <w:pPr>
        <w:ind w:left="6750" w:hanging="180"/>
      </w:pPr>
    </w:lvl>
  </w:abstractNum>
  <w:abstractNum w:abstractNumId="64" w15:restartNumberingAfterBreak="0">
    <w:nsid w:val="69617220"/>
    <w:multiLevelType w:val="multilevel"/>
    <w:tmpl w:val="29B20A2E"/>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65" w15:restartNumberingAfterBreak="0">
    <w:nsid w:val="73846128"/>
    <w:multiLevelType w:val="hybridMultilevel"/>
    <w:tmpl w:val="5C0EEB42"/>
    <w:lvl w:ilvl="0" w:tplc="2C0A0017">
      <w:start w:val="1"/>
      <w:numFmt w:val="lowerLetter"/>
      <w:lvlText w:val="%1)"/>
      <w:lvlJc w:val="left"/>
      <w:pPr>
        <w:ind w:left="363" w:hanging="360"/>
      </w:pPr>
      <w:rPr>
        <w:rFonts w:hint="default"/>
      </w:rPr>
    </w:lvl>
    <w:lvl w:ilvl="1" w:tplc="2C0A0019">
      <w:start w:val="1"/>
      <w:numFmt w:val="lowerLetter"/>
      <w:lvlText w:val="%2."/>
      <w:lvlJc w:val="left"/>
      <w:pPr>
        <w:ind w:left="1083" w:hanging="360"/>
      </w:pPr>
    </w:lvl>
    <w:lvl w:ilvl="2" w:tplc="2C0A001B" w:tentative="1">
      <w:start w:val="1"/>
      <w:numFmt w:val="lowerRoman"/>
      <w:lvlText w:val="%3."/>
      <w:lvlJc w:val="right"/>
      <w:pPr>
        <w:ind w:left="1803" w:hanging="180"/>
      </w:pPr>
    </w:lvl>
    <w:lvl w:ilvl="3" w:tplc="2C0A000F" w:tentative="1">
      <w:start w:val="1"/>
      <w:numFmt w:val="decimal"/>
      <w:lvlText w:val="%4."/>
      <w:lvlJc w:val="left"/>
      <w:pPr>
        <w:ind w:left="2523" w:hanging="360"/>
      </w:pPr>
    </w:lvl>
    <w:lvl w:ilvl="4" w:tplc="2C0A0019" w:tentative="1">
      <w:start w:val="1"/>
      <w:numFmt w:val="lowerLetter"/>
      <w:lvlText w:val="%5."/>
      <w:lvlJc w:val="left"/>
      <w:pPr>
        <w:ind w:left="3243" w:hanging="360"/>
      </w:pPr>
    </w:lvl>
    <w:lvl w:ilvl="5" w:tplc="2C0A001B" w:tentative="1">
      <w:start w:val="1"/>
      <w:numFmt w:val="lowerRoman"/>
      <w:lvlText w:val="%6."/>
      <w:lvlJc w:val="right"/>
      <w:pPr>
        <w:ind w:left="3963" w:hanging="180"/>
      </w:pPr>
    </w:lvl>
    <w:lvl w:ilvl="6" w:tplc="2C0A000F" w:tentative="1">
      <w:start w:val="1"/>
      <w:numFmt w:val="decimal"/>
      <w:lvlText w:val="%7."/>
      <w:lvlJc w:val="left"/>
      <w:pPr>
        <w:ind w:left="4683" w:hanging="360"/>
      </w:pPr>
    </w:lvl>
    <w:lvl w:ilvl="7" w:tplc="2C0A0019" w:tentative="1">
      <w:start w:val="1"/>
      <w:numFmt w:val="lowerLetter"/>
      <w:lvlText w:val="%8."/>
      <w:lvlJc w:val="left"/>
      <w:pPr>
        <w:ind w:left="5403" w:hanging="360"/>
      </w:pPr>
    </w:lvl>
    <w:lvl w:ilvl="8" w:tplc="2C0A001B" w:tentative="1">
      <w:start w:val="1"/>
      <w:numFmt w:val="lowerRoman"/>
      <w:lvlText w:val="%9."/>
      <w:lvlJc w:val="right"/>
      <w:pPr>
        <w:ind w:left="6123" w:hanging="180"/>
      </w:pPr>
    </w:lvl>
  </w:abstractNum>
  <w:abstractNum w:abstractNumId="66" w15:restartNumberingAfterBreak="0">
    <w:nsid w:val="743F6866"/>
    <w:multiLevelType w:val="hybridMultilevel"/>
    <w:tmpl w:val="C66CD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4791198"/>
    <w:multiLevelType w:val="multilevel"/>
    <w:tmpl w:val="384AE4D4"/>
    <w:lvl w:ilvl="0">
      <w:start w:val="1"/>
      <w:numFmt w:val="decimal"/>
      <w:pStyle w:val="BbvaWeb1"/>
      <w:lvlText w:val="%1."/>
      <w:lvlJc w:val="left"/>
      <w:pPr>
        <w:ind w:left="870" w:hanging="360"/>
      </w:pPr>
    </w:lvl>
    <w:lvl w:ilvl="1">
      <w:start w:val="1"/>
      <w:numFmt w:val="decimal"/>
      <w:pStyle w:val="BbvaWeb2"/>
      <w:lvlText w:val="%1.%2."/>
      <w:lvlJc w:val="left"/>
      <w:pPr>
        <w:ind w:left="1302" w:hanging="432"/>
      </w:pPr>
    </w:lvl>
    <w:lvl w:ilvl="2">
      <w:start w:val="1"/>
      <w:numFmt w:val="decimal"/>
      <w:pStyle w:val="Estilo3"/>
      <w:lvlText w:val="%1.%2.%3."/>
      <w:lvlJc w:val="left"/>
      <w:pPr>
        <w:ind w:left="1734" w:hanging="504"/>
      </w:pPr>
    </w:lvl>
    <w:lvl w:ilvl="3">
      <w:start w:val="1"/>
      <w:numFmt w:val="decimal"/>
      <w:lvlText w:val="%1.%2.%3.%4."/>
      <w:lvlJc w:val="left"/>
      <w:pPr>
        <w:ind w:left="2238" w:hanging="648"/>
      </w:pPr>
    </w:lvl>
    <w:lvl w:ilvl="4">
      <w:start w:val="1"/>
      <w:numFmt w:val="decimal"/>
      <w:lvlText w:val="%1.%2.%3.%4.%5."/>
      <w:lvlJc w:val="left"/>
      <w:pPr>
        <w:ind w:left="2742" w:hanging="792"/>
      </w:pPr>
    </w:lvl>
    <w:lvl w:ilvl="5">
      <w:start w:val="1"/>
      <w:numFmt w:val="decimal"/>
      <w:lvlText w:val="%1.%2.%3.%4.%5.%6."/>
      <w:lvlJc w:val="left"/>
      <w:pPr>
        <w:ind w:left="3246" w:hanging="936"/>
      </w:pPr>
    </w:lvl>
    <w:lvl w:ilvl="6">
      <w:start w:val="1"/>
      <w:numFmt w:val="decimal"/>
      <w:lvlText w:val="%1.%2.%3.%4.%5.%6.%7."/>
      <w:lvlJc w:val="left"/>
      <w:pPr>
        <w:ind w:left="3750" w:hanging="1080"/>
      </w:pPr>
    </w:lvl>
    <w:lvl w:ilvl="7">
      <w:start w:val="1"/>
      <w:numFmt w:val="decimal"/>
      <w:lvlText w:val="%1.%2.%3.%4.%5.%6.%7.%8."/>
      <w:lvlJc w:val="left"/>
      <w:pPr>
        <w:ind w:left="4254" w:hanging="1224"/>
      </w:pPr>
    </w:lvl>
    <w:lvl w:ilvl="8">
      <w:start w:val="1"/>
      <w:numFmt w:val="decimal"/>
      <w:lvlText w:val="%1.%2.%3.%4.%5.%6.%7.%8.%9."/>
      <w:lvlJc w:val="left"/>
      <w:pPr>
        <w:ind w:left="4830" w:hanging="1440"/>
      </w:pPr>
    </w:lvl>
  </w:abstractNum>
  <w:abstractNum w:abstractNumId="68" w15:restartNumberingAfterBreak="0">
    <w:nsid w:val="75CD1A42"/>
    <w:multiLevelType w:val="hybridMultilevel"/>
    <w:tmpl w:val="F606D4EA"/>
    <w:lvl w:ilvl="0" w:tplc="9A124484">
      <w:start w:val="1"/>
      <w:numFmt w:val="decimal"/>
      <w:lvlText w:val="(%1)"/>
      <w:lvlJc w:val="left"/>
      <w:pPr>
        <w:ind w:left="1571" w:hanging="360"/>
      </w:pPr>
      <w:rPr>
        <w:rFonts w:hint="default"/>
      </w:rPr>
    </w:lvl>
    <w:lvl w:ilvl="1" w:tplc="2C0A0019" w:tentative="1">
      <w:start w:val="1"/>
      <w:numFmt w:val="lowerLetter"/>
      <w:lvlText w:val="%2."/>
      <w:lvlJc w:val="left"/>
      <w:pPr>
        <w:ind w:left="2291" w:hanging="360"/>
      </w:pPr>
    </w:lvl>
    <w:lvl w:ilvl="2" w:tplc="2C0A001B" w:tentative="1">
      <w:start w:val="1"/>
      <w:numFmt w:val="lowerRoman"/>
      <w:lvlText w:val="%3."/>
      <w:lvlJc w:val="right"/>
      <w:pPr>
        <w:ind w:left="3011" w:hanging="180"/>
      </w:pPr>
    </w:lvl>
    <w:lvl w:ilvl="3" w:tplc="2C0A000F" w:tentative="1">
      <w:start w:val="1"/>
      <w:numFmt w:val="decimal"/>
      <w:lvlText w:val="%4."/>
      <w:lvlJc w:val="left"/>
      <w:pPr>
        <w:ind w:left="3731" w:hanging="360"/>
      </w:pPr>
    </w:lvl>
    <w:lvl w:ilvl="4" w:tplc="2C0A0019" w:tentative="1">
      <w:start w:val="1"/>
      <w:numFmt w:val="lowerLetter"/>
      <w:lvlText w:val="%5."/>
      <w:lvlJc w:val="left"/>
      <w:pPr>
        <w:ind w:left="4451" w:hanging="360"/>
      </w:pPr>
    </w:lvl>
    <w:lvl w:ilvl="5" w:tplc="2C0A001B" w:tentative="1">
      <w:start w:val="1"/>
      <w:numFmt w:val="lowerRoman"/>
      <w:lvlText w:val="%6."/>
      <w:lvlJc w:val="right"/>
      <w:pPr>
        <w:ind w:left="5171" w:hanging="180"/>
      </w:pPr>
    </w:lvl>
    <w:lvl w:ilvl="6" w:tplc="2C0A000F" w:tentative="1">
      <w:start w:val="1"/>
      <w:numFmt w:val="decimal"/>
      <w:lvlText w:val="%7."/>
      <w:lvlJc w:val="left"/>
      <w:pPr>
        <w:ind w:left="5891" w:hanging="360"/>
      </w:pPr>
    </w:lvl>
    <w:lvl w:ilvl="7" w:tplc="2C0A0019" w:tentative="1">
      <w:start w:val="1"/>
      <w:numFmt w:val="lowerLetter"/>
      <w:lvlText w:val="%8."/>
      <w:lvlJc w:val="left"/>
      <w:pPr>
        <w:ind w:left="6611" w:hanging="360"/>
      </w:pPr>
    </w:lvl>
    <w:lvl w:ilvl="8" w:tplc="2C0A001B" w:tentative="1">
      <w:start w:val="1"/>
      <w:numFmt w:val="lowerRoman"/>
      <w:lvlText w:val="%9."/>
      <w:lvlJc w:val="right"/>
      <w:pPr>
        <w:ind w:left="7331" w:hanging="180"/>
      </w:pPr>
    </w:lvl>
  </w:abstractNum>
  <w:abstractNum w:abstractNumId="69" w15:restartNumberingAfterBreak="0">
    <w:nsid w:val="772E7890"/>
    <w:multiLevelType w:val="hybridMultilevel"/>
    <w:tmpl w:val="CF9C1B00"/>
    <w:lvl w:ilvl="0" w:tplc="DB784210">
      <w:start w:val="1"/>
      <w:numFmt w:val="bullet"/>
      <w:pStyle w:val="textodestaque"/>
      <w:lvlText w:val=""/>
      <w:lvlJc w:val="left"/>
      <w:pPr>
        <w:ind w:left="717"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779570F4"/>
    <w:multiLevelType w:val="hybridMultilevel"/>
    <w:tmpl w:val="4FCE25A4"/>
    <w:lvl w:ilvl="0" w:tplc="7CE03620">
      <w:start w:val="1"/>
      <w:numFmt w:val="bullet"/>
      <w:lvlText w:val=""/>
      <w:lvlJc w:val="left"/>
      <w:pPr>
        <w:ind w:left="1070" w:hanging="360"/>
      </w:pPr>
      <w:rPr>
        <w:rFonts w:ascii="Symbol" w:hAnsi="Symbol" w:hint="default"/>
        <w:color w:val="auto"/>
        <w:sz w:val="18"/>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1" w15:restartNumberingAfterBreak="0">
    <w:nsid w:val="78565D1B"/>
    <w:multiLevelType w:val="hybridMultilevel"/>
    <w:tmpl w:val="AA5E85DE"/>
    <w:lvl w:ilvl="0" w:tplc="CF56A38C">
      <w:start w:val="1"/>
      <w:numFmt w:val="lowerLetter"/>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2" w15:restartNumberingAfterBreak="0">
    <w:nsid w:val="78F7687C"/>
    <w:multiLevelType w:val="multilevel"/>
    <w:tmpl w:val="C14E87E4"/>
    <w:styleLink w:val="Style4"/>
    <w:lvl w:ilvl="0">
      <w:start w:val="1"/>
      <w:numFmt w:val="bullet"/>
      <w:lvlText w:val=""/>
      <w:lvlJc w:val="left"/>
      <w:pPr>
        <w:ind w:left="360" w:hanging="360"/>
      </w:pPr>
      <w:rPr>
        <w:rFonts w:ascii="Symbol" w:hAnsi="Symbol" w:hint="default"/>
        <w:color w:val="auto"/>
      </w:rPr>
    </w:lvl>
    <w:lvl w:ilvl="1">
      <w:start w:val="8"/>
      <w:numFmt w:val="upperRoman"/>
      <w:lvlText w:val="%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9771950"/>
    <w:multiLevelType w:val="hybridMultilevel"/>
    <w:tmpl w:val="01F20828"/>
    <w:lvl w:ilvl="0" w:tplc="C9D23134">
      <w:start w:val="1"/>
      <w:numFmt w:val="decimal"/>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74" w15:restartNumberingAfterBreak="0">
    <w:nsid w:val="7B5001D9"/>
    <w:multiLevelType w:val="hybridMultilevel"/>
    <w:tmpl w:val="A9AA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D196BD1"/>
    <w:multiLevelType w:val="hybridMultilevel"/>
    <w:tmpl w:val="7526BDB2"/>
    <w:lvl w:ilvl="0" w:tplc="65EEDE86">
      <w:start w:val="1"/>
      <w:numFmt w:val="decimal"/>
      <w:lvlText w:val="(%1)"/>
      <w:lvlJc w:val="left"/>
      <w:pPr>
        <w:ind w:left="1329" w:hanging="360"/>
      </w:pPr>
      <w:rPr>
        <w:rFonts w:hint="default"/>
      </w:rPr>
    </w:lvl>
    <w:lvl w:ilvl="1" w:tplc="2C0A0019" w:tentative="1">
      <w:start w:val="1"/>
      <w:numFmt w:val="lowerLetter"/>
      <w:lvlText w:val="%2."/>
      <w:lvlJc w:val="left"/>
      <w:pPr>
        <w:ind w:left="2049" w:hanging="360"/>
      </w:pPr>
    </w:lvl>
    <w:lvl w:ilvl="2" w:tplc="2C0A001B" w:tentative="1">
      <w:start w:val="1"/>
      <w:numFmt w:val="lowerRoman"/>
      <w:lvlText w:val="%3."/>
      <w:lvlJc w:val="right"/>
      <w:pPr>
        <w:ind w:left="2769" w:hanging="180"/>
      </w:pPr>
    </w:lvl>
    <w:lvl w:ilvl="3" w:tplc="2C0A000F" w:tentative="1">
      <w:start w:val="1"/>
      <w:numFmt w:val="decimal"/>
      <w:lvlText w:val="%4."/>
      <w:lvlJc w:val="left"/>
      <w:pPr>
        <w:ind w:left="3489" w:hanging="360"/>
      </w:pPr>
    </w:lvl>
    <w:lvl w:ilvl="4" w:tplc="2C0A0019" w:tentative="1">
      <w:start w:val="1"/>
      <w:numFmt w:val="lowerLetter"/>
      <w:lvlText w:val="%5."/>
      <w:lvlJc w:val="left"/>
      <w:pPr>
        <w:ind w:left="4209" w:hanging="360"/>
      </w:pPr>
    </w:lvl>
    <w:lvl w:ilvl="5" w:tplc="2C0A001B" w:tentative="1">
      <w:start w:val="1"/>
      <w:numFmt w:val="lowerRoman"/>
      <w:lvlText w:val="%6."/>
      <w:lvlJc w:val="right"/>
      <w:pPr>
        <w:ind w:left="4929" w:hanging="180"/>
      </w:pPr>
    </w:lvl>
    <w:lvl w:ilvl="6" w:tplc="2C0A000F" w:tentative="1">
      <w:start w:val="1"/>
      <w:numFmt w:val="decimal"/>
      <w:lvlText w:val="%7."/>
      <w:lvlJc w:val="left"/>
      <w:pPr>
        <w:ind w:left="5649" w:hanging="360"/>
      </w:pPr>
    </w:lvl>
    <w:lvl w:ilvl="7" w:tplc="2C0A0019" w:tentative="1">
      <w:start w:val="1"/>
      <w:numFmt w:val="lowerLetter"/>
      <w:lvlText w:val="%8."/>
      <w:lvlJc w:val="left"/>
      <w:pPr>
        <w:ind w:left="6369" w:hanging="360"/>
      </w:pPr>
    </w:lvl>
    <w:lvl w:ilvl="8" w:tplc="2C0A001B" w:tentative="1">
      <w:start w:val="1"/>
      <w:numFmt w:val="lowerRoman"/>
      <w:lvlText w:val="%9."/>
      <w:lvlJc w:val="right"/>
      <w:pPr>
        <w:ind w:left="7089" w:hanging="180"/>
      </w:pPr>
    </w:lvl>
  </w:abstractNum>
  <w:num w:numId="1">
    <w:abstractNumId w:val="2"/>
  </w:num>
  <w:num w:numId="2">
    <w:abstractNumId w:val="1"/>
  </w:num>
  <w:num w:numId="3">
    <w:abstractNumId w:val="0"/>
  </w:num>
  <w:num w:numId="4">
    <w:abstractNumId w:val="54"/>
  </w:num>
  <w:num w:numId="5">
    <w:abstractNumId w:val="34"/>
  </w:num>
  <w:num w:numId="6">
    <w:abstractNumId w:val="42"/>
  </w:num>
  <w:num w:numId="7">
    <w:abstractNumId w:val="57"/>
  </w:num>
  <w:num w:numId="8">
    <w:abstractNumId w:val="24"/>
  </w:num>
  <w:num w:numId="9">
    <w:abstractNumId w:val="72"/>
  </w:num>
  <w:num w:numId="10">
    <w:abstractNumId w:val="26"/>
  </w:num>
  <w:num w:numId="11">
    <w:abstractNumId w:val="33"/>
  </w:num>
  <w:num w:numId="12">
    <w:abstractNumId w:val="22"/>
  </w:num>
  <w:num w:numId="13">
    <w:abstractNumId w:val="16"/>
  </w:num>
  <w:num w:numId="14">
    <w:abstractNumId w:val="25"/>
  </w:num>
  <w:num w:numId="15">
    <w:abstractNumId w:val="37"/>
  </w:num>
  <w:num w:numId="16">
    <w:abstractNumId w:val="74"/>
  </w:num>
  <w:num w:numId="17">
    <w:abstractNumId w:val="69"/>
  </w:num>
  <w:num w:numId="18">
    <w:abstractNumId w:val="67"/>
  </w:num>
  <w:num w:numId="19">
    <w:abstractNumId w:val="70"/>
  </w:num>
  <w:num w:numId="20">
    <w:abstractNumId w:val="8"/>
  </w:num>
  <w:num w:numId="21">
    <w:abstractNumId w:val="39"/>
  </w:num>
  <w:num w:numId="22">
    <w:abstractNumId w:val="23"/>
  </w:num>
  <w:num w:numId="23">
    <w:abstractNumId w:val="21"/>
  </w:num>
  <w:num w:numId="24">
    <w:abstractNumId w:val="15"/>
  </w:num>
  <w:num w:numId="25">
    <w:abstractNumId w:val="3"/>
  </w:num>
  <w:num w:numId="26">
    <w:abstractNumId w:val="7"/>
  </w:num>
  <w:num w:numId="27">
    <w:abstractNumId w:val="27"/>
  </w:num>
  <w:num w:numId="28">
    <w:abstractNumId w:val="32"/>
  </w:num>
  <w:num w:numId="29">
    <w:abstractNumId w:val="45"/>
  </w:num>
  <w:num w:numId="30">
    <w:abstractNumId w:val="18"/>
  </w:num>
  <w:num w:numId="31">
    <w:abstractNumId w:val="35"/>
  </w:num>
  <w:num w:numId="32">
    <w:abstractNumId w:val="9"/>
  </w:num>
  <w:num w:numId="33">
    <w:abstractNumId w:val="4"/>
  </w:num>
  <w:num w:numId="34">
    <w:abstractNumId w:val="68"/>
  </w:num>
  <w:num w:numId="35">
    <w:abstractNumId w:val="63"/>
  </w:num>
  <w:num w:numId="36">
    <w:abstractNumId w:val="64"/>
  </w:num>
  <w:num w:numId="37">
    <w:abstractNumId w:val="62"/>
  </w:num>
  <w:num w:numId="38">
    <w:abstractNumId w:val="52"/>
  </w:num>
  <w:num w:numId="39">
    <w:abstractNumId w:val="38"/>
  </w:num>
  <w:num w:numId="40">
    <w:abstractNumId w:val="6"/>
  </w:num>
  <w:num w:numId="41">
    <w:abstractNumId w:val="11"/>
  </w:num>
  <w:num w:numId="42">
    <w:abstractNumId w:val="55"/>
  </w:num>
  <w:num w:numId="43">
    <w:abstractNumId w:val="71"/>
  </w:num>
  <w:num w:numId="44">
    <w:abstractNumId w:val="46"/>
  </w:num>
  <w:num w:numId="45">
    <w:abstractNumId w:val="75"/>
  </w:num>
  <w:num w:numId="46">
    <w:abstractNumId w:val="73"/>
  </w:num>
  <w:num w:numId="47">
    <w:abstractNumId w:val="10"/>
  </w:num>
  <w:num w:numId="48">
    <w:abstractNumId w:val="41"/>
  </w:num>
  <w:num w:numId="49">
    <w:abstractNumId w:val="70"/>
  </w:num>
  <w:num w:numId="50">
    <w:abstractNumId w:val="40"/>
  </w:num>
  <w:num w:numId="51">
    <w:abstractNumId w:val="61"/>
  </w:num>
  <w:num w:numId="52">
    <w:abstractNumId w:val="59"/>
  </w:num>
  <w:num w:numId="53">
    <w:abstractNumId w:val="17"/>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num>
  <w:num w:numId="58">
    <w:abstractNumId w:val="48"/>
  </w:num>
  <w:num w:numId="59">
    <w:abstractNumId w:val="31"/>
  </w:num>
  <w:num w:numId="60">
    <w:abstractNumId w:val="14"/>
  </w:num>
  <w:num w:numId="61">
    <w:abstractNumId w:val="5"/>
  </w:num>
  <w:num w:numId="62">
    <w:abstractNumId w:val="66"/>
  </w:num>
  <w:num w:numId="63">
    <w:abstractNumId w:val="12"/>
  </w:num>
  <w:num w:numId="6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29"/>
  </w:num>
  <w:num w:numId="71">
    <w:abstractNumId w:val="43"/>
  </w:num>
  <w:num w:numId="72">
    <w:abstractNumId w:val="50"/>
  </w:num>
  <w:num w:numId="73">
    <w:abstractNumId w:val="28"/>
  </w:num>
  <w:num w:numId="74">
    <w:abstractNumId w:val="46"/>
  </w:num>
  <w:num w:numId="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
  </w:num>
  <w:num w:numId="77">
    <w:abstractNumId w:val="30"/>
  </w:num>
  <w:num w:numId="78">
    <w:abstractNumId w:val="13"/>
  </w:num>
  <w:num w:numId="79">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bordersDoNotSurroundHeader/>
  <w:bordersDoNotSurroundFooter/>
  <w:activeWritingStyle w:appName="MSWord" w:lang="pt-BR" w:vendorID="64" w:dllVersion="131078" w:nlCheck="1" w:checkStyle="0"/>
  <w:activeWritingStyle w:appName="MSWord" w:lang="es-ES_tradnl" w:vendorID="64" w:dllVersion="131078" w:nlCheck="1" w:checkStyle="0"/>
  <w:activeWritingStyle w:appName="MSWord" w:lang="es-A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0"/>
  <w:activeWritingStyle w:appName="MSWord" w:lang="es-AR" w:vendorID="9" w:dllVersion="512" w:checkStyle="1"/>
  <w:activeWritingStyle w:appName="MSWord" w:lang="es-ES_tradnl" w:vendorID="9" w:dllVersion="512" w:checkStyle="1"/>
  <w:activeWritingStyle w:appName="MSWord" w:lang="en-US" w:vendorID="8" w:dllVersion="513" w:checkStyle="1"/>
  <w:activeWritingStyle w:appName="MSWord" w:lang="es-MX" w:vendorID="9" w:dllVersion="512" w:checkStyle="1"/>
  <w:activeWritingStyle w:appName="MSWord" w:lang="es-ES"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07"/>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2"/>
  </w:compat>
  <w:rsids>
    <w:rsidRoot w:val="00455662"/>
    <w:rsid w:val="0000015D"/>
    <w:rsid w:val="00000178"/>
    <w:rsid w:val="000004A7"/>
    <w:rsid w:val="000004B9"/>
    <w:rsid w:val="000004E6"/>
    <w:rsid w:val="000006A0"/>
    <w:rsid w:val="00000701"/>
    <w:rsid w:val="000008AE"/>
    <w:rsid w:val="00000D8A"/>
    <w:rsid w:val="00000E37"/>
    <w:rsid w:val="00000F08"/>
    <w:rsid w:val="00000F58"/>
    <w:rsid w:val="00000F6F"/>
    <w:rsid w:val="00000FCA"/>
    <w:rsid w:val="0000104D"/>
    <w:rsid w:val="000011E1"/>
    <w:rsid w:val="00001253"/>
    <w:rsid w:val="00001305"/>
    <w:rsid w:val="000013E6"/>
    <w:rsid w:val="00001721"/>
    <w:rsid w:val="00001875"/>
    <w:rsid w:val="00001A8D"/>
    <w:rsid w:val="00001B86"/>
    <w:rsid w:val="00001C73"/>
    <w:rsid w:val="00001D5D"/>
    <w:rsid w:val="00001E1A"/>
    <w:rsid w:val="00001E1D"/>
    <w:rsid w:val="00001EC3"/>
    <w:rsid w:val="00001F45"/>
    <w:rsid w:val="0000201A"/>
    <w:rsid w:val="000021D0"/>
    <w:rsid w:val="0000234E"/>
    <w:rsid w:val="000023A5"/>
    <w:rsid w:val="00002456"/>
    <w:rsid w:val="0000246A"/>
    <w:rsid w:val="0000249C"/>
    <w:rsid w:val="000024F8"/>
    <w:rsid w:val="00002644"/>
    <w:rsid w:val="00002852"/>
    <w:rsid w:val="0000296D"/>
    <w:rsid w:val="00002A63"/>
    <w:rsid w:val="00002A7A"/>
    <w:rsid w:val="00002B21"/>
    <w:rsid w:val="00002CA5"/>
    <w:rsid w:val="00002D35"/>
    <w:rsid w:val="00003021"/>
    <w:rsid w:val="00003336"/>
    <w:rsid w:val="000033BF"/>
    <w:rsid w:val="000034EE"/>
    <w:rsid w:val="0000381E"/>
    <w:rsid w:val="00003A4C"/>
    <w:rsid w:val="00003D14"/>
    <w:rsid w:val="00003DC5"/>
    <w:rsid w:val="00003E27"/>
    <w:rsid w:val="00003EBB"/>
    <w:rsid w:val="00003EEE"/>
    <w:rsid w:val="00003F80"/>
    <w:rsid w:val="00003F97"/>
    <w:rsid w:val="000040D5"/>
    <w:rsid w:val="000044A8"/>
    <w:rsid w:val="0000450F"/>
    <w:rsid w:val="00004676"/>
    <w:rsid w:val="0000469D"/>
    <w:rsid w:val="000047FB"/>
    <w:rsid w:val="0000497E"/>
    <w:rsid w:val="000049AB"/>
    <w:rsid w:val="00004CF7"/>
    <w:rsid w:val="00004E3C"/>
    <w:rsid w:val="00004F9D"/>
    <w:rsid w:val="0000500E"/>
    <w:rsid w:val="00005061"/>
    <w:rsid w:val="0000524C"/>
    <w:rsid w:val="00005256"/>
    <w:rsid w:val="00005530"/>
    <w:rsid w:val="000055EB"/>
    <w:rsid w:val="00005622"/>
    <w:rsid w:val="0000568C"/>
    <w:rsid w:val="0000571F"/>
    <w:rsid w:val="000058FB"/>
    <w:rsid w:val="00005951"/>
    <w:rsid w:val="000059CA"/>
    <w:rsid w:val="00005A73"/>
    <w:rsid w:val="00005AC9"/>
    <w:rsid w:val="00005BC8"/>
    <w:rsid w:val="00005C7F"/>
    <w:rsid w:val="000060EC"/>
    <w:rsid w:val="00006106"/>
    <w:rsid w:val="000064DB"/>
    <w:rsid w:val="00006561"/>
    <w:rsid w:val="000065F5"/>
    <w:rsid w:val="000066D3"/>
    <w:rsid w:val="00006707"/>
    <w:rsid w:val="00006744"/>
    <w:rsid w:val="000067C1"/>
    <w:rsid w:val="00006854"/>
    <w:rsid w:val="0000688C"/>
    <w:rsid w:val="00006B0C"/>
    <w:rsid w:val="00006B3E"/>
    <w:rsid w:val="00006E1E"/>
    <w:rsid w:val="00006F73"/>
    <w:rsid w:val="00006FF1"/>
    <w:rsid w:val="00007038"/>
    <w:rsid w:val="00007113"/>
    <w:rsid w:val="000074CD"/>
    <w:rsid w:val="000075A9"/>
    <w:rsid w:val="0000768F"/>
    <w:rsid w:val="0000774F"/>
    <w:rsid w:val="0000778E"/>
    <w:rsid w:val="00007825"/>
    <w:rsid w:val="00007860"/>
    <w:rsid w:val="00007A06"/>
    <w:rsid w:val="00007B8C"/>
    <w:rsid w:val="00007C33"/>
    <w:rsid w:val="00007C6D"/>
    <w:rsid w:val="00007D94"/>
    <w:rsid w:val="00007EF4"/>
    <w:rsid w:val="000100F1"/>
    <w:rsid w:val="00010194"/>
    <w:rsid w:val="000102B7"/>
    <w:rsid w:val="000102D4"/>
    <w:rsid w:val="00010365"/>
    <w:rsid w:val="00010386"/>
    <w:rsid w:val="000104D5"/>
    <w:rsid w:val="0001056D"/>
    <w:rsid w:val="0001058E"/>
    <w:rsid w:val="00010623"/>
    <w:rsid w:val="0001063C"/>
    <w:rsid w:val="00010690"/>
    <w:rsid w:val="00010721"/>
    <w:rsid w:val="000109DE"/>
    <w:rsid w:val="00010AAC"/>
    <w:rsid w:val="00010ABE"/>
    <w:rsid w:val="00010CF8"/>
    <w:rsid w:val="00010D0F"/>
    <w:rsid w:val="00010D43"/>
    <w:rsid w:val="00010DED"/>
    <w:rsid w:val="0001100C"/>
    <w:rsid w:val="000110B3"/>
    <w:rsid w:val="00011207"/>
    <w:rsid w:val="00011445"/>
    <w:rsid w:val="000115E0"/>
    <w:rsid w:val="000116A1"/>
    <w:rsid w:val="00011794"/>
    <w:rsid w:val="000117B0"/>
    <w:rsid w:val="00011845"/>
    <w:rsid w:val="00011880"/>
    <w:rsid w:val="000118AF"/>
    <w:rsid w:val="000118B1"/>
    <w:rsid w:val="000119B0"/>
    <w:rsid w:val="00011B7C"/>
    <w:rsid w:val="00011C8B"/>
    <w:rsid w:val="00011E2B"/>
    <w:rsid w:val="00011FBD"/>
    <w:rsid w:val="00011FDE"/>
    <w:rsid w:val="0001202E"/>
    <w:rsid w:val="000122C0"/>
    <w:rsid w:val="00012524"/>
    <w:rsid w:val="00012632"/>
    <w:rsid w:val="00012680"/>
    <w:rsid w:val="000126F0"/>
    <w:rsid w:val="00012720"/>
    <w:rsid w:val="000128A7"/>
    <w:rsid w:val="000128EF"/>
    <w:rsid w:val="00012970"/>
    <w:rsid w:val="00012A4A"/>
    <w:rsid w:val="00012AF6"/>
    <w:rsid w:val="00012B26"/>
    <w:rsid w:val="00012BD1"/>
    <w:rsid w:val="00012CC0"/>
    <w:rsid w:val="00012FD4"/>
    <w:rsid w:val="00013028"/>
    <w:rsid w:val="00013077"/>
    <w:rsid w:val="00013175"/>
    <w:rsid w:val="000132D3"/>
    <w:rsid w:val="0001351A"/>
    <w:rsid w:val="0001361B"/>
    <w:rsid w:val="00013731"/>
    <w:rsid w:val="00013911"/>
    <w:rsid w:val="0001394B"/>
    <w:rsid w:val="00013A41"/>
    <w:rsid w:val="00013B37"/>
    <w:rsid w:val="00013D83"/>
    <w:rsid w:val="00013E8C"/>
    <w:rsid w:val="00013F04"/>
    <w:rsid w:val="00014019"/>
    <w:rsid w:val="0001406A"/>
    <w:rsid w:val="000142B8"/>
    <w:rsid w:val="000143A8"/>
    <w:rsid w:val="000143B9"/>
    <w:rsid w:val="00014454"/>
    <w:rsid w:val="00014491"/>
    <w:rsid w:val="00014503"/>
    <w:rsid w:val="00014532"/>
    <w:rsid w:val="00014B87"/>
    <w:rsid w:val="00014BED"/>
    <w:rsid w:val="00014C8B"/>
    <w:rsid w:val="00014EBF"/>
    <w:rsid w:val="00014EF9"/>
    <w:rsid w:val="00015068"/>
    <w:rsid w:val="00015077"/>
    <w:rsid w:val="0001507B"/>
    <w:rsid w:val="0001510F"/>
    <w:rsid w:val="0001522E"/>
    <w:rsid w:val="000152C1"/>
    <w:rsid w:val="000153CB"/>
    <w:rsid w:val="000153DE"/>
    <w:rsid w:val="000153E7"/>
    <w:rsid w:val="00015407"/>
    <w:rsid w:val="00015443"/>
    <w:rsid w:val="00015482"/>
    <w:rsid w:val="000154E3"/>
    <w:rsid w:val="0001560A"/>
    <w:rsid w:val="000156B9"/>
    <w:rsid w:val="000156CF"/>
    <w:rsid w:val="0001574A"/>
    <w:rsid w:val="00015787"/>
    <w:rsid w:val="000158C5"/>
    <w:rsid w:val="000158F6"/>
    <w:rsid w:val="00015979"/>
    <w:rsid w:val="00015A95"/>
    <w:rsid w:val="00015B1C"/>
    <w:rsid w:val="00015C0B"/>
    <w:rsid w:val="00015C22"/>
    <w:rsid w:val="00015D11"/>
    <w:rsid w:val="00015FAB"/>
    <w:rsid w:val="00015FEF"/>
    <w:rsid w:val="000160CF"/>
    <w:rsid w:val="00016167"/>
    <w:rsid w:val="000162CB"/>
    <w:rsid w:val="0001670C"/>
    <w:rsid w:val="00016AF2"/>
    <w:rsid w:val="00016C06"/>
    <w:rsid w:val="00016CAF"/>
    <w:rsid w:val="00016FB0"/>
    <w:rsid w:val="00017047"/>
    <w:rsid w:val="00017050"/>
    <w:rsid w:val="000171AE"/>
    <w:rsid w:val="00017251"/>
    <w:rsid w:val="00017603"/>
    <w:rsid w:val="000176A2"/>
    <w:rsid w:val="00017707"/>
    <w:rsid w:val="00017730"/>
    <w:rsid w:val="000177BF"/>
    <w:rsid w:val="00017876"/>
    <w:rsid w:val="000178E2"/>
    <w:rsid w:val="000178F7"/>
    <w:rsid w:val="00017A80"/>
    <w:rsid w:val="00017E81"/>
    <w:rsid w:val="00017EC8"/>
    <w:rsid w:val="0002006B"/>
    <w:rsid w:val="0002008F"/>
    <w:rsid w:val="000202E0"/>
    <w:rsid w:val="00020379"/>
    <w:rsid w:val="0002053B"/>
    <w:rsid w:val="00020854"/>
    <w:rsid w:val="000208B3"/>
    <w:rsid w:val="00020A6E"/>
    <w:rsid w:val="00020BC6"/>
    <w:rsid w:val="00020C14"/>
    <w:rsid w:val="00020C7D"/>
    <w:rsid w:val="00021052"/>
    <w:rsid w:val="000212FF"/>
    <w:rsid w:val="00021310"/>
    <w:rsid w:val="000213D5"/>
    <w:rsid w:val="000216A5"/>
    <w:rsid w:val="00021903"/>
    <w:rsid w:val="000219E2"/>
    <w:rsid w:val="00021B03"/>
    <w:rsid w:val="00021CF0"/>
    <w:rsid w:val="0002200A"/>
    <w:rsid w:val="000220B1"/>
    <w:rsid w:val="000221CE"/>
    <w:rsid w:val="00022228"/>
    <w:rsid w:val="000224E8"/>
    <w:rsid w:val="000229BE"/>
    <w:rsid w:val="00022C2D"/>
    <w:rsid w:val="00022C37"/>
    <w:rsid w:val="00022C65"/>
    <w:rsid w:val="00022DA8"/>
    <w:rsid w:val="00023263"/>
    <w:rsid w:val="000232E0"/>
    <w:rsid w:val="00023315"/>
    <w:rsid w:val="000233A9"/>
    <w:rsid w:val="000234D3"/>
    <w:rsid w:val="000235CE"/>
    <w:rsid w:val="000236F9"/>
    <w:rsid w:val="000237CE"/>
    <w:rsid w:val="000239CF"/>
    <w:rsid w:val="000239E1"/>
    <w:rsid w:val="00023B36"/>
    <w:rsid w:val="00023BAB"/>
    <w:rsid w:val="00023BB6"/>
    <w:rsid w:val="00023CE7"/>
    <w:rsid w:val="00023EBC"/>
    <w:rsid w:val="00024057"/>
    <w:rsid w:val="000241BB"/>
    <w:rsid w:val="00024282"/>
    <w:rsid w:val="000242A7"/>
    <w:rsid w:val="0002435D"/>
    <w:rsid w:val="0002445E"/>
    <w:rsid w:val="000244E1"/>
    <w:rsid w:val="00024616"/>
    <w:rsid w:val="000246C0"/>
    <w:rsid w:val="00024738"/>
    <w:rsid w:val="000249A6"/>
    <w:rsid w:val="00024AB4"/>
    <w:rsid w:val="00024B25"/>
    <w:rsid w:val="000251A4"/>
    <w:rsid w:val="00025361"/>
    <w:rsid w:val="0002537D"/>
    <w:rsid w:val="0002540C"/>
    <w:rsid w:val="000255C0"/>
    <w:rsid w:val="0002567D"/>
    <w:rsid w:val="000256EA"/>
    <w:rsid w:val="00025771"/>
    <w:rsid w:val="000257D6"/>
    <w:rsid w:val="000258CD"/>
    <w:rsid w:val="00025A3E"/>
    <w:rsid w:val="00025A5A"/>
    <w:rsid w:val="00025BED"/>
    <w:rsid w:val="00025C83"/>
    <w:rsid w:val="00025EC8"/>
    <w:rsid w:val="00025F06"/>
    <w:rsid w:val="00026017"/>
    <w:rsid w:val="000260F3"/>
    <w:rsid w:val="000262BC"/>
    <w:rsid w:val="000263D1"/>
    <w:rsid w:val="000264AA"/>
    <w:rsid w:val="000264E3"/>
    <w:rsid w:val="000265F8"/>
    <w:rsid w:val="00026786"/>
    <w:rsid w:val="000268D2"/>
    <w:rsid w:val="00026C5B"/>
    <w:rsid w:val="00026DC8"/>
    <w:rsid w:val="00026FA7"/>
    <w:rsid w:val="000271F6"/>
    <w:rsid w:val="0002734F"/>
    <w:rsid w:val="00027469"/>
    <w:rsid w:val="00027746"/>
    <w:rsid w:val="00027792"/>
    <w:rsid w:val="000277CE"/>
    <w:rsid w:val="00027881"/>
    <w:rsid w:val="00027904"/>
    <w:rsid w:val="00027C17"/>
    <w:rsid w:val="00027CA7"/>
    <w:rsid w:val="00027F7A"/>
    <w:rsid w:val="00027FBF"/>
    <w:rsid w:val="0003007F"/>
    <w:rsid w:val="0003018A"/>
    <w:rsid w:val="000301E9"/>
    <w:rsid w:val="00030231"/>
    <w:rsid w:val="000302C1"/>
    <w:rsid w:val="000302DE"/>
    <w:rsid w:val="0003030B"/>
    <w:rsid w:val="0003041C"/>
    <w:rsid w:val="000305C6"/>
    <w:rsid w:val="000306CF"/>
    <w:rsid w:val="000306F7"/>
    <w:rsid w:val="000307B2"/>
    <w:rsid w:val="000308FA"/>
    <w:rsid w:val="00030CD0"/>
    <w:rsid w:val="00030D60"/>
    <w:rsid w:val="00030DBB"/>
    <w:rsid w:val="0003105A"/>
    <w:rsid w:val="0003111A"/>
    <w:rsid w:val="0003112C"/>
    <w:rsid w:val="00031339"/>
    <w:rsid w:val="0003145D"/>
    <w:rsid w:val="000314D9"/>
    <w:rsid w:val="000315F6"/>
    <w:rsid w:val="00031707"/>
    <w:rsid w:val="00031739"/>
    <w:rsid w:val="000317CF"/>
    <w:rsid w:val="0003190E"/>
    <w:rsid w:val="00031B09"/>
    <w:rsid w:val="00031D58"/>
    <w:rsid w:val="00031D7E"/>
    <w:rsid w:val="00031EAE"/>
    <w:rsid w:val="0003202A"/>
    <w:rsid w:val="00032087"/>
    <w:rsid w:val="000320A5"/>
    <w:rsid w:val="00032431"/>
    <w:rsid w:val="000324E9"/>
    <w:rsid w:val="000328C6"/>
    <w:rsid w:val="00032BAD"/>
    <w:rsid w:val="00032C83"/>
    <w:rsid w:val="00032D0A"/>
    <w:rsid w:val="00032DBB"/>
    <w:rsid w:val="00032DC2"/>
    <w:rsid w:val="000331BD"/>
    <w:rsid w:val="00033210"/>
    <w:rsid w:val="0003356B"/>
    <w:rsid w:val="000336CD"/>
    <w:rsid w:val="000337FB"/>
    <w:rsid w:val="00033B91"/>
    <w:rsid w:val="00033EB1"/>
    <w:rsid w:val="00033FA1"/>
    <w:rsid w:val="000343CA"/>
    <w:rsid w:val="000344BE"/>
    <w:rsid w:val="00034650"/>
    <w:rsid w:val="000348B7"/>
    <w:rsid w:val="0003490F"/>
    <w:rsid w:val="000349E0"/>
    <w:rsid w:val="00034A48"/>
    <w:rsid w:val="00034A69"/>
    <w:rsid w:val="00034AF4"/>
    <w:rsid w:val="0003507C"/>
    <w:rsid w:val="0003527F"/>
    <w:rsid w:val="0003543D"/>
    <w:rsid w:val="000354E5"/>
    <w:rsid w:val="000355CB"/>
    <w:rsid w:val="000355EF"/>
    <w:rsid w:val="00035784"/>
    <w:rsid w:val="00035889"/>
    <w:rsid w:val="00035A53"/>
    <w:rsid w:val="00035B9A"/>
    <w:rsid w:val="00035BBF"/>
    <w:rsid w:val="00035BC7"/>
    <w:rsid w:val="00035D71"/>
    <w:rsid w:val="00035DB3"/>
    <w:rsid w:val="00035DC3"/>
    <w:rsid w:val="0003616C"/>
    <w:rsid w:val="00036208"/>
    <w:rsid w:val="0003630E"/>
    <w:rsid w:val="00036358"/>
    <w:rsid w:val="00036408"/>
    <w:rsid w:val="00036687"/>
    <w:rsid w:val="000367B6"/>
    <w:rsid w:val="000367CD"/>
    <w:rsid w:val="0003680A"/>
    <w:rsid w:val="00036832"/>
    <w:rsid w:val="00036A4F"/>
    <w:rsid w:val="00036B0B"/>
    <w:rsid w:val="00036DD7"/>
    <w:rsid w:val="0003748D"/>
    <w:rsid w:val="0003752A"/>
    <w:rsid w:val="00037658"/>
    <w:rsid w:val="00037990"/>
    <w:rsid w:val="00037A23"/>
    <w:rsid w:val="00037A61"/>
    <w:rsid w:val="00037B11"/>
    <w:rsid w:val="00037BC5"/>
    <w:rsid w:val="00037D10"/>
    <w:rsid w:val="00037F0A"/>
    <w:rsid w:val="00040264"/>
    <w:rsid w:val="00040616"/>
    <w:rsid w:val="00040733"/>
    <w:rsid w:val="000408DE"/>
    <w:rsid w:val="00040902"/>
    <w:rsid w:val="000409D9"/>
    <w:rsid w:val="00040A01"/>
    <w:rsid w:val="00040A25"/>
    <w:rsid w:val="00040B31"/>
    <w:rsid w:val="00040CE0"/>
    <w:rsid w:val="00041130"/>
    <w:rsid w:val="00041179"/>
    <w:rsid w:val="000411CF"/>
    <w:rsid w:val="000413DD"/>
    <w:rsid w:val="00041549"/>
    <w:rsid w:val="0004175E"/>
    <w:rsid w:val="00041BEA"/>
    <w:rsid w:val="00041E47"/>
    <w:rsid w:val="00041FE4"/>
    <w:rsid w:val="000420D9"/>
    <w:rsid w:val="0004220B"/>
    <w:rsid w:val="000422B2"/>
    <w:rsid w:val="00042452"/>
    <w:rsid w:val="00042490"/>
    <w:rsid w:val="000424EC"/>
    <w:rsid w:val="0004264B"/>
    <w:rsid w:val="00042795"/>
    <w:rsid w:val="000428A1"/>
    <w:rsid w:val="00042A16"/>
    <w:rsid w:val="00042AA6"/>
    <w:rsid w:val="00042AB8"/>
    <w:rsid w:val="00042DB0"/>
    <w:rsid w:val="00042DB6"/>
    <w:rsid w:val="00042E00"/>
    <w:rsid w:val="00042E05"/>
    <w:rsid w:val="00042FB6"/>
    <w:rsid w:val="000434E6"/>
    <w:rsid w:val="00043726"/>
    <w:rsid w:val="00043B03"/>
    <w:rsid w:val="00043C08"/>
    <w:rsid w:val="00043CB3"/>
    <w:rsid w:val="00043CC1"/>
    <w:rsid w:val="00043D00"/>
    <w:rsid w:val="00043E50"/>
    <w:rsid w:val="0004404D"/>
    <w:rsid w:val="00044092"/>
    <w:rsid w:val="00044255"/>
    <w:rsid w:val="000442CF"/>
    <w:rsid w:val="00044331"/>
    <w:rsid w:val="0004438B"/>
    <w:rsid w:val="0004472F"/>
    <w:rsid w:val="00044746"/>
    <w:rsid w:val="0004490A"/>
    <w:rsid w:val="00044A3D"/>
    <w:rsid w:val="00044AD7"/>
    <w:rsid w:val="00044BED"/>
    <w:rsid w:val="00045106"/>
    <w:rsid w:val="00045152"/>
    <w:rsid w:val="00045160"/>
    <w:rsid w:val="00045165"/>
    <w:rsid w:val="0004529D"/>
    <w:rsid w:val="00045393"/>
    <w:rsid w:val="000453B7"/>
    <w:rsid w:val="000455FC"/>
    <w:rsid w:val="00045704"/>
    <w:rsid w:val="00045B11"/>
    <w:rsid w:val="00045B7D"/>
    <w:rsid w:val="00045C3A"/>
    <w:rsid w:val="00045D36"/>
    <w:rsid w:val="0004603A"/>
    <w:rsid w:val="00046086"/>
    <w:rsid w:val="000460AB"/>
    <w:rsid w:val="000463FF"/>
    <w:rsid w:val="0004641C"/>
    <w:rsid w:val="000465BC"/>
    <w:rsid w:val="00046940"/>
    <w:rsid w:val="000469F2"/>
    <w:rsid w:val="00046A2E"/>
    <w:rsid w:val="00046BA2"/>
    <w:rsid w:val="00046CB1"/>
    <w:rsid w:val="00046CEC"/>
    <w:rsid w:val="00046DEB"/>
    <w:rsid w:val="00046E4B"/>
    <w:rsid w:val="00047197"/>
    <w:rsid w:val="00047606"/>
    <w:rsid w:val="0004789E"/>
    <w:rsid w:val="00047A7D"/>
    <w:rsid w:val="00047B83"/>
    <w:rsid w:val="00047C71"/>
    <w:rsid w:val="00047E73"/>
    <w:rsid w:val="000504BB"/>
    <w:rsid w:val="00050519"/>
    <w:rsid w:val="0005065A"/>
    <w:rsid w:val="00050666"/>
    <w:rsid w:val="0005066A"/>
    <w:rsid w:val="000507C0"/>
    <w:rsid w:val="000508AF"/>
    <w:rsid w:val="00050F04"/>
    <w:rsid w:val="00050F1F"/>
    <w:rsid w:val="00050F35"/>
    <w:rsid w:val="00050FEF"/>
    <w:rsid w:val="0005125F"/>
    <w:rsid w:val="000512BB"/>
    <w:rsid w:val="000513C2"/>
    <w:rsid w:val="00051572"/>
    <w:rsid w:val="0005159C"/>
    <w:rsid w:val="0005168F"/>
    <w:rsid w:val="00051870"/>
    <w:rsid w:val="00051A51"/>
    <w:rsid w:val="00051B55"/>
    <w:rsid w:val="00051EEA"/>
    <w:rsid w:val="00051F91"/>
    <w:rsid w:val="00051FA0"/>
    <w:rsid w:val="000520F0"/>
    <w:rsid w:val="0005221E"/>
    <w:rsid w:val="00052372"/>
    <w:rsid w:val="00052603"/>
    <w:rsid w:val="0005261B"/>
    <w:rsid w:val="000526CB"/>
    <w:rsid w:val="00052793"/>
    <w:rsid w:val="0005295C"/>
    <w:rsid w:val="00052ABC"/>
    <w:rsid w:val="00052C35"/>
    <w:rsid w:val="00052C7F"/>
    <w:rsid w:val="00052CA9"/>
    <w:rsid w:val="00052DBC"/>
    <w:rsid w:val="00052FA6"/>
    <w:rsid w:val="00053009"/>
    <w:rsid w:val="000531D8"/>
    <w:rsid w:val="000532F4"/>
    <w:rsid w:val="00053343"/>
    <w:rsid w:val="000534C9"/>
    <w:rsid w:val="00053520"/>
    <w:rsid w:val="000535DC"/>
    <w:rsid w:val="00053750"/>
    <w:rsid w:val="00053979"/>
    <w:rsid w:val="000539A3"/>
    <w:rsid w:val="000539EB"/>
    <w:rsid w:val="00053AE5"/>
    <w:rsid w:val="00053B27"/>
    <w:rsid w:val="00053DB2"/>
    <w:rsid w:val="00053F5F"/>
    <w:rsid w:val="00053F78"/>
    <w:rsid w:val="00054104"/>
    <w:rsid w:val="0005424A"/>
    <w:rsid w:val="00054421"/>
    <w:rsid w:val="00054492"/>
    <w:rsid w:val="000545E1"/>
    <w:rsid w:val="000545E4"/>
    <w:rsid w:val="000547E8"/>
    <w:rsid w:val="00054859"/>
    <w:rsid w:val="000549E3"/>
    <w:rsid w:val="00054A48"/>
    <w:rsid w:val="00054C9D"/>
    <w:rsid w:val="00054CA0"/>
    <w:rsid w:val="00054D10"/>
    <w:rsid w:val="00054E4D"/>
    <w:rsid w:val="00055009"/>
    <w:rsid w:val="000551EF"/>
    <w:rsid w:val="00055215"/>
    <w:rsid w:val="000553C8"/>
    <w:rsid w:val="000553DC"/>
    <w:rsid w:val="00055493"/>
    <w:rsid w:val="00055664"/>
    <w:rsid w:val="0005575C"/>
    <w:rsid w:val="00055807"/>
    <w:rsid w:val="000559F7"/>
    <w:rsid w:val="00055E7A"/>
    <w:rsid w:val="00055F32"/>
    <w:rsid w:val="000560AC"/>
    <w:rsid w:val="000560BA"/>
    <w:rsid w:val="0005627D"/>
    <w:rsid w:val="00056432"/>
    <w:rsid w:val="000564DE"/>
    <w:rsid w:val="000564E9"/>
    <w:rsid w:val="000565A0"/>
    <w:rsid w:val="00056673"/>
    <w:rsid w:val="0005678C"/>
    <w:rsid w:val="0005679A"/>
    <w:rsid w:val="00056800"/>
    <w:rsid w:val="0005682A"/>
    <w:rsid w:val="0005688D"/>
    <w:rsid w:val="0005690A"/>
    <w:rsid w:val="00056AE7"/>
    <w:rsid w:val="00056BCE"/>
    <w:rsid w:val="00056C1C"/>
    <w:rsid w:val="00056C1F"/>
    <w:rsid w:val="00056E40"/>
    <w:rsid w:val="00056F17"/>
    <w:rsid w:val="00057193"/>
    <w:rsid w:val="000571E6"/>
    <w:rsid w:val="0005723B"/>
    <w:rsid w:val="00057426"/>
    <w:rsid w:val="00057446"/>
    <w:rsid w:val="0005770E"/>
    <w:rsid w:val="00057755"/>
    <w:rsid w:val="00057977"/>
    <w:rsid w:val="00057AEB"/>
    <w:rsid w:val="00057B52"/>
    <w:rsid w:val="00057EBC"/>
    <w:rsid w:val="00057FDD"/>
    <w:rsid w:val="000601B0"/>
    <w:rsid w:val="000602CC"/>
    <w:rsid w:val="00060441"/>
    <w:rsid w:val="000604AE"/>
    <w:rsid w:val="000604B0"/>
    <w:rsid w:val="00060593"/>
    <w:rsid w:val="00060669"/>
    <w:rsid w:val="000606D7"/>
    <w:rsid w:val="0006085F"/>
    <w:rsid w:val="000608B6"/>
    <w:rsid w:val="00060E2D"/>
    <w:rsid w:val="00060EB8"/>
    <w:rsid w:val="00060F3A"/>
    <w:rsid w:val="000610AD"/>
    <w:rsid w:val="0006115C"/>
    <w:rsid w:val="000612DC"/>
    <w:rsid w:val="00061437"/>
    <w:rsid w:val="00061576"/>
    <w:rsid w:val="000616DD"/>
    <w:rsid w:val="00061713"/>
    <w:rsid w:val="0006172F"/>
    <w:rsid w:val="0006176D"/>
    <w:rsid w:val="00061900"/>
    <w:rsid w:val="00061949"/>
    <w:rsid w:val="00061967"/>
    <w:rsid w:val="00061AD5"/>
    <w:rsid w:val="00061C93"/>
    <w:rsid w:val="00061F19"/>
    <w:rsid w:val="00061F3A"/>
    <w:rsid w:val="0006206A"/>
    <w:rsid w:val="0006231D"/>
    <w:rsid w:val="000623AB"/>
    <w:rsid w:val="0006260B"/>
    <w:rsid w:val="00062780"/>
    <w:rsid w:val="00062944"/>
    <w:rsid w:val="000629BD"/>
    <w:rsid w:val="00062A09"/>
    <w:rsid w:val="00062B33"/>
    <w:rsid w:val="00062D02"/>
    <w:rsid w:val="00062D6C"/>
    <w:rsid w:val="00062DA4"/>
    <w:rsid w:val="00062DCE"/>
    <w:rsid w:val="0006303E"/>
    <w:rsid w:val="0006312E"/>
    <w:rsid w:val="0006319A"/>
    <w:rsid w:val="0006373A"/>
    <w:rsid w:val="00063760"/>
    <w:rsid w:val="00063B8A"/>
    <w:rsid w:val="00063C49"/>
    <w:rsid w:val="00063C83"/>
    <w:rsid w:val="00063CE0"/>
    <w:rsid w:val="00063D4E"/>
    <w:rsid w:val="00063DD2"/>
    <w:rsid w:val="00063E09"/>
    <w:rsid w:val="00063EDA"/>
    <w:rsid w:val="00063FA2"/>
    <w:rsid w:val="00064113"/>
    <w:rsid w:val="00064248"/>
    <w:rsid w:val="000642BB"/>
    <w:rsid w:val="0006431A"/>
    <w:rsid w:val="00064401"/>
    <w:rsid w:val="000646FC"/>
    <w:rsid w:val="0006496E"/>
    <w:rsid w:val="00064A34"/>
    <w:rsid w:val="00064BDE"/>
    <w:rsid w:val="00064C00"/>
    <w:rsid w:val="00064D7A"/>
    <w:rsid w:val="00064DA1"/>
    <w:rsid w:val="00064DE9"/>
    <w:rsid w:val="00064E02"/>
    <w:rsid w:val="00065045"/>
    <w:rsid w:val="000651DA"/>
    <w:rsid w:val="000651FE"/>
    <w:rsid w:val="00065582"/>
    <w:rsid w:val="00065860"/>
    <w:rsid w:val="00065C13"/>
    <w:rsid w:val="00065C3B"/>
    <w:rsid w:val="00065C94"/>
    <w:rsid w:val="00065C9B"/>
    <w:rsid w:val="00065CB3"/>
    <w:rsid w:val="00065E58"/>
    <w:rsid w:val="00065E6A"/>
    <w:rsid w:val="00065FB1"/>
    <w:rsid w:val="000660DE"/>
    <w:rsid w:val="000660F4"/>
    <w:rsid w:val="000661A4"/>
    <w:rsid w:val="00066269"/>
    <w:rsid w:val="000663C7"/>
    <w:rsid w:val="00066427"/>
    <w:rsid w:val="0006647C"/>
    <w:rsid w:val="000664A7"/>
    <w:rsid w:val="000664CE"/>
    <w:rsid w:val="0006664F"/>
    <w:rsid w:val="000669DA"/>
    <w:rsid w:val="00066AB1"/>
    <w:rsid w:val="00066C42"/>
    <w:rsid w:val="00066C58"/>
    <w:rsid w:val="00066CBB"/>
    <w:rsid w:val="00066DAD"/>
    <w:rsid w:val="00066E61"/>
    <w:rsid w:val="00066FCB"/>
    <w:rsid w:val="00067223"/>
    <w:rsid w:val="0006724C"/>
    <w:rsid w:val="00067329"/>
    <w:rsid w:val="000673D5"/>
    <w:rsid w:val="000673DC"/>
    <w:rsid w:val="0006741E"/>
    <w:rsid w:val="000675C4"/>
    <w:rsid w:val="00067871"/>
    <w:rsid w:val="00067A68"/>
    <w:rsid w:val="00067C1F"/>
    <w:rsid w:val="00067C84"/>
    <w:rsid w:val="00067F4C"/>
    <w:rsid w:val="00070050"/>
    <w:rsid w:val="000700B7"/>
    <w:rsid w:val="00070144"/>
    <w:rsid w:val="00070287"/>
    <w:rsid w:val="0007034F"/>
    <w:rsid w:val="000703D6"/>
    <w:rsid w:val="000708BE"/>
    <w:rsid w:val="00070A5D"/>
    <w:rsid w:val="00070B20"/>
    <w:rsid w:val="00070C25"/>
    <w:rsid w:val="00070CDF"/>
    <w:rsid w:val="00070DD4"/>
    <w:rsid w:val="00071035"/>
    <w:rsid w:val="0007111F"/>
    <w:rsid w:val="0007115A"/>
    <w:rsid w:val="000711E9"/>
    <w:rsid w:val="000712A7"/>
    <w:rsid w:val="000713F0"/>
    <w:rsid w:val="00071412"/>
    <w:rsid w:val="0007159D"/>
    <w:rsid w:val="0007168E"/>
    <w:rsid w:val="000716DE"/>
    <w:rsid w:val="000717C3"/>
    <w:rsid w:val="000717D7"/>
    <w:rsid w:val="000718E7"/>
    <w:rsid w:val="0007190F"/>
    <w:rsid w:val="000719F3"/>
    <w:rsid w:val="00071B32"/>
    <w:rsid w:val="00071B97"/>
    <w:rsid w:val="00071CA3"/>
    <w:rsid w:val="000720C4"/>
    <w:rsid w:val="000720F2"/>
    <w:rsid w:val="0007213A"/>
    <w:rsid w:val="000727C5"/>
    <w:rsid w:val="00072818"/>
    <w:rsid w:val="00072885"/>
    <w:rsid w:val="000729A3"/>
    <w:rsid w:val="00072C03"/>
    <w:rsid w:val="00072C8D"/>
    <w:rsid w:val="00072D68"/>
    <w:rsid w:val="00072D8F"/>
    <w:rsid w:val="00072E3D"/>
    <w:rsid w:val="00073183"/>
    <w:rsid w:val="000731D4"/>
    <w:rsid w:val="0007327D"/>
    <w:rsid w:val="000732F0"/>
    <w:rsid w:val="0007333F"/>
    <w:rsid w:val="000733C2"/>
    <w:rsid w:val="00073546"/>
    <w:rsid w:val="0007357D"/>
    <w:rsid w:val="000736A8"/>
    <w:rsid w:val="000737E2"/>
    <w:rsid w:val="000738A1"/>
    <w:rsid w:val="00073951"/>
    <w:rsid w:val="00073958"/>
    <w:rsid w:val="000739FB"/>
    <w:rsid w:val="00073C71"/>
    <w:rsid w:val="00073D1D"/>
    <w:rsid w:val="00073DA8"/>
    <w:rsid w:val="00073DFB"/>
    <w:rsid w:val="00073E90"/>
    <w:rsid w:val="00073F6E"/>
    <w:rsid w:val="00074344"/>
    <w:rsid w:val="00074380"/>
    <w:rsid w:val="0007445B"/>
    <w:rsid w:val="0007485F"/>
    <w:rsid w:val="00074864"/>
    <w:rsid w:val="000748AB"/>
    <w:rsid w:val="00074C53"/>
    <w:rsid w:val="00074C73"/>
    <w:rsid w:val="00074D3B"/>
    <w:rsid w:val="00074F2E"/>
    <w:rsid w:val="000752B9"/>
    <w:rsid w:val="000753FF"/>
    <w:rsid w:val="00075442"/>
    <w:rsid w:val="000754CE"/>
    <w:rsid w:val="000757BB"/>
    <w:rsid w:val="000759C6"/>
    <w:rsid w:val="00075A00"/>
    <w:rsid w:val="00075A29"/>
    <w:rsid w:val="00075C71"/>
    <w:rsid w:val="00075E3B"/>
    <w:rsid w:val="00075F51"/>
    <w:rsid w:val="00076290"/>
    <w:rsid w:val="000768F6"/>
    <w:rsid w:val="000768FD"/>
    <w:rsid w:val="00076966"/>
    <w:rsid w:val="000769FD"/>
    <w:rsid w:val="00076B11"/>
    <w:rsid w:val="00076D91"/>
    <w:rsid w:val="00076DE7"/>
    <w:rsid w:val="00076E99"/>
    <w:rsid w:val="00077240"/>
    <w:rsid w:val="000772D7"/>
    <w:rsid w:val="00077454"/>
    <w:rsid w:val="000774A6"/>
    <w:rsid w:val="00077694"/>
    <w:rsid w:val="0007782D"/>
    <w:rsid w:val="00077898"/>
    <w:rsid w:val="000778B8"/>
    <w:rsid w:val="000778FB"/>
    <w:rsid w:val="0007796A"/>
    <w:rsid w:val="000779D1"/>
    <w:rsid w:val="00077AE4"/>
    <w:rsid w:val="00077C08"/>
    <w:rsid w:val="00077C63"/>
    <w:rsid w:val="00077EAE"/>
    <w:rsid w:val="00077EC7"/>
    <w:rsid w:val="00077EDB"/>
    <w:rsid w:val="000800F8"/>
    <w:rsid w:val="000801A8"/>
    <w:rsid w:val="00080211"/>
    <w:rsid w:val="0008093D"/>
    <w:rsid w:val="00080A8C"/>
    <w:rsid w:val="00080B1B"/>
    <w:rsid w:val="00080C75"/>
    <w:rsid w:val="00080F41"/>
    <w:rsid w:val="00080FB4"/>
    <w:rsid w:val="00081072"/>
    <w:rsid w:val="00081330"/>
    <w:rsid w:val="00081384"/>
    <w:rsid w:val="0008159F"/>
    <w:rsid w:val="000817B4"/>
    <w:rsid w:val="00081868"/>
    <w:rsid w:val="00081940"/>
    <w:rsid w:val="00081AB3"/>
    <w:rsid w:val="00081B66"/>
    <w:rsid w:val="00081BEA"/>
    <w:rsid w:val="00081D42"/>
    <w:rsid w:val="000821A6"/>
    <w:rsid w:val="0008233F"/>
    <w:rsid w:val="000823F3"/>
    <w:rsid w:val="000824B7"/>
    <w:rsid w:val="00082671"/>
    <w:rsid w:val="0008283A"/>
    <w:rsid w:val="000828A7"/>
    <w:rsid w:val="00082921"/>
    <w:rsid w:val="000829BD"/>
    <w:rsid w:val="000829E9"/>
    <w:rsid w:val="00082A73"/>
    <w:rsid w:val="00082C55"/>
    <w:rsid w:val="00082D48"/>
    <w:rsid w:val="00082D9C"/>
    <w:rsid w:val="00082E0D"/>
    <w:rsid w:val="00082F9C"/>
    <w:rsid w:val="00083078"/>
    <w:rsid w:val="000831BD"/>
    <w:rsid w:val="000832F0"/>
    <w:rsid w:val="00083398"/>
    <w:rsid w:val="0008349C"/>
    <w:rsid w:val="0008351C"/>
    <w:rsid w:val="00083556"/>
    <w:rsid w:val="000837AD"/>
    <w:rsid w:val="00083918"/>
    <w:rsid w:val="00083919"/>
    <w:rsid w:val="00083BED"/>
    <w:rsid w:val="00083CCD"/>
    <w:rsid w:val="00083D15"/>
    <w:rsid w:val="00083DE3"/>
    <w:rsid w:val="00083E6C"/>
    <w:rsid w:val="000841C6"/>
    <w:rsid w:val="00084242"/>
    <w:rsid w:val="000843EB"/>
    <w:rsid w:val="000843F9"/>
    <w:rsid w:val="00084483"/>
    <w:rsid w:val="000844DD"/>
    <w:rsid w:val="000846A9"/>
    <w:rsid w:val="00084A29"/>
    <w:rsid w:val="00084B33"/>
    <w:rsid w:val="00084B5C"/>
    <w:rsid w:val="0008507A"/>
    <w:rsid w:val="0008537F"/>
    <w:rsid w:val="00085464"/>
    <w:rsid w:val="000854E5"/>
    <w:rsid w:val="00085589"/>
    <w:rsid w:val="0008573F"/>
    <w:rsid w:val="00085933"/>
    <w:rsid w:val="00085A13"/>
    <w:rsid w:val="00085B19"/>
    <w:rsid w:val="00085C5A"/>
    <w:rsid w:val="00085CA8"/>
    <w:rsid w:val="00085CCF"/>
    <w:rsid w:val="00085F8B"/>
    <w:rsid w:val="00085FC9"/>
    <w:rsid w:val="0008622A"/>
    <w:rsid w:val="00086367"/>
    <w:rsid w:val="0008644B"/>
    <w:rsid w:val="000864FC"/>
    <w:rsid w:val="000864FE"/>
    <w:rsid w:val="000865DA"/>
    <w:rsid w:val="000866ED"/>
    <w:rsid w:val="0008671D"/>
    <w:rsid w:val="000867CA"/>
    <w:rsid w:val="0008691B"/>
    <w:rsid w:val="000869C4"/>
    <w:rsid w:val="00086C47"/>
    <w:rsid w:val="00086D8F"/>
    <w:rsid w:val="00086DAE"/>
    <w:rsid w:val="00087033"/>
    <w:rsid w:val="00087054"/>
    <w:rsid w:val="000870E3"/>
    <w:rsid w:val="000870E6"/>
    <w:rsid w:val="0008715D"/>
    <w:rsid w:val="0008720B"/>
    <w:rsid w:val="00087231"/>
    <w:rsid w:val="000877A4"/>
    <w:rsid w:val="0008784A"/>
    <w:rsid w:val="00087906"/>
    <w:rsid w:val="00087912"/>
    <w:rsid w:val="00087A0F"/>
    <w:rsid w:val="00087A4E"/>
    <w:rsid w:val="00087D5A"/>
    <w:rsid w:val="000900B2"/>
    <w:rsid w:val="00090177"/>
    <w:rsid w:val="000904C5"/>
    <w:rsid w:val="000905BC"/>
    <w:rsid w:val="000905EC"/>
    <w:rsid w:val="00090704"/>
    <w:rsid w:val="00090716"/>
    <w:rsid w:val="0009094D"/>
    <w:rsid w:val="00090B57"/>
    <w:rsid w:val="00090D2E"/>
    <w:rsid w:val="00090EB3"/>
    <w:rsid w:val="0009111A"/>
    <w:rsid w:val="00091121"/>
    <w:rsid w:val="00091209"/>
    <w:rsid w:val="000917F2"/>
    <w:rsid w:val="00091AAD"/>
    <w:rsid w:val="00091CC3"/>
    <w:rsid w:val="00091D16"/>
    <w:rsid w:val="00091E05"/>
    <w:rsid w:val="00091E60"/>
    <w:rsid w:val="00091F8B"/>
    <w:rsid w:val="000920C8"/>
    <w:rsid w:val="00092182"/>
    <w:rsid w:val="000921F7"/>
    <w:rsid w:val="00092203"/>
    <w:rsid w:val="000923FD"/>
    <w:rsid w:val="00092504"/>
    <w:rsid w:val="00092539"/>
    <w:rsid w:val="000928CF"/>
    <w:rsid w:val="000929B6"/>
    <w:rsid w:val="00092D8F"/>
    <w:rsid w:val="00092DCA"/>
    <w:rsid w:val="00092E3B"/>
    <w:rsid w:val="00092E56"/>
    <w:rsid w:val="00092E8B"/>
    <w:rsid w:val="00092EC6"/>
    <w:rsid w:val="00092EF7"/>
    <w:rsid w:val="000931AE"/>
    <w:rsid w:val="000931BC"/>
    <w:rsid w:val="00093498"/>
    <w:rsid w:val="00093596"/>
    <w:rsid w:val="000935AB"/>
    <w:rsid w:val="000935B7"/>
    <w:rsid w:val="000936C2"/>
    <w:rsid w:val="00093752"/>
    <w:rsid w:val="0009392A"/>
    <w:rsid w:val="00093C02"/>
    <w:rsid w:val="00093DAA"/>
    <w:rsid w:val="00093E9B"/>
    <w:rsid w:val="00093FE2"/>
    <w:rsid w:val="0009402B"/>
    <w:rsid w:val="0009426F"/>
    <w:rsid w:val="00094422"/>
    <w:rsid w:val="000945AF"/>
    <w:rsid w:val="0009486B"/>
    <w:rsid w:val="000948F7"/>
    <w:rsid w:val="0009494D"/>
    <w:rsid w:val="00094D2B"/>
    <w:rsid w:val="00094D6D"/>
    <w:rsid w:val="00094EF4"/>
    <w:rsid w:val="00094F61"/>
    <w:rsid w:val="00094FD2"/>
    <w:rsid w:val="00095004"/>
    <w:rsid w:val="00095019"/>
    <w:rsid w:val="0009504D"/>
    <w:rsid w:val="000950D0"/>
    <w:rsid w:val="0009515A"/>
    <w:rsid w:val="00095235"/>
    <w:rsid w:val="0009529A"/>
    <w:rsid w:val="000952A1"/>
    <w:rsid w:val="000952D2"/>
    <w:rsid w:val="0009530D"/>
    <w:rsid w:val="000954D0"/>
    <w:rsid w:val="000958B3"/>
    <w:rsid w:val="00095946"/>
    <w:rsid w:val="00095B43"/>
    <w:rsid w:val="00095B91"/>
    <w:rsid w:val="00095F07"/>
    <w:rsid w:val="00095FA0"/>
    <w:rsid w:val="00096234"/>
    <w:rsid w:val="000962E6"/>
    <w:rsid w:val="000965A7"/>
    <w:rsid w:val="00096703"/>
    <w:rsid w:val="00096819"/>
    <w:rsid w:val="00096834"/>
    <w:rsid w:val="00096882"/>
    <w:rsid w:val="000969C9"/>
    <w:rsid w:val="000969D4"/>
    <w:rsid w:val="00096B7E"/>
    <w:rsid w:val="00096BCD"/>
    <w:rsid w:val="00096BDC"/>
    <w:rsid w:val="00097020"/>
    <w:rsid w:val="0009715C"/>
    <w:rsid w:val="00097202"/>
    <w:rsid w:val="00097231"/>
    <w:rsid w:val="0009735B"/>
    <w:rsid w:val="00097375"/>
    <w:rsid w:val="000973EC"/>
    <w:rsid w:val="0009752C"/>
    <w:rsid w:val="000975B0"/>
    <w:rsid w:val="000975FA"/>
    <w:rsid w:val="000979BB"/>
    <w:rsid w:val="00097A0B"/>
    <w:rsid w:val="00097AE0"/>
    <w:rsid w:val="00097DAE"/>
    <w:rsid w:val="00097F18"/>
    <w:rsid w:val="000A0048"/>
    <w:rsid w:val="000A0068"/>
    <w:rsid w:val="000A06C9"/>
    <w:rsid w:val="000A06ED"/>
    <w:rsid w:val="000A0AE9"/>
    <w:rsid w:val="000A0C3C"/>
    <w:rsid w:val="000A105C"/>
    <w:rsid w:val="000A11FB"/>
    <w:rsid w:val="000A122E"/>
    <w:rsid w:val="000A1276"/>
    <w:rsid w:val="000A13B1"/>
    <w:rsid w:val="000A1433"/>
    <w:rsid w:val="000A1451"/>
    <w:rsid w:val="000A1641"/>
    <w:rsid w:val="000A18E7"/>
    <w:rsid w:val="000A1C3C"/>
    <w:rsid w:val="000A1C50"/>
    <w:rsid w:val="000A1CCA"/>
    <w:rsid w:val="000A1CE8"/>
    <w:rsid w:val="000A1D1B"/>
    <w:rsid w:val="000A1E37"/>
    <w:rsid w:val="000A1F33"/>
    <w:rsid w:val="000A1F86"/>
    <w:rsid w:val="000A219F"/>
    <w:rsid w:val="000A2381"/>
    <w:rsid w:val="000A23D7"/>
    <w:rsid w:val="000A2496"/>
    <w:rsid w:val="000A24F7"/>
    <w:rsid w:val="000A25D5"/>
    <w:rsid w:val="000A26DE"/>
    <w:rsid w:val="000A2728"/>
    <w:rsid w:val="000A2748"/>
    <w:rsid w:val="000A28D5"/>
    <w:rsid w:val="000A2979"/>
    <w:rsid w:val="000A2A4A"/>
    <w:rsid w:val="000A2A4E"/>
    <w:rsid w:val="000A2B12"/>
    <w:rsid w:val="000A2CB0"/>
    <w:rsid w:val="000A2CC5"/>
    <w:rsid w:val="000A2E20"/>
    <w:rsid w:val="000A333E"/>
    <w:rsid w:val="000A33A9"/>
    <w:rsid w:val="000A3407"/>
    <w:rsid w:val="000A3639"/>
    <w:rsid w:val="000A38FA"/>
    <w:rsid w:val="000A3926"/>
    <w:rsid w:val="000A3984"/>
    <w:rsid w:val="000A3B2F"/>
    <w:rsid w:val="000A3D75"/>
    <w:rsid w:val="000A3DE7"/>
    <w:rsid w:val="000A43A5"/>
    <w:rsid w:val="000A43A6"/>
    <w:rsid w:val="000A44F8"/>
    <w:rsid w:val="000A45E6"/>
    <w:rsid w:val="000A47AD"/>
    <w:rsid w:val="000A48DB"/>
    <w:rsid w:val="000A4A9B"/>
    <w:rsid w:val="000A4C68"/>
    <w:rsid w:val="000A4DCA"/>
    <w:rsid w:val="000A517A"/>
    <w:rsid w:val="000A51BE"/>
    <w:rsid w:val="000A52D7"/>
    <w:rsid w:val="000A5320"/>
    <w:rsid w:val="000A56BA"/>
    <w:rsid w:val="000A5B62"/>
    <w:rsid w:val="000A5BB1"/>
    <w:rsid w:val="000A5BD0"/>
    <w:rsid w:val="000A5C8F"/>
    <w:rsid w:val="000A5CC8"/>
    <w:rsid w:val="000A5D3B"/>
    <w:rsid w:val="000A5E5B"/>
    <w:rsid w:val="000A5FA8"/>
    <w:rsid w:val="000A5FE8"/>
    <w:rsid w:val="000A61BE"/>
    <w:rsid w:val="000A628F"/>
    <w:rsid w:val="000A6365"/>
    <w:rsid w:val="000A659F"/>
    <w:rsid w:val="000A669D"/>
    <w:rsid w:val="000A66A2"/>
    <w:rsid w:val="000A66F7"/>
    <w:rsid w:val="000A687E"/>
    <w:rsid w:val="000A6AC1"/>
    <w:rsid w:val="000A6C90"/>
    <w:rsid w:val="000A6D7B"/>
    <w:rsid w:val="000A6E11"/>
    <w:rsid w:val="000A6EAD"/>
    <w:rsid w:val="000A70FB"/>
    <w:rsid w:val="000A72DB"/>
    <w:rsid w:val="000A7349"/>
    <w:rsid w:val="000A73C4"/>
    <w:rsid w:val="000A73E4"/>
    <w:rsid w:val="000A7479"/>
    <w:rsid w:val="000A7A22"/>
    <w:rsid w:val="000A7D63"/>
    <w:rsid w:val="000A7F1B"/>
    <w:rsid w:val="000B0153"/>
    <w:rsid w:val="000B0299"/>
    <w:rsid w:val="000B0327"/>
    <w:rsid w:val="000B044A"/>
    <w:rsid w:val="000B0686"/>
    <w:rsid w:val="000B06B5"/>
    <w:rsid w:val="000B0796"/>
    <w:rsid w:val="000B0998"/>
    <w:rsid w:val="000B0A0F"/>
    <w:rsid w:val="000B0C24"/>
    <w:rsid w:val="000B0DC3"/>
    <w:rsid w:val="000B0E36"/>
    <w:rsid w:val="000B0E54"/>
    <w:rsid w:val="000B12B0"/>
    <w:rsid w:val="000B13CD"/>
    <w:rsid w:val="000B15A0"/>
    <w:rsid w:val="000B161A"/>
    <w:rsid w:val="000B1637"/>
    <w:rsid w:val="000B16AF"/>
    <w:rsid w:val="000B181D"/>
    <w:rsid w:val="000B1924"/>
    <w:rsid w:val="000B19E0"/>
    <w:rsid w:val="000B1ADE"/>
    <w:rsid w:val="000B1C4E"/>
    <w:rsid w:val="000B218B"/>
    <w:rsid w:val="000B218F"/>
    <w:rsid w:val="000B2214"/>
    <w:rsid w:val="000B22A7"/>
    <w:rsid w:val="000B230C"/>
    <w:rsid w:val="000B2480"/>
    <w:rsid w:val="000B26B4"/>
    <w:rsid w:val="000B26BA"/>
    <w:rsid w:val="000B27BA"/>
    <w:rsid w:val="000B28B1"/>
    <w:rsid w:val="000B2A2C"/>
    <w:rsid w:val="000B2A5C"/>
    <w:rsid w:val="000B2A80"/>
    <w:rsid w:val="000B2A98"/>
    <w:rsid w:val="000B2BBC"/>
    <w:rsid w:val="000B2BEC"/>
    <w:rsid w:val="000B2C76"/>
    <w:rsid w:val="000B2CBF"/>
    <w:rsid w:val="000B2CCD"/>
    <w:rsid w:val="000B303C"/>
    <w:rsid w:val="000B30FF"/>
    <w:rsid w:val="000B31E2"/>
    <w:rsid w:val="000B32D0"/>
    <w:rsid w:val="000B3565"/>
    <w:rsid w:val="000B377B"/>
    <w:rsid w:val="000B3955"/>
    <w:rsid w:val="000B3A14"/>
    <w:rsid w:val="000B3C31"/>
    <w:rsid w:val="000B3CD0"/>
    <w:rsid w:val="000B3E75"/>
    <w:rsid w:val="000B3ECC"/>
    <w:rsid w:val="000B3F09"/>
    <w:rsid w:val="000B3F41"/>
    <w:rsid w:val="000B3FE4"/>
    <w:rsid w:val="000B42A4"/>
    <w:rsid w:val="000B43CA"/>
    <w:rsid w:val="000B43D5"/>
    <w:rsid w:val="000B43EB"/>
    <w:rsid w:val="000B4418"/>
    <w:rsid w:val="000B464A"/>
    <w:rsid w:val="000B4701"/>
    <w:rsid w:val="000B4984"/>
    <w:rsid w:val="000B4D33"/>
    <w:rsid w:val="000B4DED"/>
    <w:rsid w:val="000B4E58"/>
    <w:rsid w:val="000B4F77"/>
    <w:rsid w:val="000B52F6"/>
    <w:rsid w:val="000B55E2"/>
    <w:rsid w:val="000B570E"/>
    <w:rsid w:val="000B583F"/>
    <w:rsid w:val="000B5966"/>
    <w:rsid w:val="000B59E3"/>
    <w:rsid w:val="000B5D62"/>
    <w:rsid w:val="000B60A4"/>
    <w:rsid w:val="000B6196"/>
    <w:rsid w:val="000B6345"/>
    <w:rsid w:val="000B63DF"/>
    <w:rsid w:val="000B64B0"/>
    <w:rsid w:val="000B66EB"/>
    <w:rsid w:val="000B6758"/>
    <w:rsid w:val="000B6847"/>
    <w:rsid w:val="000B6875"/>
    <w:rsid w:val="000B695D"/>
    <w:rsid w:val="000B6C54"/>
    <w:rsid w:val="000B6E85"/>
    <w:rsid w:val="000B728C"/>
    <w:rsid w:val="000B73A1"/>
    <w:rsid w:val="000B73C7"/>
    <w:rsid w:val="000B7462"/>
    <w:rsid w:val="000B74A1"/>
    <w:rsid w:val="000B74F5"/>
    <w:rsid w:val="000B74F6"/>
    <w:rsid w:val="000B75B1"/>
    <w:rsid w:val="000B765D"/>
    <w:rsid w:val="000B780E"/>
    <w:rsid w:val="000B78B2"/>
    <w:rsid w:val="000B7946"/>
    <w:rsid w:val="000B7A0F"/>
    <w:rsid w:val="000B7A26"/>
    <w:rsid w:val="000B7A79"/>
    <w:rsid w:val="000B7C97"/>
    <w:rsid w:val="000B7D9A"/>
    <w:rsid w:val="000B7DA8"/>
    <w:rsid w:val="000B7DB8"/>
    <w:rsid w:val="000B7F52"/>
    <w:rsid w:val="000C00E9"/>
    <w:rsid w:val="000C0186"/>
    <w:rsid w:val="000C029E"/>
    <w:rsid w:val="000C02A2"/>
    <w:rsid w:val="000C078E"/>
    <w:rsid w:val="000C088D"/>
    <w:rsid w:val="000C0898"/>
    <w:rsid w:val="000C089C"/>
    <w:rsid w:val="000C08AE"/>
    <w:rsid w:val="000C09B1"/>
    <w:rsid w:val="000C0A55"/>
    <w:rsid w:val="000C0AC9"/>
    <w:rsid w:val="000C1270"/>
    <w:rsid w:val="000C127C"/>
    <w:rsid w:val="000C132C"/>
    <w:rsid w:val="000C1401"/>
    <w:rsid w:val="000C149C"/>
    <w:rsid w:val="000C16D7"/>
    <w:rsid w:val="000C173B"/>
    <w:rsid w:val="000C1741"/>
    <w:rsid w:val="000C18BB"/>
    <w:rsid w:val="000C18F7"/>
    <w:rsid w:val="000C1D7F"/>
    <w:rsid w:val="000C206D"/>
    <w:rsid w:val="000C2109"/>
    <w:rsid w:val="000C214E"/>
    <w:rsid w:val="000C216E"/>
    <w:rsid w:val="000C21A4"/>
    <w:rsid w:val="000C2242"/>
    <w:rsid w:val="000C2391"/>
    <w:rsid w:val="000C2416"/>
    <w:rsid w:val="000C25BC"/>
    <w:rsid w:val="000C262C"/>
    <w:rsid w:val="000C274A"/>
    <w:rsid w:val="000C27CC"/>
    <w:rsid w:val="000C28FC"/>
    <w:rsid w:val="000C2B12"/>
    <w:rsid w:val="000C2B40"/>
    <w:rsid w:val="000C2CA7"/>
    <w:rsid w:val="000C2CBA"/>
    <w:rsid w:val="000C2E31"/>
    <w:rsid w:val="000C2EC5"/>
    <w:rsid w:val="000C2F4B"/>
    <w:rsid w:val="000C311F"/>
    <w:rsid w:val="000C31D3"/>
    <w:rsid w:val="000C3209"/>
    <w:rsid w:val="000C32E7"/>
    <w:rsid w:val="000C3525"/>
    <w:rsid w:val="000C3697"/>
    <w:rsid w:val="000C3763"/>
    <w:rsid w:val="000C3783"/>
    <w:rsid w:val="000C37AA"/>
    <w:rsid w:val="000C37F5"/>
    <w:rsid w:val="000C3862"/>
    <w:rsid w:val="000C3A76"/>
    <w:rsid w:val="000C3AC6"/>
    <w:rsid w:val="000C3B7C"/>
    <w:rsid w:val="000C3C10"/>
    <w:rsid w:val="000C3EDE"/>
    <w:rsid w:val="000C3F59"/>
    <w:rsid w:val="000C4087"/>
    <w:rsid w:val="000C40A4"/>
    <w:rsid w:val="000C410F"/>
    <w:rsid w:val="000C41E7"/>
    <w:rsid w:val="000C4245"/>
    <w:rsid w:val="000C425D"/>
    <w:rsid w:val="000C42BD"/>
    <w:rsid w:val="000C435F"/>
    <w:rsid w:val="000C4379"/>
    <w:rsid w:val="000C4505"/>
    <w:rsid w:val="000C4606"/>
    <w:rsid w:val="000C4679"/>
    <w:rsid w:val="000C474E"/>
    <w:rsid w:val="000C48E3"/>
    <w:rsid w:val="000C49F6"/>
    <w:rsid w:val="000C4B0E"/>
    <w:rsid w:val="000C4C78"/>
    <w:rsid w:val="000C4CD3"/>
    <w:rsid w:val="000C4D55"/>
    <w:rsid w:val="000C4ED7"/>
    <w:rsid w:val="000C4F81"/>
    <w:rsid w:val="000C5111"/>
    <w:rsid w:val="000C5194"/>
    <w:rsid w:val="000C51C1"/>
    <w:rsid w:val="000C52AB"/>
    <w:rsid w:val="000C533D"/>
    <w:rsid w:val="000C53A0"/>
    <w:rsid w:val="000C545F"/>
    <w:rsid w:val="000C5572"/>
    <w:rsid w:val="000C56EA"/>
    <w:rsid w:val="000C5780"/>
    <w:rsid w:val="000C5842"/>
    <w:rsid w:val="000C588A"/>
    <w:rsid w:val="000C58BB"/>
    <w:rsid w:val="000C5936"/>
    <w:rsid w:val="000C5941"/>
    <w:rsid w:val="000C5A02"/>
    <w:rsid w:val="000C5B1B"/>
    <w:rsid w:val="000C5B65"/>
    <w:rsid w:val="000C5C43"/>
    <w:rsid w:val="000C5C51"/>
    <w:rsid w:val="000C5DA1"/>
    <w:rsid w:val="000C607F"/>
    <w:rsid w:val="000C6086"/>
    <w:rsid w:val="000C6087"/>
    <w:rsid w:val="000C6138"/>
    <w:rsid w:val="000C6168"/>
    <w:rsid w:val="000C61CA"/>
    <w:rsid w:val="000C6226"/>
    <w:rsid w:val="000C63A4"/>
    <w:rsid w:val="000C6520"/>
    <w:rsid w:val="000C66A6"/>
    <w:rsid w:val="000C66B9"/>
    <w:rsid w:val="000C6850"/>
    <w:rsid w:val="000C6898"/>
    <w:rsid w:val="000C6928"/>
    <w:rsid w:val="000C6996"/>
    <w:rsid w:val="000C69E7"/>
    <w:rsid w:val="000C6AFC"/>
    <w:rsid w:val="000C6F79"/>
    <w:rsid w:val="000C7565"/>
    <w:rsid w:val="000C75D0"/>
    <w:rsid w:val="000C763E"/>
    <w:rsid w:val="000C7738"/>
    <w:rsid w:val="000C7799"/>
    <w:rsid w:val="000C7A7F"/>
    <w:rsid w:val="000C7C3D"/>
    <w:rsid w:val="000C7C7D"/>
    <w:rsid w:val="000C7CAC"/>
    <w:rsid w:val="000C7E0B"/>
    <w:rsid w:val="000C7EF6"/>
    <w:rsid w:val="000D00A8"/>
    <w:rsid w:val="000D021C"/>
    <w:rsid w:val="000D022B"/>
    <w:rsid w:val="000D0235"/>
    <w:rsid w:val="000D0281"/>
    <w:rsid w:val="000D02E5"/>
    <w:rsid w:val="000D0798"/>
    <w:rsid w:val="000D07BA"/>
    <w:rsid w:val="000D0836"/>
    <w:rsid w:val="000D088C"/>
    <w:rsid w:val="000D08B2"/>
    <w:rsid w:val="000D0AB1"/>
    <w:rsid w:val="000D0B31"/>
    <w:rsid w:val="000D0B7C"/>
    <w:rsid w:val="000D0C4D"/>
    <w:rsid w:val="000D0E4C"/>
    <w:rsid w:val="000D0EBC"/>
    <w:rsid w:val="000D0ED7"/>
    <w:rsid w:val="000D1282"/>
    <w:rsid w:val="000D13DA"/>
    <w:rsid w:val="000D1574"/>
    <w:rsid w:val="000D15C3"/>
    <w:rsid w:val="000D15C6"/>
    <w:rsid w:val="000D1838"/>
    <w:rsid w:val="000D1909"/>
    <w:rsid w:val="000D1A37"/>
    <w:rsid w:val="000D2043"/>
    <w:rsid w:val="000D23C6"/>
    <w:rsid w:val="000D23FF"/>
    <w:rsid w:val="000D2A4C"/>
    <w:rsid w:val="000D2A83"/>
    <w:rsid w:val="000D2B04"/>
    <w:rsid w:val="000D2B91"/>
    <w:rsid w:val="000D2C72"/>
    <w:rsid w:val="000D2D3F"/>
    <w:rsid w:val="000D2D5C"/>
    <w:rsid w:val="000D2D78"/>
    <w:rsid w:val="000D2EA0"/>
    <w:rsid w:val="000D2F05"/>
    <w:rsid w:val="000D303D"/>
    <w:rsid w:val="000D30AA"/>
    <w:rsid w:val="000D3150"/>
    <w:rsid w:val="000D3244"/>
    <w:rsid w:val="000D332D"/>
    <w:rsid w:val="000D3344"/>
    <w:rsid w:val="000D33DF"/>
    <w:rsid w:val="000D33FD"/>
    <w:rsid w:val="000D353E"/>
    <w:rsid w:val="000D35EC"/>
    <w:rsid w:val="000D38F1"/>
    <w:rsid w:val="000D39BA"/>
    <w:rsid w:val="000D3A00"/>
    <w:rsid w:val="000D3A31"/>
    <w:rsid w:val="000D3A6F"/>
    <w:rsid w:val="000D3C06"/>
    <w:rsid w:val="000D3C2C"/>
    <w:rsid w:val="000D3D0B"/>
    <w:rsid w:val="000D3E38"/>
    <w:rsid w:val="000D3F26"/>
    <w:rsid w:val="000D4014"/>
    <w:rsid w:val="000D410A"/>
    <w:rsid w:val="000D4207"/>
    <w:rsid w:val="000D4231"/>
    <w:rsid w:val="000D481E"/>
    <w:rsid w:val="000D486D"/>
    <w:rsid w:val="000D48E0"/>
    <w:rsid w:val="000D498F"/>
    <w:rsid w:val="000D4A09"/>
    <w:rsid w:val="000D4A2B"/>
    <w:rsid w:val="000D4B43"/>
    <w:rsid w:val="000D4C46"/>
    <w:rsid w:val="000D4D50"/>
    <w:rsid w:val="000D4E7B"/>
    <w:rsid w:val="000D4F20"/>
    <w:rsid w:val="000D4F5F"/>
    <w:rsid w:val="000D4FF2"/>
    <w:rsid w:val="000D523C"/>
    <w:rsid w:val="000D53C0"/>
    <w:rsid w:val="000D540C"/>
    <w:rsid w:val="000D5532"/>
    <w:rsid w:val="000D555C"/>
    <w:rsid w:val="000D563E"/>
    <w:rsid w:val="000D579C"/>
    <w:rsid w:val="000D57A9"/>
    <w:rsid w:val="000D5886"/>
    <w:rsid w:val="000D590B"/>
    <w:rsid w:val="000D59D8"/>
    <w:rsid w:val="000D5CD8"/>
    <w:rsid w:val="000D5F9A"/>
    <w:rsid w:val="000D61B4"/>
    <w:rsid w:val="000D621C"/>
    <w:rsid w:val="000D6252"/>
    <w:rsid w:val="000D6256"/>
    <w:rsid w:val="000D64D6"/>
    <w:rsid w:val="000D677C"/>
    <w:rsid w:val="000D6D47"/>
    <w:rsid w:val="000D6D68"/>
    <w:rsid w:val="000D6F3C"/>
    <w:rsid w:val="000D7075"/>
    <w:rsid w:val="000D7342"/>
    <w:rsid w:val="000D738D"/>
    <w:rsid w:val="000D759C"/>
    <w:rsid w:val="000D775D"/>
    <w:rsid w:val="000D776A"/>
    <w:rsid w:val="000D787F"/>
    <w:rsid w:val="000D79AC"/>
    <w:rsid w:val="000D7A68"/>
    <w:rsid w:val="000D7B35"/>
    <w:rsid w:val="000D7D43"/>
    <w:rsid w:val="000D7D45"/>
    <w:rsid w:val="000D7D52"/>
    <w:rsid w:val="000D7E1A"/>
    <w:rsid w:val="000D7ED1"/>
    <w:rsid w:val="000D7F5F"/>
    <w:rsid w:val="000D7FC3"/>
    <w:rsid w:val="000D7FD9"/>
    <w:rsid w:val="000E00CB"/>
    <w:rsid w:val="000E0155"/>
    <w:rsid w:val="000E02A5"/>
    <w:rsid w:val="000E02D5"/>
    <w:rsid w:val="000E030F"/>
    <w:rsid w:val="000E04DB"/>
    <w:rsid w:val="000E05CF"/>
    <w:rsid w:val="000E0650"/>
    <w:rsid w:val="000E093D"/>
    <w:rsid w:val="000E0B6B"/>
    <w:rsid w:val="000E0C04"/>
    <w:rsid w:val="000E0D38"/>
    <w:rsid w:val="000E0D95"/>
    <w:rsid w:val="000E0EFF"/>
    <w:rsid w:val="000E0F83"/>
    <w:rsid w:val="000E1230"/>
    <w:rsid w:val="000E13EF"/>
    <w:rsid w:val="000E1470"/>
    <w:rsid w:val="000E1637"/>
    <w:rsid w:val="000E16CA"/>
    <w:rsid w:val="000E171F"/>
    <w:rsid w:val="000E19CE"/>
    <w:rsid w:val="000E19D6"/>
    <w:rsid w:val="000E19F1"/>
    <w:rsid w:val="000E1A92"/>
    <w:rsid w:val="000E1D42"/>
    <w:rsid w:val="000E1DEF"/>
    <w:rsid w:val="000E1E1B"/>
    <w:rsid w:val="000E1F57"/>
    <w:rsid w:val="000E1FB8"/>
    <w:rsid w:val="000E200B"/>
    <w:rsid w:val="000E207E"/>
    <w:rsid w:val="000E20DD"/>
    <w:rsid w:val="000E2116"/>
    <w:rsid w:val="000E2234"/>
    <w:rsid w:val="000E24A5"/>
    <w:rsid w:val="000E27A4"/>
    <w:rsid w:val="000E28B7"/>
    <w:rsid w:val="000E2958"/>
    <w:rsid w:val="000E2C86"/>
    <w:rsid w:val="000E2DCF"/>
    <w:rsid w:val="000E2E66"/>
    <w:rsid w:val="000E2F25"/>
    <w:rsid w:val="000E3290"/>
    <w:rsid w:val="000E34BD"/>
    <w:rsid w:val="000E3668"/>
    <w:rsid w:val="000E36AC"/>
    <w:rsid w:val="000E3767"/>
    <w:rsid w:val="000E3973"/>
    <w:rsid w:val="000E3A07"/>
    <w:rsid w:val="000E3D3E"/>
    <w:rsid w:val="000E3D5D"/>
    <w:rsid w:val="000E3D93"/>
    <w:rsid w:val="000E3DC0"/>
    <w:rsid w:val="000E4307"/>
    <w:rsid w:val="000E4384"/>
    <w:rsid w:val="000E4535"/>
    <w:rsid w:val="000E46E1"/>
    <w:rsid w:val="000E498B"/>
    <w:rsid w:val="000E49EA"/>
    <w:rsid w:val="000E4B9F"/>
    <w:rsid w:val="000E4C44"/>
    <w:rsid w:val="000E4CF1"/>
    <w:rsid w:val="000E4E95"/>
    <w:rsid w:val="000E4EF6"/>
    <w:rsid w:val="000E4FDE"/>
    <w:rsid w:val="000E5096"/>
    <w:rsid w:val="000E5147"/>
    <w:rsid w:val="000E52FD"/>
    <w:rsid w:val="000E5465"/>
    <w:rsid w:val="000E54BB"/>
    <w:rsid w:val="000E54FC"/>
    <w:rsid w:val="000E552A"/>
    <w:rsid w:val="000E570C"/>
    <w:rsid w:val="000E577D"/>
    <w:rsid w:val="000E5798"/>
    <w:rsid w:val="000E5864"/>
    <w:rsid w:val="000E59A0"/>
    <w:rsid w:val="000E5B07"/>
    <w:rsid w:val="000E5C06"/>
    <w:rsid w:val="000E5F06"/>
    <w:rsid w:val="000E5F08"/>
    <w:rsid w:val="000E614A"/>
    <w:rsid w:val="000E6294"/>
    <w:rsid w:val="000E6337"/>
    <w:rsid w:val="000E64CA"/>
    <w:rsid w:val="000E65A3"/>
    <w:rsid w:val="000E6728"/>
    <w:rsid w:val="000E677D"/>
    <w:rsid w:val="000E6803"/>
    <w:rsid w:val="000E6858"/>
    <w:rsid w:val="000E6978"/>
    <w:rsid w:val="000E6A72"/>
    <w:rsid w:val="000E6AAF"/>
    <w:rsid w:val="000E6ADD"/>
    <w:rsid w:val="000E6F1E"/>
    <w:rsid w:val="000E6F30"/>
    <w:rsid w:val="000E6F87"/>
    <w:rsid w:val="000E7115"/>
    <w:rsid w:val="000E711C"/>
    <w:rsid w:val="000E71CE"/>
    <w:rsid w:val="000E7506"/>
    <w:rsid w:val="000E7545"/>
    <w:rsid w:val="000E75B7"/>
    <w:rsid w:val="000E768E"/>
    <w:rsid w:val="000E76FE"/>
    <w:rsid w:val="000E7A4A"/>
    <w:rsid w:val="000E7D31"/>
    <w:rsid w:val="000E7DE7"/>
    <w:rsid w:val="000F0049"/>
    <w:rsid w:val="000F018D"/>
    <w:rsid w:val="000F01DF"/>
    <w:rsid w:val="000F0244"/>
    <w:rsid w:val="000F0256"/>
    <w:rsid w:val="000F0274"/>
    <w:rsid w:val="000F0336"/>
    <w:rsid w:val="000F0436"/>
    <w:rsid w:val="000F04CF"/>
    <w:rsid w:val="000F060F"/>
    <w:rsid w:val="000F073C"/>
    <w:rsid w:val="000F0904"/>
    <w:rsid w:val="000F0955"/>
    <w:rsid w:val="000F0AE5"/>
    <w:rsid w:val="000F0D5C"/>
    <w:rsid w:val="000F0D6B"/>
    <w:rsid w:val="000F0E9A"/>
    <w:rsid w:val="000F10F5"/>
    <w:rsid w:val="000F119E"/>
    <w:rsid w:val="000F1312"/>
    <w:rsid w:val="000F1517"/>
    <w:rsid w:val="000F1628"/>
    <w:rsid w:val="000F1737"/>
    <w:rsid w:val="000F176F"/>
    <w:rsid w:val="000F1826"/>
    <w:rsid w:val="000F18A0"/>
    <w:rsid w:val="000F18A6"/>
    <w:rsid w:val="000F1B3D"/>
    <w:rsid w:val="000F1CDC"/>
    <w:rsid w:val="000F1DAE"/>
    <w:rsid w:val="000F221B"/>
    <w:rsid w:val="000F230C"/>
    <w:rsid w:val="000F238E"/>
    <w:rsid w:val="000F241F"/>
    <w:rsid w:val="000F26F0"/>
    <w:rsid w:val="000F2738"/>
    <w:rsid w:val="000F2B69"/>
    <w:rsid w:val="000F2BBD"/>
    <w:rsid w:val="000F2C45"/>
    <w:rsid w:val="000F2DF1"/>
    <w:rsid w:val="000F31C0"/>
    <w:rsid w:val="000F3298"/>
    <w:rsid w:val="000F34C1"/>
    <w:rsid w:val="000F34DC"/>
    <w:rsid w:val="000F3698"/>
    <w:rsid w:val="000F3AA5"/>
    <w:rsid w:val="000F3B39"/>
    <w:rsid w:val="000F3B7F"/>
    <w:rsid w:val="000F3D0A"/>
    <w:rsid w:val="000F3D41"/>
    <w:rsid w:val="000F3EB5"/>
    <w:rsid w:val="000F3EB6"/>
    <w:rsid w:val="000F3F3D"/>
    <w:rsid w:val="000F4031"/>
    <w:rsid w:val="000F4113"/>
    <w:rsid w:val="000F4216"/>
    <w:rsid w:val="000F4288"/>
    <w:rsid w:val="000F457E"/>
    <w:rsid w:val="000F45E5"/>
    <w:rsid w:val="000F46BE"/>
    <w:rsid w:val="000F46C7"/>
    <w:rsid w:val="000F470B"/>
    <w:rsid w:val="000F471B"/>
    <w:rsid w:val="000F4933"/>
    <w:rsid w:val="000F49A8"/>
    <w:rsid w:val="000F49CB"/>
    <w:rsid w:val="000F4A3B"/>
    <w:rsid w:val="000F4BD6"/>
    <w:rsid w:val="000F4C0E"/>
    <w:rsid w:val="000F4D44"/>
    <w:rsid w:val="000F4DAC"/>
    <w:rsid w:val="000F4DFF"/>
    <w:rsid w:val="000F4E68"/>
    <w:rsid w:val="000F4E7F"/>
    <w:rsid w:val="000F4ECC"/>
    <w:rsid w:val="000F4F7A"/>
    <w:rsid w:val="000F511A"/>
    <w:rsid w:val="000F5175"/>
    <w:rsid w:val="000F52A0"/>
    <w:rsid w:val="000F52BF"/>
    <w:rsid w:val="000F543E"/>
    <w:rsid w:val="000F5643"/>
    <w:rsid w:val="000F5659"/>
    <w:rsid w:val="000F565E"/>
    <w:rsid w:val="000F56F5"/>
    <w:rsid w:val="000F5812"/>
    <w:rsid w:val="000F58B9"/>
    <w:rsid w:val="000F5C77"/>
    <w:rsid w:val="000F5CBD"/>
    <w:rsid w:val="000F5D37"/>
    <w:rsid w:val="000F5F18"/>
    <w:rsid w:val="000F613C"/>
    <w:rsid w:val="000F61E2"/>
    <w:rsid w:val="000F6223"/>
    <w:rsid w:val="000F6417"/>
    <w:rsid w:val="000F6445"/>
    <w:rsid w:val="000F648A"/>
    <w:rsid w:val="000F64A7"/>
    <w:rsid w:val="000F64B2"/>
    <w:rsid w:val="000F6589"/>
    <w:rsid w:val="000F67E6"/>
    <w:rsid w:val="000F6839"/>
    <w:rsid w:val="000F69CC"/>
    <w:rsid w:val="000F6BD3"/>
    <w:rsid w:val="000F6BF9"/>
    <w:rsid w:val="000F6D24"/>
    <w:rsid w:val="000F6FE9"/>
    <w:rsid w:val="000F72BB"/>
    <w:rsid w:val="000F7434"/>
    <w:rsid w:val="000F747B"/>
    <w:rsid w:val="000F74F2"/>
    <w:rsid w:val="000F7639"/>
    <w:rsid w:val="000F77FE"/>
    <w:rsid w:val="000F7916"/>
    <w:rsid w:val="000F795E"/>
    <w:rsid w:val="000F7A10"/>
    <w:rsid w:val="000F7BFA"/>
    <w:rsid w:val="000F7C64"/>
    <w:rsid w:val="000F7E51"/>
    <w:rsid w:val="000F7EC9"/>
    <w:rsid w:val="000F7FCB"/>
    <w:rsid w:val="0010022C"/>
    <w:rsid w:val="00100672"/>
    <w:rsid w:val="001007B7"/>
    <w:rsid w:val="00100996"/>
    <w:rsid w:val="00100C5F"/>
    <w:rsid w:val="00100D57"/>
    <w:rsid w:val="00100EE3"/>
    <w:rsid w:val="0010114C"/>
    <w:rsid w:val="00101283"/>
    <w:rsid w:val="00101496"/>
    <w:rsid w:val="001015CF"/>
    <w:rsid w:val="001015F0"/>
    <w:rsid w:val="001017DF"/>
    <w:rsid w:val="00101881"/>
    <w:rsid w:val="00101AD6"/>
    <w:rsid w:val="00101ADA"/>
    <w:rsid w:val="00101E01"/>
    <w:rsid w:val="00101E9A"/>
    <w:rsid w:val="00102203"/>
    <w:rsid w:val="00102208"/>
    <w:rsid w:val="001022C2"/>
    <w:rsid w:val="00102406"/>
    <w:rsid w:val="001024A8"/>
    <w:rsid w:val="001026FE"/>
    <w:rsid w:val="00102852"/>
    <w:rsid w:val="00102A90"/>
    <w:rsid w:val="00102A92"/>
    <w:rsid w:val="00102BCC"/>
    <w:rsid w:val="00102CDC"/>
    <w:rsid w:val="001030BE"/>
    <w:rsid w:val="00103219"/>
    <w:rsid w:val="0010322B"/>
    <w:rsid w:val="00103380"/>
    <w:rsid w:val="001034F7"/>
    <w:rsid w:val="00103690"/>
    <w:rsid w:val="001036AB"/>
    <w:rsid w:val="00103876"/>
    <w:rsid w:val="00103929"/>
    <w:rsid w:val="00103948"/>
    <w:rsid w:val="00103A19"/>
    <w:rsid w:val="00103A88"/>
    <w:rsid w:val="00103AAF"/>
    <w:rsid w:val="00103B4A"/>
    <w:rsid w:val="00103C10"/>
    <w:rsid w:val="00103CE8"/>
    <w:rsid w:val="00103DFB"/>
    <w:rsid w:val="00103E45"/>
    <w:rsid w:val="00103E94"/>
    <w:rsid w:val="00103FB7"/>
    <w:rsid w:val="0010405F"/>
    <w:rsid w:val="001040C6"/>
    <w:rsid w:val="0010432B"/>
    <w:rsid w:val="00104446"/>
    <w:rsid w:val="00104524"/>
    <w:rsid w:val="0010455E"/>
    <w:rsid w:val="00104569"/>
    <w:rsid w:val="00104637"/>
    <w:rsid w:val="001046B0"/>
    <w:rsid w:val="001049F6"/>
    <w:rsid w:val="00104A77"/>
    <w:rsid w:val="00104C0D"/>
    <w:rsid w:val="00104C15"/>
    <w:rsid w:val="00104D51"/>
    <w:rsid w:val="00104D68"/>
    <w:rsid w:val="00105003"/>
    <w:rsid w:val="0010514E"/>
    <w:rsid w:val="0010519E"/>
    <w:rsid w:val="0010536D"/>
    <w:rsid w:val="001053CA"/>
    <w:rsid w:val="001055E3"/>
    <w:rsid w:val="00105703"/>
    <w:rsid w:val="00105768"/>
    <w:rsid w:val="00105AF5"/>
    <w:rsid w:val="00105B8B"/>
    <w:rsid w:val="00105C38"/>
    <w:rsid w:val="00105FBF"/>
    <w:rsid w:val="00106065"/>
    <w:rsid w:val="0010610A"/>
    <w:rsid w:val="0010615A"/>
    <w:rsid w:val="001061CD"/>
    <w:rsid w:val="001063AE"/>
    <w:rsid w:val="0010644F"/>
    <w:rsid w:val="001065E7"/>
    <w:rsid w:val="00106653"/>
    <w:rsid w:val="00106687"/>
    <w:rsid w:val="0010669F"/>
    <w:rsid w:val="00106A7A"/>
    <w:rsid w:val="00106A7C"/>
    <w:rsid w:val="00106AB4"/>
    <w:rsid w:val="00106B84"/>
    <w:rsid w:val="00106BAD"/>
    <w:rsid w:val="00106C0C"/>
    <w:rsid w:val="00106D14"/>
    <w:rsid w:val="00106D3A"/>
    <w:rsid w:val="00107070"/>
    <w:rsid w:val="001070C4"/>
    <w:rsid w:val="0010713C"/>
    <w:rsid w:val="00107258"/>
    <w:rsid w:val="0010725F"/>
    <w:rsid w:val="00107362"/>
    <w:rsid w:val="00107446"/>
    <w:rsid w:val="00107482"/>
    <w:rsid w:val="001074C3"/>
    <w:rsid w:val="00107684"/>
    <w:rsid w:val="00107A3F"/>
    <w:rsid w:val="00107B06"/>
    <w:rsid w:val="00107C40"/>
    <w:rsid w:val="00107C6A"/>
    <w:rsid w:val="00107CE5"/>
    <w:rsid w:val="00107FE1"/>
    <w:rsid w:val="0011014C"/>
    <w:rsid w:val="00110212"/>
    <w:rsid w:val="0011023C"/>
    <w:rsid w:val="0011029D"/>
    <w:rsid w:val="00110383"/>
    <w:rsid w:val="001105F8"/>
    <w:rsid w:val="001105FC"/>
    <w:rsid w:val="0011068C"/>
    <w:rsid w:val="00110730"/>
    <w:rsid w:val="00110AC0"/>
    <w:rsid w:val="00110B4E"/>
    <w:rsid w:val="00110B8B"/>
    <w:rsid w:val="00110C40"/>
    <w:rsid w:val="00110C4D"/>
    <w:rsid w:val="00110E01"/>
    <w:rsid w:val="00110E8B"/>
    <w:rsid w:val="001111AB"/>
    <w:rsid w:val="0011136C"/>
    <w:rsid w:val="001115D3"/>
    <w:rsid w:val="00111704"/>
    <w:rsid w:val="0011175F"/>
    <w:rsid w:val="0011185D"/>
    <w:rsid w:val="00111907"/>
    <w:rsid w:val="001119AE"/>
    <w:rsid w:val="00111DE9"/>
    <w:rsid w:val="00112050"/>
    <w:rsid w:val="001123FE"/>
    <w:rsid w:val="001124BA"/>
    <w:rsid w:val="00112667"/>
    <w:rsid w:val="0011269F"/>
    <w:rsid w:val="00112AF3"/>
    <w:rsid w:val="00112B87"/>
    <w:rsid w:val="00112D71"/>
    <w:rsid w:val="00112F42"/>
    <w:rsid w:val="00112FA3"/>
    <w:rsid w:val="001132DB"/>
    <w:rsid w:val="00113438"/>
    <w:rsid w:val="0011348C"/>
    <w:rsid w:val="00113655"/>
    <w:rsid w:val="00113B93"/>
    <w:rsid w:val="00113CF9"/>
    <w:rsid w:val="00113E48"/>
    <w:rsid w:val="00113E57"/>
    <w:rsid w:val="00113FE7"/>
    <w:rsid w:val="00114031"/>
    <w:rsid w:val="0011406D"/>
    <w:rsid w:val="00114170"/>
    <w:rsid w:val="0011424C"/>
    <w:rsid w:val="00114259"/>
    <w:rsid w:val="001143CA"/>
    <w:rsid w:val="001143D5"/>
    <w:rsid w:val="001149CC"/>
    <w:rsid w:val="00114AAA"/>
    <w:rsid w:val="00114DC3"/>
    <w:rsid w:val="00114E8E"/>
    <w:rsid w:val="00114F25"/>
    <w:rsid w:val="001150EA"/>
    <w:rsid w:val="001151B0"/>
    <w:rsid w:val="0011568B"/>
    <w:rsid w:val="001157E0"/>
    <w:rsid w:val="00115888"/>
    <w:rsid w:val="001158E7"/>
    <w:rsid w:val="00115BF0"/>
    <w:rsid w:val="00115C85"/>
    <w:rsid w:val="00115C8C"/>
    <w:rsid w:val="00115CE9"/>
    <w:rsid w:val="00115D99"/>
    <w:rsid w:val="00115EEF"/>
    <w:rsid w:val="0011640C"/>
    <w:rsid w:val="00116768"/>
    <w:rsid w:val="001168B4"/>
    <w:rsid w:val="00116931"/>
    <w:rsid w:val="001169CB"/>
    <w:rsid w:val="00116DC8"/>
    <w:rsid w:val="00116F62"/>
    <w:rsid w:val="00117182"/>
    <w:rsid w:val="00117377"/>
    <w:rsid w:val="001173AC"/>
    <w:rsid w:val="00117523"/>
    <w:rsid w:val="00117676"/>
    <w:rsid w:val="0011767C"/>
    <w:rsid w:val="00117855"/>
    <w:rsid w:val="0011799A"/>
    <w:rsid w:val="001179E7"/>
    <w:rsid w:val="00117E35"/>
    <w:rsid w:val="00117FAF"/>
    <w:rsid w:val="00117FB6"/>
    <w:rsid w:val="00120012"/>
    <w:rsid w:val="00120144"/>
    <w:rsid w:val="00120454"/>
    <w:rsid w:val="0012058D"/>
    <w:rsid w:val="001205A7"/>
    <w:rsid w:val="001205FA"/>
    <w:rsid w:val="00120636"/>
    <w:rsid w:val="0012090B"/>
    <w:rsid w:val="0012094B"/>
    <w:rsid w:val="001209DC"/>
    <w:rsid w:val="00120ACB"/>
    <w:rsid w:val="00120E6F"/>
    <w:rsid w:val="00120F9E"/>
    <w:rsid w:val="00121429"/>
    <w:rsid w:val="0012150C"/>
    <w:rsid w:val="001215AB"/>
    <w:rsid w:val="001217F6"/>
    <w:rsid w:val="00121852"/>
    <w:rsid w:val="001218B5"/>
    <w:rsid w:val="00121AAA"/>
    <w:rsid w:val="00121AB9"/>
    <w:rsid w:val="00121B0A"/>
    <w:rsid w:val="00121C79"/>
    <w:rsid w:val="00121CE3"/>
    <w:rsid w:val="00121D0F"/>
    <w:rsid w:val="00121D60"/>
    <w:rsid w:val="00121FEC"/>
    <w:rsid w:val="0012240E"/>
    <w:rsid w:val="0012260C"/>
    <w:rsid w:val="00122660"/>
    <w:rsid w:val="0012286E"/>
    <w:rsid w:val="00122873"/>
    <w:rsid w:val="00122A21"/>
    <w:rsid w:val="00122B52"/>
    <w:rsid w:val="00122B62"/>
    <w:rsid w:val="00122C9D"/>
    <w:rsid w:val="00122E3F"/>
    <w:rsid w:val="00122F14"/>
    <w:rsid w:val="00122F5F"/>
    <w:rsid w:val="00122FB4"/>
    <w:rsid w:val="00122FFD"/>
    <w:rsid w:val="0012307A"/>
    <w:rsid w:val="00123281"/>
    <w:rsid w:val="001232EE"/>
    <w:rsid w:val="001234B1"/>
    <w:rsid w:val="0012366F"/>
    <w:rsid w:val="001237BB"/>
    <w:rsid w:val="0012387A"/>
    <w:rsid w:val="00123898"/>
    <w:rsid w:val="00123A02"/>
    <w:rsid w:val="00123C20"/>
    <w:rsid w:val="00123C92"/>
    <w:rsid w:val="00123D9A"/>
    <w:rsid w:val="00123DAD"/>
    <w:rsid w:val="001240BD"/>
    <w:rsid w:val="00124194"/>
    <w:rsid w:val="00124197"/>
    <w:rsid w:val="00124204"/>
    <w:rsid w:val="00124475"/>
    <w:rsid w:val="001244E2"/>
    <w:rsid w:val="0012454B"/>
    <w:rsid w:val="0012490B"/>
    <w:rsid w:val="00124980"/>
    <w:rsid w:val="00124A7C"/>
    <w:rsid w:val="00124B6C"/>
    <w:rsid w:val="00124CDE"/>
    <w:rsid w:val="00124FC8"/>
    <w:rsid w:val="00125241"/>
    <w:rsid w:val="00125370"/>
    <w:rsid w:val="00125533"/>
    <w:rsid w:val="001259B0"/>
    <w:rsid w:val="00125A01"/>
    <w:rsid w:val="00125A52"/>
    <w:rsid w:val="00125B24"/>
    <w:rsid w:val="00125DD0"/>
    <w:rsid w:val="00125F55"/>
    <w:rsid w:val="00125FAA"/>
    <w:rsid w:val="001260D2"/>
    <w:rsid w:val="001261C8"/>
    <w:rsid w:val="00126201"/>
    <w:rsid w:val="00126261"/>
    <w:rsid w:val="001263B8"/>
    <w:rsid w:val="00126548"/>
    <w:rsid w:val="00126553"/>
    <w:rsid w:val="00126567"/>
    <w:rsid w:val="001268C4"/>
    <w:rsid w:val="0012699A"/>
    <w:rsid w:val="00126A04"/>
    <w:rsid w:val="00126B93"/>
    <w:rsid w:val="00126BDE"/>
    <w:rsid w:val="00126C36"/>
    <w:rsid w:val="00126D80"/>
    <w:rsid w:val="00126E3A"/>
    <w:rsid w:val="00126FAD"/>
    <w:rsid w:val="00127561"/>
    <w:rsid w:val="00127733"/>
    <w:rsid w:val="00127AF0"/>
    <w:rsid w:val="00127B10"/>
    <w:rsid w:val="00127BDC"/>
    <w:rsid w:val="00127BDE"/>
    <w:rsid w:val="00127C2F"/>
    <w:rsid w:val="00127E19"/>
    <w:rsid w:val="00127F53"/>
    <w:rsid w:val="00127FC8"/>
    <w:rsid w:val="0013026E"/>
    <w:rsid w:val="001304A1"/>
    <w:rsid w:val="00130505"/>
    <w:rsid w:val="001306C4"/>
    <w:rsid w:val="00130735"/>
    <w:rsid w:val="00130A71"/>
    <w:rsid w:val="00130BE1"/>
    <w:rsid w:val="00130C4F"/>
    <w:rsid w:val="00130F4C"/>
    <w:rsid w:val="00130F56"/>
    <w:rsid w:val="00131425"/>
    <w:rsid w:val="001317E4"/>
    <w:rsid w:val="001319F8"/>
    <w:rsid w:val="00131A19"/>
    <w:rsid w:val="00131B3B"/>
    <w:rsid w:val="00131C0C"/>
    <w:rsid w:val="00131C47"/>
    <w:rsid w:val="00131D1C"/>
    <w:rsid w:val="00131E05"/>
    <w:rsid w:val="00131ED8"/>
    <w:rsid w:val="00132113"/>
    <w:rsid w:val="001323D6"/>
    <w:rsid w:val="00132655"/>
    <w:rsid w:val="001328CC"/>
    <w:rsid w:val="00132D1A"/>
    <w:rsid w:val="00132DAC"/>
    <w:rsid w:val="00132DD6"/>
    <w:rsid w:val="00132FD6"/>
    <w:rsid w:val="00133193"/>
    <w:rsid w:val="001331D7"/>
    <w:rsid w:val="00133278"/>
    <w:rsid w:val="0013328B"/>
    <w:rsid w:val="001333C2"/>
    <w:rsid w:val="001333EC"/>
    <w:rsid w:val="001334A6"/>
    <w:rsid w:val="001337DD"/>
    <w:rsid w:val="00133857"/>
    <w:rsid w:val="0013396F"/>
    <w:rsid w:val="001339B7"/>
    <w:rsid w:val="00133BAA"/>
    <w:rsid w:val="00133C15"/>
    <w:rsid w:val="00133D3B"/>
    <w:rsid w:val="00133D5A"/>
    <w:rsid w:val="001341E8"/>
    <w:rsid w:val="0013430F"/>
    <w:rsid w:val="00134463"/>
    <w:rsid w:val="0013453B"/>
    <w:rsid w:val="0013481D"/>
    <w:rsid w:val="00134915"/>
    <w:rsid w:val="001349C9"/>
    <w:rsid w:val="00134AAA"/>
    <w:rsid w:val="00134BB5"/>
    <w:rsid w:val="00134CE2"/>
    <w:rsid w:val="00134DD6"/>
    <w:rsid w:val="00134F23"/>
    <w:rsid w:val="00135035"/>
    <w:rsid w:val="001350C9"/>
    <w:rsid w:val="0013510C"/>
    <w:rsid w:val="00135374"/>
    <w:rsid w:val="001355FC"/>
    <w:rsid w:val="00135746"/>
    <w:rsid w:val="001357DE"/>
    <w:rsid w:val="001357E1"/>
    <w:rsid w:val="00135961"/>
    <w:rsid w:val="00135C4E"/>
    <w:rsid w:val="00135E3F"/>
    <w:rsid w:val="00135EFD"/>
    <w:rsid w:val="00135FCA"/>
    <w:rsid w:val="001363B9"/>
    <w:rsid w:val="0013679F"/>
    <w:rsid w:val="001367A3"/>
    <w:rsid w:val="00136AF9"/>
    <w:rsid w:val="00136B92"/>
    <w:rsid w:val="00136C3E"/>
    <w:rsid w:val="00136EDB"/>
    <w:rsid w:val="00136F1D"/>
    <w:rsid w:val="00136F7F"/>
    <w:rsid w:val="001370B8"/>
    <w:rsid w:val="001370B9"/>
    <w:rsid w:val="001371E1"/>
    <w:rsid w:val="0013735D"/>
    <w:rsid w:val="001376F9"/>
    <w:rsid w:val="0013784D"/>
    <w:rsid w:val="001378A4"/>
    <w:rsid w:val="00137A5E"/>
    <w:rsid w:val="00137AA4"/>
    <w:rsid w:val="00137EAA"/>
    <w:rsid w:val="0014015C"/>
    <w:rsid w:val="001401B3"/>
    <w:rsid w:val="001402CC"/>
    <w:rsid w:val="00140572"/>
    <w:rsid w:val="0014059F"/>
    <w:rsid w:val="00140646"/>
    <w:rsid w:val="00140BED"/>
    <w:rsid w:val="00140C35"/>
    <w:rsid w:val="00140D59"/>
    <w:rsid w:val="00140F1C"/>
    <w:rsid w:val="0014109A"/>
    <w:rsid w:val="0014118F"/>
    <w:rsid w:val="001411B9"/>
    <w:rsid w:val="001412FA"/>
    <w:rsid w:val="001413C5"/>
    <w:rsid w:val="0014153D"/>
    <w:rsid w:val="001415C9"/>
    <w:rsid w:val="0014162B"/>
    <w:rsid w:val="0014189E"/>
    <w:rsid w:val="00141A37"/>
    <w:rsid w:val="00141B15"/>
    <w:rsid w:val="00141BA7"/>
    <w:rsid w:val="00141D28"/>
    <w:rsid w:val="00141E3E"/>
    <w:rsid w:val="00141EC0"/>
    <w:rsid w:val="00141EF3"/>
    <w:rsid w:val="00141F29"/>
    <w:rsid w:val="00141F84"/>
    <w:rsid w:val="0014216D"/>
    <w:rsid w:val="0014217D"/>
    <w:rsid w:val="001421DE"/>
    <w:rsid w:val="001421FC"/>
    <w:rsid w:val="00142496"/>
    <w:rsid w:val="001425AE"/>
    <w:rsid w:val="001425F3"/>
    <w:rsid w:val="00142897"/>
    <w:rsid w:val="00142A89"/>
    <w:rsid w:val="00142AD2"/>
    <w:rsid w:val="00142B84"/>
    <w:rsid w:val="00142CBC"/>
    <w:rsid w:val="00142D7E"/>
    <w:rsid w:val="00142DA5"/>
    <w:rsid w:val="00142E00"/>
    <w:rsid w:val="00142E5D"/>
    <w:rsid w:val="00142F38"/>
    <w:rsid w:val="001430EC"/>
    <w:rsid w:val="001430FF"/>
    <w:rsid w:val="001431DB"/>
    <w:rsid w:val="00143207"/>
    <w:rsid w:val="001432B4"/>
    <w:rsid w:val="0014348F"/>
    <w:rsid w:val="00143518"/>
    <w:rsid w:val="001435DE"/>
    <w:rsid w:val="001438BA"/>
    <w:rsid w:val="0014396B"/>
    <w:rsid w:val="001439D4"/>
    <w:rsid w:val="00143A5A"/>
    <w:rsid w:val="00143BA0"/>
    <w:rsid w:val="00143CF9"/>
    <w:rsid w:val="00143D6E"/>
    <w:rsid w:val="00143E19"/>
    <w:rsid w:val="00143E5D"/>
    <w:rsid w:val="00144044"/>
    <w:rsid w:val="00144329"/>
    <w:rsid w:val="001443D5"/>
    <w:rsid w:val="001443F0"/>
    <w:rsid w:val="00144489"/>
    <w:rsid w:val="00144694"/>
    <w:rsid w:val="001446AE"/>
    <w:rsid w:val="0014489E"/>
    <w:rsid w:val="00144951"/>
    <w:rsid w:val="00144AD9"/>
    <w:rsid w:val="00144C1E"/>
    <w:rsid w:val="00144CBA"/>
    <w:rsid w:val="00144F91"/>
    <w:rsid w:val="0014511C"/>
    <w:rsid w:val="001453A4"/>
    <w:rsid w:val="00145432"/>
    <w:rsid w:val="001454C7"/>
    <w:rsid w:val="001454E3"/>
    <w:rsid w:val="0014560A"/>
    <w:rsid w:val="00145618"/>
    <w:rsid w:val="00145850"/>
    <w:rsid w:val="00145936"/>
    <w:rsid w:val="00145998"/>
    <w:rsid w:val="00145A01"/>
    <w:rsid w:val="00145ADC"/>
    <w:rsid w:val="00145B6E"/>
    <w:rsid w:val="00145B96"/>
    <w:rsid w:val="00145BED"/>
    <w:rsid w:val="00145CC4"/>
    <w:rsid w:val="00145D81"/>
    <w:rsid w:val="00146049"/>
    <w:rsid w:val="0014607D"/>
    <w:rsid w:val="001461FF"/>
    <w:rsid w:val="00146468"/>
    <w:rsid w:val="00146578"/>
    <w:rsid w:val="00146840"/>
    <w:rsid w:val="00146880"/>
    <w:rsid w:val="001469DB"/>
    <w:rsid w:val="00146AF6"/>
    <w:rsid w:val="00146CBD"/>
    <w:rsid w:val="00146E53"/>
    <w:rsid w:val="00146E69"/>
    <w:rsid w:val="00146E6B"/>
    <w:rsid w:val="00147148"/>
    <w:rsid w:val="001471D5"/>
    <w:rsid w:val="001473CC"/>
    <w:rsid w:val="00147536"/>
    <w:rsid w:val="00147720"/>
    <w:rsid w:val="001477F8"/>
    <w:rsid w:val="00147886"/>
    <w:rsid w:val="001479C7"/>
    <w:rsid w:val="00147BF6"/>
    <w:rsid w:val="00147CF8"/>
    <w:rsid w:val="00147D4D"/>
    <w:rsid w:val="00147DF3"/>
    <w:rsid w:val="00147EEF"/>
    <w:rsid w:val="0015039A"/>
    <w:rsid w:val="001503BB"/>
    <w:rsid w:val="001503F3"/>
    <w:rsid w:val="0015052F"/>
    <w:rsid w:val="00150576"/>
    <w:rsid w:val="00150925"/>
    <w:rsid w:val="00150A42"/>
    <w:rsid w:val="00150A97"/>
    <w:rsid w:val="00150D5F"/>
    <w:rsid w:val="00150F0B"/>
    <w:rsid w:val="00150F94"/>
    <w:rsid w:val="0015107A"/>
    <w:rsid w:val="00151259"/>
    <w:rsid w:val="00151268"/>
    <w:rsid w:val="0015159C"/>
    <w:rsid w:val="001515BF"/>
    <w:rsid w:val="00151616"/>
    <w:rsid w:val="00151756"/>
    <w:rsid w:val="0015182E"/>
    <w:rsid w:val="00151896"/>
    <w:rsid w:val="00151AA4"/>
    <w:rsid w:val="00151AFC"/>
    <w:rsid w:val="00151D22"/>
    <w:rsid w:val="00151D97"/>
    <w:rsid w:val="00151FD8"/>
    <w:rsid w:val="00152022"/>
    <w:rsid w:val="001520F9"/>
    <w:rsid w:val="001521FC"/>
    <w:rsid w:val="00152234"/>
    <w:rsid w:val="001523A6"/>
    <w:rsid w:val="001524A3"/>
    <w:rsid w:val="00152555"/>
    <w:rsid w:val="001525A1"/>
    <w:rsid w:val="00152821"/>
    <w:rsid w:val="0015284F"/>
    <w:rsid w:val="00152A23"/>
    <w:rsid w:val="00152ACF"/>
    <w:rsid w:val="00152E6A"/>
    <w:rsid w:val="00153118"/>
    <w:rsid w:val="0015326D"/>
    <w:rsid w:val="0015329A"/>
    <w:rsid w:val="001534CB"/>
    <w:rsid w:val="001535D6"/>
    <w:rsid w:val="001537F2"/>
    <w:rsid w:val="0015394E"/>
    <w:rsid w:val="00153A15"/>
    <w:rsid w:val="00153A3B"/>
    <w:rsid w:val="00153AA3"/>
    <w:rsid w:val="00153E11"/>
    <w:rsid w:val="00153E8A"/>
    <w:rsid w:val="00153F15"/>
    <w:rsid w:val="00154048"/>
    <w:rsid w:val="001540A6"/>
    <w:rsid w:val="00154368"/>
    <w:rsid w:val="001543EE"/>
    <w:rsid w:val="0015446C"/>
    <w:rsid w:val="001545E6"/>
    <w:rsid w:val="0015463E"/>
    <w:rsid w:val="001547FA"/>
    <w:rsid w:val="00154891"/>
    <w:rsid w:val="0015489C"/>
    <w:rsid w:val="00154905"/>
    <w:rsid w:val="00154C46"/>
    <w:rsid w:val="00154C8E"/>
    <w:rsid w:val="00154D8C"/>
    <w:rsid w:val="00154DF3"/>
    <w:rsid w:val="00154E68"/>
    <w:rsid w:val="00154E80"/>
    <w:rsid w:val="001552FD"/>
    <w:rsid w:val="00155360"/>
    <w:rsid w:val="00155443"/>
    <w:rsid w:val="0015588B"/>
    <w:rsid w:val="00155940"/>
    <w:rsid w:val="001559FA"/>
    <w:rsid w:val="00155A3E"/>
    <w:rsid w:val="00155A94"/>
    <w:rsid w:val="00155AA1"/>
    <w:rsid w:val="00155BE5"/>
    <w:rsid w:val="00155DDD"/>
    <w:rsid w:val="00155DF5"/>
    <w:rsid w:val="00155F36"/>
    <w:rsid w:val="001564D5"/>
    <w:rsid w:val="001564DF"/>
    <w:rsid w:val="0015658D"/>
    <w:rsid w:val="0015671F"/>
    <w:rsid w:val="0015688C"/>
    <w:rsid w:val="001568C3"/>
    <w:rsid w:val="00156917"/>
    <w:rsid w:val="001569A3"/>
    <w:rsid w:val="00156C1E"/>
    <w:rsid w:val="00156CE1"/>
    <w:rsid w:val="00156D4C"/>
    <w:rsid w:val="00156E10"/>
    <w:rsid w:val="00156E55"/>
    <w:rsid w:val="0015710D"/>
    <w:rsid w:val="00157247"/>
    <w:rsid w:val="00157304"/>
    <w:rsid w:val="00157436"/>
    <w:rsid w:val="00157455"/>
    <w:rsid w:val="00157625"/>
    <w:rsid w:val="001576A4"/>
    <w:rsid w:val="00157791"/>
    <w:rsid w:val="0015785A"/>
    <w:rsid w:val="00157883"/>
    <w:rsid w:val="00157AE5"/>
    <w:rsid w:val="00157CAB"/>
    <w:rsid w:val="00157D63"/>
    <w:rsid w:val="00157ED2"/>
    <w:rsid w:val="00160035"/>
    <w:rsid w:val="00160047"/>
    <w:rsid w:val="001600EE"/>
    <w:rsid w:val="0016010B"/>
    <w:rsid w:val="00160310"/>
    <w:rsid w:val="001603A7"/>
    <w:rsid w:val="001603D1"/>
    <w:rsid w:val="00160464"/>
    <w:rsid w:val="00160582"/>
    <w:rsid w:val="001605F3"/>
    <w:rsid w:val="0016072C"/>
    <w:rsid w:val="00160748"/>
    <w:rsid w:val="0016080B"/>
    <w:rsid w:val="001609DB"/>
    <w:rsid w:val="00160AFF"/>
    <w:rsid w:val="00160C14"/>
    <w:rsid w:val="00160E3E"/>
    <w:rsid w:val="00160EC3"/>
    <w:rsid w:val="0016176C"/>
    <w:rsid w:val="00161926"/>
    <w:rsid w:val="001619F8"/>
    <w:rsid w:val="00161B3E"/>
    <w:rsid w:val="00161CEC"/>
    <w:rsid w:val="00161E2A"/>
    <w:rsid w:val="00161E57"/>
    <w:rsid w:val="00162214"/>
    <w:rsid w:val="00162262"/>
    <w:rsid w:val="00162508"/>
    <w:rsid w:val="00162515"/>
    <w:rsid w:val="001625A8"/>
    <w:rsid w:val="00162643"/>
    <w:rsid w:val="0016282F"/>
    <w:rsid w:val="00162917"/>
    <w:rsid w:val="00162E5C"/>
    <w:rsid w:val="00162E85"/>
    <w:rsid w:val="00162F5C"/>
    <w:rsid w:val="00162FA1"/>
    <w:rsid w:val="00163006"/>
    <w:rsid w:val="00163157"/>
    <w:rsid w:val="00163160"/>
    <w:rsid w:val="0016323C"/>
    <w:rsid w:val="00163304"/>
    <w:rsid w:val="00163322"/>
    <w:rsid w:val="001633E0"/>
    <w:rsid w:val="001634FE"/>
    <w:rsid w:val="00163587"/>
    <w:rsid w:val="00163645"/>
    <w:rsid w:val="00163734"/>
    <w:rsid w:val="00163846"/>
    <w:rsid w:val="00163864"/>
    <w:rsid w:val="001638B3"/>
    <w:rsid w:val="00163996"/>
    <w:rsid w:val="00163AAC"/>
    <w:rsid w:val="00163C6C"/>
    <w:rsid w:val="00163D6A"/>
    <w:rsid w:val="00164090"/>
    <w:rsid w:val="0016413E"/>
    <w:rsid w:val="001641D8"/>
    <w:rsid w:val="001642D6"/>
    <w:rsid w:val="00164590"/>
    <w:rsid w:val="001649D0"/>
    <w:rsid w:val="00164A36"/>
    <w:rsid w:val="00164B31"/>
    <w:rsid w:val="00164B68"/>
    <w:rsid w:val="00164C1F"/>
    <w:rsid w:val="00164CB8"/>
    <w:rsid w:val="00164D6D"/>
    <w:rsid w:val="00164F38"/>
    <w:rsid w:val="00165305"/>
    <w:rsid w:val="00165354"/>
    <w:rsid w:val="0016567E"/>
    <w:rsid w:val="00165994"/>
    <w:rsid w:val="00165C81"/>
    <w:rsid w:val="00165E75"/>
    <w:rsid w:val="00165EF0"/>
    <w:rsid w:val="00165F7E"/>
    <w:rsid w:val="00165FF4"/>
    <w:rsid w:val="001660CF"/>
    <w:rsid w:val="00166154"/>
    <w:rsid w:val="001661AD"/>
    <w:rsid w:val="00166528"/>
    <w:rsid w:val="00166532"/>
    <w:rsid w:val="0016654F"/>
    <w:rsid w:val="00166C15"/>
    <w:rsid w:val="00166D08"/>
    <w:rsid w:val="00166E06"/>
    <w:rsid w:val="00166F80"/>
    <w:rsid w:val="00166FEC"/>
    <w:rsid w:val="001670C0"/>
    <w:rsid w:val="00167103"/>
    <w:rsid w:val="00167184"/>
    <w:rsid w:val="001672B3"/>
    <w:rsid w:val="00167377"/>
    <w:rsid w:val="00167545"/>
    <w:rsid w:val="0016761D"/>
    <w:rsid w:val="00167655"/>
    <w:rsid w:val="00167669"/>
    <w:rsid w:val="001676E0"/>
    <w:rsid w:val="001678FD"/>
    <w:rsid w:val="001679FC"/>
    <w:rsid w:val="00167C74"/>
    <w:rsid w:val="00167DC6"/>
    <w:rsid w:val="00167DE4"/>
    <w:rsid w:val="00167EB7"/>
    <w:rsid w:val="00167FE1"/>
    <w:rsid w:val="00170040"/>
    <w:rsid w:val="00170066"/>
    <w:rsid w:val="00170317"/>
    <w:rsid w:val="0017031E"/>
    <w:rsid w:val="001703E4"/>
    <w:rsid w:val="00170454"/>
    <w:rsid w:val="001704F8"/>
    <w:rsid w:val="00170541"/>
    <w:rsid w:val="00170577"/>
    <w:rsid w:val="00170586"/>
    <w:rsid w:val="00170589"/>
    <w:rsid w:val="001705AD"/>
    <w:rsid w:val="00170680"/>
    <w:rsid w:val="001707FA"/>
    <w:rsid w:val="001709F4"/>
    <w:rsid w:val="00170A2E"/>
    <w:rsid w:val="00170B06"/>
    <w:rsid w:val="00170BDB"/>
    <w:rsid w:val="00170D5D"/>
    <w:rsid w:val="00170EDB"/>
    <w:rsid w:val="00170F9E"/>
    <w:rsid w:val="00171258"/>
    <w:rsid w:val="001713D1"/>
    <w:rsid w:val="00171406"/>
    <w:rsid w:val="00171468"/>
    <w:rsid w:val="0017156E"/>
    <w:rsid w:val="001719F6"/>
    <w:rsid w:val="00171ACD"/>
    <w:rsid w:val="00171C01"/>
    <w:rsid w:val="00171D0C"/>
    <w:rsid w:val="00171EDD"/>
    <w:rsid w:val="001722F4"/>
    <w:rsid w:val="00172442"/>
    <w:rsid w:val="0017245A"/>
    <w:rsid w:val="001724C4"/>
    <w:rsid w:val="0017260A"/>
    <w:rsid w:val="00172643"/>
    <w:rsid w:val="00172769"/>
    <w:rsid w:val="001728DD"/>
    <w:rsid w:val="00172A3B"/>
    <w:rsid w:val="00172B7F"/>
    <w:rsid w:val="00172D91"/>
    <w:rsid w:val="00172DC9"/>
    <w:rsid w:val="00172DE8"/>
    <w:rsid w:val="00172E76"/>
    <w:rsid w:val="00172EC0"/>
    <w:rsid w:val="00172F73"/>
    <w:rsid w:val="0017325A"/>
    <w:rsid w:val="001733ED"/>
    <w:rsid w:val="00173475"/>
    <w:rsid w:val="00173596"/>
    <w:rsid w:val="001735E4"/>
    <w:rsid w:val="0017364B"/>
    <w:rsid w:val="0017374D"/>
    <w:rsid w:val="001737FC"/>
    <w:rsid w:val="00173886"/>
    <w:rsid w:val="00173E49"/>
    <w:rsid w:val="0017400F"/>
    <w:rsid w:val="00174148"/>
    <w:rsid w:val="0017459D"/>
    <w:rsid w:val="0017464B"/>
    <w:rsid w:val="00174B7E"/>
    <w:rsid w:val="00174F49"/>
    <w:rsid w:val="00175068"/>
    <w:rsid w:val="001750B0"/>
    <w:rsid w:val="001750DA"/>
    <w:rsid w:val="00175286"/>
    <w:rsid w:val="0017543C"/>
    <w:rsid w:val="001754EE"/>
    <w:rsid w:val="0017551A"/>
    <w:rsid w:val="0017577A"/>
    <w:rsid w:val="0017596A"/>
    <w:rsid w:val="001759D0"/>
    <w:rsid w:val="001759FE"/>
    <w:rsid w:val="00175A0A"/>
    <w:rsid w:val="00175C86"/>
    <w:rsid w:val="00175CD3"/>
    <w:rsid w:val="00175D31"/>
    <w:rsid w:val="00175FB6"/>
    <w:rsid w:val="00176154"/>
    <w:rsid w:val="00176542"/>
    <w:rsid w:val="001767A8"/>
    <w:rsid w:val="00176A2E"/>
    <w:rsid w:val="00176A4E"/>
    <w:rsid w:val="00176B38"/>
    <w:rsid w:val="00176B50"/>
    <w:rsid w:val="00176B7F"/>
    <w:rsid w:val="00176BE6"/>
    <w:rsid w:val="00176D30"/>
    <w:rsid w:val="00176E18"/>
    <w:rsid w:val="00176F5D"/>
    <w:rsid w:val="001771C9"/>
    <w:rsid w:val="001771F2"/>
    <w:rsid w:val="001773C5"/>
    <w:rsid w:val="00177411"/>
    <w:rsid w:val="001776A0"/>
    <w:rsid w:val="0017772F"/>
    <w:rsid w:val="00177768"/>
    <w:rsid w:val="001777C7"/>
    <w:rsid w:val="00177857"/>
    <w:rsid w:val="001778BC"/>
    <w:rsid w:val="00177963"/>
    <w:rsid w:val="00177994"/>
    <w:rsid w:val="00177A47"/>
    <w:rsid w:val="00177B0F"/>
    <w:rsid w:val="00177B29"/>
    <w:rsid w:val="00177B3C"/>
    <w:rsid w:val="00177BC0"/>
    <w:rsid w:val="00177BE6"/>
    <w:rsid w:val="00180040"/>
    <w:rsid w:val="001801AE"/>
    <w:rsid w:val="0018025E"/>
    <w:rsid w:val="0018050C"/>
    <w:rsid w:val="0018063E"/>
    <w:rsid w:val="001807F2"/>
    <w:rsid w:val="00180A2E"/>
    <w:rsid w:val="00180AED"/>
    <w:rsid w:val="00180B33"/>
    <w:rsid w:val="00180B3E"/>
    <w:rsid w:val="00180C82"/>
    <w:rsid w:val="00180E2D"/>
    <w:rsid w:val="00180EE7"/>
    <w:rsid w:val="001810B7"/>
    <w:rsid w:val="00181258"/>
    <w:rsid w:val="001814A0"/>
    <w:rsid w:val="001817AD"/>
    <w:rsid w:val="001817B3"/>
    <w:rsid w:val="00181845"/>
    <w:rsid w:val="001818A4"/>
    <w:rsid w:val="00181D2A"/>
    <w:rsid w:val="00181ED3"/>
    <w:rsid w:val="00181FEB"/>
    <w:rsid w:val="00182194"/>
    <w:rsid w:val="00182235"/>
    <w:rsid w:val="0018229E"/>
    <w:rsid w:val="001823EB"/>
    <w:rsid w:val="00182482"/>
    <w:rsid w:val="001829B9"/>
    <w:rsid w:val="001829FA"/>
    <w:rsid w:val="00182B03"/>
    <w:rsid w:val="00182BDD"/>
    <w:rsid w:val="00182E07"/>
    <w:rsid w:val="00182E65"/>
    <w:rsid w:val="00182EFF"/>
    <w:rsid w:val="00183194"/>
    <w:rsid w:val="00183485"/>
    <w:rsid w:val="001836C1"/>
    <w:rsid w:val="00183709"/>
    <w:rsid w:val="00183761"/>
    <w:rsid w:val="00183864"/>
    <w:rsid w:val="00183A53"/>
    <w:rsid w:val="00183B15"/>
    <w:rsid w:val="00183FCC"/>
    <w:rsid w:val="00183FD4"/>
    <w:rsid w:val="00184001"/>
    <w:rsid w:val="00184075"/>
    <w:rsid w:val="00184169"/>
    <w:rsid w:val="0018420A"/>
    <w:rsid w:val="001842B7"/>
    <w:rsid w:val="0018432D"/>
    <w:rsid w:val="00184344"/>
    <w:rsid w:val="001843E2"/>
    <w:rsid w:val="00184618"/>
    <w:rsid w:val="0018461C"/>
    <w:rsid w:val="001846E5"/>
    <w:rsid w:val="001847E8"/>
    <w:rsid w:val="00184905"/>
    <w:rsid w:val="0018490E"/>
    <w:rsid w:val="00184980"/>
    <w:rsid w:val="00184A08"/>
    <w:rsid w:val="00184A90"/>
    <w:rsid w:val="00184CAF"/>
    <w:rsid w:val="00184CFD"/>
    <w:rsid w:val="00184D8E"/>
    <w:rsid w:val="00184E69"/>
    <w:rsid w:val="00184FB2"/>
    <w:rsid w:val="00184FF2"/>
    <w:rsid w:val="0018517D"/>
    <w:rsid w:val="0018517E"/>
    <w:rsid w:val="00185275"/>
    <w:rsid w:val="0018530F"/>
    <w:rsid w:val="00185439"/>
    <w:rsid w:val="001854E5"/>
    <w:rsid w:val="0018569C"/>
    <w:rsid w:val="001856D1"/>
    <w:rsid w:val="0018575F"/>
    <w:rsid w:val="0018580B"/>
    <w:rsid w:val="00185885"/>
    <w:rsid w:val="00185BC9"/>
    <w:rsid w:val="00185C86"/>
    <w:rsid w:val="00185DA1"/>
    <w:rsid w:val="00185EEA"/>
    <w:rsid w:val="001861B4"/>
    <w:rsid w:val="001865B1"/>
    <w:rsid w:val="0018660C"/>
    <w:rsid w:val="00186770"/>
    <w:rsid w:val="0018681A"/>
    <w:rsid w:val="00186969"/>
    <w:rsid w:val="00186AF6"/>
    <w:rsid w:val="00186C24"/>
    <w:rsid w:val="00186C8D"/>
    <w:rsid w:val="00186D0A"/>
    <w:rsid w:val="00187191"/>
    <w:rsid w:val="001871E1"/>
    <w:rsid w:val="001872C9"/>
    <w:rsid w:val="0018733C"/>
    <w:rsid w:val="0018746B"/>
    <w:rsid w:val="0018776A"/>
    <w:rsid w:val="001877B8"/>
    <w:rsid w:val="0018786D"/>
    <w:rsid w:val="001878D0"/>
    <w:rsid w:val="00187922"/>
    <w:rsid w:val="00187AD3"/>
    <w:rsid w:val="00187E27"/>
    <w:rsid w:val="00190152"/>
    <w:rsid w:val="001901EF"/>
    <w:rsid w:val="00190229"/>
    <w:rsid w:val="001902CD"/>
    <w:rsid w:val="00190360"/>
    <w:rsid w:val="00190690"/>
    <w:rsid w:val="0019091B"/>
    <w:rsid w:val="0019095A"/>
    <w:rsid w:val="00190979"/>
    <w:rsid w:val="00190AF3"/>
    <w:rsid w:val="00190D4B"/>
    <w:rsid w:val="00190DB3"/>
    <w:rsid w:val="00190E27"/>
    <w:rsid w:val="00190EE8"/>
    <w:rsid w:val="00190FD5"/>
    <w:rsid w:val="00190FFA"/>
    <w:rsid w:val="00191270"/>
    <w:rsid w:val="001913A8"/>
    <w:rsid w:val="0019154D"/>
    <w:rsid w:val="00191756"/>
    <w:rsid w:val="00191820"/>
    <w:rsid w:val="0019187C"/>
    <w:rsid w:val="00191A37"/>
    <w:rsid w:val="00191A44"/>
    <w:rsid w:val="00191AFD"/>
    <w:rsid w:val="00191D26"/>
    <w:rsid w:val="00191F25"/>
    <w:rsid w:val="00192060"/>
    <w:rsid w:val="001920AA"/>
    <w:rsid w:val="00192115"/>
    <w:rsid w:val="0019216D"/>
    <w:rsid w:val="00192175"/>
    <w:rsid w:val="0019239C"/>
    <w:rsid w:val="0019257E"/>
    <w:rsid w:val="001926FC"/>
    <w:rsid w:val="0019270A"/>
    <w:rsid w:val="001927A8"/>
    <w:rsid w:val="001927AA"/>
    <w:rsid w:val="001927B4"/>
    <w:rsid w:val="001927EA"/>
    <w:rsid w:val="001929F2"/>
    <w:rsid w:val="00192A4D"/>
    <w:rsid w:val="00192A73"/>
    <w:rsid w:val="00192AFD"/>
    <w:rsid w:val="00192BB7"/>
    <w:rsid w:val="00192C78"/>
    <w:rsid w:val="00192CCC"/>
    <w:rsid w:val="00192D03"/>
    <w:rsid w:val="00192D9D"/>
    <w:rsid w:val="00192FFD"/>
    <w:rsid w:val="0019302B"/>
    <w:rsid w:val="001930E2"/>
    <w:rsid w:val="00193337"/>
    <w:rsid w:val="00193341"/>
    <w:rsid w:val="001933EC"/>
    <w:rsid w:val="00193471"/>
    <w:rsid w:val="0019361D"/>
    <w:rsid w:val="00193738"/>
    <w:rsid w:val="00193870"/>
    <w:rsid w:val="00193C9D"/>
    <w:rsid w:val="00193D0A"/>
    <w:rsid w:val="00193D2A"/>
    <w:rsid w:val="00193D2F"/>
    <w:rsid w:val="00193DFB"/>
    <w:rsid w:val="00193EC6"/>
    <w:rsid w:val="00193F6F"/>
    <w:rsid w:val="00194226"/>
    <w:rsid w:val="001943AB"/>
    <w:rsid w:val="001943CD"/>
    <w:rsid w:val="001944A5"/>
    <w:rsid w:val="001944E6"/>
    <w:rsid w:val="001945B7"/>
    <w:rsid w:val="00194613"/>
    <w:rsid w:val="00194658"/>
    <w:rsid w:val="00194693"/>
    <w:rsid w:val="0019471A"/>
    <w:rsid w:val="00194725"/>
    <w:rsid w:val="001949D5"/>
    <w:rsid w:val="00194A01"/>
    <w:rsid w:val="00194A78"/>
    <w:rsid w:val="00194AD5"/>
    <w:rsid w:val="00194D4E"/>
    <w:rsid w:val="00194EC2"/>
    <w:rsid w:val="00195146"/>
    <w:rsid w:val="00195413"/>
    <w:rsid w:val="00195459"/>
    <w:rsid w:val="00195699"/>
    <w:rsid w:val="00195B54"/>
    <w:rsid w:val="00195BF1"/>
    <w:rsid w:val="00195E04"/>
    <w:rsid w:val="00195F36"/>
    <w:rsid w:val="00196018"/>
    <w:rsid w:val="0019623E"/>
    <w:rsid w:val="00196246"/>
    <w:rsid w:val="0019645E"/>
    <w:rsid w:val="0019649D"/>
    <w:rsid w:val="001964CF"/>
    <w:rsid w:val="001965AB"/>
    <w:rsid w:val="001965AD"/>
    <w:rsid w:val="001965BE"/>
    <w:rsid w:val="00196737"/>
    <w:rsid w:val="00196A36"/>
    <w:rsid w:val="00196AA6"/>
    <w:rsid w:val="00196B55"/>
    <w:rsid w:val="00196DCD"/>
    <w:rsid w:val="00196E45"/>
    <w:rsid w:val="00196E80"/>
    <w:rsid w:val="00196F7D"/>
    <w:rsid w:val="0019724A"/>
    <w:rsid w:val="0019739D"/>
    <w:rsid w:val="00197451"/>
    <w:rsid w:val="00197533"/>
    <w:rsid w:val="00197670"/>
    <w:rsid w:val="001976FB"/>
    <w:rsid w:val="00197723"/>
    <w:rsid w:val="0019787D"/>
    <w:rsid w:val="001978D8"/>
    <w:rsid w:val="001978E7"/>
    <w:rsid w:val="001978FA"/>
    <w:rsid w:val="00197923"/>
    <w:rsid w:val="0019792E"/>
    <w:rsid w:val="001979CB"/>
    <w:rsid w:val="00197B08"/>
    <w:rsid w:val="00197BE8"/>
    <w:rsid w:val="00197BED"/>
    <w:rsid w:val="00197C0B"/>
    <w:rsid w:val="00197C48"/>
    <w:rsid w:val="00197E14"/>
    <w:rsid w:val="00197EFF"/>
    <w:rsid w:val="00197F6E"/>
    <w:rsid w:val="001A009C"/>
    <w:rsid w:val="001A040F"/>
    <w:rsid w:val="001A0436"/>
    <w:rsid w:val="001A055A"/>
    <w:rsid w:val="001A059F"/>
    <w:rsid w:val="001A0653"/>
    <w:rsid w:val="001A0722"/>
    <w:rsid w:val="001A08D2"/>
    <w:rsid w:val="001A08E5"/>
    <w:rsid w:val="001A09B6"/>
    <w:rsid w:val="001A09DE"/>
    <w:rsid w:val="001A0A81"/>
    <w:rsid w:val="001A0ABD"/>
    <w:rsid w:val="001A0D18"/>
    <w:rsid w:val="001A0D7D"/>
    <w:rsid w:val="001A0F9F"/>
    <w:rsid w:val="001A1091"/>
    <w:rsid w:val="001A125A"/>
    <w:rsid w:val="001A125B"/>
    <w:rsid w:val="001A1645"/>
    <w:rsid w:val="001A1747"/>
    <w:rsid w:val="001A19AC"/>
    <w:rsid w:val="001A19D1"/>
    <w:rsid w:val="001A1A77"/>
    <w:rsid w:val="001A1CB8"/>
    <w:rsid w:val="001A1DDF"/>
    <w:rsid w:val="001A2071"/>
    <w:rsid w:val="001A214A"/>
    <w:rsid w:val="001A2438"/>
    <w:rsid w:val="001A25F5"/>
    <w:rsid w:val="001A2708"/>
    <w:rsid w:val="001A27A9"/>
    <w:rsid w:val="001A27F3"/>
    <w:rsid w:val="001A2883"/>
    <w:rsid w:val="001A2C2C"/>
    <w:rsid w:val="001A3022"/>
    <w:rsid w:val="001A32A9"/>
    <w:rsid w:val="001A33C7"/>
    <w:rsid w:val="001A3493"/>
    <w:rsid w:val="001A3617"/>
    <w:rsid w:val="001A3A42"/>
    <w:rsid w:val="001A3AB4"/>
    <w:rsid w:val="001A3B7A"/>
    <w:rsid w:val="001A417C"/>
    <w:rsid w:val="001A4280"/>
    <w:rsid w:val="001A43F3"/>
    <w:rsid w:val="001A4413"/>
    <w:rsid w:val="001A4444"/>
    <w:rsid w:val="001A4556"/>
    <w:rsid w:val="001A45B7"/>
    <w:rsid w:val="001A4760"/>
    <w:rsid w:val="001A4895"/>
    <w:rsid w:val="001A49CD"/>
    <w:rsid w:val="001A4A28"/>
    <w:rsid w:val="001A4B31"/>
    <w:rsid w:val="001A4D17"/>
    <w:rsid w:val="001A4D21"/>
    <w:rsid w:val="001A4D6C"/>
    <w:rsid w:val="001A4E8D"/>
    <w:rsid w:val="001A4EB5"/>
    <w:rsid w:val="001A4F00"/>
    <w:rsid w:val="001A4F1D"/>
    <w:rsid w:val="001A512F"/>
    <w:rsid w:val="001A53FF"/>
    <w:rsid w:val="001A5435"/>
    <w:rsid w:val="001A5498"/>
    <w:rsid w:val="001A579B"/>
    <w:rsid w:val="001A590B"/>
    <w:rsid w:val="001A5E37"/>
    <w:rsid w:val="001A5F85"/>
    <w:rsid w:val="001A5F95"/>
    <w:rsid w:val="001A5FFD"/>
    <w:rsid w:val="001A6181"/>
    <w:rsid w:val="001A6242"/>
    <w:rsid w:val="001A633F"/>
    <w:rsid w:val="001A647C"/>
    <w:rsid w:val="001A65A2"/>
    <w:rsid w:val="001A67B5"/>
    <w:rsid w:val="001A6906"/>
    <w:rsid w:val="001A6907"/>
    <w:rsid w:val="001A6979"/>
    <w:rsid w:val="001A6A24"/>
    <w:rsid w:val="001A6A42"/>
    <w:rsid w:val="001A6B39"/>
    <w:rsid w:val="001A6B48"/>
    <w:rsid w:val="001A70A0"/>
    <w:rsid w:val="001A7117"/>
    <w:rsid w:val="001A73CD"/>
    <w:rsid w:val="001A756F"/>
    <w:rsid w:val="001A75CA"/>
    <w:rsid w:val="001A77A0"/>
    <w:rsid w:val="001A7B14"/>
    <w:rsid w:val="001A7BA8"/>
    <w:rsid w:val="001A7C2B"/>
    <w:rsid w:val="001A7C40"/>
    <w:rsid w:val="001A7C71"/>
    <w:rsid w:val="001A7E15"/>
    <w:rsid w:val="001A7E4F"/>
    <w:rsid w:val="001A7FDB"/>
    <w:rsid w:val="001B0028"/>
    <w:rsid w:val="001B004D"/>
    <w:rsid w:val="001B00FC"/>
    <w:rsid w:val="001B011C"/>
    <w:rsid w:val="001B0337"/>
    <w:rsid w:val="001B037A"/>
    <w:rsid w:val="001B0381"/>
    <w:rsid w:val="001B03E4"/>
    <w:rsid w:val="001B0495"/>
    <w:rsid w:val="001B05EC"/>
    <w:rsid w:val="001B0622"/>
    <w:rsid w:val="001B0810"/>
    <w:rsid w:val="001B09A9"/>
    <w:rsid w:val="001B09CD"/>
    <w:rsid w:val="001B0AAB"/>
    <w:rsid w:val="001B0ADD"/>
    <w:rsid w:val="001B0DD3"/>
    <w:rsid w:val="001B1278"/>
    <w:rsid w:val="001B13AC"/>
    <w:rsid w:val="001B13FD"/>
    <w:rsid w:val="001B180F"/>
    <w:rsid w:val="001B1C06"/>
    <w:rsid w:val="001B1CC7"/>
    <w:rsid w:val="001B1D56"/>
    <w:rsid w:val="001B1E13"/>
    <w:rsid w:val="001B1E45"/>
    <w:rsid w:val="001B1E48"/>
    <w:rsid w:val="001B1E5F"/>
    <w:rsid w:val="001B1E95"/>
    <w:rsid w:val="001B1F6B"/>
    <w:rsid w:val="001B205C"/>
    <w:rsid w:val="001B2406"/>
    <w:rsid w:val="001B241E"/>
    <w:rsid w:val="001B2643"/>
    <w:rsid w:val="001B264D"/>
    <w:rsid w:val="001B2682"/>
    <w:rsid w:val="001B2962"/>
    <w:rsid w:val="001B2AAE"/>
    <w:rsid w:val="001B2B15"/>
    <w:rsid w:val="001B2BD3"/>
    <w:rsid w:val="001B2D0E"/>
    <w:rsid w:val="001B2DEB"/>
    <w:rsid w:val="001B2E9D"/>
    <w:rsid w:val="001B30E2"/>
    <w:rsid w:val="001B30E5"/>
    <w:rsid w:val="001B3122"/>
    <w:rsid w:val="001B320A"/>
    <w:rsid w:val="001B3443"/>
    <w:rsid w:val="001B350F"/>
    <w:rsid w:val="001B3591"/>
    <w:rsid w:val="001B368D"/>
    <w:rsid w:val="001B379F"/>
    <w:rsid w:val="001B3DAB"/>
    <w:rsid w:val="001B3DD0"/>
    <w:rsid w:val="001B3E66"/>
    <w:rsid w:val="001B3E75"/>
    <w:rsid w:val="001B3F0F"/>
    <w:rsid w:val="001B426D"/>
    <w:rsid w:val="001B43BF"/>
    <w:rsid w:val="001B47FB"/>
    <w:rsid w:val="001B49EA"/>
    <w:rsid w:val="001B4C35"/>
    <w:rsid w:val="001B4C7F"/>
    <w:rsid w:val="001B5031"/>
    <w:rsid w:val="001B5397"/>
    <w:rsid w:val="001B53C4"/>
    <w:rsid w:val="001B593B"/>
    <w:rsid w:val="001B5A0F"/>
    <w:rsid w:val="001B5A36"/>
    <w:rsid w:val="001B5AD2"/>
    <w:rsid w:val="001B5B56"/>
    <w:rsid w:val="001B5E09"/>
    <w:rsid w:val="001B5EBB"/>
    <w:rsid w:val="001B5EDE"/>
    <w:rsid w:val="001B614E"/>
    <w:rsid w:val="001B61D8"/>
    <w:rsid w:val="001B651B"/>
    <w:rsid w:val="001B671D"/>
    <w:rsid w:val="001B674A"/>
    <w:rsid w:val="001B6763"/>
    <w:rsid w:val="001B67B1"/>
    <w:rsid w:val="001B6839"/>
    <w:rsid w:val="001B6903"/>
    <w:rsid w:val="001B6947"/>
    <w:rsid w:val="001B6962"/>
    <w:rsid w:val="001B69E4"/>
    <w:rsid w:val="001B6BD1"/>
    <w:rsid w:val="001B6C41"/>
    <w:rsid w:val="001B6DC7"/>
    <w:rsid w:val="001B6DC8"/>
    <w:rsid w:val="001B6E9C"/>
    <w:rsid w:val="001B6F68"/>
    <w:rsid w:val="001B71AA"/>
    <w:rsid w:val="001B7257"/>
    <w:rsid w:val="001B72F8"/>
    <w:rsid w:val="001B7611"/>
    <w:rsid w:val="001B780E"/>
    <w:rsid w:val="001B7860"/>
    <w:rsid w:val="001B7905"/>
    <w:rsid w:val="001B7921"/>
    <w:rsid w:val="001B792E"/>
    <w:rsid w:val="001B7A1F"/>
    <w:rsid w:val="001B7AB0"/>
    <w:rsid w:val="001B7B64"/>
    <w:rsid w:val="001B7D41"/>
    <w:rsid w:val="001B7D71"/>
    <w:rsid w:val="001B7D90"/>
    <w:rsid w:val="001B7F41"/>
    <w:rsid w:val="001C0144"/>
    <w:rsid w:val="001C01F3"/>
    <w:rsid w:val="001C0668"/>
    <w:rsid w:val="001C088B"/>
    <w:rsid w:val="001C096D"/>
    <w:rsid w:val="001C0B45"/>
    <w:rsid w:val="001C0B8A"/>
    <w:rsid w:val="001C0DC6"/>
    <w:rsid w:val="001C0F27"/>
    <w:rsid w:val="001C14A2"/>
    <w:rsid w:val="001C1542"/>
    <w:rsid w:val="001C18B9"/>
    <w:rsid w:val="001C19B6"/>
    <w:rsid w:val="001C19D5"/>
    <w:rsid w:val="001C1A1C"/>
    <w:rsid w:val="001C1F0D"/>
    <w:rsid w:val="001C20A2"/>
    <w:rsid w:val="001C2196"/>
    <w:rsid w:val="001C2227"/>
    <w:rsid w:val="001C2655"/>
    <w:rsid w:val="001C2810"/>
    <w:rsid w:val="001C2879"/>
    <w:rsid w:val="001C2BB8"/>
    <w:rsid w:val="001C2C31"/>
    <w:rsid w:val="001C2C96"/>
    <w:rsid w:val="001C2DBD"/>
    <w:rsid w:val="001C2E27"/>
    <w:rsid w:val="001C2ECF"/>
    <w:rsid w:val="001C3023"/>
    <w:rsid w:val="001C323F"/>
    <w:rsid w:val="001C325F"/>
    <w:rsid w:val="001C3366"/>
    <w:rsid w:val="001C33AC"/>
    <w:rsid w:val="001C373E"/>
    <w:rsid w:val="001C3767"/>
    <w:rsid w:val="001C378C"/>
    <w:rsid w:val="001C37E4"/>
    <w:rsid w:val="001C3D09"/>
    <w:rsid w:val="001C3DDD"/>
    <w:rsid w:val="001C3FA5"/>
    <w:rsid w:val="001C4219"/>
    <w:rsid w:val="001C434F"/>
    <w:rsid w:val="001C44D0"/>
    <w:rsid w:val="001C4692"/>
    <w:rsid w:val="001C4A85"/>
    <w:rsid w:val="001C4C79"/>
    <w:rsid w:val="001C4CE1"/>
    <w:rsid w:val="001C4D33"/>
    <w:rsid w:val="001C4DBA"/>
    <w:rsid w:val="001C4E55"/>
    <w:rsid w:val="001C4EC5"/>
    <w:rsid w:val="001C4F09"/>
    <w:rsid w:val="001C4FF6"/>
    <w:rsid w:val="001C519C"/>
    <w:rsid w:val="001C5253"/>
    <w:rsid w:val="001C539C"/>
    <w:rsid w:val="001C5479"/>
    <w:rsid w:val="001C5499"/>
    <w:rsid w:val="001C55B7"/>
    <w:rsid w:val="001C560E"/>
    <w:rsid w:val="001C5700"/>
    <w:rsid w:val="001C5716"/>
    <w:rsid w:val="001C5B7E"/>
    <w:rsid w:val="001C5C1B"/>
    <w:rsid w:val="001C5EED"/>
    <w:rsid w:val="001C5F35"/>
    <w:rsid w:val="001C5FE7"/>
    <w:rsid w:val="001C6033"/>
    <w:rsid w:val="001C60BF"/>
    <w:rsid w:val="001C60C0"/>
    <w:rsid w:val="001C63E9"/>
    <w:rsid w:val="001C65BC"/>
    <w:rsid w:val="001C66B1"/>
    <w:rsid w:val="001C684B"/>
    <w:rsid w:val="001C690B"/>
    <w:rsid w:val="001C694B"/>
    <w:rsid w:val="001C6AD8"/>
    <w:rsid w:val="001C6C92"/>
    <w:rsid w:val="001C6DBC"/>
    <w:rsid w:val="001C6E50"/>
    <w:rsid w:val="001C6ECB"/>
    <w:rsid w:val="001C6FD3"/>
    <w:rsid w:val="001C70F7"/>
    <w:rsid w:val="001C71A6"/>
    <w:rsid w:val="001C736E"/>
    <w:rsid w:val="001C73A0"/>
    <w:rsid w:val="001C73C0"/>
    <w:rsid w:val="001C740A"/>
    <w:rsid w:val="001C7498"/>
    <w:rsid w:val="001C7563"/>
    <w:rsid w:val="001C7818"/>
    <w:rsid w:val="001C790C"/>
    <w:rsid w:val="001C7D31"/>
    <w:rsid w:val="001C7E99"/>
    <w:rsid w:val="001C7EED"/>
    <w:rsid w:val="001C7F38"/>
    <w:rsid w:val="001C7F5E"/>
    <w:rsid w:val="001D02D6"/>
    <w:rsid w:val="001D06AE"/>
    <w:rsid w:val="001D08E5"/>
    <w:rsid w:val="001D0989"/>
    <w:rsid w:val="001D0C94"/>
    <w:rsid w:val="001D0D73"/>
    <w:rsid w:val="001D0D8F"/>
    <w:rsid w:val="001D0F73"/>
    <w:rsid w:val="001D0F93"/>
    <w:rsid w:val="001D0FED"/>
    <w:rsid w:val="001D1216"/>
    <w:rsid w:val="001D1334"/>
    <w:rsid w:val="001D1478"/>
    <w:rsid w:val="001D1527"/>
    <w:rsid w:val="001D1545"/>
    <w:rsid w:val="001D1681"/>
    <w:rsid w:val="001D19DD"/>
    <w:rsid w:val="001D1BAD"/>
    <w:rsid w:val="001D1BFC"/>
    <w:rsid w:val="001D1CC6"/>
    <w:rsid w:val="001D1D9C"/>
    <w:rsid w:val="001D1FB6"/>
    <w:rsid w:val="001D208C"/>
    <w:rsid w:val="001D2119"/>
    <w:rsid w:val="001D239C"/>
    <w:rsid w:val="001D2581"/>
    <w:rsid w:val="001D26A9"/>
    <w:rsid w:val="001D26AE"/>
    <w:rsid w:val="001D2903"/>
    <w:rsid w:val="001D2B73"/>
    <w:rsid w:val="001D2B97"/>
    <w:rsid w:val="001D2C5C"/>
    <w:rsid w:val="001D2D31"/>
    <w:rsid w:val="001D2E63"/>
    <w:rsid w:val="001D2F09"/>
    <w:rsid w:val="001D2F55"/>
    <w:rsid w:val="001D3148"/>
    <w:rsid w:val="001D35C8"/>
    <w:rsid w:val="001D35EA"/>
    <w:rsid w:val="001D372C"/>
    <w:rsid w:val="001D38D6"/>
    <w:rsid w:val="001D3B15"/>
    <w:rsid w:val="001D3BF9"/>
    <w:rsid w:val="001D3E1B"/>
    <w:rsid w:val="001D3F1F"/>
    <w:rsid w:val="001D402C"/>
    <w:rsid w:val="001D4053"/>
    <w:rsid w:val="001D40E9"/>
    <w:rsid w:val="001D4321"/>
    <w:rsid w:val="001D452F"/>
    <w:rsid w:val="001D468E"/>
    <w:rsid w:val="001D47E3"/>
    <w:rsid w:val="001D48CD"/>
    <w:rsid w:val="001D49A3"/>
    <w:rsid w:val="001D4A5E"/>
    <w:rsid w:val="001D4AC1"/>
    <w:rsid w:val="001D4B6A"/>
    <w:rsid w:val="001D4CA6"/>
    <w:rsid w:val="001D4DD3"/>
    <w:rsid w:val="001D4E5E"/>
    <w:rsid w:val="001D5022"/>
    <w:rsid w:val="001D5082"/>
    <w:rsid w:val="001D51F4"/>
    <w:rsid w:val="001D5212"/>
    <w:rsid w:val="001D53FB"/>
    <w:rsid w:val="001D566F"/>
    <w:rsid w:val="001D57CC"/>
    <w:rsid w:val="001D59C1"/>
    <w:rsid w:val="001D5B49"/>
    <w:rsid w:val="001D5B98"/>
    <w:rsid w:val="001D5BB8"/>
    <w:rsid w:val="001D5CD1"/>
    <w:rsid w:val="001D5D0A"/>
    <w:rsid w:val="001D5F06"/>
    <w:rsid w:val="001D61A4"/>
    <w:rsid w:val="001D62FC"/>
    <w:rsid w:val="001D6368"/>
    <w:rsid w:val="001D65D2"/>
    <w:rsid w:val="001D65DF"/>
    <w:rsid w:val="001D67AC"/>
    <w:rsid w:val="001D6AE5"/>
    <w:rsid w:val="001D6B18"/>
    <w:rsid w:val="001D7041"/>
    <w:rsid w:val="001D719D"/>
    <w:rsid w:val="001D7397"/>
    <w:rsid w:val="001D7482"/>
    <w:rsid w:val="001D773A"/>
    <w:rsid w:val="001D788E"/>
    <w:rsid w:val="001D7A90"/>
    <w:rsid w:val="001D7BB0"/>
    <w:rsid w:val="001D7BC8"/>
    <w:rsid w:val="001D7BDD"/>
    <w:rsid w:val="001D7D23"/>
    <w:rsid w:val="001D7EE5"/>
    <w:rsid w:val="001E0090"/>
    <w:rsid w:val="001E011F"/>
    <w:rsid w:val="001E0262"/>
    <w:rsid w:val="001E028F"/>
    <w:rsid w:val="001E0312"/>
    <w:rsid w:val="001E0326"/>
    <w:rsid w:val="001E04F8"/>
    <w:rsid w:val="001E051B"/>
    <w:rsid w:val="001E053A"/>
    <w:rsid w:val="001E084D"/>
    <w:rsid w:val="001E0880"/>
    <w:rsid w:val="001E08BB"/>
    <w:rsid w:val="001E09E5"/>
    <w:rsid w:val="001E0A6C"/>
    <w:rsid w:val="001E0BFD"/>
    <w:rsid w:val="001E114D"/>
    <w:rsid w:val="001E1394"/>
    <w:rsid w:val="001E14F8"/>
    <w:rsid w:val="001E166C"/>
    <w:rsid w:val="001E16AC"/>
    <w:rsid w:val="001E174D"/>
    <w:rsid w:val="001E187B"/>
    <w:rsid w:val="001E1887"/>
    <w:rsid w:val="001E1947"/>
    <w:rsid w:val="001E19BB"/>
    <w:rsid w:val="001E19F0"/>
    <w:rsid w:val="001E1AAB"/>
    <w:rsid w:val="001E1B95"/>
    <w:rsid w:val="001E1C42"/>
    <w:rsid w:val="001E1D14"/>
    <w:rsid w:val="001E1EC9"/>
    <w:rsid w:val="001E1EF4"/>
    <w:rsid w:val="001E1F9B"/>
    <w:rsid w:val="001E2020"/>
    <w:rsid w:val="001E2193"/>
    <w:rsid w:val="001E2220"/>
    <w:rsid w:val="001E2340"/>
    <w:rsid w:val="001E2360"/>
    <w:rsid w:val="001E237B"/>
    <w:rsid w:val="001E257D"/>
    <w:rsid w:val="001E2769"/>
    <w:rsid w:val="001E28B9"/>
    <w:rsid w:val="001E2A0F"/>
    <w:rsid w:val="001E2D90"/>
    <w:rsid w:val="001E2F92"/>
    <w:rsid w:val="001E3172"/>
    <w:rsid w:val="001E319B"/>
    <w:rsid w:val="001E3224"/>
    <w:rsid w:val="001E324E"/>
    <w:rsid w:val="001E33A4"/>
    <w:rsid w:val="001E33DD"/>
    <w:rsid w:val="001E34C2"/>
    <w:rsid w:val="001E34E5"/>
    <w:rsid w:val="001E34FC"/>
    <w:rsid w:val="001E39A6"/>
    <w:rsid w:val="001E3A30"/>
    <w:rsid w:val="001E3A80"/>
    <w:rsid w:val="001E3CC8"/>
    <w:rsid w:val="001E3D70"/>
    <w:rsid w:val="001E3DC7"/>
    <w:rsid w:val="001E3E20"/>
    <w:rsid w:val="001E3E70"/>
    <w:rsid w:val="001E3E8D"/>
    <w:rsid w:val="001E4024"/>
    <w:rsid w:val="001E44BF"/>
    <w:rsid w:val="001E450B"/>
    <w:rsid w:val="001E456F"/>
    <w:rsid w:val="001E481F"/>
    <w:rsid w:val="001E489D"/>
    <w:rsid w:val="001E4931"/>
    <w:rsid w:val="001E4951"/>
    <w:rsid w:val="001E499E"/>
    <w:rsid w:val="001E4AF6"/>
    <w:rsid w:val="001E4BFF"/>
    <w:rsid w:val="001E4C03"/>
    <w:rsid w:val="001E4FA4"/>
    <w:rsid w:val="001E5447"/>
    <w:rsid w:val="001E5467"/>
    <w:rsid w:val="001E5627"/>
    <w:rsid w:val="001E56DE"/>
    <w:rsid w:val="001E58B2"/>
    <w:rsid w:val="001E5A33"/>
    <w:rsid w:val="001E5AE7"/>
    <w:rsid w:val="001E5B54"/>
    <w:rsid w:val="001E5C61"/>
    <w:rsid w:val="001E5E2E"/>
    <w:rsid w:val="001E5EAE"/>
    <w:rsid w:val="001E5ED8"/>
    <w:rsid w:val="001E62BF"/>
    <w:rsid w:val="001E63E5"/>
    <w:rsid w:val="001E65AF"/>
    <w:rsid w:val="001E65E3"/>
    <w:rsid w:val="001E66AF"/>
    <w:rsid w:val="001E6729"/>
    <w:rsid w:val="001E68D0"/>
    <w:rsid w:val="001E6B72"/>
    <w:rsid w:val="001E6D6F"/>
    <w:rsid w:val="001E6E75"/>
    <w:rsid w:val="001E710C"/>
    <w:rsid w:val="001E725F"/>
    <w:rsid w:val="001E74E5"/>
    <w:rsid w:val="001E77C7"/>
    <w:rsid w:val="001E784F"/>
    <w:rsid w:val="001E7988"/>
    <w:rsid w:val="001E7B07"/>
    <w:rsid w:val="001E7BA2"/>
    <w:rsid w:val="001E7BAB"/>
    <w:rsid w:val="001E7CD4"/>
    <w:rsid w:val="001E7E3B"/>
    <w:rsid w:val="001E7EF5"/>
    <w:rsid w:val="001E7F48"/>
    <w:rsid w:val="001F00E6"/>
    <w:rsid w:val="001F03D8"/>
    <w:rsid w:val="001F0419"/>
    <w:rsid w:val="001F04C7"/>
    <w:rsid w:val="001F0660"/>
    <w:rsid w:val="001F083A"/>
    <w:rsid w:val="001F0A29"/>
    <w:rsid w:val="001F0AB4"/>
    <w:rsid w:val="001F0C97"/>
    <w:rsid w:val="001F0D0E"/>
    <w:rsid w:val="001F0E6F"/>
    <w:rsid w:val="001F0F06"/>
    <w:rsid w:val="001F0FD0"/>
    <w:rsid w:val="001F1271"/>
    <w:rsid w:val="001F12F2"/>
    <w:rsid w:val="001F1337"/>
    <w:rsid w:val="001F139D"/>
    <w:rsid w:val="001F1428"/>
    <w:rsid w:val="001F143E"/>
    <w:rsid w:val="001F16A2"/>
    <w:rsid w:val="001F16FB"/>
    <w:rsid w:val="001F1747"/>
    <w:rsid w:val="001F1A5E"/>
    <w:rsid w:val="001F1AA3"/>
    <w:rsid w:val="001F1E70"/>
    <w:rsid w:val="001F1F45"/>
    <w:rsid w:val="001F1F82"/>
    <w:rsid w:val="001F2034"/>
    <w:rsid w:val="001F2064"/>
    <w:rsid w:val="001F20BC"/>
    <w:rsid w:val="001F20C4"/>
    <w:rsid w:val="001F21AF"/>
    <w:rsid w:val="001F21D3"/>
    <w:rsid w:val="001F21E1"/>
    <w:rsid w:val="001F2204"/>
    <w:rsid w:val="001F23FE"/>
    <w:rsid w:val="001F24F6"/>
    <w:rsid w:val="001F26F8"/>
    <w:rsid w:val="001F27FD"/>
    <w:rsid w:val="001F280A"/>
    <w:rsid w:val="001F2820"/>
    <w:rsid w:val="001F2B6F"/>
    <w:rsid w:val="001F2C8D"/>
    <w:rsid w:val="001F2D46"/>
    <w:rsid w:val="001F2E9F"/>
    <w:rsid w:val="001F2F4C"/>
    <w:rsid w:val="001F2FF5"/>
    <w:rsid w:val="001F308B"/>
    <w:rsid w:val="001F30AC"/>
    <w:rsid w:val="001F3267"/>
    <w:rsid w:val="001F3366"/>
    <w:rsid w:val="001F33A6"/>
    <w:rsid w:val="001F37BA"/>
    <w:rsid w:val="001F37D8"/>
    <w:rsid w:val="001F38F3"/>
    <w:rsid w:val="001F3945"/>
    <w:rsid w:val="001F39A4"/>
    <w:rsid w:val="001F3ACF"/>
    <w:rsid w:val="001F3B5A"/>
    <w:rsid w:val="001F3B9F"/>
    <w:rsid w:val="001F3C84"/>
    <w:rsid w:val="001F3DB5"/>
    <w:rsid w:val="001F3EBC"/>
    <w:rsid w:val="001F3FB2"/>
    <w:rsid w:val="001F418C"/>
    <w:rsid w:val="001F41BB"/>
    <w:rsid w:val="001F41D4"/>
    <w:rsid w:val="001F4522"/>
    <w:rsid w:val="001F4681"/>
    <w:rsid w:val="001F4795"/>
    <w:rsid w:val="001F4965"/>
    <w:rsid w:val="001F4C57"/>
    <w:rsid w:val="001F4CBD"/>
    <w:rsid w:val="001F4D6B"/>
    <w:rsid w:val="001F4DC9"/>
    <w:rsid w:val="001F50E0"/>
    <w:rsid w:val="001F5262"/>
    <w:rsid w:val="001F531A"/>
    <w:rsid w:val="001F53AF"/>
    <w:rsid w:val="001F56B7"/>
    <w:rsid w:val="001F5928"/>
    <w:rsid w:val="001F5A0D"/>
    <w:rsid w:val="001F5AF5"/>
    <w:rsid w:val="001F5B19"/>
    <w:rsid w:val="001F5B96"/>
    <w:rsid w:val="001F5B9F"/>
    <w:rsid w:val="001F5D99"/>
    <w:rsid w:val="001F5E2E"/>
    <w:rsid w:val="001F5F96"/>
    <w:rsid w:val="001F6277"/>
    <w:rsid w:val="001F636A"/>
    <w:rsid w:val="001F640E"/>
    <w:rsid w:val="001F64AA"/>
    <w:rsid w:val="001F64EA"/>
    <w:rsid w:val="001F6513"/>
    <w:rsid w:val="001F6672"/>
    <w:rsid w:val="001F6739"/>
    <w:rsid w:val="001F6829"/>
    <w:rsid w:val="001F6B92"/>
    <w:rsid w:val="001F6E04"/>
    <w:rsid w:val="001F6ED0"/>
    <w:rsid w:val="001F6FB8"/>
    <w:rsid w:val="001F6FE0"/>
    <w:rsid w:val="001F7073"/>
    <w:rsid w:val="001F71B9"/>
    <w:rsid w:val="001F7210"/>
    <w:rsid w:val="001F742F"/>
    <w:rsid w:val="001F7492"/>
    <w:rsid w:val="001F7589"/>
    <w:rsid w:val="001F7608"/>
    <w:rsid w:val="001F79B2"/>
    <w:rsid w:val="001F79C6"/>
    <w:rsid w:val="001F7A0C"/>
    <w:rsid w:val="001F7A87"/>
    <w:rsid w:val="001F7B2D"/>
    <w:rsid w:val="001F7B51"/>
    <w:rsid w:val="001F7BBA"/>
    <w:rsid w:val="001F7C75"/>
    <w:rsid w:val="001F7CDB"/>
    <w:rsid w:val="001F7CE8"/>
    <w:rsid w:val="001F7D16"/>
    <w:rsid w:val="001F7E33"/>
    <w:rsid w:val="001F7ECD"/>
    <w:rsid w:val="001F7F51"/>
    <w:rsid w:val="0020003C"/>
    <w:rsid w:val="002004B8"/>
    <w:rsid w:val="002004EA"/>
    <w:rsid w:val="0020055D"/>
    <w:rsid w:val="00200791"/>
    <w:rsid w:val="00200B17"/>
    <w:rsid w:val="00200C73"/>
    <w:rsid w:val="0020121F"/>
    <w:rsid w:val="00201262"/>
    <w:rsid w:val="00201347"/>
    <w:rsid w:val="002013FC"/>
    <w:rsid w:val="0020141D"/>
    <w:rsid w:val="002016ED"/>
    <w:rsid w:val="00201748"/>
    <w:rsid w:val="0020184A"/>
    <w:rsid w:val="00201ACA"/>
    <w:rsid w:val="00201AED"/>
    <w:rsid w:val="00201BFE"/>
    <w:rsid w:val="00201C0F"/>
    <w:rsid w:val="00201CA6"/>
    <w:rsid w:val="00201F23"/>
    <w:rsid w:val="00201F32"/>
    <w:rsid w:val="00201FAE"/>
    <w:rsid w:val="0020218E"/>
    <w:rsid w:val="00202529"/>
    <w:rsid w:val="0020254C"/>
    <w:rsid w:val="00202565"/>
    <w:rsid w:val="0020262C"/>
    <w:rsid w:val="00202B38"/>
    <w:rsid w:val="00202B74"/>
    <w:rsid w:val="00202CD6"/>
    <w:rsid w:val="00202E93"/>
    <w:rsid w:val="00202F39"/>
    <w:rsid w:val="0020316B"/>
    <w:rsid w:val="00203286"/>
    <w:rsid w:val="00203440"/>
    <w:rsid w:val="00203602"/>
    <w:rsid w:val="00203729"/>
    <w:rsid w:val="002038DA"/>
    <w:rsid w:val="002039FE"/>
    <w:rsid w:val="00203A9A"/>
    <w:rsid w:val="00203AE7"/>
    <w:rsid w:val="00203E36"/>
    <w:rsid w:val="00203F17"/>
    <w:rsid w:val="00203F4F"/>
    <w:rsid w:val="0020416E"/>
    <w:rsid w:val="002043BE"/>
    <w:rsid w:val="0020445B"/>
    <w:rsid w:val="00204541"/>
    <w:rsid w:val="002045AC"/>
    <w:rsid w:val="00204913"/>
    <w:rsid w:val="00204A85"/>
    <w:rsid w:val="00204C1F"/>
    <w:rsid w:val="00204E46"/>
    <w:rsid w:val="00204F28"/>
    <w:rsid w:val="00204FD3"/>
    <w:rsid w:val="0020502B"/>
    <w:rsid w:val="00205076"/>
    <w:rsid w:val="0020509C"/>
    <w:rsid w:val="002052CD"/>
    <w:rsid w:val="002055B3"/>
    <w:rsid w:val="002056F2"/>
    <w:rsid w:val="0020591A"/>
    <w:rsid w:val="00205A51"/>
    <w:rsid w:val="00205B20"/>
    <w:rsid w:val="00205CB0"/>
    <w:rsid w:val="00205DFA"/>
    <w:rsid w:val="00206522"/>
    <w:rsid w:val="00206844"/>
    <w:rsid w:val="002068ED"/>
    <w:rsid w:val="00206915"/>
    <w:rsid w:val="00206921"/>
    <w:rsid w:val="00206A68"/>
    <w:rsid w:val="00206BE7"/>
    <w:rsid w:val="00207254"/>
    <w:rsid w:val="00207592"/>
    <w:rsid w:val="002076CE"/>
    <w:rsid w:val="002078C5"/>
    <w:rsid w:val="002078FF"/>
    <w:rsid w:val="00207944"/>
    <w:rsid w:val="00207ABC"/>
    <w:rsid w:val="00207C00"/>
    <w:rsid w:val="00207C32"/>
    <w:rsid w:val="00207D81"/>
    <w:rsid w:val="00207F61"/>
    <w:rsid w:val="00207F7B"/>
    <w:rsid w:val="0021002B"/>
    <w:rsid w:val="0021004B"/>
    <w:rsid w:val="002100D0"/>
    <w:rsid w:val="00210243"/>
    <w:rsid w:val="002103ED"/>
    <w:rsid w:val="0021050D"/>
    <w:rsid w:val="00210647"/>
    <w:rsid w:val="00210670"/>
    <w:rsid w:val="002106AB"/>
    <w:rsid w:val="002106D0"/>
    <w:rsid w:val="0021072B"/>
    <w:rsid w:val="0021088F"/>
    <w:rsid w:val="00210C51"/>
    <w:rsid w:val="00210C86"/>
    <w:rsid w:val="00210F7F"/>
    <w:rsid w:val="00210FFE"/>
    <w:rsid w:val="002110F4"/>
    <w:rsid w:val="0021164C"/>
    <w:rsid w:val="0021165B"/>
    <w:rsid w:val="00211753"/>
    <w:rsid w:val="00211779"/>
    <w:rsid w:val="00211A88"/>
    <w:rsid w:val="00211BBE"/>
    <w:rsid w:val="00211C2B"/>
    <w:rsid w:val="00211D9A"/>
    <w:rsid w:val="00211DC1"/>
    <w:rsid w:val="00211E45"/>
    <w:rsid w:val="00211E6A"/>
    <w:rsid w:val="00211F69"/>
    <w:rsid w:val="00211FB5"/>
    <w:rsid w:val="0021227B"/>
    <w:rsid w:val="00212348"/>
    <w:rsid w:val="002123B8"/>
    <w:rsid w:val="00212803"/>
    <w:rsid w:val="0021282A"/>
    <w:rsid w:val="0021285A"/>
    <w:rsid w:val="00212890"/>
    <w:rsid w:val="002128CD"/>
    <w:rsid w:val="002128D1"/>
    <w:rsid w:val="002128FE"/>
    <w:rsid w:val="002129FC"/>
    <w:rsid w:val="00212B68"/>
    <w:rsid w:val="00212BEF"/>
    <w:rsid w:val="00212C16"/>
    <w:rsid w:val="00212D3A"/>
    <w:rsid w:val="00212DC1"/>
    <w:rsid w:val="00212EAA"/>
    <w:rsid w:val="00212EF8"/>
    <w:rsid w:val="0021306F"/>
    <w:rsid w:val="00213470"/>
    <w:rsid w:val="0021358A"/>
    <w:rsid w:val="0021361E"/>
    <w:rsid w:val="0021364E"/>
    <w:rsid w:val="002137A3"/>
    <w:rsid w:val="002138CE"/>
    <w:rsid w:val="00213962"/>
    <w:rsid w:val="00213A7B"/>
    <w:rsid w:val="00213AA8"/>
    <w:rsid w:val="00213ACF"/>
    <w:rsid w:val="00213AD8"/>
    <w:rsid w:val="00213AF9"/>
    <w:rsid w:val="00213CF9"/>
    <w:rsid w:val="00213E16"/>
    <w:rsid w:val="00214066"/>
    <w:rsid w:val="002140CC"/>
    <w:rsid w:val="002143D9"/>
    <w:rsid w:val="002144EB"/>
    <w:rsid w:val="0021451C"/>
    <w:rsid w:val="00214546"/>
    <w:rsid w:val="00214614"/>
    <w:rsid w:val="0021479B"/>
    <w:rsid w:val="00214984"/>
    <w:rsid w:val="00214B3D"/>
    <w:rsid w:val="00214D86"/>
    <w:rsid w:val="00214F23"/>
    <w:rsid w:val="00214F29"/>
    <w:rsid w:val="0021517A"/>
    <w:rsid w:val="002151FB"/>
    <w:rsid w:val="0021529A"/>
    <w:rsid w:val="002152D1"/>
    <w:rsid w:val="002152E0"/>
    <w:rsid w:val="002152E4"/>
    <w:rsid w:val="0021569A"/>
    <w:rsid w:val="002157A4"/>
    <w:rsid w:val="002159C2"/>
    <w:rsid w:val="00215CFC"/>
    <w:rsid w:val="00215DC9"/>
    <w:rsid w:val="00215EAC"/>
    <w:rsid w:val="00215FCB"/>
    <w:rsid w:val="0021609D"/>
    <w:rsid w:val="00216119"/>
    <w:rsid w:val="00216357"/>
    <w:rsid w:val="00216398"/>
    <w:rsid w:val="00216422"/>
    <w:rsid w:val="0021672C"/>
    <w:rsid w:val="0021672F"/>
    <w:rsid w:val="0021681B"/>
    <w:rsid w:val="002168E0"/>
    <w:rsid w:val="0021690D"/>
    <w:rsid w:val="00216C09"/>
    <w:rsid w:val="00216C1C"/>
    <w:rsid w:val="00216D3A"/>
    <w:rsid w:val="00216D92"/>
    <w:rsid w:val="00216DB4"/>
    <w:rsid w:val="00216E12"/>
    <w:rsid w:val="00216E3B"/>
    <w:rsid w:val="00216E6C"/>
    <w:rsid w:val="00216FE2"/>
    <w:rsid w:val="00217039"/>
    <w:rsid w:val="0021714D"/>
    <w:rsid w:val="00217162"/>
    <w:rsid w:val="002171A9"/>
    <w:rsid w:val="002171B2"/>
    <w:rsid w:val="0021727D"/>
    <w:rsid w:val="00217368"/>
    <w:rsid w:val="00217702"/>
    <w:rsid w:val="002177F6"/>
    <w:rsid w:val="00217844"/>
    <w:rsid w:val="002178A2"/>
    <w:rsid w:val="00217972"/>
    <w:rsid w:val="00217A3D"/>
    <w:rsid w:val="00217A52"/>
    <w:rsid w:val="00217B39"/>
    <w:rsid w:val="00217B90"/>
    <w:rsid w:val="00217CFA"/>
    <w:rsid w:val="00217F31"/>
    <w:rsid w:val="00217F64"/>
    <w:rsid w:val="0022044C"/>
    <w:rsid w:val="00220522"/>
    <w:rsid w:val="002205F5"/>
    <w:rsid w:val="0022074D"/>
    <w:rsid w:val="0022099B"/>
    <w:rsid w:val="00220AB8"/>
    <w:rsid w:val="00220CAC"/>
    <w:rsid w:val="00220D85"/>
    <w:rsid w:val="00220E26"/>
    <w:rsid w:val="00220ED4"/>
    <w:rsid w:val="00221007"/>
    <w:rsid w:val="00221181"/>
    <w:rsid w:val="0022148A"/>
    <w:rsid w:val="002215C9"/>
    <w:rsid w:val="002217FA"/>
    <w:rsid w:val="00221952"/>
    <w:rsid w:val="002219AA"/>
    <w:rsid w:val="00221A89"/>
    <w:rsid w:val="00221BF6"/>
    <w:rsid w:val="00221CFE"/>
    <w:rsid w:val="0022219B"/>
    <w:rsid w:val="002221A6"/>
    <w:rsid w:val="0022246F"/>
    <w:rsid w:val="002224B1"/>
    <w:rsid w:val="002224D5"/>
    <w:rsid w:val="0022274A"/>
    <w:rsid w:val="0022277E"/>
    <w:rsid w:val="002227CB"/>
    <w:rsid w:val="002227FD"/>
    <w:rsid w:val="0022283C"/>
    <w:rsid w:val="00222848"/>
    <w:rsid w:val="0022294A"/>
    <w:rsid w:val="00222964"/>
    <w:rsid w:val="002229DE"/>
    <w:rsid w:val="00222A75"/>
    <w:rsid w:val="00222C9F"/>
    <w:rsid w:val="00222E1E"/>
    <w:rsid w:val="00222F8D"/>
    <w:rsid w:val="00222FCB"/>
    <w:rsid w:val="002230A7"/>
    <w:rsid w:val="002232DC"/>
    <w:rsid w:val="0022342B"/>
    <w:rsid w:val="00223571"/>
    <w:rsid w:val="002236B3"/>
    <w:rsid w:val="0022373C"/>
    <w:rsid w:val="00223757"/>
    <w:rsid w:val="002237A7"/>
    <w:rsid w:val="002238A9"/>
    <w:rsid w:val="002239B2"/>
    <w:rsid w:val="00223C13"/>
    <w:rsid w:val="00223C8E"/>
    <w:rsid w:val="00223CD2"/>
    <w:rsid w:val="00223E7F"/>
    <w:rsid w:val="002241A1"/>
    <w:rsid w:val="002241F2"/>
    <w:rsid w:val="00224262"/>
    <w:rsid w:val="0022429C"/>
    <w:rsid w:val="002244A0"/>
    <w:rsid w:val="00224678"/>
    <w:rsid w:val="0022479F"/>
    <w:rsid w:val="002248B3"/>
    <w:rsid w:val="002249AA"/>
    <w:rsid w:val="00224BDB"/>
    <w:rsid w:val="00224C7A"/>
    <w:rsid w:val="00224DBF"/>
    <w:rsid w:val="00224DC7"/>
    <w:rsid w:val="00224E7B"/>
    <w:rsid w:val="00224FF8"/>
    <w:rsid w:val="002250D8"/>
    <w:rsid w:val="002251B9"/>
    <w:rsid w:val="00225212"/>
    <w:rsid w:val="0022547A"/>
    <w:rsid w:val="002254BB"/>
    <w:rsid w:val="002254FF"/>
    <w:rsid w:val="002255E6"/>
    <w:rsid w:val="0022568A"/>
    <w:rsid w:val="0022572E"/>
    <w:rsid w:val="002257A9"/>
    <w:rsid w:val="002257CA"/>
    <w:rsid w:val="00225AD3"/>
    <w:rsid w:val="00225D78"/>
    <w:rsid w:val="00225E72"/>
    <w:rsid w:val="00225EAE"/>
    <w:rsid w:val="00225EC0"/>
    <w:rsid w:val="00226032"/>
    <w:rsid w:val="0022619A"/>
    <w:rsid w:val="002261AF"/>
    <w:rsid w:val="002261EF"/>
    <w:rsid w:val="002264B3"/>
    <w:rsid w:val="00226607"/>
    <w:rsid w:val="002267FF"/>
    <w:rsid w:val="002268E7"/>
    <w:rsid w:val="00226AE8"/>
    <w:rsid w:val="00226BC1"/>
    <w:rsid w:val="00226D1E"/>
    <w:rsid w:val="00226D32"/>
    <w:rsid w:val="00226EE2"/>
    <w:rsid w:val="00226F6C"/>
    <w:rsid w:val="002270D7"/>
    <w:rsid w:val="0022713F"/>
    <w:rsid w:val="002271B3"/>
    <w:rsid w:val="002271D2"/>
    <w:rsid w:val="002271FD"/>
    <w:rsid w:val="00227836"/>
    <w:rsid w:val="002278C4"/>
    <w:rsid w:val="002278FA"/>
    <w:rsid w:val="00227BE9"/>
    <w:rsid w:val="00227CFA"/>
    <w:rsid w:val="00227D1F"/>
    <w:rsid w:val="00227D38"/>
    <w:rsid w:val="00227D78"/>
    <w:rsid w:val="00227F6E"/>
    <w:rsid w:val="00227F74"/>
    <w:rsid w:val="00230053"/>
    <w:rsid w:val="00230055"/>
    <w:rsid w:val="00230122"/>
    <w:rsid w:val="002301B2"/>
    <w:rsid w:val="002303C6"/>
    <w:rsid w:val="002304C8"/>
    <w:rsid w:val="00230EEA"/>
    <w:rsid w:val="00230F0F"/>
    <w:rsid w:val="00230FD8"/>
    <w:rsid w:val="00231093"/>
    <w:rsid w:val="002310DA"/>
    <w:rsid w:val="002312A4"/>
    <w:rsid w:val="00231362"/>
    <w:rsid w:val="00231402"/>
    <w:rsid w:val="0023156C"/>
    <w:rsid w:val="0023157D"/>
    <w:rsid w:val="0023158C"/>
    <w:rsid w:val="0023172E"/>
    <w:rsid w:val="00231837"/>
    <w:rsid w:val="0023197B"/>
    <w:rsid w:val="00231B69"/>
    <w:rsid w:val="00232002"/>
    <w:rsid w:val="002320EF"/>
    <w:rsid w:val="002323A6"/>
    <w:rsid w:val="00232412"/>
    <w:rsid w:val="002324A8"/>
    <w:rsid w:val="00232509"/>
    <w:rsid w:val="0023256B"/>
    <w:rsid w:val="002327F0"/>
    <w:rsid w:val="002329B4"/>
    <w:rsid w:val="002329F9"/>
    <w:rsid w:val="00232A70"/>
    <w:rsid w:val="00232D2F"/>
    <w:rsid w:val="00232E4C"/>
    <w:rsid w:val="00232F96"/>
    <w:rsid w:val="002331D1"/>
    <w:rsid w:val="002335C0"/>
    <w:rsid w:val="00233794"/>
    <w:rsid w:val="002338CE"/>
    <w:rsid w:val="002338F4"/>
    <w:rsid w:val="00233933"/>
    <w:rsid w:val="00233A9E"/>
    <w:rsid w:val="00233B0A"/>
    <w:rsid w:val="00233B54"/>
    <w:rsid w:val="00233BCC"/>
    <w:rsid w:val="002342BF"/>
    <w:rsid w:val="002342C1"/>
    <w:rsid w:val="002343E8"/>
    <w:rsid w:val="002343EE"/>
    <w:rsid w:val="002346C7"/>
    <w:rsid w:val="0023475F"/>
    <w:rsid w:val="002347E9"/>
    <w:rsid w:val="00234904"/>
    <w:rsid w:val="00235069"/>
    <w:rsid w:val="00235332"/>
    <w:rsid w:val="002353C4"/>
    <w:rsid w:val="00235464"/>
    <w:rsid w:val="00235484"/>
    <w:rsid w:val="002354B3"/>
    <w:rsid w:val="002354B7"/>
    <w:rsid w:val="00235618"/>
    <w:rsid w:val="00235619"/>
    <w:rsid w:val="00235710"/>
    <w:rsid w:val="00235753"/>
    <w:rsid w:val="00235B0E"/>
    <w:rsid w:val="00235B94"/>
    <w:rsid w:val="00235CA7"/>
    <w:rsid w:val="00235CAA"/>
    <w:rsid w:val="00235DD9"/>
    <w:rsid w:val="00235DF9"/>
    <w:rsid w:val="00235F9C"/>
    <w:rsid w:val="002364AC"/>
    <w:rsid w:val="002364D9"/>
    <w:rsid w:val="00236547"/>
    <w:rsid w:val="00236565"/>
    <w:rsid w:val="00236639"/>
    <w:rsid w:val="0023668D"/>
    <w:rsid w:val="00236725"/>
    <w:rsid w:val="002367E4"/>
    <w:rsid w:val="00236D07"/>
    <w:rsid w:val="00236DBB"/>
    <w:rsid w:val="002370C2"/>
    <w:rsid w:val="00237249"/>
    <w:rsid w:val="002373DA"/>
    <w:rsid w:val="002373F5"/>
    <w:rsid w:val="00237566"/>
    <w:rsid w:val="00237570"/>
    <w:rsid w:val="0023764B"/>
    <w:rsid w:val="00237739"/>
    <w:rsid w:val="0023775D"/>
    <w:rsid w:val="0023781A"/>
    <w:rsid w:val="00237A51"/>
    <w:rsid w:val="00237B34"/>
    <w:rsid w:val="00237BDE"/>
    <w:rsid w:val="00237D21"/>
    <w:rsid w:val="00237D3E"/>
    <w:rsid w:val="00237F73"/>
    <w:rsid w:val="00240194"/>
    <w:rsid w:val="002403CB"/>
    <w:rsid w:val="00240538"/>
    <w:rsid w:val="0024076F"/>
    <w:rsid w:val="0024079F"/>
    <w:rsid w:val="00240840"/>
    <w:rsid w:val="002408B3"/>
    <w:rsid w:val="002409E4"/>
    <w:rsid w:val="00240BF8"/>
    <w:rsid w:val="00240C32"/>
    <w:rsid w:val="00240D1E"/>
    <w:rsid w:val="00240ECA"/>
    <w:rsid w:val="00240F7E"/>
    <w:rsid w:val="00241012"/>
    <w:rsid w:val="00241063"/>
    <w:rsid w:val="00241177"/>
    <w:rsid w:val="0024118A"/>
    <w:rsid w:val="00241334"/>
    <w:rsid w:val="0024137E"/>
    <w:rsid w:val="00241571"/>
    <w:rsid w:val="00241690"/>
    <w:rsid w:val="002419B4"/>
    <w:rsid w:val="00241AA7"/>
    <w:rsid w:val="00241D80"/>
    <w:rsid w:val="00241DAF"/>
    <w:rsid w:val="00241F24"/>
    <w:rsid w:val="00241F52"/>
    <w:rsid w:val="00241FFD"/>
    <w:rsid w:val="002420CB"/>
    <w:rsid w:val="00242363"/>
    <w:rsid w:val="002423DE"/>
    <w:rsid w:val="00242467"/>
    <w:rsid w:val="00242885"/>
    <w:rsid w:val="002428DC"/>
    <w:rsid w:val="00242A76"/>
    <w:rsid w:val="00242A9E"/>
    <w:rsid w:val="00242AAA"/>
    <w:rsid w:val="00242B92"/>
    <w:rsid w:val="00242CE4"/>
    <w:rsid w:val="00242ED1"/>
    <w:rsid w:val="0024304C"/>
    <w:rsid w:val="002430A9"/>
    <w:rsid w:val="002431F5"/>
    <w:rsid w:val="002433A8"/>
    <w:rsid w:val="00243600"/>
    <w:rsid w:val="00243870"/>
    <w:rsid w:val="002439C0"/>
    <w:rsid w:val="00243A1F"/>
    <w:rsid w:val="00243FBD"/>
    <w:rsid w:val="00243FDE"/>
    <w:rsid w:val="0024404C"/>
    <w:rsid w:val="002441B9"/>
    <w:rsid w:val="002442E8"/>
    <w:rsid w:val="002443D6"/>
    <w:rsid w:val="00244596"/>
    <w:rsid w:val="00244675"/>
    <w:rsid w:val="00244716"/>
    <w:rsid w:val="0024475B"/>
    <w:rsid w:val="00244770"/>
    <w:rsid w:val="00244823"/>
    <w:rsid w:val="0024486F"/>
    <w:rsid w:val="002448D6"/>
    <w:rsid w:val="002448E5"/>
    <w:rsid w:val="00244925"/>
    <w:rsid w:val="00244934"/>
    <w:rsid w:val="00244B83"/>
    <w:rsid w:val="00244C01"/>
    <w:rsid w:val="00244CAF"/>
    <w:rsid w:val="00244DB0"/>
    <w:rsid w:val="00244DEE"/>
    <w:rsid w:val="00244FDC"/>
    <w:rsid w:val="002452D0"/>
    <w:rsid w:val="002452E6"/>
    <w:rsid w:val="00245300"/>
    <w:rsid w:val="00245302"/>
    <w:rsid w:val="00245363"/>
    <w:rsid w:val="00245496"/>
    <w:rsid w:val="00245523"/>
    <w:rsid w:val="00245551"/>
    <w:rsid w:val="002455CF"/>
    <w:rsid w:val="002456EC"/>
    <w:rsid w:val="00245754"/>
    <w:rsid w:val="00245794"/>
    <w:rsid w:val="0024585F"/>
    <w:rsid w:val="002458DF"/>
    <w:rsid w:val="00245A13"/>
    <w:rsid w:val="00245AD1"/>
    <w:rsid w:val="00245C09"/>
    <w:rsid w:val="0024608A"/>
    <w:rsid w:val="00246278"/>
    <w:rsid w:val="002463B6"/>
    <w:rsid w:val="0024675E"/>
    <w:rsid w:val="0024690E"/>
    <w:rsid w:val="002469AC"/>
    <w:rsid w:val="00246A58"/>
    <w:rsid w:val="00246BC8"/>
    <w:rsid w:val="00246ED8"/>
    <w:rsid w:val="00246FCC"/>
    <w:rsid w:val="002470A3"/>
    <w:rsid w:val="00247172"/>
    <w:rsid w:val="00247247"/>
    <w:rsid w:val="00247393"/>
    <w:rsid w:val="002474A1"/>
    <w:rsid w:val="00247552"/>
    <w:rsid w:val="00247662"/>
    <w:rsid w:val="00247737"/>
    <w:rsid w:val="0024784F"/>
    <w:rsid w:val="0024786C"/>
    <w:rsid w:val="00247A32"/>
    <w:rsid w:val="00247A6E"/>
    <w:rsid w:val="00247AA0"/>
    <w:rsid w:val="00247C1B"/>
    <w:rsid w:val="00247C23"/>
    <w:rsid w:val="00247DFB"/>
    <w:rsid w:val="00247EA7"/>
    <w:rsid w:val="00250017"/>
    <w:rsid w:val="002501F1"/>
    <w:rsid w:val="00250230"/>
    <w:rsid w:val="00250252"/>
    <w:rsid w:val="00250363"/>
    <w:rsid w:val="00250367"/>
    <w:rsid w:val="00250558"/>
    <w:rsid w:val="002505A4"/>
    <w:rsid w:val="00250774"/>
    <w:rsid w:val="002508A9"/>
    <w:rsid w:val="00250928"/>
    <w:rsid w:val="00250AA8"/>
    <w:rsid w:val="00250D2B"/>
    <w:rsid w:val="00250E4F"/>
    <w:rsid w:val="00251043"/>
    <w:rsid w:val="002510D8"/>
    <w:rsid w:val="002511A6"/>
    <w:rsid w:val="002513D3"/>
    <w:rsid w:val="0025140D"/>
    <w:rsid w:val="002514A2"/>
    <w:rsid w:val="0025153E"/>
    <w:rsid w:val="002515EF"/>
    <w:rsid w:val="00251685"/>
    <w:rsid w:val="00251960"/>
    <w:rsid w:val="00251A37"/>
    <w:rsid w:val="00251ACF"/>
    <w:rsid w:val="00251AE2"/>
    <w:rsid w:val="00251AE5"/>
    <w:rsid w:val="00251BB2"/>
    <w:rsid w:val="00251D6D"/>
    <w:rsid w:val="00251E4C"/>
    <w:rsid w:val="00251EAA"/>
    <w:rsid w:val="00251FB8"/>
    <w:rsid w:val="0025207B"/>
    <w:rsid w:val="00252456"/>
    <w:rsid w:val="0025261C"/>
    <w:rsid w:val="00252705"/>
    <w:rsid w:val="00252783"/>
    <w:rsid w:val="00252920"/>
    <w:rsid w:val="00252AA0"/>
    <w:rsid w:val="00252BE4"/>
    <w:rsid w:val="00252BF3"/>
    <w:rsid w:val="00252DBB"/>
    <w:rsid w:val="00252F19"/>
    <w:rsid w:val="00252F3B"/>
    <w:rsid w:val="00252F54"/>
    <w:rsid w:val="00252F9A"/>
    <w:rsid w:val="00253257"/>
    <w:rsid w:val="0025353E"/>
    <w:rsid w:val="00253607"/>
    <w:rsid w:val="00253691"/>
    <w:rsid w:val="002537B4"/>
    <w:rsid w:val="0025384C"/>
    <w:rsid w:val="002539A9"/>
    <w:rsid w:val="002539C2"/>
    <w:rsid w:val="00253A4D"/>
    <w:rsid w:val="00253BCA"/>
    <w:rsid w:val="00253C74"/>
    <w:rsid w:val="00253E7D"/>
    <w:rsid w:val="00253F6F"/>
    <w:rsid w:val="00254151"/>
    <w:rsid w:val="00254179"/>
    <w:rsid w:val="00254264"/>
    <w:rsid w:val="002542AA"/>
    <w:rsid w:val="002543CE"/>
    <w:rsid w:val="002543E8"/>
    <w:rsid w:val="0025442D"/>
    <w:rsid w:val="002544FE"/>
    <w:rsid w:val="002545CF"/>
    <w:rsid w:val="00254625"/>
    <w:rsid w:val="002546D4"/>
    <w:rsid w:val="00254702"/>
    <w:rsid w:val="002547A0"/>
    <w:rsid w:val="00254E2F"/>
    <w:rsid w:val="00254E73"/>
    <w:rsid w:val="0025507E"/>
    <w:rsid w:val="0025523C"/>
    <w:rsid w:val="0025528F"/>
    <w:rsid w:val="00255325"/>
    <w:rsid w:val="0025534F"/>
    <w:rsid w:val="0025585D"/>
    <w:rsid w:val="002558A1"/>
    <w:rsid w:val="002558A2"/>
    <w:rsid w:val="00255B45"/>
    <w:rsid w:val="00255C4E"/>
    <w:rsid w:val="00255CB1"/>
    <w:rsid w:val="00255D87"/>
    <w:rsid w:val="00255F89"/>
    <w:rsid w:val="00256083"/>
    <w:rsid w:val="002560C8"/>
    <w:rsid w:val="00256179"/>
    <w:rsid w:val="002561AB"/>
    <w:rsid w:val="0025622B"/>
    <w:rsid w:val="00256238"/>
    <w:rsid w:val="0025648A"/>
    <w:rsid w:val="00256551"/>
    <w:rsid w:val="0025655A"/>
    <w:rsid w:val="00256628"/>
    <w:rsid w:val="00256660"/>
    <w:rsid w:val="002567DD"/>
    <w:rsid w:val="00256841"/>
    <w:rsid w:val="00256A76"/>
    <w:rsid w:val="00256B1F"/>
    <w:rsid w:val="00256B3B"/>
    <w:rsid w:val="00256DE6"/>
    <w:rsid w:val="0025702B"/>
    <w:rsid w:val="0025707B"/>
    <w:rsid w:val="0025717C"/>
    <w:rsid w:val="00257236"/>
    <w:rsid w:val="002573A7"/>
    <w:rsid w:val="00257567"/>
    <w:rsid w:val="00257787"/>
    <w:rsid w:val="002577D6"/>
    <w:rsid w:val="00257A9D"/>
    <w:rsid w:val="00257C3C"/>
    <w:rsid w:val="00257C54"/>
    <w:rsid w:val="00257CE2"/>
    <w:rsid w:val="00260093"/>
    <w:rsid w:val="00260152"/>
    <w:rsid w:val="0026016F"/>
    <w:rsid w:val="002602B7"/>
    <w:rsid w:val="0026050B"/>
    <w:rsid w:val="002606D4"/>
    <w:rsid w:val="00260820"/>
    <w:rsid w:val="00260855"/>
    <w:rsid w:val="00260A62"/>
    <w:rsid w:val="00260A65"/>
    <w:rsid w:val="00260BF0"/>
    <w:rsid w:val="00260FF6"/>
    <w:rsid w:val="00261008"/>
    <w:rsid w:val="00261039"/>
    <w:rsid w:val="0026106A"/>
    <w:rsid w:val="002611CE"/>
    <w:rsid w:val="00261399"/>
    <w:rsid w:val="00261499"/>
    <w:rsid w:val="00261629"/>
    <w:rsid w:val="00261684"/>
    <w:rsid w:val="00261AC0"/>
    <w:rsid w:val="00261C72"/>
    <w:rsid w:val="00261D60"/>
    <w:rsid w:val="00261D94"/>
    <w:rsid w:val="0026203A"/>
    <w:rsid w:val="00262179"/>
    <w:rsid w:val="002622B4"/>
    <w:rsid w:val="002622DE"/>
    <w:rsid w:val="002622E2"/>
    <w:rsid w:val="0026274D"/>
    <w:rsid w:val="00262833"/>
    <w:rsid w:val="00262842"/>
    <w:rsid w:val="002628F4"/>
    <w:rsid w:val="00262BED"/>
    <w:rsid w:val="00262CDE"/>
    <w:rsid w:val="00262CFE"/>
    <w:rsid w:val="00262D86"/>
    <w:rsid w:val="0026323A"/>
    <w:rsid w:val="0026337A"/>
    <w:rsid w:val="002633E0"/>
    <w:rsid w:val="002634B0"/>
    <w:rsid w:val="002635CE"/>
    <w:rsid w:val="002636BF"/>
    <w:rsid w:val="0026388F"/>
    <w:rsid w:val="00263A31"/>
    <w:rsid w:val="00263B07"/>
    <w:rsid w:val="00263B11"/>
    <w:rsid w:val="00263E62"/>
    <w:rsid w:val="00263EAB"/>
    <w:rsid w:val="002641A4"/>
    <w:rsid w:val="00264260"/>
    <w:rsid w:val="0026431D"/>
    <w:rsid w:val="002644F4"/>
    <w:rsid w:val="0026451D"/>
    <w:rsid w:val="0026452C"/>
    <w:rsid w:val="00264754"/>
    <w:rsid w:val="002649BC"/>
    <w:rsid w:val="00264A51"/>
    <w:rsid w:val="00264A96"/>
    <w:rsid w:val="00264BF7"/>
    <w:rsid w:val="00264C46"/>
    <w:rsid w:val="00264DB8"/>
    <w:rsid w:val="00265613"/>
    <w:rsid w:val="002656DD"/>
    <w:rsid w:val="00265785"/>
    <w:rsid w:val="00265AD2"/>
    <w:rsid w:val="00265C07"/>
    <w:rsid w:val="00265C6B"/>
    <w:rsid w:val="00265D3B"/>
    <w:rsid w:val="00265D3C"/>
    <w:rsid w:val="00265F66"/>
    <w:rsid w:val="00266232"/>
    <w:rsid w:val="0026641F"/>
    <w:rsid w:val="0026667C"/>
    <w:rsid w:val="002666D5"/>
    <w:rsid w:val="00266844"/>
    <w:rsid w:val="00266A4B"/>
    <w:rsid w:val="00266F07"/>
    <w:rsid w:val="002671E4"/>
    <w:rsid w:val="002671E7"/>
    <w:rsid w:val="002672A1"/>
    <w:rsid w:val="0026732E"/>
    <w:rsid w:val="0026745F"/>
    <w:rsid w:val="002674F5"/>
    <w:rsid w:val="00267530"/>
    <w:rsid w:val="00267722"/>
    <w:rsid w:val="0026795C"/>
    <w:rsid w:val="002679AC"/>
    <w:rsid w:val="00267B03"/>
    <w:rsid w:val="00267B82"/>
    <w:rsid w:val="00267C80"/>
    <w:rsid w:val="00267CC7"/>
    <w:rsid w:val="00267D71"/>
    <w:rsid w:val="00267DD7"/>
    <w:rsid w:val="002700E1"/>
    <w:rsid w:val="00270102"/>
    <w:rsid w:val="002703E6"/>
    <w:rsid w:val="002704D0"/>
    <w:rsid w:val="00270654"/>
    <w:rsid w:val="00270698"/>
    <w:rsid w:val="002708A6"/>
    <w:rsid w:val="00270949"/>
    <w:rsid w:val="00270969"/>
    <w:rsid w:val="00270AE0"/>
    <w:rsid w:val="00270AEB"/>
    <w:rsid w:val="00270B55"/>
    <w:rsid w:val="00270BE2"/>
    <w:rsid w:val="00270C0E"/>
    <w:rsid w:val="00270D5D"/>
    <w:rsid w:val="00270D76"/>
    <w:rsid w:val="00270E9D"/>
    <w:rsid w:val="00270EAC"/>
    <w:rsid w:val="00271026"/>
    <w:rsid w:val="0027117C"/>
    <w:rsid w:val="00271233"/>
    <w:rsid w:val="002712CF"/>
    <w:rsid w:val="002717C7"/>
    <w:rsid w:val="00271A1C"/>
    <w:rsid w:val="00271BC3"/>
    <w:rsid w:val="00271E40"/>
    <w:rsid w:val="0027225D"/>
    <w:rsid w:val="002722A6"/>
    <w:rsid w:val="0027239F"/>
    <w:rsid w:val="00272565"/>
    <w:rsid w:val="002725AF"/>
    <w:rsid w:val="002726D0"/>
    <w:rsid w:val="00272767"/>
    <w:rsid w:val="00272A6C"/>
    <w:rsid w:val="00272B94"/>
    <w:rsid w:val="00272DA3"/>
    <w:rsid w:val="00272E7B"/>
    <w:rsid w:val="00272E82"/>
    <w:rsid w:val="00272FB5"/>
    <w:rsid w:val="002730C2"/>
    <w:rsid w:val="002730EE"/>
    <w:rsid w:val="00273229"/>
    <w:rsid w:val="002732DD"/>
    <w:rsid w:val="0027332C"/>
    <w:rsid w:val="00273504"/>
    <w:rsid w:val="002736E6"/>
    <w:rsid w:val="00273732"/>
    <w:rsid w:val="0027386B"/>
    <w:rsid w:val="00273A89"/>
    <w:rsid w:val="00273B84"/>
    <w:rsid w:val="00273BA2"/>
    <w:rsid w:val="00273C9F"/>
    <w:rsid w:val="00273DE8"/>
    <w:rsid w:val="00273E09"/>
    <w:rsid w:val="002742A6"/>
    <w:rsid w:val="002742A7"/>
    <w:rsid w:val="002744A8"/>
    <w:rsid w:val="00274631"/>
    <w:rsid w:val="0027468C"/>
    <w:rsid w:val="002746EB"/>
    <w:rsid w:val="002749D5"/>
    <w:rsid w:val="00274A84"/>
    <w:rsid w:val="00274E7C"/>
    <w:rsid w:val="00275119"/>
    <w:rsid w:val="00275288"/>
    <w:rsid w:val="00275361"/>
    <w:rsid w:val="002753CB"/>
    <w:rsid w:val="00275512"/>
    <w:rsid w:val="0027555F"/>
    <w:rsid w:val="00275565"/>
    <w:rsid w:val="002755DE"/>
    <w:rsid w:val="0027561E"/>
    <w:rsid w:val="00275643"/>
    <w:rsid w:val="0027567E"/>
    <w:rsid w:val="00275984"/>
    <w:rsid w:val="00275A02"/>
    <w:rsid w:val="00275BAC"/>
    <w:rsid w:val="00275E0F"/>
    <w:rsid w:val="00275E1E"/>
    <w:rsid w:val="00275E6C"/>
    <w:rsid w:val="00275EAF"/>
    <w:rsid w:val="00275FCC"/>
    <w:rsid w:val="002762A0"/>
    <w:rsid w:val="0027633D"/>
    <w:rsid w:val="0027650D"/>
    <w:rsid w:val="0027653F"/>
    <w:rsid w:val="002765DC"/>
    <w:rsid w:val="0027661D"/>
    <w:rsid w:val="00276749"/>
    <w:rsid w:val="002768B6"/>
    <w:rsid w:val="00276A2D"/>
    <w:rsid w:val="00276B9C"/>
    <w:rsid w:val="00276D47"/>
    <w:rsid w:val="00276EA9"/>
    <w:rsid w:val="00277038"/>
    <w:rsid w:val="00277108"/>
    <w:rsid w:val="0027724D"/>
    <w:rsid w:val="0027738B"/>
    <w:rsid w:val="0027739B"/>
    <w:rsid w:val="002773C2"/>
    <w:rsid w:val="00277412"/>
    <w:rsid w:val="00277478"/>
    <w:rsid w:val="0027768D"/>
    <w:rsid w:val="00277706"/>
    <w:rsid w:val="002777FA"/>
    <w:rsid w:val="002777FB"/>
    <w:rsid w:val="00277804"/>
    <w:rsid w:val="0027780A"/>
    <w:rsid w:val="002778A7"/>
    <w:rsid w:val="002778E0"/>
    <w:rsid w:val="00277A8D"/>
    <w:rsid w:val="00277B12"/>
    <w:rsid w:val="00277B2E"/>
    <w:rsid w:val="00277BB8"/>
    <w:rsid w:val="00277C45"/>
    <w:rsid w:val="00277D0B"/>
    <w:rsid w:val="00277DCC"/>
    <w:rsid w:val="00277F69"/>
    <w:rsid w:val="002807E4"/>
    <w:rsid w:val="0028080F"/>
    <w:rsid w:val="002808D6"/>
    <w:rsid w:val="00280C17"/>
    <w:rsid w:val="00280CE9"/>
    <w:rsid w:val="00281031"/>
    <w:rsid w:val="00281187"/>
    <w:rsid w:val="002811A0"/>
    <w:rsid w:val="00281370"/>
    <w:rsid w:val="00281422"/>
    <w:rsid w:val="0028154E"/>
    <w:rsid w:val="00281576"/>
    <w:rsid w:val="00281706"/>
    <w:rsid w:val="0028172E"/>
    <w:rsid w:val="0028178F"/>
    <w:rsid w:val="00281CD8"/>
    <w:rsid w:val="00282019"/>
    <w:rsid w:val="00282156"/>
    <w:rsid w:val="002821C8"/>
    <w:rsid w:val="0028221C"/>
    <w:rsid w:val="002828DA"/>
    <w:rsid w:val="00282B86"/>
    <w:rsid w:val="00282BAF"/>
    <w:rsid w:val="00282C65"/>
    <w:rsid w:val="00282E55"/>
    <w:rsid w:val="00282FC6"/>
    <w:rsid w:val="00283054"/>
    <w:rsid w:val="0028309D"/>
    <w:rsid w:val="002835D2"/>
    <w:rsid w:val="00283646"/>
    <w:rsid w:val="00283683"/>
    <w:rsid w:val="002838D9"/>
    <w:rsid w:val="00283B2A"/>
    <w:rsid w:val="00283B46"/>
    <w:rsid w:val="00283B68"/>
    <w:rsid w:val="00283B95"/>
    <w:rsid w:val="00283CBD"/>
    <w:rsid w:val="00283D4B"/>
    <w:rsid w:val="00283DA2"/>
    <w:rsid w:val="00283ED3"/>
    <w:rsid w:val="00283F0F"/>
    <w:rsid w:val="00283F65"/>
    <w:rsid w:val="00283F84"/>
    <w:rsid w:val="00284560"/>
    <w:rsid w:val="00284570"/>
    <w:rsid w:val="00284596"/>
    <w:rsid w:val="0028479A"/>
    <w:rsid w:val="002847C5"/>
    <w:rsid w:val="00284A04"/>
    <w:rsid w:val="00284A16"/>
    <w:rsid w:val="00284A1F"/>
    <w:rsid w:val="00284A5C"/>
    <w:rsid w:val="00284B88"/>
    <w:rsid w:val="00284BA6"/>
    <w:rsid w:val="00284C1B"/>
    <w:rsid w:val="00284E0F"/>
    <w:rsid w:val="00284E38"/>
    <w:rsid w:val="00284E9E"/>
    <w:rsid w:val="002851BC"/>
    <w:rsid w:val="002859FD"/>
    <w:rsid w:val="00285A71"/>
    <w:rsid w:val="00285F43"/>
    <w:rsid w:val="00285F73"/>
    <w:rsid w:val="00285FB6"/>
    <w:rsid w:val="002861CE"/>
    <w:rsid w:val="002862A9"/>
    <w:rsid w:val="002864F1"/>
    <w:rsid w:val="00286502"/>
    <w:rsid w:val="0028652F"/>
    <w:rsid w:val="00286577"/>
    <w:rsid w:val="002869DB"/>
    <w:rsid w:val="00286A71"/>
    <w:rsid w:val="00286ABF"/>
    <w:rsid w:val="00286BB1"/>
    <w:rsid w:val="00286BD4"/>
    <w:rsid w:val="00286EAF"/>
    <w:rsid w:val="00287008"/>
    <w:rsid w:val="00287012"/>
    <w:rsid w:val="002871AE"/>
    <w:rsid w:val="00287290"/>
    <w:rsid w:val="00287296"/>
    <w:rsid w:val="002872B6"/>
    <w:rsid w:val="0028738A"/>
    <w:rsid w:val="00287609"/>
    <w:rsid w:val="0028765A"/>
    <w:rsid w:val="002876B7"/>
    <w:rsid w:val="002876CE"/>
    <w:rsid w:val="00287714"/>
    <w:rsid w:val="002877C5"/>
    <w:rsid w:val="0028784A"/>
    <w:rsid w:val="00287875"/>
    <w:rsid w:val="002879DE"/>
    <w:rsid w:val="00287B8A"/>
    <w:rsid w:val="00287BB0"/>
    <w:rsid w:val="00287F22"/>
    <w:rsid w:val="002903D8"/>
    <w:rsid w:val="002904F2"/>
    <w:rsid w:val="002905B2"/>
    <w:rsid w:val="002905FA"/>
    <w:rsid w:val="002906CF"/>
    <w:rsid w:val="0029078D"/>
    <w:rsid w:val="00290A29"/>
    <w:rsid w:val="00290A47"/>
    <w:rsid w:val="00290BA4"/>
    <w:rsid w:val="00290BCA"/>
    <w:rsid w:val="00290C16"/>
    <w:rsid w:val="00290CF9"/>
    <w:rsid w:val="00290F22"/>
    <w:rsid w:val="0029139A"/>
    <w:rsid w:val="002915A2"/>
    <w:rsid w:val="00291613"/>
    <w:rsid w:val="0029184B"/>
    <w:rsid w:val="002919A8"/>
    <w:rsid w:val="002919BD"/>
    <w:rsid w:val="00291C97"/>
    <w:rsid w:val="00291D42"/>
    <w:rsid w:val="00291E4B"/>
    <w:rsid w:val="00291ED6"/>
    <w:rsid w:val="00291F14"/>
    <w:rsid w:val="00292110"/>
    <w:rsid w:val="00292370"/>
    <w:rsid w:val="00292420"/>
    <w:rsid w:val="00292564"/>
    <w:rsid w:val="00292567"/>
    <w:rsid w:val="0029273D"/>
    <w:rsid w:val="0029277B"/>
    <w:rsid w:val="00292DD3"/>
    <w:rsid w:val="00292E28"/>
    <w:rsid w:val="00292F22"/>
    <w:rsid w:val="00293001"/>
    <w:rsid w:val="0029339C"/>
    <w:rsid w:val="0029360D"/>
    <w:rsid w:val="00293627"/>
    <w:rsid w:val="0029384C"/>
    <w:rsid w:val="00293A38"/>
    <w:rsid w:val="00293B6F"/>
    <w:rsid w:val="00293E73"/>
    <w:rsid w:val="00293F5A"/>
    <w:rsid w:val="00294116"/>
    <w:rsid w:val="002941AA"/>
    <w:rsid w:val="0029427B"/>
    <w:rsid w:val="002942A4"/>
    <w:rsid w:val="002943CD"/>
    <w:rsid w:val="002943FA"/>
    <w:rsid w:val="002947C0"/>
    <w:rsid w:val="002948F4"/>
    <w:rsid w:val="00294965"/>
    <w:rsid w:val="002949EC"/>
    <w:rsid w:val="00294C4B"/>
    <w:rsid w:val="00294C75"/>
    <w:rsid w:val="00294CD7"/>
    <w:rsid w:val="00294D94"/>
    <w:rsid w:val="00294EBE"/>
    <w:rsid w:val="00295020"/>
    <w:rsid w:val="00295192"/>
    <w:rsid w:val="002951C7"/>
    <w:rsid w:val="0029522F"/>
    <w:rsid w:val="00295255"/>
    <w:rsid w:val="002952C5"/>
    <w:rsid w:val="00295381"/>
    <w:rsid w:val="00295445"/>
    <w:rsid w:val="0029546F"/>
    <w:rsid w:val="00295511"/>
    <w:rsid w:val="002956D2"/>
    <w:rsid w:val="00295777"/>
    <w:rsid w:val="002958F9"/>
    <w:rsid w:val="0029597C"/>
    <w:rsid w:val="00295BFD"/>
    <w:rsid w:val="00295C14"/>
    <w:rsid w:val="00295C7D"/>
    <w:rsid w:val="00295DBA"/>
    <w:rsid w:val="00295E7E"/>
    <w:rsid w:val="00295E8F"/>
    <w:rsid w:val="00295F4B"/>
    <w:rsid w:val="00296185"/>
    <w:rsid w:val="002962E7"/>
    <w:rsid w:val="00296324"/>
    <w:rsid w:val="002963F6"/>
    <w:rsid w:val="002964FD"/>
    <w:rsid w:val="00296554"/>
    <w:rsid w:val="00296586"/>
    <w:rsid w:val="00296603"/>
    <w:rsid w:val="002966F0"/>
    <w:rsid w:val="00296704"/>
    <w:rsid w:val="0029689C"/>
    <w:rsid w:val="002968CB"/>
    <w:rsid w:val="00296AC0"/>
    <w:rsid w:val="00296B60"/>
    <w:rsid w:val="00296C0C"/>
    <w:rsid w:val="00297030"/>
    <w:rsid w:val="00297178"/>
    <w:rsid w:val="002973F0"/>
    <w:rsid w:val="002975D6"/>
    <w:rsid w:val="0029777D"/>
    <w:rsid w:val="00297855"/>
    <w:rsid w:val="0029787E"/>
    <w:rsid w:val="00297926"/>
    <w:rsid w:val="00297983"/>
    <w:rsid w:val="00297C1D"/>
    <w:rsid w:val="00297E2C"/>
    <w:rsid w:val="00297FC0"/>
    <w:rsid w:val="002A0160"/>
    <w:rsid w:val="002A01EF"/>
    <w:rsid w:val="002A02E7"/>
    <w:rsid w:val="002A0312"/>
    <w:rsid w:val="002A037D"/>
    <w:rsid w:val="002A053D"/>
    <w:rsid w:val="002A0858"/>
    <w:rsid w:val="002A086A"/>
    <w:rsid w:val="002A0A3C"/>
    <w:rsid w:val="002A0AB8"/>
    <w:rsid w:val="002A0B8C"/>
    <w:rsid w:val="002A0F10"/>
    <w:rsid w:val="002A0FBD"/>
    <w:rsid w:val="002A1080"/>
    <w:rsid w:val="002A1082"/>
    <w:rsid w:val="002A12BE"/>
    <w:rsid w:val="002A166D"/>
    <w:rsid w:val="002A16CA"/>
    <w:rsid w:val="002A17D6"/>
    <w:rsid w:val="002A19D8"/>
    <w:rsid w:val="002A1ACC"/>
    <w:rsid w:val="002A1AD6"/>
    <w:rsid w:val="002A1C82"/>
    <w:rsid w:val="002A1DCF"/>
    <w:rsid w:val="002A1E4F"/>
    <w:rsid w:val="002A1E59"/>
    <w:rsid w:val="002A21C8"/>
    <w:rsid w:val="002A224D"/>
    <w:rsid w:val="002A2468"/>
    <w:rsid w:val="002A2479"/>
    <w:rsid w:val="002A28DF"/>
    <w:rsid w:val="002A2914"/>
    <w:rsid w:val="002A297B"/>
    <w:rsid w:val="002A2ABE"/>
    <w:rsid w:val="002A2AF5"/>
    <w:rsid w:val="002A2E25"/>
    <w:rsid w:val="002A30C8"/>
    <w:rsid w:val="002A3128"/>
    <w:rsid w:val="002A31E4"/>
    <w:rsid w:val="002A33F5"/>
    <w:rsid w:val="002A345D"/>
    <w:rsid w:val="002A34A2"/>
    <w:rsid w:val="002A3591"/>
    <w:rsid w:val="002A363A"/>
    <w:rsid w:val="002A37B5"/>
    <w:rsid w:val="002A386E"/>
    <w:rsid w:val="002A3888"/>
    <w:rsid w:val="002A3894"/>
    <w:rsid w:val="002A39F2"/>
    <w:rsid w:val="002A3A49"/>
    <w:rsid w:val="002A3B37"/>
    <w:rsid w:val="002A3C33"/>
    <w:rsid w:val="002A43DA"/>
    <w:rsid w:val="002A44D2"/>
    <w:rsid w:val="002A4794"/>
    <w:rsid w:val="002A4854"/>
    <w:rsid w:val="002A4996"/>
    <w:rsid w:val="002A4D17"/>
    <w:rsid w:val="002A5046"/>
    <w:rsid w:val="002A512A"/>
    <w:rsid w:val="002A534B"/>
    <w:rsid w:val="002A5531"/>
    <w:rsid w:val="002A5534"/>
    <w:rsid w:val="002A562D"/>
    <w:rsid w:val="002A566F"/>
    <w:rsid w:val="002A5AC5"/>
    <w:rsid w:val="002A5D3F"/>
    <w:rsid w:val="002A5D5B"/>
    <w:rsid w:val="002A5E31"/>
    <w:rsid w:val="002A5F07"/>
    <w:rsid w:val="002A5F70"/>
    <w:rsid w:val="002A60A8"/>
    <w:rsid w:val="002A61E6"/>
    <w:rsid w:val="002A6253"/>
    <w:rsid w:val="002A6348"/>
    <w:rsid w:val="002A6388"/>
    <w:rsid w:val="002A6399"/>
    <w:rsid w:val="002A6427"/>
    <w:rsid w:val="002A66B4"/>
    <w:rsid w:val="002A66D5"/>
    <w:rsid w:val="002A6788"/>
    <w:rsid w:val="002A6915"/>
    <w:rsid w:val="002A6919"/>
    <w:rsid w:val="002A6A2C"/>
    <w:rsid w:val="002A6A92"/>
    <w:rsid w:val="002A6AE5"/>
    <w:rsid w:val="002A7131"/>
    <w:rsid w:val="002A72D7"/>
    <w:rsid w:val="002A7542"/>
    <w:rsid w:val="002A7583"/>
    <w:rsid w:val="002A75A8"/>
    <w:rsid w:val="002A75E8"/>
    <w:rsid w:val="002A76E2"/>
    <w:rsid w:val="002A7773"/>
    <w:rsid w:val="002A7964"/>
    <w:rsid w:val="002A7999"/>
    <w:rsid w:val="002A7C7D"/>
    <w:rsid w:val="002A7CA2"/>
    <w:rsid w:val="002A7D28"/>
    <w:rsid w:val="002B00FB"/>
    <w:rsid w:val="002B0303"/>
    <w:rsid w:val="002B039D"/>
    <w:rsid w:val="002B0495"/>
    <w:rsid w:val="002B04A9"/>
    <w:rsid w:val="002B04BA"/>
    <w:rsid w:val="002B04BE"/>
    <w:rsid w:val="002B059E"/>
    <w:rsid w:val="002B08E0"/>
    <w:rsid w:val="002B093A"/>
    <w:rsid w:val="002B094F"/>
    <w:rsid w:val="002B0991"/>
    <w:rsid w:val="002B0AC1"/>
    <w:rsid w:val="002B0B6C"/>
    <w:rsid w:val="002B0C00"/>
    <w:rsid w:val="002B0C5E"/>
    <w:rsid w:val="002B0F15"/>
    <w:rsid w:val="002B11A0"/>
    <w:rsid w:val="002B13B0"/>
    <w:rsid w:val="002B1562"/>
    <w:rsid w:val="002B176D"/>
    <w:rsid w:val="002B1A4B"/>
    <w:rsid w:val="002B1DC6"/>
    <w:rsid w:val="002B1DE5"/>
    <w:rsid w:val="002B2047"/>
    <w:rsid w:val="002B2145"/>
    <w:rsid w:val="002B218E"/>
    <w:rsid w:val="002B21B3"/>
    <w:rsid w:val="002B22F6"/>
    <w:rsid w:val="002B23FD"/>
    <w:rsid w:val="002B246E"/>
    <w:rsid w:val="002B2477"/>
    <w:rsid w:val="002B269F"/>
    <w:rsid w:val="002B2753"/>
    <w:rsid w:val="002B2ADB"/>
    <w:rsid w:val="002B2B09"/>
    <w:rsid w:val="002B2B82"/>
    <w:rsid w:val="002B2BC2"/>
    <w:rsid w:val="002B2C3E"/>
    <w:rsid w:val="002B2D6F"/>
    <w:rsid w:val="002B2E0F"/>
    <w:rsid w:val="002B2EBC"/>
    <w:rsid w:val="002B3162"/>
    <w:rsid w:val="002B32DB"/>
    <w:rsid w:val="002B3591"/>
    <w:rsid w:val="002B360A"/>
    <w:rsid w:val="002B3640"/>
    <w:rsid w:val="002B368D"/>
    <w:rsid w:val="002B376D"/>
    <w:rsid w:val="002B3AF9"/>
    <w:rsid w:val="002B3B2E"/>
    <w:rsid w:val="002B3C52"/>
    <w:rsid w:val="002B3C54"/>
    <w:rsid w:val="002B3E0C"/>
    <w:rsid w:val="002B3E75"/>
    <w:rsid w:val="002B4671"/>
    <w:rsid w:val="002B49B0"/>
    <w:rsid w:val="002B4A1E"/>
    <w:rsid w:val="002B4C48"/>
    <w:rsid w:val="002B4DD6"/>
    <w:rsid w:val="002B4E8A"/>
    <w:rsid w:val="002B5017"/>
    <w:rsid w:val="002B522C"/>
    <w:rsid w:val="002B54D2"/>
    <w:rsid w:val="002B54DD"/>
    <w:rsid w:val="002B566B"/>
    <w:rsid w:val="002B56D3"/>
    <w:rsid w:val="002B5758"/>
    <w:rsid w:val="002B59F1"/>
    <w:rsid w:val="002B5A5A"/>
    <w:rsid w:val="002B5B79"/>
    <w:rsid w:val="002B5CC0"/>
    <w:rsid w:val="002B5DA7"/>
    <w:rsid w:val="002B5E2C"/>
    <w:rsid w:val="002B60DE"/>
    <w:rsid w:val="002B61FF"/>
    <w:rsid w:val="002B6485"/>
    <w:rsid w:val="002B6512"/>
    <w:rsid w:val="002B6662"/>
    <w:rsid w:val="002B6732"/>
    <w:rsid w:val="002B678D"/>
    <w:rsid w:val="002B67A8"/>
    <w:rsid w:val="002B68F3"/>
    <w:rsid w:val="002B6BE6"/>
    <w:rsid w:val="002B6C9F"/>
    <w:rsid w:val="002B6D21"/>
    <w:rsid w:val="002B6D71"/>
    <w:rsid w:val="002B7186"/>
    <w:rsid w:val="002B7428"/>
    <w:rsid w:val="002B742E"/>
    <w:rsid w:val="002B7552"/>
    <w:rsid w:val="002B7564"/>
    <w:rsid w:val="002B75BB"/>
    <w:rsid w:val="002B7773"/>
    <w:rsid w:val="002B78AC"/>
    <w:rsid w:val="002B7919"/>
    <w:rsid w:val="002B7EC9"/>
    <w:rsid w:val="002B7F30"/>
    <w:rsid w:val="002C0126"/>
    <w:rsid w:val="002C0151"/>
    <w:rsid w:val="002C0503"/>
    <w:rsid w:val="002C0824"/>
    <w:rsid w:val="002C0BFE"/>
    <w:rsid w:val="002C0D2C"/>
    <w:rsid w:val="002C0D57"/>
    <w:rsid w:val="002C0DFF"/>
    <w:rsid w:val="002C0E16"/>
    <w:rsid w:val="002C0ED7"/>
    <w:rsid w:val="002C0F43"/>
    <w:rsid w:val="002C0FC5"/>
    <w:rsid w:val="002C1072"/>
    <w:rsid w:val="002C10B3"/>
    <w:rsid w:val="002C1151"/>
    <w:rsid w:val="002C11D8"/>
    <w:rsid w:val="002C1399"/>
    <w:rsid w:val="002C1427"/>
    <w:rsid w:val="002C1453"/>
    <w:rsid w:val="002C14BA"/>
    <w:rsid w:val="002C15CC"/>
    <w:rsid w:val="002C15DD"/>
    <w:rsid w:val="002C1656"/>
    <w:rsid w:val="002C184F"/>
    <w:rsid w:val="002C18FB"/>
    <w:rsid w:val="002C1BC4"/>
    <w:rsid w:val="002C1BEC"/>
    <w:rsid w:val="002C1E00"/>
    <w:rsid w:val="002C1E9E"/>
    <w:rsid w:val="002C2086"/>
    <w:rsid w:val="002C248B"/>
    <w:rsid w:val="002C2514"/>
    <w:rsid w:val="002C25F8"/>
    <w:rsid w:val="002C271C"/>
    <w:rsid w:val="002C275B"/>
    <w:rsid w:val="002C2768"/>
    <w:rsid w:val="002C2B86"/>
    <w:rsid w:val="002C2E88"/>
    <w:rsid w:val="002C2EB1"/>
    <w:rsid w:val="002C2F53"/>
    <w:rsid w:val="002C325D"/>
    <w:rsid w:val="002C32B7"/>
    <w:rsid w:val="002C33C7"/>
    <w:rsid w:val="002C34D6"/>
    <w:rsid w:val="002C36A2"/>
    <w:rsid w:val="002C374B"/>
    <w:rsid w:val="002C393F"/>
    <w:rsid w:val="002C39D5"/>
    <w:rsid w:val="002C39E7"/>
    <w:rsid w:val="002C3A11"/>
    <w:rsid w:val="002C3D70"/>
    <w:rsid w:val="002C3DE0"/>
    <w:rsid w:val="002C3EA8"/>
    <w:rsid w:val="002C3F7B"/>
    <w:rsid w:val="002C409C"/>
    <w:rsid w:val="002C4115"/>
    <w:rsid w:val="002C450B"/>
    <w:rsid w:val="002C4712"/>
    <w:rsid w:val="002C47C1"/>
    <w:rsid w:val="002C4A10"/>
    <w:rsid w:val="002C4A6E"/>
    <w:rsid w:val="002C4DB7"/>
    <w:rsid w:val="002C4DE3"/>
    <w:rsid w:val="002C4EC2"/>
    <w:rsid w:val="002C5165"/>
    <w:rsid w:val="002C5314"/>
    <w:rsid w:val="002C545D"/>
    <w:rsid w:val="002C54A8"/>
    <w:rsid w:val="002C54BB"/>
    <w:rsid w:val="002C5655"/>
    <w:rsid w:val="002C5669"/>
    <w:rsid w:val="002C5754"/>
    <w:rsid w:val="002C5896"/>
    <w:rsid w:val="002C5E17"/>
    <w:rsid w:val="002C6040"/>
    <w:rsid w:val="002C607D"/>
    <w:rsid w:val="002C628F"/>
    <w:rsid w:val="002C6316"/>
    <w:rsid w:val="002C6319"/>
    <w:rsid w:val="002C631F"/>
    <w:rsid w:val="002C63DF"/>
    <w:rsid w:val="002C6431"/>
    <w:rsid w:val="002C644B"/>
    <w:rsid w:val="002C66CE"/>
    <w:rsid w:val="002C673F"/>
    <w:rsid w:val="002C67FB"/>
    <w:rsid w:val="002C6874"/>
    <w:rsid w:val="002C69F3"/>
    <w:rsid w:val="002C6AEC"/>
    <w:rsid w:val="002C6AF1"/>
    <w:rsid w:val="002C6B2B"/>
    <w:rsid w:val="002C6C1F"/>
    <w:rsid w:val="002C6C4B"/>
    <w:rsid w:val="002C6CE1"/>
    <w:rsid w:val="002C6D83"/>
    <w:rsid w:val="002C6EE2"/>
    <w:rsid w:val="002C6FCE"/>
    <w:rsid w:val="002C6FF9"/>
    <w:rsid w:val="002C7190"/>
    <w:rsid w:val="002C7216"/>
    <w:rsid w:val="002C7240"/>
    <w:rsid w:val="002C746C"/>
    <w:rsid w:val="002C74D9"/>
    <w:rsid w:val="002C75D9"/>
    <w:rsid w:val="002C7876"/>
    <w:rsid w:val="002C7B1D"/>
    <w:rsid w:val="002C7C39"/>
    <w:rsid w:val="002C7C62"/>
    <w:rsid w:val="002C7D68"/>
    <w:rsid w:val="002C7F40"/>
    <w:rsid w:val="002C7FA3"/>
    <w:rsid w:val="002C7FC2"/>
    <w:rsid w:val="002D018E"/>
    <w:rsid w:val="002D0387"/>
    <w:rsid w:val="002D0435"/>
    <w:rsid w:val="002D04AA"/>
    <w:rsid w:val="002D0633"/>
    <w:rsid w:val="002D080F"/>
    <w:rsid w:val="002D09BA"/>
    <w:rsid w:val="002D0A9B"/>
    <w:rsid w:val="002D0B16"/>
    <w:rsid w:val="002D0B32"/>
    <w:rsid w:val="002D0C15"/>
    <w:rsid w:val="002D156D"/>
    <w:rsid w:val="002D18C2"/>
    <w:rsid w:val="002D1956"/>
    <w:rsid w:val="002D1971"/>
    <w:rsid w:val="002D19D1"/>
    <w:rsid w:val="002D1AD2"/>
    <w:rsid w:val="002D1C67"/>
    <w:rsid w:val="002D1CB9"/>
    <w:rsid w:val="002D1DA2"/>
    <w:rsid w:val="002D1FF8"/>
    <w:rsid w:val="002D20CB"/>
    <w:rsid w:val="002D20FD"/>
    <w:rsid w:val="002D25B1"/>
    <w:rsid w:val="002D2648"/>
    <w:rsid w:val="002D2708"/>
    <w:rsid w:val="002D28AD"/>
    <w:rsid w:val="002D2A27"/>
    <w:rsid w:val="002D2B5B"/>
    <w:rsid w:val="002D2EAD"/>
    <w:rsid w:val="002D2ECD"/>
    <w:rsid w:val="002D2F74"/>
    <w:rsid w:val="002D2FD9"/>
    <w:rsid w:val="002D3014"/>
    <w:rsid w:val="002D3072"/>
    <w:rsid w:val="002D33A5"/>
    <w:rsid w:val="002D354E"/>
    <w:rsid w:val="002D3555"/>
    <w:rsid w:val="002D3776"/>
    <w:rsid w:val="002D37B0"/>
    <w:rsid w:val="002D382D"/>
    <w:rsid w:val="002D3966"/>
    <w:rsid w:val="002D3A83"/>
    <w:rsid w:val="002D3B0D"/>
    <w:rsid w:val="002D3B11"/>
    <w:rsid w:val="002D3B13"/>
    <w:rsid w:val="002D4077"/>
    <w:rsid w:val="002D4083"/>
    <w:rsid w:val="002D444F"/>
    <w:rsid w:val="002D4454"/>
    <w:rsid w:val="002D44A7"/>
    <w:rsid w:val="002D45FD"/>
    <w:rsid w:val="002D476C"/>
    <w:rsid w:val="002D47A1"/>
    <w:rsid w:val="002D47F4"/>
    <w:rsid w:val="002D4A07"/>
    <w:rsid w:val="002D4A88"/>
    <w:rsid w:val="002D4B1A"/>
    <w:rsid w:val="002D4B81"/>
    <w:rsid w:val="002D4C1D"/>
    <w:rsid w:val="002D4D0D"/>
    <w:rsid w:val="002D4ED3"/>
    <w:rsid w:val="002D4F8F"/>
    <w:rsid w:val="002D5069"/>
    <w:rsid w:val="002D513B"/>
    <w:rsid w:val="002D51D3"/>
    <w:rsid w:val="002D5414"/>
    <w:rsid w:val="002D547F"/>
    <w:rsid w:val="002D56E4"/>
    <w:rsid w:val="002D5702"/>
    <w:rsid w:val="002D58CE"/>
    <w:rsid w:val="002D596A"/>
    <w:rsid w:val="002D5A08"/>
    <w:rsid w:val="002D5A6F"/>
    <w:rsid w:val="002D5AA0"/>
    <w:rsid w:val="002D5B2A"/>
    <w:rsid w:val="002D5BD6"/>
    <w:rsid w:val="002D5C41"/>
    <w:rsid w:val="002D5C4A"/>
    <w:rsid w:val="002D5CB6"/>
    <w:rsid w:val="002D5CF7"/>
    <w:rsid w:val="002D5D50"/>
    <w:rsid w:val="002D5E2B"/>
    <w:rsid w:val="002D5F06"/>
    <w:rsid w:val="002D5FCA"/>
    <w:rsid w:val="002D614B"/>
    <w:rsid w:val="002D6293"/>
    <w:rsid w:val="002D62CF"/>
    <w:rsid w:val="002D6328"/>
    <w:rsid w:val="002D6475"/>
    <w:rsid w:val="002D64AE"/>
    <w:rsid w:val="002D64ED"/>
    <w:rsid w:val="002D67C5"/>
    <w:rsid w:val="002D6828"/>
    <w:rsid w:val="002D68F8"/>
    <w:rsid w:val="002D6996"/>
    <w:rsid w:val="002D6A6E"/>
    <w:rsid w:val="002D6C34"/>
    <w:rsid w:val="002D6D0D"/>
    <w:rsid w:val="002D6D27"/>
    <w:rsid w:val="002D6D39"/>
    <w:rsid w:val="002D6D9A"/>
    <w:rsid w:val="002D6EA8"/>
    <w:rsid w:val="002D6F05"/>
    <w:rsid w:val="002D7051"/>
    <w:rsid w:val="002D7116"/>
    <w:rsid w:val="002D724C"/>
    <w:rsid w:val="002D72CD"/>
    <w:rsid w:val="002D7493"/>
    <w:rsid w:val="002D78E0"/>
    <w:rsid w:val="002D797C"/>
    <w:rsid w:val="002D7A09"/>
    <w:rsid w:val="002D7BEE"/>
    <w:rsid w:val="002D7DF4"/>
    <w:rsid w:val="002D7E21"/>
    <w:rsid w:val="002D7E27"/>
    <w:rsid w:val="002E02A9"/>
    <w:rsid w:val="002E0341"/>
    <w:rsid w:val="002E045E"/>
    <w:rsid w:val="002E0546"/>
    <w:rsid w:val="002E0764"/>
    <w:rsid w:val="002E0789"/>
    <w:rsid w:val="002E0813"/>
    <w:rsid w:val="002E08D6"/>
    <w:rsid w:val="002E0A1C"/>
    <w:rsid w:val="002E0B0A"/>
    <w:rsid w:val="002E0C0C"/>
    <w:rsid w:val="002E1401"/>
    <w:rsid w:val="002E1508"/>
    <w:rsid w:val="002E16F1"/>
    <w:rsid w:val="002E17E4"/>
    <w:rsid w:val="002E180B"/>
    <w:rsid w:val="002E19CF"/>
    <w:rsid w:val="002E1BE6"/>
    <w:rsid w:val="002E1CE0"/>
    <w:rsid w:val="002E1D34"/>
    <w:rsid w:val="002E217A"/>
    <w:rsid w:val="002E217F"/>
    <w:rsid w:val="002E2193"/>
    <w:rsid w:val="002E23F9"/>
    <w:rsid w:val="002E24E4"/>
    <w:rsid w:val="002E2500"/>
    <w:rsid w:val="002E258D"/>
    <w:rsid w:val="002E259C"/>
    <w:rsid w:val="002E29DB"/>
    <w:rsid w:val="002E2C20"/>
    <w:rsid w:val="002E2DE0"/>
    <w:rsid w:val="002E2DEB"/>
    <w:rsid w:val="002E2E29"/>
    <w:rsid w:val="002E2FEE"/>
    <w:rsid w:val="002E3142"/>
    <w:rsid w:val="002E32CC"/>
    <w:rsid w:val="002E338B"/>
    <w:rsid w:val="002E3462"/>
    <w:rsid w:val="002E36F4"/>
    <w:rsid w:val="002E381C"/>
    <w:rsid w:val="002E3820"/>
    <w:rsid w:val="002E389C"/>
    <w:rsid w:val="002E3993"/>
    <w:rsid w:val="002E3AD6"/>
    <w:rsid w:val="002E3B6A"/>
    <w:rsid w:val="002E3D89"/>
    <w:rsid w:val="002E402B"/>
    <w:rsid w:val="002E4374"/>
    <w:rsid w:val="002E43EA"/>
    <w:rsid w:val="002E45DC"/>
    <w:rsid w:val="002E46D4"/>
    <w:rsid w:val="002E46EA"/>
    <w:rsid w:val="002E4711"/>
    <w:rsid w:val="002E4781"/>
    <w:rsid w:val="002E47F2"/>
    <w:rsid w:val="002E48D1"/>
    <w:rsid w:val="002E4A89"/>
    <w:rsid w:val="002E4AA7"/>
    <w:rsid w:val="002E4D31"/>
    <w:rsid w:val="002E4D92"/>
    <w:rsid w:val="002E4E25"/>
    <w:rsid w:val="002E4E90"/>
    <w:rsid w:val="002E4FB0"/>
    <w:rsid w:val="002E5038"/>
    <w:rsid w:val="002E51B9"/>
    <w:rsid w:val="002E532A"/>
    <w:rsid w:val="002E53CA"/>
    <w:rsid w:val="002E547F"/>
    <w:rsid w:val="002E5508"/>
    <w:rsid w:val="002E55F8"/>
    <w:rsid w:val="002E5828"/>
    <w:rsid w:val="002E589F"/>
    <w:rsid w:val="002E59F3"/>
    <w:rsid w:val="002E5ABF"/>
    <w:rsid w:val="002E5B2D"/>
    <w:rsid w:val="002E5C99"/>
    <w:rsid w:val="002E5F1D"/>
    <w:rsid w:val="002E5F5E"/>
    <w:rsid w:val="002E6097"/>
    <w:rsid w:val="002E6122"/>
    <w:rsid w:val="002E6228"/>
    <w:rsid w:val="002E63AE"/>
    <w:rsid w:val="002E6436"/>
    <w:rsid w:val="002E663E"/>
    <w:rsid w:val="002E67D5"/>
    <w:rsid w:val="002E67E8"/>
    <w:rsid w:val="002E67F2"/>
    <w:rsid w:val="002E6885"/>
    <w:rsid w:val="002E6AA2"/>
    <w:rsid w:val="002E6E20"/>
    <w:rsid w:val="002E6E99"/>
    <w:rsid w:val="002E6F6E"/>
    <w:rsid w:val="002E6FE3"/>
    <w:rsid w:val="002E70FB"/>
    <w:rsid w:val="002E73AC"/>
    <w:rsid w:val="002E760C"/>
    <w:rsid w:val="002E7634"/>
    <w:rsid w:val="002E7718"/>
    <w:rsid w:val="002E7902"/>
    <w:rsid w:val="002E79A7"/>
    <w:rsid w:val="002E7BF2"/>
    <w:rsid w:val="002E7E42"/>
    <w:rsid w:val="002F00A5"/>
    <w:rsid w:val="002F00B0"/>
    <w:rsid w:val="002F019C"/>
    <w:rsid w:val="002F040E"/>
    <w:rsid w:val="002F0622"/>
    <w:rsid w:val="002F062E"/>
    <w:rsid w:val="002F063B"/>
    <w:rsid w:val="002F06A9"/>
    <w:rsid w:val="002F07BD"/>
    <w:rsid w:val="002F07E3"/>
    <w:rsid w:val="002F08F4"/>
    <w:rsid w:val="002F096B"/>
    <w:rsid w:val="002F096C"/>
    <w:rsid w:val="002F09E8"/>
    <w:rsid w:val="002F0B24"/>
    <w:rsid w:val="002F0BFF"/>
    <w:rsid w:val="002F0CB9"/>
    <w:rsid w:val="002F0D3A"/>
    <w:rsid w:val="002F0F79"/>
    <w:rsid w:val="002F11BA"/>
    <w:rsid w:val="002F13A8"/>
    <w:rsid w:val="002F14FB"/>
    <w:rsid w:val="002F1582"/>
    <w:rsid w:val="002F15BD"/>
    <w:rsid w:val="002F16BD"/>
    <w:rsid w:val="002F16CF"/>
    <w:rsid w:val="002F196B"/>
    <w:rsid w:val="002F1B1B"/>
    <w:rsid w:val="002F1CF8"/>
    <w:rsid w:val="002F1D3C"/>
    <w:rsid w:val="002F1ECC"/>
    <w:rsid w:val="002F1F22"/>
    <w:rsid w:val="002F209D"/>
    <w:rsid w:val="002F2196"/>
    <w:rsid w:val="002F21FD"/>
    <w:rsid w:val="002F2213"/>
    <w:rsid w:val="002F2291"/>
    <w:rsid w:val="002F238F"/>
    <w:rsid w:val="002F2458"/>
    <w:rsid w:val="002F2729"/>
    <w:rsid w:val="002F280F"/>
    <w:rsid w:val="002F2813"/>
    <w:rsid w:val="002F281A"/>
    <w:rsid w:val="002F2B06"/>
    <w:rsid w:val="002F2B2C"/>
    <w:rsid w:val="002F2B58"/>
    <w:rsid w:val="002F2BF9"/>
    <w:rsid w:val="002F2D9A"/>
    <w:rsid w:val="002F3002"/>
    <w:rsid w:val="002F30F2"/>
    <w:rsid w:val="002F325E"/>
    <w:rsid w:val="002F32E5"/>
    <w:rsid w:val="002F32FE"/>
    <w:rsid w:val="002F3346"/>
    <w:rsid w:val="002F3406"/>
    <w:rsid w:val="002F35AD"/>
    <w:rsid w:val="002F35C9"/>
    <w:rsid w:val="002F36C5"/>
    <w:rsid w:val="002F3848"/>
    <w:rsid w:val="002F3851"/>
    <w:rsid w:val="002F393B"/>
    <w:rsid w:val="002F3A04"/>
    <w:rsid w:val="002F3DE3"/>
    <w:rsid w:val="002F3F00"/>
    <w:rsid w:val="002F40C7"/>
    <w:rsid w:val="002F418A"/>
    <w:rsid w:val="002F41B8"/>
    <w:rsid w:val="002F44F7"/>
    <w:rsid w:val="002F44F8"/>
    <w:rsid w:val="002F45C2"/>
    <w:rsid w:val="002F4AA0"/>
    <w:rsid w:val="002F4D00"/>
    <w:rsid w:val="002F4D63"/>
    <w:rsid w:val="002F4DCA"/>
    <w:rsid w:val="002F4E4B"/>
    <w:rsid w:val="002F4EFF"/>
    <w:rsid w:val="002F4F4C"/>
    <w:rsid w:val="002F506F"/>
    <w:rsid w:val="002F55A5"/>
    <w:rsid w:val="002F5605"/>
    <w:rsid w:val="002F5894"/>
    <w:rsid w:val="002F58AA"/>
    <w:rsid w:val="002F5A2E"/>
    <w:rsid w:val="002F5ACD"/>
    <w:rsid w:val="002F5E2C"/>
    <w:rsid w:val="002F5E8F"/>
    <w:rsid w:val="002F6294"/>
    <w:rsid w:val="002F641C"/>
    <w:rsid w:val="002F67AC"/>
    <w:rsid w:val="002F6A8C"/>
    <w:rsid w:val="002F6C38"/>
    <w:rsid w:val="002F6C46"/>
    <w:rsid w:val="002F7092"/>
    <w:rsid w:val="002F70AF"/>
    <w:rsid w:val="002F70D3"/>
    <w:rsid w:val="002F723A"/>
    <w:rsid w:val="002F7296"/>
    <w:rsid w:val="002F72BF"/>
    <w:rsid w:val="002F7374"/>
    <w:rsid w:val="002F766E"/>
    <w:rsid w:val="002F7806"/>
    <w:rsid w:val="002F7812"/>
    <w:rsid w:val="002F7827"/>
    <w:rsid w:val="002F78EF"/>
    <w:rsid w:val="002F7AD5"/>
    <w:rsid w:val="002F7AEB"/>
    <w:rsid w:val="002F7B4A"/>
    <w:rsid w:val="002F7BBF"/>
    <w:rsid w:val="002F7C4F"/>
    <w:rsid w:val="002F7DB0"/>
    <w:rsid w:val="002F7EC2"/>
    <w:rsid w:val="002F7F00"/>
    <w:rsid w:val="002F7F19"/>
    <w:rsid w:val="002F7F2A"/>
    <w:rsid w:val="002F7F4E"/>
    <w:rsid w:val="002F7F93"/>
    <w:rsid w:val="003000F6"/>
    <w:rsid w:val="0030033D"/>
    <w:rsid w:val="003003A2"/>
    <w:rsid w:val="003003DE"/>
    <w:rsid w:val="003003DF"/>
    <w:rsid w:val="003003EA"/>
    <w:rsid w:val="00300610"/>
    <w:rsid w:val="0030087F"/>
    <w:rsid w:val="00300908"/>
    <w:rsid w:val="00300D57"/>
    <w:rsid w:val="00300F59"/>
    <w:rsid w:val="00300FC1"/>
    <w:rsid w:val="0030108D"/>
    <w:rsid w:val="003012B6"/>
    <w:rsid w:val="003013C5"/>
    <w:rsid w:val="003014A6"/>
    <w:rsid w:val="00301A69"/>
    <w:rsid w:val="00301A75"/>
    <w:rsid w:val="00301C9F"/>
    <w:rsid w:val="00301E0A"/>
    <w:rsid w:val="0030211C"/>
    <w:rsid w:val="003021CD"/>
    <w:rsid w:val="003021DB"/>
    <w:rsid w:val="003021FC"/>
    <w:rsid w:val="00302267"/>
    <w:rsid w:val="00302376"/>
    <w:rsid w:val="003023ED"/>
    <w:rsid w:val="00302413"/>
    <w:rsid w:val="0030243C"/>
    <w:rsid w:val="00302530"/>
    <w:rsid w:val="003025FF"/>
    <w:rsid w:val="00302719"/>
    <w:rsid w:val="0030293A"/>
    <w:rsid w:val="00302A66"/>
    <w:rsid w:val="00302AF2"/>
    <w:rsid w:val="00302D68"/>
    <w:rsid w:val="00302DCB"/>
    <w:rsid w:val="00302E32"/>
    <w:rsid w:val="00302E7F"/>
    <w:rsid w:val="00302F33"/>
    <w:rsid w:val="00302F77"/>
    <w:rsid w:val="003030A8"/>
    <w:rsid w:val="0030322A"/>
    <w:rsid w:val="003033AF"/>
    <w:rsid w:val="00303474"/>
    <w:rsid w:val="00303483"/>
    <w:rsid w:val="003034FE"/>
    <w:rsid w:val="003037C8"/>
    <w:rsid w:val="00303854"/>
    <w:rsid w:val="00303A02"/>
    <w:rsid w:val="00303B10"/>
    <w:rsid w:val="00304440"/>
    <w:rsid w:val="0030448A"/>
    <w:rsid w:val="003045F4"/>
    <w:rsid w:val="00304615"/>
    <w:rsid w:val="0030470E"/>
    <w:rsid w:val="00304786"/>
    <w:rsid w:val="003047BF"/>
    <w:rsid w:val="00304941"/>
    <w:rsid w:val="003049E6"/>
    <w:rsid w:val="00304A7E"/>
    <w:rsid w:val="00304EEA"/>
    <w:rsid w:val="00305122"/>
    <w:rsid w:val="0030515A"/>
    <w:rsid w:val="0030516E"/>
    <w:rsid w:val="00305177"/>
    <w:rsid w:val="00305444"/>
    <w:rsid w:val="00305654"/>
    <w:rsid w:val="0030568E"/>
    <w:rsid w:val="003057ED"/>
    <w:rsid w:val="0030592D"/>
    <w:rsid w:val="00305975"/>
    <w:rsid w:val="00305A62"/>
    <w:rsid w:val="00305B31"/>
    <w:rsid w:val="00305B82"/>
    <w:rsid w:val="00305C5A"/>
    <w:rsid w:val="00305D69"/>
    <w:rsid w:val="00305E25"/>
    <w:rsid w:val="00305F24"/>
    <w:rsid w:val="00305F54"/>
    <w:rsid w:val="00305FA3"/>
    <w:rsid w:val="0030604B"/>
    <w:rsid w:val="00306062"/>
    <w:rsid w:val="00306322"/>
    <w:rsid w:val="00306328"/>
    <w:rsid w:val="00306594"/>
    <w:rsid w:val="0030661A"/>
    <w:rsid w:val="0030667D"/>
    <w:rsid w:val="00306706"/>
    <w:rsid w:val="00306726"/>
    <w:rsid w:val="003068AE"/>
    <w:rsid w:val="00306A6C"/>
    <w:rsid w:val="00306B4B"/>
    <w:rsid w:val="00306C9E"/>
    <w:rsid w:val="00306DB7"/>
    <w:rsid w:val="00306E7B"/>
    <w:rsid w:val="00306FEA"/>
    <w:rsid w:val="00307022"/>
    <w:rsid w:val="0030705F"/>
    <w:rsid w:val="00307104"/>
    <w:rsid w:val="0030715C"/>
    <w:rsid w:val="0030716A"/>
    <w:rsid w:val="0030726E"/>
    <w:rsid w:val="003072FF"/>
    <w:rsid w:val="00307424"/>
    <w:rsid w:val="00307624"/>
    <w:rsid w:val="00307632"/>
    <w:rsid w:val="00307699"/>
    <w:rsid w:val="003078C1"/>
    <w:rsid w:val="003079A3"/>
    <w:rsid w:val="00307A50"/>
    <w:rsid w:val="00307B81"/>
    <w:rsid w:val="00307CF4"/>
    <w:rsid w:val="00307D04"/>
    <w:rsid w:val="00307D19"/>
    <w:rsid w:val="00307D64"/>
    <w:rsid w:val="00310341"/>
    <w:rsid w:val="003103CA"/>
    <w:rsid w:val="003106D7"/>
    <w:rsid w:val="00310A7F"/>
    <w:rsid w:val="00310B5D"/>
    <w:rsid w:val="00310BD6"/>
    <w:rsid w:val="00310D6C"/>
    <w:rsid w:val="00310F01"/>
    <w:rsid w:val="0031119B"/>
    <w:rsid w:val="003113C8"/>
    <w:rsid w:val="00311437"/>
    <w:rsid w:val="00311566"/>
    <w:rsid w:val="003117FE"/>
    <w:rsid w:val="00311890"/>
    <w:rsid w:val="00311A0F"/>
    <w:rsid w:val="00311A1B"/>
    <w:rsid w:val="00311AF2"/>
    <w:rsid w:val="00311B0D"/>
    <w:rsid w:val="00311EFF"/>
    <w:rsid w:val="003120C3"/>
    <w:rsid w:val="003122E7"/>
    <w:rsid w:val="00312345"/>
    <w:rsid w:val="003123B9"/>
    <w:rsid w:val="00312551"/>
    <w:rsid w:val="00312972"/>
    <w:rsid w:val="00312D86"/>
    <w:rsid w:val="00312DC3"/>
    <w:rsid w:val="00312E29"/>
    <w:rsid w:val="00312EF6"/>
    <w:rsid w:val="00312FAB"/>
    <w:rsid w:val="00313164"/>
    <w:rsid w:val="00313243"/>
    <w:rsid w:val="003132C0"/>
    <w:rsid w:val="003132C2"/>
    <w:rsid w:val="00313B3C"/>
    <w:rsid w:val="00313BBD"/>
    <w:rsid w:val="00313C22"/>
    <w:rsid w:val="00313CEF"/>
    <w:rsid w:val="003140DE"/>
    <w:rsid w:val="0031449D"/>
    <w:rsid w:val="003144DF"/>
    <w:rsid w:val="003145B0"/>
    <w:rsid w:val="003147FC"/>
    <w:rsid w:val="00314841"/>
    <w:rsid w:val="00314AF6"/>
    <w:rsid w:val="00314B5A"/>
    <w:rsid w:val="00314D91"/>
    <w:rsid w:val="00314E2F"/>
    <w:rsid w:val="00314F49"/>
    <w:rsid w:val="00314FA4"/>
    <w:rsid w:val="003150A1"/>
    <w:rsid w:val="00315289"/>
    <w:rsid w:val="003152A8"/>
    <w:rsid w:val="00315518"/>
    <w:rsid w:val="00315A68"/>
    <w:rsid w:val="00315AFD"/>
    <w:rsid w:val="00315C59"/>
    <w:rsid w:val="00315CDA"/>
    <w:rsid w:val="00315CE2"/>
    <w:rsid w:val="00315D00"/>
    <w:rsid w:val="00315D34"/>
    <w:rsid w:val="00315E39"/>
    <w:rsid w:val="003161DB"/>
    <w:rsid w:val="00316202"/>
    <w:rsid w:val="0031640F"/>
    <w:rsid w:val="003164BF"/>
    <w:rsid w:val="00316636"/>
    <w:rsid w:val="00316665"/>
    <w:rsid w:val="00316887"/>
    <w:rsid w:val="003169F4"/>
    <w:rsid w:val="00316B52"/>
    <w:rsid w:val="00316BE0"/>
    <w:rsid w:val="00316BF5"/>
    <w:rsid w:val="00316C2A"/>
    <w:rsid w:val="00316C4D"/>
    <w:rsid w:val="00316C85"/>
    <w:rsid w:val="00316CFF"/>
    <w:rsid w:val="00316E4D"/>
    <w:rsid w:val="00316F4F"/>
    <w:rsid w:val="0031715D"/>
    <w:rsid w:val="0031720B"/>
    <w:rsid w:val="0031742C"/>
    <w:rsid w:val="00317555"/>
    <w:rsid w:val="00317820"/>
    <w:rsid w:val="00317983"/>
    <w:rsid w:val="00317A46"/>
    <w:rsid w:val="00317AB3"/>
    <w:rsid w:val="00317DFD"/>
    <w:rsid w:val="00317E44"/>
    <w:rsid w:val="00317FFC"/>
    <w:rsid w:val="00320147"/>
    <w:rsid w:val="003201C0"/>
    <w:rsid w:val="003201F5"/>
    <w:rsid w:val="0032023C"/>
    <w:rsid w:val="003202D9"/>
    <w:rsid w:val="00320430"/>
    <w:rsid w:val="00320435"/>
    <w:rsid w:val="0032045B"/>
    <w:rsid w:val="00320777"/>
    <w:rsid w:val="003207D5"/>
    <w:rsid w:val="003208FE"/>
    <w:rsid w:val="0032099D"/>
    <w:rsid w:val="003209DF"/>
    <w:rsid w:val="00320AA2"/>
    <w:rsid w:val="00320BA0"/>
    <w:rsid w:val="00320F57"/>
    <w:rsid w:val="00320F6D"/>
    <w:rsid w:val="00320F8B"/>
    <w:rsid w:val="00321128"/>
    <w:rsid w:val="003211B3"/>
    <w:rsid w:val="003212A1"/>
    <w:rsid w:val="003212AC"/>
    <w:rsid w:val="00321336"/>
    <w:rsid w:val="00321359"/>
    <w:rsid w:val="0032138D"/>
    <w:rsid w:val="0032162B"/>
    <w:rsid w:val="003217DA"/>
    <w:rsid w:val="00321AA5"/>
    <w:rsid w:val="00321AC2"/>
    <w:rsid w:val="00321B4F"/>
    <w:rsid w:val="00321BBA"/>
    <w:rsid w:val="00321BBD"/>
    <w:rsid w:val="00321D27"/>
    <w:rsid w:val="00321D6A"/>
    <w:rsid w:val="00321D8D"/>
    <w:rsid w:val="00321DE3"/>
    <w:rsid w:val="003220ED"/>
    <w:rsid w:val="003221C4"/>
    <w:rsid w:val="00322337"/>
    <w:rsid w:val="003223CE"/>
    <w:rsid w:val="00322631"/>
    <w:rsid w:val="00322790"/>
    <w:rsid w:val="003228BE"/>
    <w:rsid w:val="00322986"/>
    <w:rsid w:val="00322C14"/>
    <w:rsid w:val="00323395"/>
    <w:rsid w:val="003233BE"/>
    <w:rsid w:val="003234BA"/>
    <w:rsid w:val="003234EE"/>
    <w:rsid w:val="00323527"/>
    <w:rsid w:val="003235DC"/>
    <w:rsid w:val="00323899"/>
    <w:rsid w:val="0032390A"/>
    <w:rsid w:val="00323911"/>
    <w:rsid w:val="003239B0"/>
    <w:rsid w:val="003239C1"/>
    <w:rsid w:val="00323AC5"/>
    <w:rsid w:val="00323BEC"/>
    <w:rsid w:val="00323DD7"/>
    <w:rsid w:val="00323E1B"/>
    <w:rsid w:val="00323F0D"/>
    <w:rsid w:val="00323F1A"/>
    <w:rsid w:val="00323F20"/>
    <w:rsid w:val="0032424B"/>
    <w:rsid w:val="00324256"/>
    <w:rsid w:val="003245C7"/>
    <w:rsid w:val="003248D8"/>
    <w:rsid w:val="003249E9"/>
    <w:rsid w:val="00324A6F"/>
    <w:rsid w:val="00324ABF"/>
    <w:rsid w:val="00324BFE"/>
    <w:rsid w:val="00324D18"/>
    <w:rsid w:val="00324D2F"/>
    <w:rsid w:val="00325078"/>
    <w:rsid w:val="00325095"/>
    <w:rsid w:val="003250AE"/>
    <w:rsid w:val="00325154"/>
    <w:rsid w:val="00325693"/>
    <w:rsid w:val="00325706"/>
    <w:rsid w:val="00325786"/>
    <w:rsid w:val="00325861"/>
    <w:rsid w:val="00326065"/>
    <w:rsid w:val="00326192"/>
    <w:rsid w:val="003262BE"/>
    <w:rsid w:val="003262C7"/>
    <w:rsid w:val="003262DD"/>
    <w:rsid w:val="0032661F"/>
    <w:rsid w:val="003266CB"/>
    <w:rsid w:val="003266E0"/>
    <w:rsid w:val="00326730"/>
    <w:rsid w:val="00326749"/>
    <w:rsid w:val="0032675E"/>
    <w:rsid w:val="003267A5"/>
    <w:rsid w:val="00326802"/>
    <w:rsid w:val="0032695E"/>
    <w:rsid w:val="00326A93"/>
    <w:rsid w:val="00326BA6"/>
    <w:rsid w:val="00326BB4"/>
    <w:rsid w:val="00326DE0"/>
    <w:rsid w:val="00326E2E"/>
    <w:rsid w:val="00326E93"/>
    <w:rsid w:val="00326EE2"/>
    <w:rsid w:val="00326FB3"/>
    <w:rsid w:val="0032703D"/>
    <w:rsid w:val="00327142"/>
    <w:rsid w:val="0032728C"/>
    <w:rsid w:val="003272DB"/>
    <w:rsid w:val="0032783E"/>
    <w:rsid w:val="00327899"/>
    <w:rsid w:val="00327957"/>
    <w:rsid w:val="00327BF7"/>
    <w:rsid w:val="0033002D"/>
    <w:rsid w:val="003300FE"/>
    <w:rsid w:val="0033027A"/>
    <w:rsid w:val="00330473"/>
    <w:rsid w:val="00330640"/>
    <w:rsid w:val="003308C5"/>
    <w:rsid w:val="003309DF"/>
    <w:rsid w:val="00330BCC"/>
    <w:rsid w:val="00330D3A"/>
    <w:rsid w:val="00331021"/>
    <w:rsid w:val="00331317"/>
    <w:rsid w:val="00331436"/>
    <w:rsid w:val="003319C0"/>
    <w:rsid w:val="00331C6F"/>
    <w:rsid w:val="00331D1F"/>
    <w:rsid w:val="00331D60"/>
    <w:rsid w:val="00331D67"/>
    <w:rsid w:val="00331EA6"/>
    <w:rsid w:val="003320FD"/>
    <w:rsid w:val="003322E0"/>
    <w:rsid w:val="00332520"/>
    <w:rsid w:val="00332525"/>
    <w:rsid w:val="0033298C"/>
    <w:rsid w:val="00332A25"/>
    <w:rsid w:val="00332C9A"/>
    <w:rsid w:val="00332E81"/>
    <w:rsid w:val="00332EEB"/>
    <w:rsid w:val="00333196"/>
    <w:rsid w:val="00333255"/>
    <w:rsid w:val="003333D5"/>
    <w:rsid w:val="00333447"/>
    <w:rsid w:val="003337C9"/>
    <w:rsid w:val="003339C0"/>
    <w:rsid w:val="00333B2C"/>
    <w:rsid w:val="00333B57"/>
    <w:rsid w:val="00333BFD"/>
    <w:rsid w:val="00333F87"/>
    <w:rsid w:val="00334148"/>
    <w:rsid w:val="0033425C"/>
    <w:rsid w:val="00334419"/>
    <w:rsid w:val="00334500"/>
    <w:rsid w:val="003348BF"/>
    <w:rsid w:val="00334A58"/>
    <w:rsid w:val="00334B07"/>
    <w:rsid w:val="00334C5C"/>
    <w:rsid w:val="00334E2C"/>
    <w:rsid w:val="00334E6D"/>
    <w:rsid w:val="00335090"/>
    <w:rsid w:val="0033538A"/>
    <w:rsid w:val="00335526"/>
    <w:rsid w:val="0033555A"/>
    <w:rsid w:val="00335912"/>
    <w:rsid w:val="00335AA3"/>
    <w:rsid w:val="00335AA4"/>
    <w:rsid w:val="00335AB6"/>
    <w:rsid w:val="00335B30"/>
    <w:rsid w:val="00335B5E"/>
    <w:rsid w:val="00335BA9"/>
    <w:rsid w:val="00335BCE"/>
    <w:rsid w:val="00335CCB"/>
    <w:rsid w:val="00335D84"/>
    <w:rsid w:val="00335D94"/>
    <w:rsid w:val="00335FB7"/>
    <w:rsid w:val="003360E0"/>
    <w:rsid w:val="00336148"/>
    <w:rsid w:val="0033620D"/>
    <w:rsid w:val="003362CF"/>
    <w:rsid w:val="00336304"/>
    <w:rsid w:val="003365D3"/>
    <w:rsid w:val="00336746"/>
    <w:rsid w:val="0033680B"/>
    <w:rsid w:val="0033687D"/>
    <w:rsid w:val="00336956"/>
    <w:rsid w:val="003369A4"/>
    <w:rsid w:val="00336A70"/>
    <w:rsid w:val="00336B39"/>
    <w:rsid w:val="00336B5D"/>
    <w:rsid w:val="00336C38"/>
    <w:rsid w:val="00336F5C"/>
    <w:rsid w:val="003370F1"/>
    <w:rsid w:val="0033733E"/>
    <w:rsid w:val="003375B3"/>
    <w:rsid w:val="00337699"/>
    <w:rsid w:val="003376CC"/>
    <w:rsid w:val="00337879"/>
    <w:rsid w:val="00337894"/>
    <w:rsid w:val="00337921"/>
    <w:rsid w:val="003401F6"/>
    <w:rsid w:val="00340226"/>
    <w:rsid w:val="00340394"/>
    <w:rsid w:val="003403E7"/>
    <w:rsid w:val="00340498"/>
    <w:rsid w:val="0034052C"/>
    <w:rsid w:val="00340593"/>
    <w:rsid w:val="003405E7"/>
    <w:rsid w:val="003406BB"/>
    <w:rsid w:val="00340700"/>
    <w:rsid w:val="0034072A"/>
    <w:rsid w:val="00340859"/>
    <w:rsid w:val="003408C2"/>
    <w:rsid w:val="003409D0"/>
    <w:rsid w:val="00340A66"/>
    <w:rsid w:val="00340B6A"/>
    <w:rsid w:val="00340C44"/>
    <w:rsid w:val="00340CFD"/>
    <w:rsid w:val="00340D3E"/>
    <w:rsid w:val="00340F1A"/>
    <w:rsid w:val="0034110B"/>
    <w:rsid w:val="0034115F"/>
    <w:rsid w:val="0034120F"/>
    <w:rsid w:val="0034133D"/>
    <w:rsid w:val="003417DF"/>
    <w:rsid w:val="00341821"/>
    <w:rsid w:val="00341D18"/>
    <w:rsid w:val="00341F09"/>
    <w:rsid w:val="00342196"/>
    <w:rsid w:val="003421D8"/>
    <w:rsid w:val="00342261"/>
    <w:rsid w:val="00342298"/>
    <w:rsid w:val="00342411"/>
    <w:rsid w:val="00342468"/>
    <w:rsid w:val="003424CE"/>
    <w:rsid w:val="003429EA"/>
    <w:rsid w:val="00342A30"/>
    <w:rsid w:val="00342B4B"/>
    <w:rsid w:val="00343249"/>
    <w:rsid w:val="0034334B"/>
    <w:rsid w:val="0034348E"/>
    <w:rsid w:val="003435E3"/>
    <w:rsid w:val="0034384F"/>
    <w:rsid w:val="00343922"/>
    <w:rsid w:val="00343925"/>
    <w:rsid w:val="00343B34"/>
    <w:rsid w:val="00343B3C"/>
    <w:rsid w:val="00343B63"/>
    <w:rsid w:val="00343B7B"/>
    <w:rsid w:val="00343BFE"/>
    <w:rsid w:val="00343D1F"/>
    <w:rsid w:val="00343E05"/>
    <w:rsid w:val="00343E21"/>
    <w:rsid w:val="00343E2B"/>
    <w:rsid w:val="00343F57"/>
    <w:rsid w:val="003440C4"/>
    <w:rsid w:val="00344167"/>
    <w:rsid w:val="0034428E"/>
    <w:rsid w:val="003442E1"/>
    <w:rsid w:val="003442E9"/>
    <w:rsid w:val="00344349"/>
    <w:rsid w:val="0034434A"/>
    <w:rsid w:val="003448DA"/>
    <w:rsid w:val="003448E4"/>
    <w:rsid w:val="00344958"/>
    <w:rsid w:val="00344995"/>
    <w:rsid w:val="003449D2"/>
    <w:rsid w:val="00344AF6"/>
    <w:rsid w:val="00344B31"/>
    <w:rsid w:val="00344D08"/>
    <w:rsid w:val="00344D62"/>
    <w:rsid w:val="00344D66"/>
    <w:rsid w:val="00344DA9"/>
    <w:rsid w:val="00344EA8"/>
    <w:rsid w:val="00344F65"/>
    <w:rsid w:val="00344FF4"/>
    <w:rsid w:val="003451D6"/>
    <w:rsid w:val="003452BC"/>
    <w:rsid w:val="0034536E"/>
    <w:rsid w:val="003453B5"/>
    <w:rsid w:val="003453DA"/>
    <w:rsid w:val="003454DB"/>
    <w:rsid w:val="003455AD"/>
    <w:rsid w:val="003456A5"/>
    <w:rsid w:val="003457B4"/>
    <w:rsid w:val="00345AA7"/>
    <w:rsid w:val="00345DD5"/>
    <w:rsid w:val="00345E55"/>
    <w:rsid w:val="00345EEB"/>
    <w:rsid w:val="00345EF4"/>
    <w:rsid w:val="00345F49"/>
    <w:rsid w:val="00345F79"/>
    <w:rsid w:val="00346258"/>
    <w:rsid w:val="0034630F"/>
    <w:rsid w:val="003465BA"/>
    <w:rsid w:val="00346609"/>
    <w:rsid w:val="003466D7"/>
    <w:rsid w:val="0034675B"/>
    <w:rsid w:val="0034684B"/>
    <w:rsid w:val="00346C11"/>
    <w:rsid w:val="00346C73"/>
    <w:rsid w:val="00346F34"/>
    <w:rsid w:val="00347005"/>
    <w:rsid w:val="0034702E"/>
    <w:rsid w:val="00347381"/>
    <w:rsid w:val="003473C2"/>
    <w:rsid w:val="0034743A"/>
    <w:rsid w:val="003476F3"/>
    <w:rsid w:val="00347768"/>
    <w:rsid w:val="0034783A"/>
    <w:rsid w:val="00347847"/>
    <w:rsid w:val="0034785A"/>
    <w:rsid w:val="0034794A"/>
    <w:rsid w:val="00347972"/>
    <w:rsid w:val="00347AD3"/>
    <w:rsid w:val="00347D7E"/>
    <w:rsid w:val="00347DBD"/>
    <w:rsid w:val="00347E03"/>
    <w:rsid w:val="00347F06"/>
    <w:rsid w:val="003500BB"/>
    <w:rsid w:val="003504A7"/>
    <w:rsid w:val="003507EF"/>
    <w:rsid w:val="0035089F"/>
    <w:rsid w:val="003508B1"/>
    <w:rsid w:val="00350DC1"/>
    <w:rsid w:val="00350E20"/>
    <w:rsid w:val="00350EE3"/>
    <w:rsid w:val="00351029"/>
    <w:rsid w:val="00351180"/>
    <w:rsid w:val="003511FC"/>
    <w:rsid w:val="003513C0"/>
    <w:rsid w:val="00351917"/>
    <w:rsid w:val="0035198A"/>
    <w:rsid w:val="00351B47"/>
    <w:rsid w:val="00351D7C"/>
    <w:rsid w:val="00351D9E"/>
    <w:rsid w:val="00351FC0"/>
    <w:rsid w:val="003520C2"/>
    <w:rsid w:val="0035216F"/>
    <w:rsid w:val="00352478"/>
    <w:rsid w:val="003525A1"/>
    <w:rsid w:val="003525E1"/>
    <w:rsid w:val="00352735"/>
    <w:rsid w:val="00352921"/>
    <w:rsid w:val="00352A0C"/>
    <w:rsid w:val="00352AC5"/>
    <w:rsid w:val="00352AC6"/>
    <w:rsid w:val="00352ADD"/>
    <w:rsid w:val="00352B34"/>
    <w:rsid w:val="00352BBF"/>
    <w:rsid w:val="00352D1E"/>
    <w:rsid w:val="00352DB0"/>
    <w:rsid w:val="00352E15"/>
    <w:rsid w:val="00352EC4"/>
    <w:rsid w:val="00352F0B"/>
    <w:rsid w:val="00353091"/>
    <w:rsid w:val="003530B5"/>
    <w:rsid w:val="0035314A"/>
    <w:rsid w:val="003531E7"/>
    <w:rsid w:val="0035345F"/>
    <w:rsid w:val="0035359A"/>
    <w:rsid w:val="00353659"/>
    <w:rsid w:val="003536B7"/>
    <w:rsid w:val="003538BC"/>
    <w:rsid w:val="00353A14"/>
    <w:rsid w:val="00353AB4"/>
    <w:rsid w:val="00353BDA"/>
    <w:rsid w:val="00353C07"/>
    <w:rsid w:val="00353D36"/>
    <w:rsid w:val="00353DCF"/>
    <w:rsid w:val="003540CD"/>
    <w:rsid w:val="0035421D"/>
    <w:rsid w:val="00354391"/>
    <w:rsid w:val="003545DF"/>
    <w:rsid w:val="00354701"/>
    <w:rsid w:val="0035478C"/>
    <w:rsid w:val="003547FF"/>
    <w:rsid w:val="00354825"/>
    <w:rsid w:val="00354A1F"/>
    <w:rsid w:val="00354AF3"/>
    <w:rsid w:val="00354B94"/>
    <w:rsid w:val="00354BBB"/>
    <w:rsid w:val="00354CBC"/>
    <w:rsid w:val="00354CC5"/>
    <w:rsid w:val="00354D6C"/>
    <w:rsid w:val="00354F54"/>
    <w:rsid w:val="00354FF5"/>
    <w:rsid w:val="003553EB"/>
    <w:rsid w:val="00355410"/>
    <w:rsid w:val="0035547A"/>
    <w:rsid w:val="003554B0"/>
    <w:rsid w:val="0035568E"/>
    <w:rsid w:val="00355699"/>
    <w:rsid w:val="003557A4"/>
    <w:rsid w:val="00355962"/>
    <w:rsid w:val="00355B4E"/>
    <w:rsid w:val="00355B98"/>
    <w:rsid w:val="00355E14"/>
    <w:rsid w:val="00355E77"/>
    <w:rsid w:val="00355EC7"/>
    <w:rsid w:val="00356018"/>
    <w:rsid w:val="00356096"/>
    <w:rsid w:val="00356128"/>
    <w:rsid w:val="00356135"/>
    <w:rsid w:val="003563F2"/>
    <w:rsid w:val="00356661"/>
    <w:rsid w:val="00356689"/>
    <w:rsid w:val="0035692E"/>
    <w:rsid w:val="00356A61"/>
    <w:rsid w:val="00356A8C"/>
    <w:rsid w:val="00356ACD"/>
    <w:rsid w:val="00356B8D"/>
    <w:rsid w:val="00356C3E"/>
    <w:rsid w:val="00356D44"/>
    <w:rsid w:val="00356D4B"/>
    <w:rsid w:val="00357170"/>
    <w:rsid w:val="0035723C"/>
    <w:rsid w:val="00357397"/>
    <w:rsid w:val="003573D2"/>
    <w:rsid w:val="003573DC"/>
    <w:rsid w:val="0035743E"/>
    <w:rsid w:val="00357507"/>
    <w:rsid w:val="00357638"/>
    <w:rsid w:val="00357699"/>
    <w:rsid w:val="003578C1"/>
    <w:rsid w:val="003578C9"/>
    <w:rsid w:val="003579B1"/>
    <w:rsid w:val="00357C26"/>
    <w:rsid w:val="00357D3D"/>
    <w:rsid w:val="00360003"/>
    <w:rsid w:val="00360077"/>
    <w:rsid w:val="00360311"/>
    <w:rsid w:val="003603BE"/>
    <w:rsid w:val="00360451"/>
    <w:rsid w:val="00360740"/>
    <w:rsid w:val="003609DF"/>
    <w:rsid w:val="00360A27"/>
    <w:rsid w:val="00360CF2"/>
    <w:rsid w:val="00360D69"/>
    <w:rsid w:val="00360DF5"/>
    <w:rsid w:val="00360E63"/>
    <w:rsid w:val="00360FB2"/>
    <w:rsid w:val="00361126"/>
    <w:rsid w:val="003611BF"/>
    <w:rsid w:val="00361209"/>
    <w:rsid w:val="003613EA"/>
    <w:rsid w:val="00361404"/>
    <w:rsid w:val="00361406"/>
    <w:rsid w:val="00361465"/>
    <w:rsid w:val="003614AF"/>
    <w:rsid w:val="0036151C"/>
    <w:rsid w:val="0036152F"/>
    <w:rsid w:val="00361914"/>
    <w:rsid w:val="003619F1"/>
    <w:rsid w:val="00361A1D"/>
    <w:rsid w:val="00361DF0"/>
    <w:rsid w:val="00361EBE"/>
    <w:rsid w:val="00361F08"/>
    <w:rsid w:val="00361F25"/>
    <w:rsid w:val="0036261A"/>
    <w:rsid w:val="0036266D"/>
    <w:rsid w:val="00362711"/>
    <w:rsid w:val="00362765"/>
    <w:rsid w:val="0036284A"/>
    <w:rsid w:val="003628B4"/>
    <w:rsid w:val="003628D3"/>
    <w:rsid w:val="00362988"/>
    <w:rsid w:val="00362C08"/>
    <w:rsid w:val="00362E28"/>
    <w:rsid w:val="00362E55"/>
    <w:rsid w:val="00362E90"/>
    <w:rsid w:val="00362FB1"/>
    <w:rsid w:val="0036301D"/>
    <w:rsid w:val="00363629"/>
    <w:rsid w:val="00363770"/>
    <w:rsid w:val="0036398C"/>
    <w:rsid w:val="00363AAE"/>
    <w:rsid w:val="00363DDB"/>
    <w:rsid w:val="0036418A"/>
    <w:rsid w:val="0036419B"/>
    <w:rsid w:val="003642E1"/>
    <w:rsid w:val="003642EB"/>
    <w:rsid w:val="003642F8"/>
    <w:rsid w:val="003643DD"/>
    <w:rsid w:val="0036442B"/>
    <w:rsid w:val="00364495"/>
    <w:rsid w:val="003646F8"/>
    <w:rsid w:val="00364768"/>
    <w:rsid w:val="00364807"/>
    <w:rsid w:val="003649AF"/>
    <w:rsid w:val="00364A30"/>
    <w:rsid w:val="00364C1D"/>
    <w:rsid w:val="0036512E"/>
    <w:rsid w:val="00365391"/>
    <w:rsid w:val="003653E1"/>
    <w:rsid w:val="00365443"/>
    <w:rsid w:val="003657C9"/>
    <w:rsid w:val="003658EE"/>
    <w:rsid w:val="0036595A"/>
    <w:rsid w:val="00365986"/>
    <w:rsid w:val="00365A14"/>
    <w:rsid w:val="00365A3E"/>
    <w:rsid w:val="00365B38"/>
    <w:rsid w:val="00365CA3"/>
    <w:rsid w:val="00365CC5"/>
    <w:rsid w:val="00365D8F"/>
    <w:rsid w:val="00365EAC"/>
    <w:rsid w:val="00365FC3"/>
    <w:rsid w:val="0036606F"/>
    <w:rsid w:val="00366185"/>
    <w:rsid w:val="00366237"/>
    <w:rsid w:val="00366508"/>
    <w:rsid w:val="0036661E"/>
    <w:rsid w:val="00366663"/>
    <w:rsid w:val="003666A5"/>
    <w:rsid w:val="00366A9A"/>
    <w:rsid w:val="00366B3C"/>
    <w:rsid w:val="00366BC0"/>
    <w:rsid w:val="00366BD5"/>
    <w:rsid w:val="00366C2F"/>
    <w:rsid w:val="00366C7F"/>
    <w:rsid w:val="00366D99"/>
    <w:rsid w:val="00366ECC"/>
    <w:rsid w:val="003673CA"/>
    <w:rsid w:val="0036746E"/>
    <w:rsid w:val="0036775D"/>
    <w:rsid w:val="00367793"/>
    <w:rsid w:val="0036791F"/>
    <w:rsid w:val="00367A23"/>
    <w:rsid w:val="00367A55"/>
    <w:rsid w:val="00367A5C"/>
    <w:rsid w:val="00367C1E"/>
    <w:rsid w:val="00367CBA"/>
    <w:rsid w:val="00367E51"/>
    <w:rsid w:val="00367F80"/>
    <w:rsid w:val="00367FFC"/>
    <w:rsid w:val="003700C2"/>
    <w:rsid w:val="0037020E"/>
    <w:rsid w:val="003702BC"/>
    <w:rsid w:val="0037032F"/>
    <w:rsid w:val="00370361"/>
    <w:rsid w:val="003703DF"/>
    <w:rsid w:val="00370431"/>
    <w:rsid w:val="0037051A"/>
    <w:rsid w:val="0037074B"/>
    <w:rsid w:val="00370766"/>
    <w:rsid w:val="0037084B"/>
    <w:rsid w:val="00370855"/>
    <w:rsid w:val="00370A03"/>
    <w:rsid w:val="00370B77"/>
    <w:rsid w:val="00370DC6"/>
    <w:rsid w:val="003710BC"/>
    <w:rsid w:val="0037119A"/>
    <w:rsid w:val="003713F5"/>
    <w:rsid w:val="00371588"/>
    <w:rsid w:val="00371637"/>
    <w:rsid w:val="00371712"/>
    <w:rsid w:val="0037173D"/>
    <w:rsid w:val="00371855"/>
    <w:rsid w:val="0037190E"/>
    <w:rsid w:val="00371916"/>
    <w:rsid w:val="00371921"/>
    <w:rsid w:val="00371976"/>
    <w:rsid w:val="00371A5C"/>
    <w:rsid w:val="00371B9A"/>
    <w:rsid w:val="00371CCD"/>
    <w:rsid w:val="00371D6F"/>
    <w:rsid w:val="00372038"/>
    <w:rsid w:val="0037203D"/>
    <w:rsid w:val="0037209B"/>
    <w:rsid w:val="00372170"/>
    <w:rsid w:val="003722E9"/>
    <w:rsid w:val="00372562"/>
    <w:rsid w:val="003726BF"/>
    <w:rsid w:val="0037297B"/>
    <w:rsid w:val="00372A64"/>
    <w:rsid w:val="00372B08"/>
    <w:rsid w:val="00372BD0"/>
    <w:rsid w:val="00372BED"/>
    <w:rsid w:val="00372C12"/>
    <w:rsid w:val="00372D01"/>
    <w:rsid w:val="00372E75"/>
    <w:rsid w:val="00372ED9"/>
    <w:rsid w:val="003731CF"/>
    <w:rsid w:val="00373222"/>
    <w:rsid w:val="00373384"/>
    <w:rsid w:val="003733BD"/>
    <w:rsid w:val="003735BB"/>
    <w:rsid w:val="003737AE"/>
    <w:rsid w:val="0037382A"/>
    <w:rsid w:val="003739E7"/>
    <w:rsid w:val="00373A85"/>
    <w:rsid w:val="00373AD7"/>
    <w:rsid w:val="00373E90"/>
    <w:rsid w:val="00373F1C"/>
    <w:rsid w:val="003740DA"/>
    <w:rsid w:val="003742AB"/>
    <w:rsid w:val="00374608"/>
    <w:rsid w:val="00374619"/>
    <w:rsid w:val="0037486F"/>
    <w:rsid w:val="00374B27"/>
    <w:rsid w:val="00374C1C"/>
    <w:rsid w:val="00374D1F"/>
    <w:rsid w:val="00374DA8"/>
    <w:rsid w:val="00374F25"/>
    <w:rsid w:val="00374F75"/>
    <w:rsid w:val="0037523D"/>
    <w:rsid w:val="0037524B"/>
    <w:rsid w:val="00375284"/>
    <w:rsid w:val="00375336"/>
    <w:rsid w:val="003753BA"/>
    <w:rsid w:val="003754D1"/>
    <w:rsid w:val="003754FF"/>
    <w:rsid w:val="00375682"/>
    <w:rsid w:val="003757C7"/>
    <w:rsid w:val="00375A06"/>
    <w:rsid w:val="00375B05"/>
    <w:rsid w:val="00375C1D"/>
    <w:rsid w:val="00375D1A"/>
    <w:rsid w:val="00375D26"/>
    <w:rsid w:val="00375D85"/>
    <w:rsid w:val="003761EA"/>
    <w:rsid w:val="00376225"/>
    <w:rsid w:val="003765D6"/>
    <w:rsid w:val="0037667B"/>
    <w:rsid w:val="00376713"/>
    <w:rsid w:val="0037676E"/>
    <w:rsid w:val="0037678E"/>
    <w:rsid w:val="00376BA1"/>
    <w:rsid w:val="00376CC3"/>
    <w:rsid w:val="00376DAE"/>
    <w:rsid w:val="00376EAE"/>
    <w:rsid w:val="00377093"/>
    <w:rsid w:val="003770A0"/>
    <w:rsid w:val="003770C4"/>
    <w:rsid w:val="00377177"/>
    <w:rsid w:val="00377392"/>
    <w:rsid w:val="00377531"/>
    <w:rsid w:val="003775CA"/>
    <w:rsid w:val="003775D3"/>
    <w:rsid w:val="00377730"/>
    <w:rsid w:val="00377A31"/>
    <w:rsid w:val="00377B31"/>
    <w:rsid w:val="00377D2A"/>
    <w:rsid w:val="00377FEE"/>
    <w:rsid w:val="0038019D"/>
    <w:rsid w:val="00380201"/>
    <w:rsid w:val="00380258"/>
    <w:rsid w:val="00380565"/>
    <w:rsid w:val="003805B1"/>
    <w:rsid w:val="00380678"/>
    <w:rsid w:val="003806F9"/>
    <w:rsid w:val="00380A31"/>
    <w:rsid w:val="00380F51"/>
    <w:rsid w:val="00381068"/>
    <w:rsid w:val="003810C5"/>
    <w:rsid w:val="00381139"/>
    <w:rsid w:val="00381385"/>
    <w:rsid w:val="0038158F"/>
    <w:rsid w:val="0038175B"/>
    <w:rsid w:val="00381824"/>
    <w:rsid w:val="00381877"/>
    <w:rsid w:val="003818CC"/>
    <w:rsid w:val="003818E9"/>
    <w:rsid w:val="00381932"/>
    <w:rsid w:val="00381A02"/>
    <w:rsid w:val="00381A1F"/>
    <w:rsid w:val="00381A7A"/>
    <w:rsid w:val="00381ADE"/>
    <w:rsid w:val="00381B6B"/>
    <w:rsid w:val="00381C08"/>
    <w:rsid w:val="00381D33"/>
    <w:rsid w:val="00381D4B"/>
    <w:rsid w:val="00381DDA"/>
    <w:rsid w:val="00381F50"/>
    <w:rsid w:val="0038217F"/>
    <w:rsid w:val="0038238A"/>
    <w:rsid w:val="00382616"/>
    <w:rsid w:val="0038279F"/>
    <w:rsid w:val="0038288F"/>
    <w:rsid w:val="003828AE"/>
    <w:rsid w:val="003829AA"/>
    <w:rsid w:val="00382A7D"/>
    <w:rsid w:val="00382AF0"/>
    <w:rsid w:val="00382C68"/>
    <w:rsid w:val="00382EDC"/>
    <w:rsid w:val="00382EE6"/>
    <w:rsid w:val="00382EFE"/>
    <w:rsid w:val="00383126"/>
    <w:rsid w:val="003832F3"/>
    <w:rsid w:val="00383383"/>
    <w:rsid w:val="003833E2"/>
    <w:rsid w:val="00383485"/>
    <w:rsid w:val="003838AD"/>
    <w:rsid w:val="00383C5B"/>
    <w:rsid w:val="00383DFC"/>
    <w:rsid w:val="00383FC4"/>
    <w:rsid w:val="003840A3"/>
    <w:rsid w:val="00384104"/>
    <w:rsid w:val="003841DC"/>
    <w:rsid w:val="00384213"/>
    <w:rsid w:val="00384422"/>
    <w:rsid w:val="00384564"/>
    <w:rsid w:val="00384672"/>
    <w:rsid w:val="003846E5"/>
    <w:rsid w:val="003846F4"/>
    <w:rsid w:val="00384832"/>
    <w:rsid w:val="00384BAD"/>
    <w:rsid w:val="00384DF8"/>
    <w:rsid w:val="0038505D"/>
    <w:rsid w:val="003850C6"/>
    <w:rsid w:val="00385195"/>
    <w:rsid w:val="003852AF"/>
    <w:rsid w:val="00385308"/>
    <w:rsid w:val="00385405"/>
    <w:rsid w:val="003855AE"/>
    <w:rsid w:val="003855F5"/>
    <w:rsid w:val="003856CC"/>
    <w:rsid w:val="0038578F"/>
    <w:rsid w:val="00385865"/>
    <w:rsid w:val="00385A3B"/>
    <w:rsid w:val="00385AAF"/>
    <w:rsid w:val="00385B31"/>
    <w:rsid w:val="00385CCC"/>
    <w:rsid w:val="00385D28"/>
    <w:rsid w:val="00385DD4"/>
    <w:rsid w:val="00385E67"/>
    <w:rsid w:val="00385EDB"/>
    <w:rsid w:val="00385F51"/>
    <w:rsid w:val="00385FD4"/>
    <w:rsid w:val="00385FEE"/>
    <w:rsid w:val="00386174"/>
    <w:rsid w:val="00386359"/>
    <w:rsid w:val="00386499"/>
    <w:rsid w:val="003866CC"/>
    <w:rsid w:val="00386743"/>
    <w:rsid w:val="00386C14"/>
    <w:rsid w:val="00386E0D"/>
    <w:rsid w:val="00387141"/>
    <w:rsid w:val="0038726E"/>
    <w:rsid w:val="0038731F"/>
    <w:rsid w:val="00387502"/>
    <w:rsid w:val="00387524"/>
    <w:rsid w:val="0038756B"/>
    <w:rsid w:val="0038761E"/>
    <w:rsid w:val="00387626"/>
    <w:rsid w:val="0038780D"/>
    <w:rsid w:val="003879D7"/>
    <w:rsid w:val="00387D4A"/>
    <w:rsid w:val="00387EA0"/>
    <w:rsid w:val="00387F8F"/>
    <w:rsid w:val="00390012"/>
    <w:rsid w:val="00390013"/>
    <w:rsid w:val="00390136"/>
    <w:rsid w:val="00390193"/>
    <w:rsid w:val="0039022B"/>
    <w:rsid w:val="0039032D"/>
    <w:rsid w:val="00390467"/>
    <w:rsid w:val="003904AF"/>
    <w:rsid w:val="0039054E"/>
    <w:rsid w:val="00390643"/>
    <w:rsid w:val="00390811"/>
    <w:rsid w:val="00390993"/>
    <w:rsid w:val="00390AB0"/>
    <w:rsid w:val="00390B87"/>
    <w:rsid w:val="00390CAB"/>
    <w:rsid w:val="00390DF0"/>
    <w:rsid w:val="00390EAF"/>
    <w:rsid w:val="00391036"/>
    <w:rsid w:val="0039116B"/>
    <w:rsid w:val="00391331"/>
    <w:rsid w:val="003917EA"/>
    <w:rsid w:val="00391841"/>
    <w:rsid w:val="003919B4"/>
    <w:rsid w:val="00391B06"/>
    <w:rsid w:val="00392208"/>
    <w:rsid w:val="0039250A"/>
    <w:rsid w:val="003925C3"/>
    <w:rsid w:val="003925D2"/>
    <w:rsid w:val="00392631"/>
    <w:rsid w:val="00392A1E"/>
    <w:rsid w:val="00392A6D"/>
    <w:rsid w:val="00392A85"/>
    <w:rsid w:val="00392AE0"/>
    <w:rsid w:val="00392B9A"/>
    <w:rsid w:val="00392BA1"/>
    <w:rsid w:val="00392BDA"/>
    <w:rsid w:val="00392CD1"/>
    <w:rsid w:val="00392DED"/>
    <w:rsid w:val="00393104"/>
    <w:rsid w:val="0039314A"/>
    <w:rsid w:val="003932D8"/>
    <w:rsid w:val="0039332A"/>
    <w:rsid w:val="003934EC"/>
    <w:rsid w:val="00393500"/>
    <w:rsid w:val="0039351A"/>
    <w:rsid w:val="0039354A"/>
    <w:rsid w:val="003935F0"/>
    <w:rsid w:val="00393941"/>
    <w:rsid w:val="00393F4D"/>
    <w:rsid w:val="003940E9"/>
    <w:rsid w:val="00394332"/>
    <w:rsid w:val="0039457D"/>
    <w:rsid w:val="00394623"/>
    <w:rsid w:val="00394654"/>
    <w:rsid w:val="0039472E"/>
    <w:rsid w:val="00394813"/>
    <w:rsid w:val="00394901"/>
    <w:rsid w:val="003949C1"/>
    <w:rsid w:val="00394B42"/>
    <w:rsid w:val="00394C3F"/>
    <w:rsid w:val="00394D07"/>
    <w:rsid w:val="00394E1A"/>
    <w:rsid w:val="00394EDA"/>
    <w:rsid w:val="00394F04"/>
    <w:rsid w:val="003950A0"/>
    <w:rsid w:val="00395453"/>
    <w:rsid w:val="00395495"/>
    <w:rsid w:val="003954D5"/>
    <w:rsid w:val="00395532"/>
    <w:rsid w:val="00395659"/>
    <w:rsid w:val="003958EF"/>
    <w:rsid w:val="0039596A"/>
    <w:rsid w:val="00395D0A"/>
    <w:rsid w:val="00395D51"/>
    <w:rsid w:val="00395D84"/>
    <w:rsid w:val="00395E2B"/>
    <w:rsid w:val="00396099"/>
    <w:rsid w:val="003960A0"/>
    <w:rsid w:val="0039613A"/>
    <w:rsid w:val="00396472"/>
    <w:rsid w:val="00396600"/>
    <w:rsid w:val="0039666C"/>
    <w:rsid w:val="00396899"/>
    <w:rsid w:val="003969EA"/>
    <w:rsid w:val="00396BE1"/>
    <w:rsid w:val="00396BE3"/>
    <w:rsid w:val="00396C31"/>
    <w:rsid w:val="00396CE4"/>
    <w:rsid w:val="00396D0E"/>
    <w:rsid w:val="00396DD3"/>
    <w:rsid w:val="00396DF8"/>
    <w:rsid w:val="00396E60"/>
    <w:rsid w:val="00397050"/>
    <w:rsid w:val="00397281"/>
    <w:rsid w:val="0039743D"/>
    <w:rsid w:val="003975A5"/>
    <w:rsid w:val="00397667"/>
    <w:rsid w:val="003976A6"/>
    <w:rsid w:val="003976B3"/>
    <w:rsid w:val="003979B2"/>
    <w:rsid w:val="00397A4B"/>
    <w:rsid w:val="00397B5A"/>
    <w:rsid w:val="00397B87"/>
    <w:rsid w:val="00397C83"/>
    <w:rsid w:val="00397ED6"/>
    <w:rsid w:val="00397EED"/>
    <w:rsid w:val="00397FC2"/>
    <w:rsid w:val="003A0080"/>
    <w:rsid w:val="003A00F2"/>
    <w:rsid w:val="003A0207"/>
    <w:rsid w:val="003A0387"/>
    <w:rsid w:val="003A03B2"/>
    <w:rsid w:val="003A03CF"/>
    <w:rsid w:val="003A041B"/>
    <w:rsid w:val="003A054F"/>
    <w:rsid w:val="003A05A6"/>
    <w:rsid w:val="003A0655"/>
    <w:rsid w:val="003A0A88"/>
    <w:rsid w:val="003A0DC7"/>
    <w:rsid w:val="003A0E91"/>
    <w:rsid w:val="003A12BB"/>
    <w:rsid w:val="003A13C5"/>
    <w:rsid w:val="003A156A"/>
    <w:rsid w:val="003A1670"/>
    <w:rsid w:val="003A17F8"/>
    <w:rsid w:val="003A1909"/>
    <w:rsid w:val="003A1A03"/>
    <w:rsid w:val="003A1AB0"/>
    <w:rsid w:val="003A1AF9"/>
    <w:rsid w:val="003A1C5D"/>
    <w:rsid w:val="003A1D77"/>
    <w:rsid w:val="003A1FA4"/>
    <w:rsid w:val="003A2072"/>
    <w:rsid w:val="003A2096"/>
    <w:rsid w:val="003A20B6"/>
    <w:rsid w:val="003A223C"/>
    <w:rsid w:val="003A2276"/>
    <w:rsid w:val="003A22FB"/>
    <w:rsid w:val="003A2340"/>
    <w:rsid w:val="003A23C9"/>
    <w:rsid w:val="003A2503"/>
    <w:rsid w:val="003A252A"/>
    <w:rsid w:val="003A2605"/>
    <w:rsid w:val="003A26A7"/>
    <w:rsid w:val="003A27E4"/>
    <w:rsid w:val="003A2804"/>
    <w:rsid w:val="003A283B"/>
    <w:rsid w:val="003A296A"/>
    <w:rsid w:val="003A2BAD"/>
    <w:rsid w:val="003A2C69"/>
    <w:rsid w:val="003A2CA2"/>
    <w:rsid w:val="003A2EBD"/>
    <w:rsid w:val="003A3065"/>
    <w:rsid w:val="003A3108"/>
    <w:rsid w:val="003A3129"/>
    <w:rsid w:val="003A312B"/>
    <w:rsid w:val="003A32A4"/>
    <w:rsid w:val="003A332A"/>
    <w:rsid w:val="003A3460"/>
    <w:rsid w:val="003A35BD"/>
    <w:rsid w:val="003A3949"/>
    <w:rsid w:val="003A39CE"/>
    <w:rsid w:val="003A39D7"/>
    <w:rsid w:val="003A3A4B"/>
    <w:rsid w:val="003A3B1B"/>
    <w:rsid w:val="003A3B1E"/>
    <w:rsid w:val="003A3C9E"/>
    <w:rsid w:val="003A3E4E"/>
    <w:rsid w:val="003A3E78"/>
    <w:rsid w:val="003A3F60"/>
    <w:rsid w:val="003A4164"/>
    <w:rsid w:val="003A4202"/>
    <w:rsid w:val="003A4374"/>
    <w:rsid w:val="003A4417"/>
    <w:rsid w:val="003A44A2"/>
    <w:rsid w:val="003A458D"/>
    <w:rsid w:val="003A4886"/>
    <w:rsid w:val="003A4A29"/>
    <w:rsid w:val="003A4E7D"/>
    <w:rsid w:val="003A4F2D"/>
    <w:rsid w:val="003A4F38"/>
    <w:rsid w:val="003A5060"/>
    <w:rsid w:val="003A50C7"/>
    <w:rsid w:val="003A50E5"/>
    <w:rsid w:val="003A51AD"/>
    <w:rsid w:val="003A52B1"/>
    <w:rsid w:val="003A5371"/>
    <w:rsid w:val="003A53B2"/>
    <w:rsid w:val="003A5571"/>
    <w:rsid w:val="003A5697"/>
    <w:rsid w:val="003A5784"/>
    <w:rsid w:val="003A57B7"/>
    <w:rsid w:val="003A580C"/>
    <w:rsid w:val="003A592B"/>
    <w:rsid w:val="003A5B7C"/>
    <w:rsid w:val="003A5C62"/>
    <w:rsid w:val="003A5CE7"/>
    <w:rsid w:val="003A5D14"/>
    <w:rsid w:val="003A5EA8"/>
    <w:rsid w:val="003A5ED6"/>
    <w:rsid w:val="003A5F71"/>
    <w:rsid w:val="003A5FB1"/>
    <w:rsid w:val="003A602F"/>
    <w:rsid w:val="003A620A"/>
    <w:rsid w:val="003A62FC"/>
    <w:rsid w:val="003A6586"/>
    <w:rsid w:val="003A6660"/>
    <w:rsid w:val="003A69DA"/>
    <w:rsid w:val="003A69ED"/>
    <w:rsid w:val="003A6A09"/>
    <w:rsid w:val="003A6B5A"/>
    <w:rsid w:val="003A6BF5"/>
    <w:rsid w:val="003A6DCD"/>
    <w:rsid w:val="003A6E48"/>
    <w:rsid w:val="003A6E53"/>
    <w:rsid w:val="003A6F1B"/>
    <w:rsid w:val="003A7096"/>
    <w:rsid w:val="003A71CB"/>
    <w:rsid w:val="003A7A03"/>
    <w:rsid w:val="003A7A9D"/>
    <w:rsid w:val="003A7B75"/>
    <w:rsid w:val="003A7F9F"/>
    <w:rsid w:val="003B01D4"/>
    <w:rsid w:val="003B0389"/>
    <w:rsid w:val="003B0412"/>
    <w:rsid w:val="003B0457"/>
    <w:rsid w:val="003B04BF"/>
    <w:rsid w:val="003B053F"/>
    <w:rsid w:val="003B0723"/>
    <w:rsid w:val="003B07AC"/>
    <w:rsid w:val="003B0820"/>
    <w:rsid w:val="003B0AB6"/>
    <w:rsid w:val="003B0E44"/>
    <w:rsid w:val="003B0E7C"/>
    <w:rsid w:val="003B0E8C"/>
    <w:rsid w:val="003B0F7B"/>
    <w:rsid w:val="003B104C"/>
    <w:rsid w:val="003B108A"/>
    <w:rsid w:val="003B10E6"/>
    <w:rsid w:val="003B12AA"/>
    <w:rsid w:val="003B12C6"/>
    <w:rsid w:val="003B12CB"/>
    <w:rsid w:val="003B132D"/>
    <w:rsid w:val="003B13A0"/>
    <w:rsid w:val="003B1420"/>
    <w:rsid w:val="003B14F1"/>
    <w:rsid w:val="003B15DA"/>
    <w:rsid w:val="003B1611"/>
    <w:rsid w:val="003B1637"/>
    <w:rsid w:val="003B1773"/>
    <w:rsid w:val="003B1827"/>
    <w:rsid w:val="003B194E"/>
    <w:rsid w:val="003B1BD9"/>
    <w:rsid w:val="003B1E6B"/>
    <w:rsid w:val="003B1EAF"/>
    <w:rsid w:val="003B1F85"/>
    <w:rsid w:val="003B1FF5"/>
    <w:rsid w:val="003B2283"/>
    <w:rsid w:val="003B2331"/>
    <w:rsid w:val="003B23DF"/>
    <w:rsid w:val="003B2451"/>
    <w:rsid w:val="003B2773"/>
    <w:rsid w:val="003B27D4"/>
    <w:rsid w:val="003B284C"/>
    <w:rsid w:val="003B299C"/>
    <w:rsid w:val="003B29AC"/>
    <w:rsid w:val="003B2A15"/>
    <w:rsid w:val="003B2B0E"/>
    <w:rsid w:val="003B2D3E"/>
    <w:rsid w:val="003B2DBE"/>
    <w:rsid w:val="003B2E3C"/>
    <w:rsid w:val="003B2ED2"/>
    <w:rsid w:val="003B2F9F"/>
    <w:rsid w:val="003B3181"/>
    <w:rsid w:val="003B336B"/>
    <w:rsid w:val="003B33A1"/>
    <w:rsid w:val="003B33EB"/>
    <w:rsid w:val="003B3427"/>
    <w:rsid w:val="003B35FC"/>
    <w:rsid w:val="003B3832"/>
    <w:rsid w:val="003B383D"/>
    <w:rsid w:val="003B389C"/>
    <w:rsid w:val="003B3AE3"/>
    <w:rsid w:val="003B3BD9"/>
    <w:rsid w:val="003B3E78"/>
    <w:rsid w:val="003B3F6D"/>
    <w:rsid w:val="003B40AB"/>
    <w:rsid w:val="003B44AC"/>
    <w:rsid w:val="003B47C6"/>
    <w:rsid w:val="003B480D"/>
    <w:rsid w:val="003B4946"/>
    <w:rsid w:val="003B49C7"/>
    <w:rsid w:val="003B4B28"/>
    <w:rsid w:val="003B4BE6"/>
    <w:rsid w:val="003B4F16"/>
    <w:rsid w:val="003B51DD"/>
    <w:rsid w:val="003B52EA"/>
    <w:rsid w:val="003B5333"/>
    <w:rsid w:val="003B5443"/>
    <w:rsid w:val="003B57B0"/>
    <w:rsid w:val="003B58C7"/>
    <w:rsid w:val="003B5974"/>
    <w:rsid w:val="003B5A08"/>
    <w:rsid w:val="003B5C32"/>
    <w:rsid w:val="003B6638"/>
    <w:rsid w:val="003B67CB"/>
    <w:rsid w:val="003B6950"/>
    <w:rsid w:val="003B6A5E"/>
    <w:rsid w:val="003B6A79"/>
    <w:rsid w:val="003B6BBC"/>
    <w:rsid w:val="003B6C5A"/>
    <w:rsid w:val="003B6CBB"/>
    <w:rsid w:val="003B6D8E"/>
    <w:rsid w:val="003B700F"/>
    <w:rsid w:val="003B7028"/>
    <w:rsid w:val="003B740A"/>
    <w:rsid w:val="003B7490"/>
    <w:rsid w:val="003B762D"/>
    <w:rsid w:val="003B7684"/>
    <w:rsid w:val="003B7769"/>
    <w:rsid w:val="003B7A16"/>
    <w:rsid w:val="003B7A86"/>
    <w:rsid w:val="003B7B2A"/>
    <w:rsid w:val="003B7B9F"/>
    <w:rsid w:val="003B7C8C"/>
    <w:rsid w:val="003B7F84"/>
    <w:rsid w:val="003B7F8B"/>
    <w:rsid w:val="003C0138"/>
    <w:rsid w:val="003C015D"/>
    <w:rsid w:val="003C017D"/>
    <w:rsid w:val="003C0200"/>
    <w:rsid w:val="003C03CE"/>
    <w:rsid w:val="003C043F"/>
    <w:rsid w:val="003C0482"/>
    <w:rsid w:val="003C0587"/>
    <w:rsid w:val="003C083C"/>
    <w:rsid w:val="003C0C87"/>
    <w:rsid w:val="003C0C9A"/>
    <w:rsid w:val="003C0DBB"/>
    <w:rsid w:val="003C0DC6"/>
    <w:rsid w:val="003C0EF8"/>
    <w:rsid w:val="003C101E"/>
    <w:rsid w:val="003C126A"/>
    <w:rsid w:val="003C127C"/>
    <w:rsid w:val="003C12B5"/>
    <w:rsid w:val="003C1312"/>
    <w:rsid w:val="003C1381"/>
    <w:rsid w:val="003C15C7"/>
    <w:rsid w:val="003C1650"/>
    <w:rsid w:val="003C16D5"/>
    <w:rsid w:val="003C173B"/>
    <w:rsid w:val="003C18D2"/>
    <w:rsid w:val="003C1A8B"/>
    <w:rsid w:val="003C1B96"/>
    <w:rsid w:val="003C1C36"/>
    <w:rsid w:val="003C1FBC"/>
    <w:rsid w:val="003C20B6"/>
    <w:rsid w:val="003C2252"/>
    <w:rsid w:val="003C22C4"/>
    <w:rsid w:val="003C2319"/>
    <w:rsid w:val="003C2325"/>
    <w:rsid w:val="003C2616"/>
    <w:rsid w:val="003C2704"/>
    <w:rsid w:val="003C2785"/>
    <w:rsid w:val="003C278D"/>
    <w:rsid w:val="003C27A3"/>
    <w:rsid w:val="003C27A6"/>
    <w:rsid w:val="003C2844"/>
    <w:rsid w:val="003C2851"/>
    <w:rsid w:val="003C2994"/>
    <w:rsid w:val="003C29CA"/>
    <w:rsid w:val="003C2C6F"/>
    <w:rsid w:val="003C2C98"/>
    <w:rsid w:val="003C2CB1"/>
    <w:rsid w:val="003C2D4C"/>
    <w:rsid w:val="003C2E36"/>
    <w:rsid w:val="003C2E40"/>
    <w:rsid w:val="003C2F24"/>
    <w:rsid w:val="003C2FEE"/>
    <w:rsid w:val="003C304E"/>
    <w:rsid w:val="003C30AC"/>
    <w:rsid w:val="003C3219"/>
    <w:rsid w:val="003C3257"/>
    <w:rsid w:val="003C33CC"/>
    <w:rsid w:val="003C345D"/>
    <w:rsid w:val="003C36E0"/>
    <w:rsid w:val="003C372C"/>
    <w:rsid w:val="003C3828"/>
    <w:rsid w:val="003C3D95"/>
    <w:rsid w:val="003C3DD4"/>
    <w:rsid w:val="003C3E90"/>
    <w:rsid w:val="003C4126"/>
    <w:rsid w:val="003C4168"/>
    <w:rsid w:val="003C4261"/>
    <w:rsid w:val="003C4A28"/>
    <w:rsid w:val="003C4C18"/>
    <w:rsid w:val="003C4E20"/>
    <w:rsid w:val="003C4E3D"/>
    <w:rsid w:val="003C4E3E"/>
    <w:rsid w:val="003C4F11"/>
    <w:rsid w:val="003C4F9E"/>
    <w:rsid w:val="003C4FB8"/>
    <w:rsid w:val="003C509C"/>
    <w:rsid w:val="003C50CE"/>
    <w:rsid w:val="003C5270"/>
    <w:rsid w:val="003C5391"/>
    <w:rsid w:val="003C5546"/>
    <w:rsid w:val="003C5726"/>
    <w:rsid w:val="003C5AC7"/>
    <w:rsid w:val="003C5B08"/>
    <w:rsid w:val="003C5D0E"/>
    <w:rsid w:val="003C5D3C"/>
    <w:rsid w:val="003C5E6D"/>
    <w:rsid w:val="003C600F"/>
    <w:rsid w:val="003C6089"/>
    <w:rsid w:val="003C6219"/>
    <w:rsid w:val="003C626D"/>
    <w:rsid w:val="003C628D"/>
    <w:rsid w:val="003C6305"/>
    <w:rsid w:val="003C631E"/>
    <w:rsid w:val="003C6322"/>
    <w:rsid w:val="003C63BE"/>
    <w:rsid w:val="003C6468"/>
    <w:rsid w:val="003C66D2"/>
    <w:rsid w:val="003C6A2C"/>
    <w:rsid w:val="003C6C60"/>
    <w:rsid w:val="003C6DC0"/>
    <w:rsid w:val="003C6E6B"/>
    <w:rsid w:val="003C6F11"/>
    <w:rsid w:val="003C70FA"/>
    <w:rsid w:val="003C71DB"/>
    <w:rsid w:val="003C72AC"/>
    <w:rsid w:val="003C7494"/>
    <w:rsid w:val="003C74F4"/>
    <w:rsid w:val="003C7588"/>
    <w:rsid w:val="003C78FF"/>
    <w:rsid w:val="003C791D"/>
    <w:rsid w:val="003C7928"/>
    <w:rsid w:val="003C796D"/>
    <w:rsid w:val="003C7983"/>
    <w:rsid w:val="003C7BD1"/>
    <w:rsid w:val="003C7CA9"/>
    <w:rsid w:val="003C7E36"/>
    <w:rsid w:val="003C7EA4"/>
    <w:rsid w:val="003C7F31"/>
    <w:rsid w:val="003C7F4C"/>
    <w:rsid w:val="003D0016"/>
    <w:rsid w:val="003D038D"/>
    <w:rsid w:val="003D046A"/>
    <w:rsid w:val="003D04AE"/>
    <w:rsid w:val="003D04E1"/>
    <w:rsid w:val="003D0540"/>
    <w:rsid w:val="003D06CC"/>
    <w:rsid w:val="003D0957"/>
    <w:rsid w:val="003D09AA"/>
    <w:rsid w:val="003D0A2E"/>
    <w:rsid w:val="003D0ADE"/>
    <w:rsid w:val="003D0E29"/>
    <w:rsid w:val="003D0F05"/>
    <w:rsid w:val="003D0FA6"/>
    <w:rsid w:val="003D0FAA"/>
    <w:rsid w:val="003D1044"/>
    <w:rsid w:val="003D10F5"/>
    <w:rsid w:val="003D145C"/>
    <w:rsid w:val="003D153E"/>
    <w:rsid w:val="003D1738"/>
    <w:rsid w:val="003D19D0"/>
    <w:rsid w:val="003D1A20"/>
    <w:rsid w:val="003D1BCE"/>
    <w:rsid w:val="003D1BEF"/>
    <w:rsid w:val="003D1E22"/>
    <w:rsid w:val="003D2092"/>
    <w:rsid w:val="003D225F"/>
    <w:rsid w:val="003D231C"/>
    <w:rsid w:val="003D23AC"/>
    <w:rsid w:val="003D242F"/>
    <w:rsid w:val="003D2441"/>
    <w:rsid w:val="003D2617"/>
    <w:rsid w:val="003D26C7"/>
    <w:rsid w:val="003D29C6"/>
    <w:rsid w:val="003D29CA"/>
    <w:rsid w:val="003D2DD4"/>
    <w:rsid w:val="003D2E7F"/>
    <w:rsid w:val="003D2F33"/>
    <w:rsid w:val="003D2F47"/>
    <w:rsid w:val="003D311F"/>
    <w:rsid w:val="003D3188"/>
    <w:rsid w:val="003D320B"/>
    <w:rsid w:val="003D322E"/>
    <w:rsid w:val="003D33E7"/>
    <w:rsid w:val="003D344E"/>
    <w:rsid w:val="003D3537"/>
    <w:rsid w:val="003D3675"/>
    <w:rsid w:val="003D36A5"/>
    <w:rsid w:val="003D3827"/>
    <w:rsid w:val="003D3853"/>
    <w:rsid w:val="003D3883"/>
    <w:rsid w:val="003D38E9"/>
    <w:rsid w:val="003D3A1D"/>
    <w:rsid w:val="003D3AD3"/>
    <w:rsid w:val="003D3C28"/>
    <w:rsid w:val="003D3C32"/>
    <w:rsid w:val="003D3D2E"/>
    <w:rsid w:val="003D3DC4"/>
    <w:rsid w:val="003D3E3F"/>
    <w:rsid w:val="003D3F6A"/>
    <w:rsid w:val="003D415B"/>
    <w:rsid w:val="003D4183"/>
    <w:rsid w:val="003D43CF"/>
    <w:rsid w:val="003D43FB"/>
    <w:rsid w:val="003D4576"/>
    <w:rsid w:val="003D469B"/>
    <w:rsid w:val="003D49B3"/>
    <w:rsid w:val="003D4B6F"/>
    <w:rsid w:val="003D4BDF"/>
    <w:rsid w:val="003D4C32"/>
    <w:rsid w:val="003D4FDC"/>
    <w:rsid w:val="003D5004"/>
    <w:rsid w:val="003D5263"/>
    <w:rsid w:val="003D5280"/>
    <w:rsid w:val="003D52A5"/>
    <w:rsid w:val="003D5315"/>
    <w:rsid w:val="003D539C"/>
    <w:rsid w:val="003D5519"/>
    <w:rsid w:val="003D55F8"/>
    <w:rsid w:val="003D5709"/>
    <w:rsid w:val="003D57B0"/>
    <w:rsid w:val="003D5A48"/>
    <w:rsid w:val="003D5ABD"/>
    <w:rsid w:val="003D5B45"/>
    <w:rsid w:val="003D5CB9"/>
    <w:rsid w:val="003D5ED3"/>
    <w:rsid w:val="003D6040"/>
    <w:rsid w:val="003D60CB"/>
    <w:rsid w:val="003D61A3"/>
    <w:rsid w:val="003D630C"/>
    <w:rsid w:val="003D6465"/>
    <w:rsid w:val="003D6972"/>
    <w:rsid w:val="003D6A09"/>
    <w:rsid w:val="003D6A1F"/>
    <w:rsid w:val="003D6A20"/>
    <w:rsid w:val="003D6B71"/>
    <w:rsid w:val="003D6E13"/>
    <w:rsid w:val="003D7032"/>
    <w:rsid w:val="003D70AF"/>
    <w:rsid w:val="003D70CA"/>
    <w:rsid w:val="003D71D4"/>
    <w:rsid w:val="003D78F3"/>
    <w:rsid w:val="003D79ED"/>
    <w:rsid w:val="003D7AD3"/>
    <w:rsid w:val="003D7F27"/>
    <w:rsid w:val="003E001D"/>
    <w:rsid w:val="003E00C5"/>
    <w:rsid w:val="003E064F"/>
    <w:rsid w:val="003E0675"/>
    <w:rsid w:val="003E0978"/>
    <w:rsid w:val="003E0BA0"/>
    <w:rsid w:val="003E0C7D"/>
    <w:rsid w:val="003E0CA1"/>
    <w:rsid w:val="003E0CD8"/>
    <w:rsid w:val="003E0D6B"/>
    <w:rsid w:val="003E1436"/>
    <w:rsid w:val="003E1438"/>
    <w:rsid w:val="003E1475"/>
    <w:rsid w:val="003E15C5"/>
    <w:rsid w:val="003E169B"/>
    <w:rsid w:val="003E1AD3"/>
    <w:rsid w:val="003E1B89"/>
    <w:rsid w:val="003E1CCC"/>
    <w:rsid w:val="003E1E62"/>
    <w:rsid w:val="003E1EA6"/>
    <w:rsid w:val="003E1EC5"/>
    <w:rsid w:val="003E1FC4"/>
    <w:rsid w:val="003E1FE0"/>
    <w:rsid w:val="003E224C"/>
    <w:rsid w:val="003E2289"/>
    <w:rsid w:val="003E2658"/>
    <w:rsid w:val="003E28D2"/>
    <w:rsid w:val="003E28EB"/>
    <w:rsid w:val="003E2947"/>
    <w:rsid w:val="003E29D2"/>
    <w:rsid w:val="003E2B4C"/>
    <w:rsid w:val="003E2D54"/>
    <w:rsid w:val="003E2DED"/>
    <w:rsid w:val="003E2E99"/>
    <w:rsid w:val="003E302A"/>
    <w:rsid w:val="003E31E5"/>
    <w:rsid w:val="003E34A3"/>
    <w:rsid w:val="003E34E6"/>
    <w:rsid w:val="003E3572"/>
    <w:rsid w:val="003E3712"/>
    <w:rsid w:val="003E3CD7"/>
    <w:rsid w:val="003E3E06"/>
    <w:rsid w:val="003E3E3C"/>
    <w:rsid w:val="003E3FEB"/>
    <w:rsid w:val="003E3FF4"/>
    <w:rsid w:val="003E402D"/>
    <w:rsid w:val="003E40C3"/>
    <w:rsid w:val="003E4159"/>
    <w:rsid w:val="003E43D3"/>
    <w:rsid w:val="003E444B"/>
    <w:rsid w:val="003E44D7"/>
    <w:rsid w:val="003E455A"/>
    <w:rsid w:val="003E45ED"/>
    <w:rsid w:val="003E486B"/>
    <w:rsid w:val="003E48F7"/>
    <w:rsid w:val="003E4A38"/>
    <w:rsid w:val="003E4A3A"/>
    <w:rsid w:val="003E4A52"/>
    <w:rsid w:val="003E4B34"/>
    <w:rsid w:val="003E4B70"/>
    <w:rsid w:val="003E4CFF"/>
    <w:rsid w:val="003E4D3D"/>
    <w:rsid w:val="003E4FBB"/>
    <w:rsid w:val="003E4FE4"/>
    <w:rsid w:val="003E5142"/>
    <w:rsid w:val="003E51CF"/>
    <w:rsid w:val="003E537A"/>
    <w:rsid w:val="003E54BA"/>
    <w:rsid w:val="003E55D9"/>
    <w:rsid w:val="003E5639"/>
    <w:rsid w:val="003E5662"/>
    <w:rsid w:val="003E597D"/>
    <w:rsid w:val="003E5E1E"/>
    <w:rsid w:val="003E5F31"/>
    <w:rsid w:val="003E6016"/>
    <w:rsid w:val="003E60B0"/>
    <w:rsid w:val="003E661C"/>
    <w:rsid w:val="003E664A"/>
    <w:rsid w:val="003E66D4"/>
    <w:rsid w:val="003E66E6"/>
    <w:rsid w:val="003E6840"/>
    <w:rsid w:val="003E684D"/>
    <w:rsid w:val="003E6CB8"/>
    <w:rsid w:val="003E6E05"/>
    <w:rsid w:val="003E6E83"/>
    <w:rsid w:val="003E6F47"/>
    <w:rsid w:val="003E6F8B"/>
    <w:rsid w:val="003E6FBA"/>
    <w:rsid w:val="003E716C"/>
    <w:rsid w:val="003E7385"/>
    <w:rsid w:val="003E73AE"/>
    <w:rsid w:val="003E73C2"/>
    <w:rsid w:val="003E7466"/>
    <w:rsid w:val="003E764F"/>
    <w:rsid w:val="003E7828"/>
    <w:rsid w:val="003E7917"/>
    <w:rsid w:val="003E7A9A"/>
    <w:rsid w:val="003E7B47"/>
    <w:rsid w:val="003E7BBA"/>
    <w:rsid w:val="003F00F2"/>
    <w:rsid w:val="003F015C"/>
    <w:rsid w:val="003F01B2"/>
    <w:rsid w:val="003F0436"/>
    <w:rsid w:val="003F051A"/>
    <w:rsid w:val="003F05A0"/>
    <w:rsid w:val="003F05FC"/>
    <w:rsid w:val="003F078F"/>
    <w:rsid w:val="003F07B4"/>
    <w:rsid w:val="003F080A"/>
    <w:rsid w:val="003F086A"/>
    <w:rsid w:val="003F0C56"/>
    <w:rsid w:val="003F0E2E"/>
    <w:rsid w:val="003F0EF6"/>
    <w:rsid w:val="003F1089"/>
    <w:rsid w:val="003F10A3"/>
    <w:rsid w:val="003F121A"/>
    <w:rsid w:val="003F123F"/>
    <w:rsid w:val="003F131A"/>
    <w:rsid w:val="003F1370"/>
    <w:rsid w:val="003F1547"/>
    <w:rsid w:val="003F185F"/>
    <w:rsid w:val="003F19A9"/>
    <w:rsid w:val="003F1E8F"/>
    <w:rsid w:val="003F1F51"/>
    <w:rsid w:val="003F208D"/>
    <w:rsid w:val="003F218D"/>
    <w:rsid w:val="003F238A"/>
    <w:rsid w:val="003F2448"/>
    <w:rsid w:val="003F251A"/>
    <w:rsid w:val="003F26EB"/>
    <w:rsid w:val="003F285C"/>
    <w:rsid w:val="003F287F"/>
    <w:rsid w:val="003F289B"/>
    <w:rsid w:val="003F2B9C"/>
    <w:rsid w:val="003F2D00"/>
    <w:rsid w:val="003F3072"/>
    <w:rsid w:val="003F32C2"/>
    <w:rsid w:val="003F32CC"/>
    <w:rsid w:val="003F32DC"/>
    <w:rsid w:val="003F3353"/>
    <w:rsid w:val="003F337D"/>
    <w:rsid w:val="003F35CF"/>
    <w:rsid w:val="003F35FC"/>
    <w:rsid w:val="003F376A"/>
    <w:rsid w:val="003F37DF"/>
    <w:rsid w:val="003F3839"/>
    <w:rsid w:val="003F384B"/>
    <w:rsid w:val="003F392D"/>
    <w:rsid w:val="003F3A26"/>
    <w:rsid w:val="003F3ACF"/>
    <w:rsid w:val="003F3C4C"/>
    <w:rsid w:val="003F4001"/>
    <w:rsid w:val="003F41A9"/>
    <w:rsid w:val="003F42D4"/>
    <w:rsid w:val="003F4361"/>
    <w:rsid w:val="003F445C"/>
    <w:rsid w:val="003F4582"/>
    <w:rsid w:val="003F45E6"/>
    <w:rsid w:val="003F4836"/>
    <w:rsid w:val="003F487E"/>
    <w:rsid w:val="003F495C"/>
    <w:rsid w:val="003F4A4A"/>
    <w:rsid w:val="003F4A9C"/>
    <w:rsid w:val="003F4D23"/>
    <w:rsid w:val="003F4E1C"/>
    <w:rsid w:val="003F4F26"/>
    <w:rsid w:val="003F4FBA"/>
    <w:rsid w:val="003F511F"/>
    <w:rsid w:val="003F521F"/>
    <w:rsid w:val="003F529C"/>
    <w:rsid w:val="003F52AB"/>
    <w:rsid w:val="003F5714"/>
    <w:rsid w:val="003F5837"/>
    <w:rsid w:val="003F5B00"/>
    <w:rsid w:val="003F5B7B"/>
    <w:rsid w:val="003F5CA4"/>
    <w:rsid w:val="003F5D18"/>
    <w:rsid w:val="003F6053"/>
    <w:rsid w:val="003F60D2"/>
    <w:rsid w:val="003F6111"/>
    <w:rsid w:val="003F6391"/>
    <w:rsid w:val="003F63CB"/>
    <w:rsid w:val="003F640D"/>
    <w:rsid w:val="003F6473"/>
    <w:rsid w:val="003F651E"/>
    <w:rsid w:val="003F65B8"/>
    <w:rsid w:val="003F67AE"/>
    <w:rsid w:val="003F68E2"/>
    <w:rsid w:val="003F6A6B"/>
    <w:rsid w:val="003F6B8D"/>
    <w:rsid w:val="003F6CB6"/>
    <w:rsid w:val="003F6D02"/>
    <w:rsid w:val="003F6D22"/>
    <w:rsid w:val="003F6D89"/>
    <w:rsid w:val="003F6E01"/>
    <w:rsid w:val="003F6EF5"/>
    <w:rsid w:val="003F6F8D"/>
    <w:rsid w:val="003F7245"/>
    <w:rsid w:val="003F7278"/>
    <w:rsid w:val="003F7353"/>
    <w:rsid w:val="003F7696"/>
    <w:rsid w:val="003F7819"/>
    <w:rsid w:val="003F7911"/>
    <w:rsid w:val="003F7B6A"/>
    <w:rsid w:val="003F7C04"/>
    <w:rsid w:val="003F7CF3"/>
    <w:rsid w:val="003F7E05"/>
    <w:rsid w:val="003F7F89"/>
    <w:rsid w:val="0040000B"/>
    <w:rsid w:val="0040016D"/>
    <w:rsid w:val="00400274"/>
    <w:rsid w:val="004003DB"/>
    <w:rsid w:val="004003E7"/>
    <w:rsid w:val="004006D5"/>
    <w:rsid w:val="0040074B"/>
    <w:rsid w:val="004009F9"/>
    <w:rsid w:val="00400A71"/>
    <w:rsid w:val="00400B1C"/>
    <w:rsid w:val="00400C4A"/>
    <w:rsid w:val="00400CDA"/>
    <w:rsid w:val="00400CFC"/>
    <w:rsid w:val="00400D72"/>
    <w:rsid w:val="00401065"/>
    <w:rsid w:val="00401092"/>
    <w:rsid w:val="00401165"/>
    <w:rsid w:val="004014BC"/>
    <w:rsid w:val="00401577"/>
    <w:rsid w:val="004015E2"/>
    <w:rsid w:val="004016B0"/>
    <w:rsid w:val="0040170D"/>
    <w:rsid w:val="00401899"/>
    <w:rsid w:val="00401A1A"/>
    <w:rsid w:val="00401AD0"/>
    <w:rsid w:val="00401B84"/>
    <w:rsid w:val="00401BFC"/>
    <w:rsid w:val="00401D20"/>
    <w:rsid w:val="00401DD5"/>
    <w:rsid w:val="00401E4C"/>
    <w:rsid w:val="00401E7E"/>
    <w:rsid w:val="00402138"/>
    <w:rsid w:val="00402328"/>
    <w:rsid w:val="0040236E"/>
    <w:rsid w:val="004023E1"/>
    <w:rsid w:val="004024F2"/>
    <w:rsid w:val="00402507"/>
    <w:rsid w:val="0040263C"/>
    <w:rsid w:val="00402BE4"/>
    <w:rsid w:val="00402CE7"/>
    <w:rsid w:val="00402DD5"/>
    <w:rsid w:val="004032C8"/>
    <w:rsid w:val="0040332F"/>
    <w:rsid w:val="0040337F"/>
    <w:rsid w:val="00403444"/>
    <w:rsid w:val="004034AA"/>
    <w:rsid w:val="004035C7"/>
    <w:rsid w:val="00403916"/>
    <w:rsid w:val="004039AB"/>
    <w:rsid w:val="00403AE0"/>
    <w:rsid w:val="00403E25"/>
    <w:rsid w:val="00403EF2"/>
    <w:rsid w:val="00403FEA"/>
    <w:rsid w:val="0040409A"/>
    <w:rsid w:val="004040E5"/>
    <w:rsid w:val="004040F1"/>
    <w:rsid w:val="004040F5"/>
    <w:rsid w:val="004041B1"/>
    <w:rsid w:val="004041E8"/>
    <w:rsid w:val="004044EE"/>
    <w:rsid w:val="00404620"/>
    <w:rsid w:val="00404712"/>
    <w:rsid w:val="004047C9"/>
    <w:rsid w:val="00404898"/>
    <w:rsid w:val="00404951"/>
    <w:rsid w:val="00404952"/>
    <w:rsid w:val="004049E2"/>
    <w:rsid w:val="00404B6F"/>
    <w:rsid w:val="00404B78"/>
    <w:rsid w:val="00404D36"/>
    <w:rsid w:val="00404FBB"/>
    <w:rsid w:val="00405414"/>
    <w:rsid w:val="004054C9"/>
    <w:rsid w:val="00405593"/>
    <w:rsid w:val="0040568B"/>
    <w:rsid w:val="00405830"/>
    <w:rsid w:val="00405835"/>
    <w:rsid w:val="0040588A"/>
    <w:rsid w:val="00405B6E"/>
    <w:rsid w:val="00405BD9"/>
    <w:rsid w:val="00405FA6"/>
    <w:rsid w:val="0040605E"/>
    <w:rsid w:val="00406424"/>
    <w:rsid w:val="004065EF"/>
    <w:rsid w:val="0040668D"/>
    <w:rsid w:val="004066DC"/>
    <w:rsid w:val="00406916"/>
    <w:rsid w:val="00406934"/>
    <w:rsid w:val="00406C18"/>
    <w:rsid w:val="00406D19"/>
    <w:rsid w:val="00406DEB"/>
    <w:rsid w:val="00406E41"/>
    <w:rsid w:val="00406F2D"/>
    <w:rsid w:val="00406F85"/>
    <w:rsid w:val="0040704C"/>
    <w:rsid w:val="004070AE"/>
    <w:rsid w:val="004070C5"/>
    <w:rsid w:val="004070E3"/>
    <w:rsid w:val="004071D5"/>
    <w:rsid w:val="0040745E"/>
    <w:rsid w:val="004074FB"/>
    <w:rsid w:val="00407507"/>
    <w:rsid w:val="0040772D"/>
    <w:rsid w:val="00407A61"/>
    <w:rsid w:val="00407C8D"/>
    <w:rsid w:val="00407CA2"/>
    <w:rsid w:val="004101C0"/>
    <w:rsid w:val="0041041E"/>
    <w:rsid w:val="0041086E"/>
    <w:rsid w:val="00410906"/>
    <w:rsid w:val="00410959"/>
    <w:rsid w:val="0041099A"/>
    <w:rsid w:val="00410B64"/>
    <w:rsid w:val="00410BA8"/>
    <w:rsid w:val="00410F90"/>
    <w:rsid w:val="00410FAE"/>
    <w:rsid w:val="004110B3"/>
    <w:rsid w:val="004111BF"/>
    <w:rsid w:val="0041121C"/>
    <w:rsid w:val="00411317"/>
    <w:rsid w:val="004113B8"/>
    <w:rsid w:val="0041159A"/>
    <w:rsid w:val="0041165A"/>
    <w:rsid w:val="00411A32"/>
    <w:rsid w:val="00411C27"/>
    <w:rsid w:val="00411CFC"/>
    <w:rsid w:val="00411F15"/>
    <w:rsid w:val="00411F30"/>
    <w:rsid w:val="004120EB"/>
    <w:rsid w:val="00412290"/>
    <w:rsid w:val="00412546"/>
    <w:rsid w:val="00412557"/>
    <w:rsid w:val="004126D4"/>
    <w:rsid w:val="00412A0F"/>
    <w:rsid w:val="00412CBB"/>
    <w:rsid w:val="00412D4F"/>
    <w:rsid w:val="00412D57"/>
    <w:rsid w:val="0041301D"/>
    <w:rsid w:val="004130A9"/>
    <w:rsid w:val="0041312B"/>
    <w:rsid w:val="004132D9"/>
    <w:rsid w:val="004133C8"/>
    <w:rsid w:val="004133CF"/>
    <w:rsid w:val="00413445"/>
    <w:rsid w:val="004136A5"/>
    <w:rsid w:val="004138C5"/>
    <w:rsid w:val="004138E6"/>
    <w:rsid w:val="00413944"/>
    <w:rsid w:val="00413975"/>
    <w:rsid w:val="00413A90"/>
    <w:rsid w:val="00413BAE"/>
    <w:rsid w:val="00413EB7"/>
    <w:rsid w:val="004142D6"/>
    <w:rsid w:val="00414329"/>
    <w:rsid w:val="004143E1"/>
    <w:rsid w:val="0041462D"/>
    <w:rsid w:val="00414642"/>
    <w:rsid w:val="00414726"/>
    <w:rsid w:val="004147A9"/>
    <w:rsid w:val="004147D1"/>
    <w:rsid w:val="004147DB"/>
    <w:rsid w:val="004147DC"/>
    <w:rsid w:val="00414895"/>
    <w:rsid w:val="004148B1"/>
    <w:rsid w:val="004148E2"/>
    <w:rsid w:val="00414938"/>
    <w:rsid w:val="00414A04"/>
    <w:rsid w:val="00414C16"/>
    <w:rsid w:val="00414C1D"/>
    <w:rsid w:val="00414CF6"/>
    <w:rsid w:val="00414D20"/>
    <w:rsid w:val="00414DFA"/>
    <w:rsid w:val="00414FE3"/>
    <w:rsid w:val="004151C2"/>
    <w:rsid w:val="004152FD"/>
    <w:rsid w:val="004152FE"/>
    <w:rsid w:val="0041530E"/>
    <w:rsid w:val="00415456"/>
    <w:rsid w:val="00415465"/>
    <w:rsid w:val="004155B7"/>
    <w:rsid w:val="0041566C"/>
    <w:rsid w:val="0041599F"/>
    <w:rsid w:val="00415B61"/>
    <w:rsid w:val="00415C78"/>
    <w:rsid w:val="00415CEE"/>
    <w:rsid w:val="00415D7D"/>
    <w:rsid w:val="00415F21"/>
    <w:rsid w:val="00415FC6"/>
    <w:rsid w:val="004161C3"/>
    <w:rsid w:val="00416285"/>
    <w:rsid w:val="00416290"/>
    <w:rsid w:val="004162E0"/>
    <w:rsid w:val="004164C9"/>
    <w:rsid w:val="0041659B"/>
    <w:rsid w:val="004167E6"/>
    <w:rsid w:val="00416952"/>
    <w:rsid w:val="00416EFD"/>
    <w:rsid w:val="00417233"/>
    <w:rsid w:val="0041724F"/>
    <w:rsid w:val="00417324"/>
    <w:rsid w:val="0041764D"/>
    <w:rsid w:val="004176E2"/>
    <w:rsid w:val="00417723"/>
    <w:rsid w:val="0041772F"/>
    <w:rsid w:val="00417792"/>
    <w:rsid w:val="00417995"/>
    <w:rsid w:val="00417BB9"/>
    <w:rsid w:val="00417C54"/>
    <w:rsid w:val="00417C55"/>
    <w:rsid w:val="00417D05"/>
    <w:rsid w:val="00417DB1"/>
    <w:rsid w:val="00417E4C"/>
    <w:rsid w:val="00417E9B"/>
    <w:rsid w:val="00417F86"/>
    <w:rsid w:val="00417FC5"/>
    <w:rsid w:val="00420024"/>
    <w:rsid w:val="0042020D"/>
    <w:rsid w:val="00420472"/>
    <w:rsid w:val="0042049C"/>
    <w:rsid w:val="0042057E"/>
    <w:rsid w:val="00420580"/>
    <w:rsid w:val="00420700"/>
    <w:rsid w:val="00420728"/>
    <w:rsid w:val="0042074B"/>
    <w:rsid w:val="00420831"/>
    <w:rsid w:val="0042087B"/>
    <w:rsid w:val="004208DB"/>
    <w:rsid w:val="00420965"/>
    <w:rsid w:val="004209CA"/>
    <w:rsid w:val="00420A9F"/>
    <w:rsid w:val="00420BB4"/>
    <w:rsid w:val="00420C14"/>
    <w:rsid w:val="00420CDE"/>
    <w:rsid w:val="00420D8C"/>
    <w:rsid w:val="00420E27"/>
    <w:rsid w:val="00420F5E"/>
    <w:rsid w:val="004211ED"/>
    <w:rsid w:val="00421879"/>
    <w:rsid w:val="0042188D"/>
    <w:rsid w:val="004218CD"/>
    <w:rsid w:val="004218DD"/>
    <w:rsid w:val="00421ABD"/>
    <w:rsid w:val="00421B35"/>
    <w:rsid w:val="00421C79"/>
    <w:rsid w:val="00421CE2"/>
    <w:rsid w:val="00421E5B"/>
    <w:rsid w:val="00421F08"/>
    <w:rsid w:val="00422015"/>
    <w:rsid w:val="00422411"/>
    <w:rsid w:val="00422424"/>
    <w:rsid w:val="0042250D"/>
    <w:rsid w:val="0042271C"/>
    <w:rsid w:val="0042271E"/>
    <w:rsid w:val="00422813"/>
    <w:rsid w:val="0042282B"/>
    <w:rsid w:val="004228A8"/>
    <w:rsid w:val="00422A87"/>
    <w:rsid w:val="00422BCD"/>
    <w:rsid w:val="00422BD9"/>
    <w:rsid w:val="00422BE2"/>
    <w:rsid w:val="00422C76"/>
    <w:rsid w:val="00422E19"/>
    <w:rsid w:val="00422F3F"/>
    <w:rsid w:val="00422FD1"/>
    <w:rsid w:val="004230C1"/>
    <w:rsid w:val="00423219"/>
    <w:rsid w:val="00423454"/>
    <w:rsid w:val="00423474"/>
    <w:rsid w:val="004234A1"/>
    <w:rsid w:val="00423521"/>
    <w:rsid w:val="00423557"/>
    <w:rsid w:val="004237B3"/>
    <w:rsid w:val="004237F7"/>
    <w:rsid w:val="004239E2"/>
    <w:rsid w:val="00423A1C"/>
    <w:rsid w:val="00423AD5"/>
    <w:rsid w:val="00423BEA"/>
    <w:rsid w:val="00423C30"/>
    <w:rsid w:val="00423C9C"/>
    <w:rsid w:val="00423D65"/>
    <w:rsid w:val="00423DD3"/>
    <w:rsid w:val="00423E37"/>
    <w:rsid w:val="00423FEF"/>
    <w:rsid w:val="0042401E"/>
    <w:rsid w:val="004240EA"/>
    <w:rsid w:val="00424141"/>
    <w:rsid w:val="004241CF"/>
    <w:rsid w:val="00424281"/>
    <w:rsid w:val="00424364"/>
    <w:rsid w:val="0042468E"/>
    <w:rsid w:val="004246ED"/>
    <w:rsid w:val="00424793"/>
    <w:rsid w:val="00424AE6"/>
    <w:rsid w:val="00424B54"/>
    <w:rsid w:val="00424C2F"/>
    <w:rsid w:val="00424F2F"/>
    <w:rsid w:val="00424F58"/>
    <w:rsid w:val="00424FAB"/>
    <w:rsid w:val="0042528F"/>
    <w:rsid w:val="004252F5"/>
    <w:rsid w:val="004255A1"/>
    <w:rsid w:val="004255F8"/>
    <w:rsid w:val="004255FC"/>
    <w:rsid w:val="0042575E"/>
    <w:rsid w:val="00425A8B"/>
    <w:rsid w:val="00425BEE"/>
    <w:rsid w:val="00425CC4"/>
    <w:rsid w:val="00425CD0"/>
    <w:rsid w:val="00425E6D"/>
    <w:rsid w:val="004260DF"/>
    <w:rsid w:val="0042610E"/>
    <w:rsid w:val="0042615A"/>
    <w:rsid w:val="004263C2"/>
    <w:rsid w:val="00426598"/>
    <w:rsid w:val="004265E9"/>
    <w:rsid w:val="00426673"/>
    <w:rsid w:val="0042674D"/>
    <w:rsid w:val="0042676B"/>
    <w:rsid w:val="004268FF"/>
    <w:rsid w:val="0042691C"/>
    <w:rsid w:val="00426967"/>
    <w:rsid w:val="00426AE0"/>
    <w:rsid w:val="00426B1A"/>
    <w:rsid w:val="00426C2A"/>
    <w:rsid w:val="00426CE0"/>
    <w:rsid w:val="00426D58"/>
    <w:rsid w:val="00426DC4"/>
    <w:rsid w:val="00426DDE"/>
    <w:rsid w:val="00426DE9"/>
    <w:rsid w:val="00426E44"/>
    <w:rsid w:val="00426EE3"/>
    <w:rsid w:val="00426FD0"/>
    <w:rsid w:val="00427042"/>
    <w:rsid w:val="004270F9"/>
    <w:rsid w:val="0042715D"/>
    <w:rsid w:val="00427202"/>
    <w:rsid w:val="00427328"/>
    <w:rsid w:val="0042751E"/>
    <w:rsid w:val="0042755F"/>
    <w:rsid w:val="00427578"/>
    <w:rsid w:val="00427591"/>
    <w:rsid w:val="004276B2"/>
    <w:rsid w:val="00427713"/>
    <w:rsid w:val="00427757"/>
    <w:rsid w:val="00427767"/>
    <w:rsid w:val="00427895"/>
    <w:rsid w:val="00427906"/>
    <w:rsid w:val="00427930"/>
    <w:rsid w:val="00427AA7"/>
    <w:rsid w:val="00427B36"/>
    <w:rsid w:val="00427CAC"/>
    <w:rsid w:val="00427CEC"/>
    <w:rsid w:val="0043000C"/>
    <w:rsid w:val="0043014F"/>
    <w:rsid w:val="00430205"/>
    <w:rsid w:val="0043036D"/>
    <w:rsid w:val="00430561"/>
    <w:rsid w:val="004305DA"/>
    <w:rsid w:val="004306D8"/>
    <w:rsid w:val="00430816"/>
    <w:rsid w:val="00430DAE"/>
    <w:rsid w:val="00431111"/>
    <w:rsid w:val="0043132D"/>
    <w:rsid w:val="00431382"/>
    <w:rsid w:val="004314E1"/>
    <w:rsid w:val="00431551"/>
    <w:rsid w:val="00431582"/>
    <w:rsid w:val="004316BB"/>
    <w:rsid w:val="0043171E"/>
    <w:rsid w:val="00431782"/>
    <w:rsid w:val="0043182D"/>
    <w:rsid w:val="00431D55"/>
    <w:rsid w:val="00431E24"/>
    <w:rsid w:val="00431F63"/>
    <w:rsid w:val="00431FDF"/>
    <w:rsid w:val="00432026"/>
    <w:rsid w:val="004326DB"/>
    <w:rsid w:val="0043274D"/>
    <w:rsid w:val="004329B7"/>
    <w:rsid w:val="00432A63"/>
    <w:rsid w:val="00432AD5"/>
    <w:rsid w:val="00432C17"/>
    <w:rsid w:val="00432DC1"/>
    <w:rsid w:val="00432ED6"/>
    <w:rsid w:val="00432EE3"/>
    <w:rsid w:val="00433154"/>
    <w:rsid w:val="0043333A"/>
    <w:rsid w:val="00433478"/>
    <w:rsid w:val="004334DC"/>
    <w:rsid w:val="004335EE"/>
    <w:rsid w:val="0043371E"/>
    <w:rsid w:val="00433A55"/>
    <w:rsid w:val="00433C6E"/>
    <w:rsid w:val="00433E71"/>
    <w:rsid w:val="00433E76"/>
    <w:rsid w:val="00433F0C"/>
    <w:rsid w:val="00433F98"/>
    <w:rsid w:val="004341F8"/>
    <w:rsid w:val="00434221"/>
    <w:rsid w:val="004342BC"/>
    <w:rsid w:val="00434346"/>
    <w:rsid w:val="004344BD"/>
    <w:rsid w:val="00434913"/>
    <w:rsid w:val="0043497D"/>
    <w:rsid w:val="004349C8"/>
    <w:rsid w:val="00434B3E"/>
    <w:rsid w:val="00434FF1"/>
    <w:rsid w:val="00435347"/>
    <w:rsid w:val="004355A0"/>
    <w:rsid w:val="004355EC"/>
    <w:rsid w:val="004355FF"/>
    <w:rsid w:val="004357AD"/>
    <w:rsid w:val="00435983"/>
    <w:rsid w:val="00435AA3"/>
    <w:rsid w:val="00435B97"/>
    <w:rsid w:val="00435D9D"/>
    <w:rsid w:val="00435FF6"/>
    <w:rsid w:val="004363F1"/>
    <w:rsid w:val="0043648C"/>
    <w:rsid w:val="004364BF"/>
    <w:rsid w:val="00436B11"/>
    <w:rsid w:val="00436C56"/>
    <w:rsid w:val="00436C92"/>
    <w:rsid w:val="00436D62"/>
    <w:rsid w:val="00436DD0"/>
    <w:rsid w:val="00436E43"/>
    <w:rsid w:val="00436F4B"/>
    <w:rsid w:val="0043704B"/>
    <w:rsid w:val="0043706E"/>
    <w:rsid w:val="00437134"/>
    <w:rsid w:val="004371FF"/>
    <w:rsid w:val="00437224"/>
    <w:rsid w:val="00437454"/>
    <w:rsid w:val="00437639"/>
    <w:rsid w:val="00437A66"/>
    <w:rsid w:val="00437C10"/>
    <w:rsid w:val="0044030D"/>
    <w:rsid w:val="0044032B"/>
    <w:rsid w:val="0044035A"/>
    <w:rsid w:val="0044036D"/>
    <w:rsid w:val="00440406"/>
    <w:rsid w:val="00440444"/>
    <w:rsid w:val="00440466"/>
    <w:rsid w:val="00440490"/>
    <w:rsid w:val="00440532"/>
    <w:rsid w:val="00440567"/>
    <w:rsid w:val="0044071E"/>
    <w:rsid w:val="00440860"/>
    <w:rsid w:val="004408A2"/>
    <w:rsid w:val="0044091E"/>
    <w:rsid w:val="00440A84"/>
    <w:rsid w:val="00440BFC"/>
    <w:rsid w:val="00440CC6"/>
    <w:rsid w:val="00440D19"/>
    <w:rsid w:val="00440E93"/>
    <w:rsid w:val="00440F93"/>
    <w:rsid w:val="0044103C"/>
    <w:rsid w:val="00441145"/>
    <w:rsid w:val="004413C1"/>
    <w:rsid w:val="004415C4"/>
    <w:rsid w:val="0044164F"/>
    <w:rsid w:val="00441721"/>
    <w:rsid w:val="00441883"/>
    <w:rsid w:val="00441B79"/>
    <w:rsid w:val="00441BBF"/>
    <w:rsid w:val="00441BD5"/>
    <w:rsid w:val="00441C7E"/>
    <w:rsid w:val="00441F47"/>
    <w:rsid w:val="00441FA8"/>
    <w:rsid w:val="00441FD7"/>
    <w:rsid w:val="00442144"/>
    <w:rsid w:val="0044248D"/>
    <w:rsid w:val="004424EB"/>
    <w:rsid w:val="00442651"/>
    <w:rsid w:val="00442878"/>
    <w:rsid w:val="004429BB"/>
    <w:rsid w:val="004429F6"/>
    <w:rsid w:val="00442A3A"/>
    <w:rsid w:val="00442C9A"/>
    <w:rsid w:val="00442E69"/>
    <w:rsid w:val="00442EE7"/>
    <w:rsid w:val="00442F6F"/>
    <w:rsid w:val="00443536"/>
    <w:rsid w:val="00443619"/>
    <w:rsid w:val="00443693"/>
    <w:rsid w:val="0044385D"/>
    <w:rsid w:val="00443918"/>
    <w:rsid w:val="00443B83"/>
    <w:rsid w:val="00443BBC"/>
    <w:rsid w:val="00443C37"/>
    <w:rsid w:val="00443D94"/>
    <w:rsid w:val="00443EA1"/>
    <w:rsid w:val="00443ED9"/>
    <w:rsid w:val="00444122"/>
    <w:rsid w:val="00444262"/>
    <w:rsid w:val="0044431F"/>
    <w:rsid w:val="004444EC"/>
    <w:rsid w:val="004446FC"/>
    <w:rsid w:val="00444987"/>
    <w:rsid w:val="00444A01"/>
    <w:rsid w:val="00444A03"/>
    <w:rsid w:val="00444B16"/>
    <w:rsid w:val="00444C06"/>
    <w:rsid w:val="00444C44"/>
    <w:rsid w:val="00444D53"/>
    <w:rsid w:val="00444E38"/>
    <w:rsid w:val="00444EAD"/>
    <w:rsid w:val="00445146"/>
    <w:rsid w:val="00445193"/>
    <w:rsid w:val="0044534F"/>
    <w:rsid w:val="00445379"/>
    <w:rsid w:val="0044538E"/>
    <w:rsid w:val="00445416"/>
    <w:rsid w:val="004455CC"/>
    <w:rsid w:val="0044572E"/>
    <w:rsid w:val="004459E6"/>
    <w:rsid w:val="00445A92"/>
    <w:rsid w:val="00445DDB"/>
    <w:rsid w:val="00445EAB"/>
    <w:rsid w:val="00445F88"/>
    <w:rsid w:val="00446002"/>
    <w:rsid w:val="00446193"/>
    <w:rsid w:val="0044625C"/>
    <w:rsid w:val="0044625E"/>
    <w:rsid w:val="004462AA"/>
    <w:rsid w:val="004463D0"/>
    <w:rsid w:val="00446595"/>
    <w:rsid w:val="0044659B"/>
    <w:rsid w:val="00446694"/>
    <w:rsid w:val="004466DE"/>
    <w:rsid w:val="00446706"/>
    <w:rsid w:val="00446757"/>
    <w:rsid w:val="004469B4"/>
    <w:rsid w:val="004469DE"/>
    <w:rsid w:val="00446A7E"/>
    <w:rsid w:val="00446B02"/>
    <w:rsid w:val="00446B9D"/>
    <w:rsid w:val="00446C60"/>
    <w:rsid w:val="00446E56"/>
    <w:rsid w:val="00446FC8"/>
    <w:rsid w:val="00447917"/>
    <w:rsid w:val="00447960"/>
    <w:rsid w:val="00447993"/>
    <w:rsid w:val="004479D8"/>
    <w:rsid w:val="00447A15"/>
    <w:rsid w:val="00447D48"/>
    <w:rsid w:val="00447E26"/>
    <w:rsid w:val="00447FCC"/>
    <w:rsid w:val="00450034"/>
    <w:rsid w:val="00450166"/>
    <w:rsid w:val="004503BF"/>
    <w:rsid w:val="004503E2"/>
    <w:rsid w:val="00450470"/>
    <w:rsid w:val="0045047F"/>
    <w:rsid w:val="0045054F"/>
    <w:rsid w:val="004505B4"/>
    <w:rsid w:val="004505B6"/>
    <w:rsid w:val="00450ACC"/>
    <w:rsid w:val="00450B84"/>
    <w:rsid w:val="00450BC9"/>
    <w:rsid w:val="00450C73"/>
    <w:rsid w:val="00451075"/>
    <w:rsid w:val="00451175"/>
    <w:rsid w:val="004514C1"/>
    <w:rsid w:val="004516E6"/>
    <w:rsid w:val="004516F8"/>
    <w:rsid w:val="004517BA"/>
    <w:rsid w:val="00451899"/>
    <w:rsid w:val="00451AA9"/>
    <w:rsid w:val="00451B10"/>
    <w:rsid w:val="00451B4E"/>
    <w:rsid w:val="00451B59"/>
    <w:rsid w:val="00451B81"/>
    <w:rsid w:val="00451BAC"/>
    <w:rsid w:val="00451CEF"/>
    <w:rsid w:val="00451DBE"/>
    <w:rsid w:val="00451F1F"/>
    <w:rsid w:val="00451F31"/>
    <w:rsid w:val="004520DD"/>
    <w:rsid w:val="00452194"/>
    <w:rsid w:val="00452211"/>
    <w:rsid w:val="004522BE"/>
    <w:rsid w:val="004522EE"/>
    <w:rsid w:val="004523BF"/>
    <w:rsid w:val="00452600"/>
    <w:rsid w:val="004526B4"/>
    <w:rsid w:val="004528E3"/>
    <w:rsid w:val="0045292E"/>
    <w:rsid w:val="00452A08"/>
    <w:rsid w:val="00452AC1"/>
    <w:rsid w:val="00452AF1"/>
    <w:rsid w:val="00452B70"/>
    <w:rsid w:val="00452D04"/>
    <w:rsid w:val="0045302A"/>
    <w:rsid w:val="00453129"/>
    <w:rsid w:val="0045336B"/>
    <w:rsid w:val="00453472"/>
    <w:rsid w:val="00453643"/>
    <w:rsid w:val="00453649"/>
    <w:rsid w:val="00453719"/>
    <w:rsid w:val="004538E5"/>
    <w:rsid w:val="004539C7"/>
    <w:rsid w:val="00453B8B"/>
    <w:rsid w:val="00453C34"/>
    <w:rsid w:val="00453D13"/>
    <w:rsid w:val="00453DAA"/>
    <w:rsid w:val="00453EDA"/>
    <w:rsid w:val="00453F89"/>
    <w:rsid w:val="0045428D"/>
    <w:rsid w:val="00454485"/>
    <w:rsid w:val="00454688"/>
    <w:rsid w:val="004547DB"/>
    <w:rsid w:val="00454855"/>
    <w:rsid w:val="004548E1"/>
    <w:rsid w:val="00454B04"/>
    <w:rsid w:val="00454BBB"/>
    <w:rsid w:val="00454BF9"/>
    <w:rsid w:val="00454EBE"/>
    <w:rsid w:val="00454F0B"/>
    <w:rsid w:val="00454F8B"/>
    <w:rsid w:val="00454FF9"/>
    <w:rsid w:val="00455049"/>
    <w:rsid w:val="0045519E"/>
    <w:rsid w:val="004551A5"/>
    <w:rsid w:val="0045522A"/>
    <w:rsid w:val="00455305"/>
    <w:rsid w:val="00455487"/>
    <w:rsid w:val="0045549B"/>
    <w:rsid w:val="00455533"/>
    <w:rsid w:val="00455576"/>
    <w:rsid w:val="00455578"/>
    <w:rsid w:val="00455662"/>
    <w:rsid w:val="00455849"/>
    <w:rsid w:val="00455A1E"/>
    <w:rsid w:val="00455F0F"/>
    <w:rsid w:val="00455FA0"/>
    <w:rsid w:val="004561CB"/>
    <w:rsid w:val="00456511"/>
    <w:rsid w:val="00456648"/>
    <w:rsid w:val="004566BF"/>
    <w:rsid w:val="00456863"/>
    <w:rsid w:val="00456903"/>
    <w:rsid w:val="00456B64"/>
    <w:rsid w:val="00456CB5"/>
    <w:rsid w:val="00456CFF"/>
    <w:rsid w:val="00456E66"/>
    <w:rsid w:val="00456E87"/>
    <w:rsid w:val="00456F42"/>
    <w:rsid w:val="00456FC1"/>
    <w:rsid w:val="0045715F"/>
    <w:rsid w:val="004571CE"/>
    <w:rsid w:val="00457258"/>
    <w:rsid w:val="004572C2"/>
    <w:rsid w:val="00457369"/>
    <w:rsid w:val="004573AE"/>
    <w:rsid w:val="00457427"/>
    <w:rsid w:val="0045742C"/>
    <w:rsid w:val="00457515"/>
    <w:rsid w:val="0045763B"/>
    <w:rsid w:val="00457642"/>
    <w:rsid w:val="00457724"/>
    <w:rsid w:val="00457742"/>
    <w:rsid w:val="0045777D"/>
    <w:rsid w:val="00457802"/>
    <w:rsid w:val="0045783A"/>
    <w:rsid w:val="00457861"/>
    <w:rsid w:val="00457B31"/>
    <w:rsid w:val="00457B46"/>
    <w:rsid w:val="00457C0E"/>
    <w:rsid w:val="00460094"/>
    <w:rsid w:val="00460257"/>
    <w:rsid w:val="004603F8"/>
    <w:rsid w:val="0046055F"/>
    <w:rsid w:val="004608CF"/>
    <w:rsid w:val="00460921"/>
    <w:rsid w:val="00460A53"/>
    <w:rsid w:val="00460D0A"/>
    <w:rsid w:val="00460E70"/>
    <w:rsid w:val="004610F4"/>
    <w:rsid w:val="0046110A"/>
    <w:rsid w:val="00461236"/>
    <w:rsid w:val="004612B6"/>
    <w:rsid w:val="0046164B"/>
    <w:rsid w:val="0046165D"/>
    <w:rsid w:val="0046168D"/>
    <w:rsid w:val="00461C14"/>
    <w:rsid w:val="00461CD5"/>
    <w:rsid w:val="00461E6D"/>
    <w:rsid w:val="00461EDD"/>
    <w:rsid w:val="00461F5B"/>
    <w:rsid w:val="00462040"/>
    <w:rsid w:val="004621AF"/>
    <w:rsid w:val="0046226C"/>
    <w:rsid w:val="004622BB"/>
    <w:rsid w:val="004624C1"/>
    <w:rsid w:val="00462617"/>
    <w:rsid w:val="00462751"/>
    <w:rsid w:val="004629F4"/>
    <w:rsid w:val="00462A30"/>
    <w:rsid w:val="00462AA5"/>
    <w:rsid w:val="00462B5D"/>
    <w:rsid w:val="00462B6C"/>
    <w:rsid w:val="00462D83"/>
    <w:rsid w:val="00462EE5"/>
    <w:rsid w:val="00462F7C"/>
    <w:rsid w:val="00462FA1"/>
    <w:rsid w:val="00462FBC"/>
    <w:rsid w:val="004630AB"/>
    <w:rsid w:val="00463540"/>
    <w:rsid w:val="004635CD"/>
    <w:rsid w:val="00463704"/>
    <w:rsid w:val="004637F2"/>
    <w:rsid w:val="0046391B"/>
    <w:rsid w:val="00463B5C"/>
    <w:rsid w:val="00463B96"/>
    <w:rsid w:val="00463BF3"/>
    <w:rsid w:val="00463E14"/>
    <w:rsid w:val="00463E76"/>
    <w:rsid w:val="00463E95"/>
    <w:rsid w:val="00464140"/>
    <w:rsid w:val="00464147"/>
    <w:rsid w:val="004645A2"/>
    <w:rsid w:val="004647C1"/>
    <w:rsid w:val="0046482B"/>
    <w:rsid w:val="00464990"/>
    <w:rsid w:val="004649CA"/>
    <w:rsid w:val="00464A53"/>
    <w:rsid w:val="00464F49"/>
    <w:rsid w:val="00465063"/>
    <w:rsid w:val="004653A3"/>
    <w:rsid w:val="004653B6"/>
    <w:rsid w:val="004654BB"/>
    <w:rsid w:val="00465757"/>
    <w:rsid w:val="00465779"/>
    <w:rsid w:val="00465834"/>
    <w:rsid w:val="004658B0"/>
    <w:rsid w:val="004659B2"/>
    <w:rsid w:val="00465AE5"/>
    <w:rsid w:val="00465C28"/>
    <w:rsid w:val="00465CEB"/>
    <w:rsid w:val="00465F10"/>
    <w:rsid w:val="0046606A"/>
    <w:rsid w:val="004660A4"/>
    <w:rsid w:val="00466125"/>
    <w:rsid w:val="00466160"/>
    <w:rsid w:val="0046619F"/>
    <w:rsid w:val="004661D7"/>
    <w:rsid w:val="0046625E"/>
    <w:rsid w:val="004668C7"/>
    <w:rsid w:val="00466928"/>
    <w:rsid w:val="0046697D"/>
    <w:rsid w:val="00466CE1"/>
    <w:rsid w:val="00466D28"/>
    <w:rsid w:val="00466D69"/>
    <w:rsid w:val="00466E6F"/>
    <w:rsid w:val="00467187"/>
    <w:rsid w:val="0046719C"/>
    <w:rsid w:val="00467208"/>
    <w:rsid w:val="0046743C"/>
    <w:rsid w:val="00467498"/>
    <w:rsid w:val="004676D2"/>
    <w:rsid w:val="00467819"/>
    <w:rsid w:val="00467912"/>
    <w:rsid w:val="0046794A"/>
    <w:rsid w:val="004679CA"/>
    <w:rsid w:val="00467C40"/>
    <w:rsid w:val="00467F16"/>
    <w:rsid w:val="00470077"/>
    <w:rsid w:val="0047010D"/>
    <w:rsid w:val="00470303"/>
    <w:rsid w:val="004703A0"/>
    <w:rsid w:val="004703D6"/>
    <w:rsid w:val="004705F9"/>
    <w:rsid w:val="00470655"/>
    <w:rsid w:val="0047087C"/>
    <w:rsid w:val="00470A22"/>
    <w:rsid w:val="00470B36"/>
    <w:rsid w:val="00470BB1"/>
    <w:rsid w:val="00470BED"/>
    <w:rsid w:val="00470C9D"/>
    <w:rsid w:val="00470E9E"/>
    <w:rsid w:val="00470F24"/>
    <w:rsid w:val="00470F4B"/>
    <w:rsid w:val="00470FA0"/>
    <w:rsid w:val="00471083"/>
    <w:rsid w:val="004711FB"/>
    <w:rsid w:val="00471202"/>
    <w:rsid w:val="00471486"/>
    <w:rsid w:val="0047159D"/>
    <w:rsid w:val="00471628"/>
    <w:rsid w:val="004716CE"/>
    <w:rsid w:val="0047173E"/>
    <w:rsid w:val="004718F1"/>
    <w:rsid w:val="00471B21"/>
    <w:rsid w:val="00471C5A"/>
    <w:rsid w:val="00471CF9"/>
    <w:rsid w:val="00471F63"/>
    <w:rsid w:val="004720E0"/>
    <w:rsid w:val="004721BF"/>
    <w:rsid w:val="004723D8"/>
    <w:rsid w:val="0047250B"/>
    <w:rsid w:val="004726A7"/>
    <w:rsid w:val="004727EC"/>
    <w:rsid w:val="0047293C"/>
    <w:rsid w:val="0047298B"/>
    <w:rsid w:val="004729BE"/>
    <w:rsid w:val="00472D7D"/>
    <w:rsid w:val="00472DA9"/>
    <w:rsid w:val="00472E95"/>
    <w:rsid w:val="00473102"/>
    <w:rsid w:val="00473106"/>
    <w:rsid w:val="0047318A"/>
    <w:rsid w:val="004731CB"/>
    <w:rsid w:val="00473250"/>
    <w:rsid w:val="00473327"/>
    <w:rsid w:val="00473336"/>
    <w:rsid w:val="004733AA"/>
    <w:rsid w:val="00473418"/>
    <w:rsid w:val="00473587"/>
    <w:rsid w:val="004735E5"/>
    <w:rsid w:val="0047374C"/>
    <w:rsid w:val="004739E3"/>
    <w:rsid w:val="004739E4"/>
    <w:rsid w:val="004739F9"/>
    <w:rsid w:val="00473D96"/>
    <w:rsid w:val="00473E8B"/>
    <w:rsid w:val="00473E93"/>
    <w:rsid w:val="0047430F"/>
    <w:rsid w:val="0047435C"/>
    <w:rsid w:val="004744DB"/>
    <w:rsid w:val="004745FA"/>
    <w:rsid w:val="004746ED"/>
    <w:rsid w:val="00474770"/>
    <w:rsid w:val="004747CE"/>
    <w:rsid w:val="00474842"/>
    <w:rsid w:val="00474909"/>
    <w:rsid w:val="00474B2D"/>
    <w:rsid w:val="00474BD7"/>
    <w:rsid w:val="00474BE9"/>
    <w:rsid w:val="00474CC5"/>
    <w:rsid w:val="00474E03"/>
    <w:rsid w:val="00474E6E"/>
    <w:rsid w:val="00474E98"/>
    <w:rsid w:val="00474EB3"/>
    <w:rsid w:val="00474FE4"/>
    <w:rsid w:val="0047510D"/>
    <w:rsid w:val="004751EE"/>
    <w:rsid w:val="00475315"/>
    <w:rsid w:val="0047532C"/>
    <w:rsid w:val="00475332"/>
    <w:rsid w:val="00475378"/>
    <w:rsid w:val="004753AE"/>
    <w:rsid w:val="004754AC"/>
    <w:rsid w:val="004755C5"/>
    <w:rsid w:val="00475712"/>
    <w:rsid w:val="004758DE"/>
    <w:rsid w:val="00475922"/>
    <w:rsid w:val="00475A88"/>
    <w:rsid w:val="00475AA1"/>
    <w:rsid w:val="00475AF6"/>
    <w:rsid w:val="00475AFF"/>
    <w:rsid w:val="00475BEF"/>
    <w:rsid w:val="00475C88"/>
    <w:rsid w:val="00475F03"/>
    <w:rsid w:val="00475F9F"/>
    <w:rsid w:val="00476038"/>
    <w:rsid w:val="004763C2"/>
    <w:rsid w:val="00476840"/>
    <w:rsid w:val="004769A1"/>
    <w:rsid w:val="004769A6"/>
    <w:rsid w:val="00476ADF"/>
    <w:rsid w:val="00476CBB"/>
    <w:rsid w:val="00476CFE"/>
    <w:rsid w:val="00476F06"/>
    <w:rsid w:val="004770AF"/>
    <w:rsid w:val="004770C3"/>
    <w:rsid w:val="00477281"/>
    <w:rsid w:val="00477313"/>
    <w:rsid w:val="004774E1"/>
    <w:rsid w:val="00477748"/>
    <w:rsid w:val="0047785A"/>
    <w:rsid w:val="0047789A"/>
    <w:rsid w:val="004778CD"/>
    <w:rsid w:val="00477B82"/>
    <w:rsid w:val="00477B94"/>
    <w:rsid w:val="00477BD2"/>
    <w:rsid w:val="0048001F"/>
    <w:rsid w:val="00480083"/>
    <w:rsid w:val="004801AB"/>
    <w:rsid w:val="0048042A"/>
    <w:rsid w:val="00480601"/>
    <w:rsid w:val="004808E2"/>
    <w:rsid w:val="00480CC4"/>
    <w:rsid w:val="004810AF"/>
    <w:rsid w:val="00481366"/>
    <w:rsid w:val="00481463"/>
    <w:rsid w:val="004814AA"/>
    <w:rsid w:val="004815AE"/>
    <w:rsid w:val="004817BF"/>
    <w:rsid w:val="0048185A"/>
    <w:rsid w:val="004818CB"/>
    <w:rsid w:val="00481907"/>
    <w:rsid w:val="00481941"/>
    <w:rsid w:val="004819DB"/>
    <w:rsid w:val="00481B5E"/>
    <w:rsid w:val="00481BF2"/>
    <w:rsid w:val="00481C7A"/>
    <w:rsid w:val="00481C7B"/>
    <w:rsid w:val="00481D6C"/>
    <w:rsid w:val="00481DEF"/>
    <w:rsid w:val="00481F34"/>
    <w:rsid w:val="00482063"/>
    <w:rsid w:val="0048217A"/>
    <w:rsid w:val="00482206"/>
    <w:rsid w:val="00482227"/>
    <w:rsid w:val="00482440"/>
    <w:rsid w:val="00482503"/>
    <w:rsid w:val="00482721"/>
    <w:rsid w:val="004828EE"/>
    <w:rsid w:val="00482A2B"/>
    <w:rsid w:val="00482AC5"/>
    <w:rsid w:val="00482B3E"/>
    <w:rsid w:val="00482B43"/>
    <w:rsid w:val="00482DB1"/>
    <w:rsid w:val="00482DF4"/>
    <w:rsid w:val="00482E25"/>
    <w:rsid w:val="0048301A"/>
    <w:rsid w:val="0048306E"/>
    <w:rsid w:val="0048310F"/>
    <w:rsid w:val="004833DB"/>
    <w:rsid w:val="00483476"/>
    <w:rsid w:val="004836E2"/>
    <w:rsid w:val="0048389C"/>
    <w:rsid w:val="00483951"/>
    <w:rsid w:val="004839ED"/>
    <w:rsid w:val="00483C21"/>
    <w:rsid w:val="00483C41"/>
    <w:rsid w:val="00483C46"/>
    <w:rsid w:val="00483C95"/>
    <w:rsid w:val="00483DB8"/>
    <w:rsid w:val="00484068"/>
    <w:rsid w:val="00484100"/>
    <w:rsid w:val="00484139"/>
    <w:rsid w:val="0048424E"/>
    <w:rsid w:val="004842E2"/>
    <w:rsid w:val="004843D5"/>
    <w:rsid w:val="0048442C"/>
    <w:rsid w:val="004845D6"/>
    <w:rsid w:val="0048475F"/>
    <w:rsid w:val="0048477F"/>
    <w:rsid w:val="00484802"/>
    <w:rsid w:val="00484A03"/>
    <w:rsid w:val="00484AF0"/>
    <w:rsid w:val="00485135"/>
    <w:rsid w:val="00485295"/>
    <w:rsid w:val="004852E4"/>
    <w:rsid w:val="00485445"/>
    <w:rsid w:val="00485515"/>
    <w:rsid w:val="004856BE"/>
    <w:rsid w:val="00485A9B"/>
    <w:rsid w:val="00485B25"/>
    <w:rsid w:val="00485BD0"/>
    <w:rsid w:val="00485CCF"/>
    <w:rsid w:val="00485D6C"/>
    <w:rsid w:val="00485EE6"/>
    <w:rsid w:val="00485F5B"/>
    <w:rsid w:val="00485FB1"/>
    <w:rsid w:val="00486233"/>
    <w:rsid w:val="00486341"/>
    <w:rsid w:val="00486445"/>
    <w:rsid w:val="0048649D"/>
    <w:rsid w:val="0048657E"/>
    <w:rsid w:val="004865DD"/>
    <w:rsid w:val="00486657"/>
    <w:rsid w:val="004866B8"/>
    <w:rsid w:val="00486858"/>
    <w:rsid w:val="0048687F"/>
    <w:rsid w:val="00486924"/>
    <w:rsid w:val="00486A11"/>
    <w:rsid w:val="00486A2E"/>
    <w:rsid w:val="00486B09"/>
    <w:rsid w:val="00486B42"/>
    <w:rsid w:val="00486FC5"/>
    <w:rsid w:val="00487032"/>
    <w:rsid w:val="004870C0"/>
    <w:rsid w:val="004872C4"/>
    <w:rsid w:val="00487646"/>
    <w:rsid w:val="00487663"/>
    <w:rsid w:val="00487746"/>
    <w:rsid w:val="00487ABB"/>
    <w:rsid w:val="00487B60"/>
    <w:rsid w:val="00487D0D"/>
    <w:rsid w:val="00487D96"/>
    <w:rsid w:val="00487DE8"/>
    <w:rsid w:val="00487FB9"/>
    <w:rsid w:val="00490002"/>
    <w:rsid w:val="00490044"/>
    <w:rsid w:val="004901BB"/>
    <w:rsid w:val="0049040D"/>
    <w:rsid w:val="004907F4"/>
    <w:rsid w:val="004909BC"/>
    <w:rsid w:val="00490BF0"/>
    <w:rsid w:val="00490C4E"/>
    <w:rsid w:val="00490D25"/>
    <w:rsid w:val="00490F1D"/>
    <w:rsid w:val="00490FB8"/>
    <w:rsid w:val="004913D8"/>
    <w:rsid w:val="0049140C"/>
    <w:rsid w:val="00491448"/>
    <w:rsid w:val="0049164F"/>
    <w:rsid w:val="00491652"/>
    <w:rsid w:val="00491690"/>
    <w:rsid w:val="00491814"/>
    <w:rsid w:val="004919AF"/>
    <w:rsid w:val="00491BF0"/>
    <w:rsid w:val="00491D2D"/>
    <w:rsid w:val="00491D96"/>
    <w:rsid w:val="00491DA1"/>
    <w:rsid w:val="00491EC7"/>
    <w:rsid w:val="00491EE9"/>
    <w:rsid w:val="0049206A"/>
    <w:rsid w:val="004920B5"/>
    <w:rsid w:val="004920E0"/>
    <w:rsid w:val="00492192"/>
    <w:rsid w:val="00492203"/>
    <w:rsid w:val="00492226"/>
    <w:rsid w:val="00492255"/>
    <w:rsid w:val="004922DE"/>
    <w:rsid w:val="0049233E"/>
    <w:rsid w:val="0049246E"/>
    <w:rsid w:val="004924AA"/>
    <w:rsid w:val="0049256A"/>
    <w:rsid w:val="0049262D"/>
    <w:rsid w:val="00492781"/>
    <w:rsid w:val="004927E8"/>
    <w:rsid w:val="004928DD"/>
    <w:rsid w:val="004928ED"/>
    <w:rsid w:val="00492C32"/>
    <w:rsid w:val="00492CF0"/>
    <w:rsid w:val="00492D4E"/>
    <w:rsid w:val="00492D85"/>
    <w:rsid w:val="00492D97"/>
    <w:rsid w:val="00492E29"/>
    <w:rsid w:val="00493112"/>
    <w:rsid w:val="004932BC"/>
    <w:rsid w:val="004933AB"/>
    <w:rsid w:val="00493585"/>
    <w:rsid w:val="00493589"/>
    <w:rsid w:val="004935C9"/>
    <w:rsid w:val="00493669"/>
    <w:rsid w:val="0049372B"/>
    <w:rsid w:val="0049373A"/>
    <w:rsid w:val="004937B1"/>
    <w:rsid w:val="0049394D"/>
    <w:rsid w:val="00493964"/>
    <w:rsid w:val="00493B65"/>
    <w:rsid w:val="00493EAF"/>
    <w:rsid w:val="00493F1B"/>
    <w:rsid w:val="00493FDD"/>
    <w:rsid w:val="004940A7"/>
    <w:rsid w:val="00494308"/>
    <w:rsid w:val="004944DF"/>
    <w:rsid w:val="0049453F"/>
    <w:rsid w:val="00494540"/>
    <w:rsid w:val="0049459D"/>
    <w:rsid w:val="004946AE"/>
    <w:rsid w:val="004946D4"/>
    <w:rsid w:val="004946D6"/>
    <w:rsid w:val="004948D0"/>
    <w:rsid w:val="004948F8"/>
    <w:rsid w:val="00494947"/>
    <w:rsid w:val="00494D28"/>
    <w:rsid w:val="00494DD8"/>
    <w:rsid w:val="00494E06"/>
    <w:rsid w:val="00494E08"/>
    <w:rsid w:val="00494F0C"/>
    <w:rsid w:val="00494F30"/>
    <w:rsid w:val="00495308"/>
    <w:rsid w:val="004955B4"/>
    <w:rsid w:val="00495696"/>
    <w:rsid w:val="00495722"/>
    <w:rsid w:val="0049582B"/>
    <w:rsid w:val="00495D81"/>
    <w:rsid w:val="00495E32"/>
    <w:rsid w:val="0049617A"/>
    <w:rsid w:val="004961E6"/>
    <w:rsid w:val="0049623F"/>
    <w:rsid w:val="00496264"/>
    <w:rsid w:val="00496283"/>
    <w:rsid w:val="00496297"/>
    <w:rsid w:val="00496486"/>
    <w:rsid w:val="00496649"/>
    <w:rsid w:val="0049685F"/>
    <w:rsid w:val="00496900"/>
    <w:rsid w:val="0049690A"/>
    <w:rsid w:val="00496A14"/>
    <w:rsid w:val="00496A2B"/>
    <w:rsid w:val="00496C71"/>
    <w:rsid w:val="00496D08"/>
    <w:rsid w:val="00496DCC"/>
    <w:rsid w:val="00497132"/>
    <w:rsid w:val="00497177"/>
    <w:rsid w:val="00497314"/>
    <w:rsid w:val="00497330"/>
    <w:rsid w:val="00497435"/>
    <w:rsid w:val="004974D8"/>
    <w:rsid w:val="004974FE"/>
    <w:rsid w:val="0049781C"/>
    <w:rsid w:val="00497861"/>
    <w:rsid w:val="004978B6"/>
    <w:rsid w:val="00497923"/>
    <w:rsid w:val="00497BAE"/>
    <w:rsid w:val="00497C40"/>
    <w:rsid w:val="00497EFD"/>
    <w:rsid w:val="00497F39"/>
    <w:rsid w:val="00497F8F"/>
    <w:rsid w:val="004A00B8"/>
    <w:rsid w:val="004A00D0"/>
    <w:rsid w:val="004A00ED"/>
    <w:rsid w:val="004A0135"/>
    <w:rsid w:val="004A027D"/>
    <w:rsid w:val="004A02C0"/>
    <w:rsid w:val="004A05C6"/>
    <w:rsid w:val="004A0608"/>
    <w:rsid w:val="004A0744"/>
    <w:rsid w:val="004A0B59"/>
    <w:rsid w:val="004A0BA9"/>
    <w:rsid w:val="004A0CC4"/>
    <w:rsid w:val="004A0F25"/>
    <w:rsid w:val="004A0FEB"/>
    <w:rsid w:val="004A10B6"/>
    <w:rsid w:val="004A1291"/>
    <w:rsid w:val="004A159C"/>
    <w:rsid w:val="004A1601"/>
    <w:rsid w:val="004A161B"/>
    <w:rsid w:val="004A1644"/>
    <w:rsid w:val="004A178A"/>
    <w:rsid w:val="004A1816"/>
    <w:rsid w:val="004A18E7"/>
    <w:rsid w:val="004A1A26"/>
    <w:rsid w:val="004A1A7A"/>
    <w:rsid w:val="004A1ACF"/>
    <w:rsid w:val="004A1B54"/>
    <w:rsid w:val="004A1E47"/>
    <w:rsid w:val="004A1F7A"/>
    <w:rsid w:val="004A2008"/>
    <w:rsid w:val="004A20B3"/>
    <w:rsid w:val="004A20B6"/>
    <w:rsid w:val="004A21B5"/>
    <w:rsid w:val="004A21FF"/>
    <w:rsid w:val="004A2251"/>
    <w:rsid w:val="004A22B3"/>
    <w:rsid w:val="004A2573"/>
    <w:rsid w:val="004A2602"/>
    <w:rsid w:val="004A26FE"/>
    <w:rsid w:val="004A276D"/>
    <w:rsid w:val="004A2821"/>
    <w:rsid w:val="004A2930"/>
    <w:rsid w:val="004A2BA7"/>
    <w:rsid w:val="004A2BB9"/>
    <w:rsid w:val="004A2BE5"/>
    <w:rsid w:val="004A2D33"/>
    <w:rsid w:val="004A2EE4"/>
    <w:rsid w:val="004A2EEE"/>
    <w:rsid w:val="004A2F37"/>
    <w:rsid w:val="004A3267"/>
    <w:rsid w:val="004A35BC"/>
    <w:rsid w:val="004A364C"/>
    <w:rsid w:val="004A3792"/>
    <w:rsid w:val="004A37BB"/>
    <w:rsid w:val="004A38B8"/>
    <w:rsid w:val="004A38E0"/>
    <w:rsid w:val="004A3B1F"/>
    <w:rsid w:val="004A3B2D"/>
    <w:rsid w:val="004A3D7F"/>
    <w:rsid w:val="004A3DDE"/>
    <w:rsid w:val="004A4043"/>
    <w:rsid w:val="004A4091"/>
    <w:rsid w:val="004A4180"/>
    <w:rsid w:val="004A423B"/>
    <w:rsid w:val="004A4290"/>
    <w:rsid w:val="004A4532"/>
    <w:rsid w:val="004A4643"/>
    <w:rsid w:val="004A4648"/>
    <w:rsid w:val="004A480B"/>
    <w:rsid w:val="004A4851"/>
    <w:rsid w:val="004A48E3"/>
    <w:rsid w:val="004A4929"/>
    <w:rsid w:val="004A4BC1"/>
    <w:rsid w:val="004A4FFB"/>
    <w:rsid w:val="004A507C"/>
    <w:rsid w:val="004A51B9"/>
    <w:rsid w:val="004A5221"/>
    <w:rsid w:val="004A56CD"/>
    <w:rsid w:val="004A58B8"/>
    <w:rsid w:val="004A5ABC"/>
    <w:rsid w:val="004A5B8F"/>
    <w:rsid w:val="004A5C5A"/>
    <w:rsid w:val="004A5C6B"/>
    <w:rsid w:val="004A5FC8"/>
    <w:rsid w:val="004A60EC"/>
    <w:rsid w:val="004A61B8"/>
    <w:rsid w:val="004A6280"/>
    <w:rsid w:val="004A6486"/>
    <w:rsid w:val="004A663D"/>
    <w:rsid w:val="004A6787"/>
    <w:rsid w:val="004A68B8"/>
    <w:rsid w:val="004A698B"/>
    <w:rsid w:val="004A6B3A"/>
    <w:rsid w:val="004A6BA2"/>
    <w:rsid w:val="004A6BE3"/>
    <w:rsid w:val="004A6D8D"/>
    <w:rsid w:val="004A6DA6"/>
    <w:rsid w:val="004A739F"/>
    <w:rsid w:val="004A743E"/>
    <w:rsid w:val="004A7518"/>
    <w:rsid w:val="004A7541"/>
    <w:rsid w:val="004A77BB"/>
    <w:rsid w:val="004A77D3"/>
    <w:rsid w:val="004A7863"/>
    <w:rsid w:val="004A7896"/>
    <w:rsid w:val="004A7927"/>
    <w:rsid w:val="004A7960"/>
    <w:rsid w:val="004A796D"/>
    <w:rsid w:val="004A7A7B"/>
    <w:rsid w:val="004A7AC2"/>
    <w:rsid w:val="004A7BB5"/>
    <w:rsid w:val="004A7BD1"/>
    <w:rsid w:val="004A7DD5"/>
    <w:rsid w:val="004A7FD0"/>
    <w:rsid w:val="004B0215"/>
    <w:rsid w:val="004B026F"/>
    <w:rsid w:val="004B0307"/>
    <w:rsid w:val="004B0396"/>
    <w:rsid w:val="004B040E"/>
    <w:rsid w:val="004B04F7"/>
    <w:rsid w:val="004B0743"/>
    <w:rsid w:val="004B07CF"/>
    <w:rsid w:val="004B0868"/>
    <w:rsid w:val="004B08A8"/>
    <w:rsid w:val="004B08B2"/>
    <w:rsid w:val="004B09BD"/>
    <w:rsid w:val="004B0CB6"/>
    <w:rsid w:val="004B0CC8"/>
    <w:rsid w:val="004B0D10"/>
    <w:rsid w:val="004B0D56"/>
    <w:rsid w:val="004B0EFE"/>
    <w:rsid w:val="004B0FCF"/>
    <w:rsid w:val="004B1125"/>
    <w:rsid w:val="004B125F"/>
    <w:rsid w:val="004B1447"/>
    <w:rsid w:val="004B1469"/>
    <w:rsid w:val="004B16D3"/>
    <w:rsid w:val="004B16EB"/>
    <w:rsid w:val="004B181D"/>
    <w:rsid w:val="004B183F"/>
    <w:rsid w:val="004B1853"/>
    <w:rsid w:val="004B186D"/>
    <w:rsid w:val="004B194C"/>
    <w:rsid w:val="004B1A0E"/>
    <w:rsid w:val="004B1B58"/>
    <w:rsid w:val="004B1BCD"/>
    <w:rsid w:val="004B1CF6"/>
    <w:rsid w:val="004B1D21"/>
    <w:rsid w:val="004B1DE9"/>
    <w:rsid w:val="004B1E09"/>
    <w:rsid w:val="004B1E8A"/>
    <w:rsid w:val="004B2049"/>
    <w:rsid w:val="004B20AE"/>
    <w:rsid w:val="004B2166"/>
    <w:rsid w:val="004B25B4"/>
    <w:rsid w:val="004B274F"/>
    <w:rsid w:val="004B2B43"/>
    <w:rsid w:val="004B2CED"/>
    <w:rsid w:val="004B2DE7"/>
    <w:rsid w:val="004B3027"/>
    <w:rsid w:val="004B31B7"/>
    <w:rsid w:val="004B31CF"/>
    <w:rsid w:val="004B330A"/>
    <w:rsid w:val="004B352C"/>
    <w:rsid w:val="004B37F0"/>
    <w:rsid w:val="004B381A"/>
    <w:rsid w:val="004B3826"/>
    <w:rsid w:val="004B3863"/>
    <w:rsid w:val="004B3B1B"/>
    <w:rsid w:val="004B3B90"/>
    <w:rsid w:val="004B3DB0"/>
    <w:rsid w:val="004B3DBE"/>
    <w:rsid w:val="004B3EAC"/>
    <w:rsid w:val="004B3FA1"/>
    <w:rsid w:val="004B42B1"/>
    <w:rsid w:val="004B4464"/>
    <w:rsid w:val="004B4588"/>
    <w:rsid w:val="004B46DB"/>
    <w:rsid w:val="004B4AF9"/>
    <w:rsid w:val="004B4D19"/>
    <w:rsid w:val="004B4D1B"/>
    <w:rsid w:val="004B4DDB"/>
    <w:rsid w:val="004B4EB2"/>
    <w:rsid w:val="004B51A2"/>
    <w:rsid w:val="004B542D"/>
    <w:rsid w:val="004B56EB"/>
    <w:rsid w:val="004B57E4"/>
    <w:rsid w:val="004B59B0"/>
    <w:rsid w:val="004B59D5"/>
    <w:rsid w:val="004B5A24"/>
    <w:rsid w:val="004B5A59"/>
    <w:rsid w:val="004B5B0F"/>
    <w:rsid w:val="004B5B4D"/>
    <w:rsid w:val="004B5C06"/>
    <w:rsid w:val="004B5CD3"/>
    <w:rsid w:val="004B5E8B"/>
    <w:rsid w:val="004B5FF0"/>
    <w:rsid w:val="004B6266"/>
    <w:rsid w:val="004B62EC"/>
    <w:rsid w:val="004B63FE"/>
    <w:rsid w:val="004B6427"/>
    <w:rsid w:val="004B65C3"/>
    <w:rsid w:val="004B6690"/>
    <w:rsid w:val="004B6E04"/>
    <w:rsid w:val="004B6E09"/>
    <w:rsid w:val="004B7086"/>
    <w:rsid w:val="004B70D0"/>
    <w:rsid w:val="004B751F"/>
    <w:rsid w:val="004B758A"/>
    <w:rsid w:val="004B75F9"/>
    <w:rsid w:val="004B7682"/>
    <w:rsid w:val="004B7869"/>
    <w:rsid w:val="004B7AA8"/>
    <w:rsid w:val="004B7ABB"/>
    <w:rsid w:val="004B7C52"/>
    <w:rsid w:val="004B7CA1"/>
    <w:rsid w:val="004B7F95"/>
    <w:rsid w:val="004B7F9F"/>
    <w:rsid w:val="004C0094"/>
    <w:rsid w:val="004C0222"/>
    <w:rsid w:val="004C03EC"/>
    <w:rsid w:val="004C0537"/>
    <w:rsid w:val="004C054D"/>
    <w:rsid w:val="004C055B"/>
    <w:rsid w:val="004C06EB"/>
    <w:rsid w:val="004C07FC"/>
    <w:rsid w:val="004C099E"/>
    <w:rsid w:val="004C1079"/>
    <w:rsid w:val="004C11AB"/>
    <w:rsid w:val="004C1277"/>
    <w:rsid w:val="004C12AC"/>
    <w:rsid w:val="004C130F"/>
    <w:rsid w:val="004C14D6"/>
    <w:rsid w:val="004C16A5"/>
    <w:rsid w:val="004C16CE"/>
    <w:rsid w:val="004C1871"/>
    <w:rsid w:val="004C198E"/>
    <w:rsid w:val="004C1D33"/>
    <w:rsid w:val="004C1D56"/>
    <w:rsid w:val="004C220C"/>
    <w:rsid w:val="004C2249"/>
    <w:rsid w:val="004C232D"/>
    <w:rsid w:val="004C23A3"/>
    <w:rsid w:val="004C2559"/>
    <w:rsid w:val="004C287B"/>
    <w:rsid w:val="004C2C54"/>
    <w:rsid w:val="004C2CE8"/>
    <w:rsid w:val="004C2D0D"/>
    <w:rsid w:val="004C2D93"/>
    <w:rsid w:val="004C2E29"/>
    <w:rsid w:val="004C2ED3"/>
    <w:rsid w:val="004C3011"/>
    <w:rsid w:val="004C318E"/>
    <w:rsid w:val="004C31C9"/>
    <w:rsid w:val="004C327C"/>
    <w:rsid w:val="004C360B"/>
    <w:rsid w:val="004C3639"/>
    <w:rsid w:val="004C3970"/>
    <w:rsid w:val="004C3AA7"/>
    <w:rsid w:val="004C3AE7"/>
    <w:rsid w:val="004C3F17"/>
    <w:rsid w:val="004C406C"/>
    <w:rsid w:val="004C4070"/>
    <w:rsid w:val="004C4107"/>
    <w:rsid w:val="004C4199"/>
    <w:rsid w:val="004C41B9"/>
    <w:rsid w:val="004C4203"/>
    <w:rsid w:val="004C4278"/>
    <w:rsid w:val="004C4600"/>
    <w:rsid w:val="004C463C"/>
    <w:rsid w:val="004C46B5"/>
    <w:rsid w:val="004C46D4"/>
    <w:rsid w:val="004C46F4"/>
    <w:rsid w:val="004C48C6"/>
    <w:rsid w:val="004C49EE"/>
    <w:rsid w:val="004C4B40"/>
    <w:rsid w:val="004C4C38"/>
    <w:rsid w:val="004C4CBD"/>
    <w:rsid w:val="004C4DC8"/>
    <w:rsid w:val="004C4E3F"/>
    <w:rsid w:val="004C4E5E"/>
    <w:rsid w:val="004C4F25"/>
    <w:rsid w:val="004C50D6"/>
    <w:rsid w:val="004C5172"/>
    <w:rsid w:val="004C5234"/>
    <w:rsid w:val="004C52B1"/>
    <w:rsid w:val="004C53A4"/>
    <w:rsid w:val="004C5862"/>
    <w:rsid w:val="004C5CAB"/>
    <w:rsid w:val="004C5D4F"/>
    <w:rsid w:val="004C5FBA"/>
    <w:rsid w:val="004C6002"/>
    <w:rsid w:val="004C6108"/>
    <w:rsid w:val="004C61A0"/>
    <w:rsid w:val="004C629A"/>
    <w:rsid w:val="004C6380"/>
    <w:rsid w:val="004C6578"/>
    <w:rsid w:val="004C674F"/>
    <w:rsid w:val="004C68ED"/>
    <w:rsid w:val="004C6A80"/>
    <w:rsid w:val="004C6BF5"/>
    <w:rsid w:val="004C7030"/>
    <w:rsid w:val="004C7096"/>
    <w:rsid w:val="004C71DA"/>
    <w:rsid w:val="004C7298"/>
    <w:rsid w:val="004C7389"/>
    <w:rsid w:val="004C747C"/>
    <w:rsid w:val="004C758B"/>
    <w:rsid w:val="004C7649"/>
    <w:rsid w:val="004C7694"/>
    <w:rsid w:val="004C76C3"/>
    <w:rsid w:val="004C76E9"/>
    <w:rsid w:val="004C778B"/>
    <w:rsid w:val="004C77CA"/>
    <w:rsid w:val="004C782E"/>
    <w:rsid w:val="004C78B7"/>
    <w:rsid w:val="004C7C81"/>
    <w:rsid w:val="004C7D4A"/>
    <w:rsid w:val="004D008E"/>
    <w:rsid w:val="004D00DB"/>
    <w:rsid w:val="004D0206"/>
    <w:rsid w:val="004D0330"/>
    <w:rsid w:val="004D0429"/>
    <w:rsid w:val="004D0618"/>
    <w:rsid w:val="004D0654"/>
    <w:rsid w:val="004D07DE"/>
    <w:rsid w:val="004D0870"/>
    <w:rsid w:val="004D08F2"/>
    <w:rsid w:val="004D0961"/>
    <w:rsid w:val="004D09BF"/>
    <w:rsid w:val="004D0A47"/>
    <w:rsid w:val="004D0B06"/>
    <w:rsid w:val="004D0EFD"/>
    <w:rsid w:val="004D0F8F"/>
    <w:rsid w:val="004D1027"/>
    <w:rsid w:val="004D1038"/>
    <w:rsid w:val="004D1273"/>
    <w:rsid w:val="004D1305"/>
    <w:rsid w:val="004D1519"/>
    <w:rsid w:val="004D1892"/>
    <w:rsid w:val="004D19D6"/>
    <w:rsid w:val="004D1A5C"/>
    <w:rsid w:val="004D1BF4"/>
    <w:rsid w:val="004D1CC4"/>
    <w:rsid w:val="004D2008"/>
    <w:rsid w:val="004D206D"/>
    <w:rsid w:val="004D20E2"/>
    <w:rsid w:val="004D2160"/>
    <w:rsid w:val="004D21AE"/>
    <w:rsid w:val="004D237A"/>
    <w:rsid w:val="004D2384"/>
    <w:rsid w:val="004D25CB"/>
    <w:rsid w:val="004D264B"/>
    <w:rsid w:val="004D2780"/>
    <w:rsid w:val="004D27EC"/>
    <w:rsid w:val="004D28EF"/>
    <w:rsid w:val="004D2A98"/>
    <w:rsid w:val="004D2B08"/>
    <w:rsid w:val="004D2C91"/>
    <w:rsid w:val="004D2CFF"/>
    <w:rsid w:val="004D2DB7"/>
    <w:rsid w:val="004D2EA4"/>
    <w:rsid w:val="004D2F4A"/>
    <w:rsid w:val="004D2F7C"/>
    <w:rsid w:val="004D32A9"/>
    <w:rsid w:val="004D3482"/>
    <w:rsid w:val="004D3551"/>
    <w:rsid w:val="004D3615"/>
    <w:rsid w:val="004D36F1"/>
    <w:rsid w:val="004D38FB"/>
    <w:rsid w:val="004D3A4C"/>
    <w:rsid w:val="004D3CA0"/>
    <w:rsid w:val="004D3DC2"/>
    <w:rsid w:val="004D3DF6"/>
    <w:rsid w:val="004D3EEC"/>
    <w:rsid w:val="004D3FFF"/>
    <w:rsid w:val="004D4045"/>
    <w:rsid w:val="004D4054"/>
    <w:rsid w:val="004D42EA"/>
    <w:rsid w:val="004D44CF"/>
    <w:rsid w:val="004D4A06"/>
    <w:rsid w:val="004D4A25"/>
    <w:rsid w:val="004D4ADC"/>
    <w:rsid w:val="004D4B76"/>
    <w:rsid w:val="004D4CBE"/>
    <w:rsid w:val="004D4D61"/>
    <w:rsid w:val="004D4E83"/>
    <w:rsid w:val="004D4F27"/>
    <w:rsid w:val="004D5076"/>
    <w:rsid w:val="004D50CD"/>
    <w:rsid w:val="004D50F4"/>
    <w:rsid w:val="004D5199"/>
    <w:rsid w:val="004D535E"/>
    <w:rsid w:val="004D53A5"/>
    <w:rsid w:val="004D5616"/>
    <w:rsid w:val="004D561D"/>
    <w:rsid w:val="004D5631"/>
    <w:rsid w:val="004D56BC"/>
    <w:rsid w:val="004D572C"/>
    <w:rsid w:val="004D57BD"/>
    <w:rsid w:val="004D5815"/>
    <w:rsid w:val="004D5912"/>
    <w:rsid w:val="004D5939"/>
    <w:rsid w:val="004D5A82"/>
    <w:rsid w:val="004D5B24"/>
    <w:rsid w:val="004D5B36"/>
    <w:rsid w:val="004D5B55"/>
    <w:rsid w:val="004D5F0D"/>
    <w:rsid w:val="004D615F"/>
    <w:rsid w:val="004D624A"/>
    <w:rsid w:val="004D628C"/>
    <w:rsid w:val="004D6360"/>
    <w:rsid w:val="004D6376"/>
    <w:rsid w:val="004D6462"/>
    <w:rsid w:val="004D6556"/>
    <w:rsid w:val="004D67B4"/>
    <w:rsid w:val="004D6B3B"/>
    <w:rsid w:val="004D6C7A"/>
    <w:rsid w:val="004D6D1F"/>
    <w:rsid w:val="004D6D89"/>
    <w:rsid w:val="004D6D9D"/>
    <w:rsid w:val="004D6E45"/>
    <w:rsid w:val="004D6EF8"/>
    <w:rsid w:val="004D6F16"/>
    <w:rsid w:val="004D7170"/>
    <w:rsid w:val="004D719B"/>
    <w:rsid w:val="004D71B6"/>
    <w:rsid w:val="004D7213"/>
    <w:rsid w:val="004D72D2"/>
    <w:rsid w:val="004D7399"/>
    <w:rsid w:val="004D7467"/>
    <w:rsid w:val="004D7572"/>
    <w:rsid w:val="004D75A1"/>
    <w:rsid w:val="004D75F2"/>
    <w:rsid w:val="004D7691"/>
    <w:rsid w:val="004D76FD"/>
    <w:rsid w:val="004D7766"/>
    <w:rsid w:val="004D77B8"/>
    <w:rsid w:val="004D78BE"/>
    <w:rsid w:val="004D794E"/>
    <w:rsid w:val="004D7AC2"/>
    <w:rsid w:val="004D7ADD"/>
    <w:rsid w:val="004D7BC8"/>
    <w:rsid w:val="004D7CD6"/>
    <w:rsid w:val="004D7CF8"/>
    <w:rsid w:val="004D7DDE"/>
    <w:rsid w:val="004D7E45"/>
    <w:rsid w:val="004D7EB4"/>
    <w:rsid w:val="004D7EF6"/>
    <w:rsid w:val="004E072B"/>
    <w:rsid w:val="004E074B"/>
    <w:rsid w:val="004E0782"/>
    <w:rsid w:val="004E07B9"/>
    <w:rsid w:val="004E0905"/>
    <w:rsid w:val="004E0AC5"/>
    <w:rsid w:val="004E0B30"/>
    <w:rsid w:val="004E0E1E"/>
    <w:rsid w:val="004E0E79"/>
    <w:rsid w:val="004E10CC"/>
    <w:rsid w:val="004E1571"/>
    <w:rsid w:val="004E1734"/>
    <w:rsid w:val="004E1821"/>
    <w:rsid w:val="004E1878"/>
    <w:rsid w:val="004E188B"/>
    <w:rsid w:val="004E1A50"/>
    <w:rsid w:val="004E1FDC"/>
    <w:rsid w:val="004E1FF5"/>
    <w:rsid w:val="004E2367"/>
    <w:rsid w:val="004E2396"/>
    <w:rsid w:val="004E23BC"/>
    <w:rsid w:val="004E2403"/>
    <w:rsid w:val="004E24FD"/>
    <w:rsid w:val="004E25D8"/>
    <w:rsid w:val="004E25EA"/>
    <w:rsid w:val="004E26CF"/>
    <w:rsid w:val="004E2965"/>
    <w:rsid w:val="004E2B0C"/>
    <w:rsid w:val="004E2C9C"/>
    <w:rsid w:val="004E2CC0"/>
    <w:rsid w:val="004E2DB9"/>
    <w:rsid w:val="004E2E38"/>
    <w:rsid w:val="004E2F4A"/>
    <w:rsid w:val="004E3127"/>
    <w:rsid w:val="004E34DE"/>
    <w:rsid w:val="004E350F"/>
    <w:rsid w:val="004E3627"/>
    <w:rsid w:val="004E38BA"/>
    <w:rsid w:val="004E3ACB"/>
    <w:rsid w:val="004E3D34"/>
    <w:rsid w:val="004E3D66"/>
    <w:rsid w:val="004E3E96"/>
    <w:rsid w:val="004E3EA2"/>
    <w:rsid w:val="004E406B"/>
    <w:rsid w:val="004E40D4"/>
    <w:rsid w:val="004E4170"/>
    <w:rsid w:val="004E42C3"/>
    <w:rsid w:val="004E4361"/>
    <w:rsid w:val="004E436F"/>
    <w:rsid w:val="004E4417"/>
    <w:rsid w:val="004E4446"/>
    <w:rsid w:val="004E447A"/>
    <w:rsid w:val="004E456C"/>
    <w:rsid w:val="004E461D"/>
    <w:rsid w:val="004E471B"/>
    <w:rsid w:val="004E47C5"/>
    <w:rsid w:val="004E47D0"/>
    <w:rsid w:val="004E4860"/>
    <w:rsid w:val="004E4875"/>
    <w:rsid w:val="004E496A"/>
    <w:rsid w:val="004E499C"/>
    <w:rsid w:val="004E4B76"/>
    <w:rsid w:val="004E4DCD"/>
    <w:rsid w:val="004E4E6B"/>
    <w:rsid w:val="004E5015"/>
    <w:rsid w:val="004E5397"/>
    <w:rsid w:val="004E56C3"/>
    <w:rsid w:val="004E577E"/>
    <w:rsid w:val="004E5797"/>
    <w:rsid w:val="004E5A20"/>
    <w:rsid w:val="004E5A7F"/>
    <w:rsid w:val="004E5BFB"/>
    <w:rsid w:val="004E5CB1"/>
    <w:rsid w:val="004E5CFF"/>
    <w:rsid w:val="004E60A9"/>
    <w:rsid w:val="004E630B"/>
    <w:rsid w:val="004E6371"/>
    <w:rsid w:val="004E63AF"/>
    <w:rsid w:val="004E6714"/>
    <w:rsid w:val="004E671A"/>
    <w:rsid w:val="004E6733"/>
    <w:rsid w:val="004E67A3"/>
    <w:rsid w:val="004E67E9"/>
    <w:rsid w:val="004E680A"/>
    <w:rsid w:val="004E69CE"/>
    <w:rsid w:val="004E6C58"/>
    <w:rsid w:val="004E6C82"/>
    <w:rsid w:val="004E6D30"/>
    <w:rsid w:val="004E6D87"/>
    <w:rsid w:val="004E6E35"/>
    <w:rsid w:val="004E6EFB"/>
    <w:rsid w:val="004E6F98"/>
    <w:rsid w:val="004E7006"/>
    <w:rsid w:val="004E7119"/>
    <w:rsid w:val="004E714D"/>
    <w:rsid w:val="004E775A"/>
    <w:rsid w:val="004E7761"/>
    <w:rsid w:val="004E7793"/>
    <w:rsid w:val="004E77EF"/>
    <w:rsid w:val="004E7850"/>
    <w:rsid w:val="004E7869"/>
    <w:rsid w:val="004E78DE"/>
    <w:rsid w:val="004E7902"/>
    <w:rsid w:val="004E7972"/>
    <w:rsid w:val="004E79DD"/>
    <w:rsid w:val="004E7BD2"/>
    <w:rsid w:val="004E7C17"/>
    <w:rsid w:val="004E7CB7"/>
    <w:rsid w:val="004E7D2B"/>
    <w:rsid w:val="004E7D6D"/>
    <w:rsid w:val="004E7D84"/>
    <w:rsid w:val="004F0073"/>
    <w:rsid w:val="004F012C"/>
    <w:rsid w:val="004F0160"/>
    <w:rsid w:val="004F0223"/>
    <w:rsid w:val="004F023B"/>
    <w:rsid w:val="004F03C5"/>
    <w:rsid w:val="004F0509"/>
    <w:rsid w:val="004F0524"/>
    <w:rsid w:val="004F0548"/>
    <w:rsid w:val="004F0693"/>
    <w:rsid w:val="004F08E6"/>
    <w:rsid w:val="004F091E"/>
    <w:rsid w:val="004F09E7"/>
    <w:rsid w:val="004F0A91"/>
    <w:rsid w:val="004F0C30"/>
    <w:rsid w:val="004F0F68"/>
    <w:rsid w:val="004F0F8B"/>
    <w:rsid w:val="004F0FA7"/>
    <w:rsid w:val="004F10B5"/>
    <w:rsid w:val="004F10E5"/>
    <w:rsid w:val="004F110C"/>
    <w:rsid w:val="004F1143"/>
    <w:rsid w:val="004F17A0"/>
    <w:rsid w:val="004F17AA"/>
    <w:rsid w:val="004F18DF"/>
    <w:rsid w:val="004F1915"/>
    <w:rsid w:val="004F1948"/>
    <w:rsid w:val="004F198E"/>
    <w:rsid w:val="004F1C18"/>
    <w:rsid w:val="004F1D3C"/>
    <w:rsid w:val="004F1E2A"/>
    <w:rsid w:val="004F23CF"/>
    <w:rsid w:val="004F249E"/>
    <w:rsid w:val="004F2588"/>
    <w:rsid w:val="004F27A3"/>
    <w:rsid w:val="004F2FF1"/>
    <w:rsid w:val="004F304F"/>
    <w:rsid w:val="004F316C"/>
    <w:rsid w:val="004F31A1"/>
    <w:rsid w:val="004F32F6"/>
    <w:rsid w:val="004F336A"/>
    <w:rsid w:val="004F3605"/>
    <w:rsid w:val="004F36A4"/>
    <w:rsid w:val="004F36A7"/>
    <w:rsid w:val="004F374D"/>
    <w:rsid w:val="004F3BBD"/>
    <w:rsid w:val="004F3CAC"/>
    <w:rsid w:val="004F3DFC"/>
    <w:rsid w:val="004F3F06"/>
    <w:rsid w:val="004F3F17"/>
    <w:rsid w:val="004F4106"/>
    <w:rsid w:val="004F411C"/>
    <w:rsid w:val="004F41E1"/>
    <w:rsid w:val="004F41E9"/>
    <w:rsid w:val="004F4281"/>
    <w:rsid w:val="004F43C3"/>
    <w:rsid w:val="004F43F4"/>
    <w:rsid w:val="004F44C3"/>
    <w:rsid w:val="004F45D0"/>
    <w:rsid w:val="004F4613"/>
    <w:rsid w:val="004F4727"/>
    <w:rsid w:val="004F4736"/>
    <w:rsid w:val="004F4788"/>
    <w:rsid w:val="004F4935"/>
    <w:rsid w:val="004F4F63"/>
    <w:rsid w:val="004F4F96"/>
    <w:rsid w:val="004F5025"/>
    <w:rsid w:val="004F5060"/>
    <w:rsid w:val="004F523D"/>
    <w:rsid w:val="004F5300"/>
    <w:rsid w:val="004F5524"/>
    <w:rsid w:val="004F563F"/>
    <w:rsid w:val="004F56D7"/>
    <w:rsid w:val="004F59DF"/>
    <w:rsid w:val="004F5D2A"/>
    <w:rsid w:val="004F5DFB"/>
    <w:rsid w:val="004F5ED6"/>
    <w:rsid w:val="004F6241"/>
    <w:rsid w:val="004F665B"/>
    <w:rsid w:val="004F66CC"/>
    <w:rsid w:val="004F67B4"/>
    <w:rsid w:val="004F6C6C"/>
    <w:rsid w:val="004F6CC9"/>
    <w:rsid w:val="004F6CED"/>
    <w:rsid w:val="004F6EC4"/>
    <w:rsid w:val="004F6F22"/>
    <w:rsid w:val="004F705A"/>
    <w:rsid w:val="004F71FD"/>
    <w:rsid w:val="004F7332"/>
    <w:rsid w:val="004F75EB"/>
    <w:rsid w:val="004F7601"/>
    <w:rsid w:val="004F761B"/>
    <w:rsid w:val="004F766E"/>
    <w:rsid w:val="004F79C2"/>
    <w:rsid w:val="004F7D13"/>
    <w:rsid w:val="004F7D6A"/>
    <w:rsid w:val="00500068"/>
    <w:rsid w:val="00500293"/>
    <w:rsid w:val="0050029C"/>
    <w:rsid w:val="0050030B"/>
    <w:rsid w:val="005003F2"/>
    <w:rsid w:val="0050043B"/>
    <w:rsid w:val="0050069E"/>
    <w:rsid w:val="005006B7"/>
    <w:rsid w:val="005006BB"/>
    <w:rsid w:val="00500724"/>
    <w:rsid w:val="0050072B"/>
    <w:rsid w:val="005009BC"/>
    <w:rsid w:val="00500A59"/>
    <w:rsid w:val="00500ADA"/>
    <w:rsid w:val="00500C50"/>
    <w:rsid w:val="00500C9E"/>
    <w:rsid w:val="00500CB5"/>
    <w:rsid w:val="00500E0C"/>
    <w:rsid w:val="00501061"/>
    <w:rsid w:val="0050107A"/>
    <w:rsid w:val="005010F6"/>
    <w:rsid w:val="00501100"/>
    <w:rsid w:val="005011AF"/>
    <w:rsid w:val="005011D8"/>
    <w:rsid w:val="00501292"/>
    <w:rsid w:val="005013FA"/>
    <w:rsid w:val="005014CA"/>
    <w:rsid w:val="005016B2"/>
    <w:rsid w:val="00501A93"/>
    <w:rsid w:val="00501AA6"/>
    <w:rsid w:val="00501AC9"/>
    <w:rsid w:val="00501BAC"/>
    <w:rsid w:val="00501C87"/>
    <w:rsid w:val="00501E73"/>
    <w:rsid w:val="005020AD"/>
    <w:rsid w:val="00502175"/>
    <w:rsid w:val="005021E9"/>
    <w:rsid w:val="00502480"/>
    <w:rsid w:val="005024C5"/>
    <w:rsid w:val="005026FB"/>
    <w:rsid w:val="00502A1B"/>
    <w:rsid w:val="00502BE3"/>
    <w:rsid w:val="00502DD5"/>
    <w:rsid w:val="00502E3D"/>
    <w:rsid w:val="00502FF9"/>
    <w:rsid w:val="005030ED"/>
    <w:rsid w:val="0050314E"/>
    <w:rsid w:val="0050336B"/>
    <w:rsid w:val="005034B7"/>
    <w:rsid w:val="005034D1"/>
    <w:rsid w:val="005035E0"/>
    <w:rsid w:val="005037B2"/>
    <w:rsid w:val="00503874"/>
    <w:rsid w:val="00503884"/>
    <w:rsid w:val="005039C5"/>
    <w:rsid w:val="00503B63"/>
    <w:rsid w:val="00503BC7"/>
    <w:rsid w:val="00503EB1"/>
    <w:rsid w:val="005040AE"/>
    <w:rsid w:val="005040B1"/>
    <w:rsid w:val="005040CC"/>
    <w:rsid w:val="005040E6"/>
    <w:rsid w:val="005042E1"/>
    <w:rsid w:val="0050432E"/>
    <w:rsid w:val="005044CC"/>
    <w:rsid w:val="0050457F"/>
    <w:rsid w:val="00504649"/>
    <w:rsid w:val="00504776"/>
    <w:rsid w:val="00504887"/>
    <w:rsid w:val="005048E4"/>
    <w:rsid w:val="00504A05"/>
    <w:rsid w:val="00504C5A"/>
    <w:rsid w:val="00504DA0"/>
    <w:rsid w:val="00504E6D"/>
    <w:rsid w:val="005051A0"/>
    <w:rsid w:val="005052F0"/>
    <w:rsid w:val="0050548C"/>
    <w:rsid w:val="005054B9"/>
    <w:rsid w:val="005054BD"/>
    <w:rsid w:val="0050562E"/>
    <w:rsid w:val="00505694"/>
    <w:rsid w:val="00505B04"/>
    <w:rsid w:val="00505B98"/>
    <w:rsid w:val="00505C29"/>
    <w:rsid w:val="00505D3C"/>
    <w:rsid w:val="00505DF4"/>
    <w:rsid w:val="00506033"/>
    <w:rsid w:val="0050619A"/>
    <w:rsid w:val="005062BD"/>
    <w:rsid w:val="005062F0"/>
    <w:rsid w:val="00506395"/>
    <w:rsid w:val="00506560"/>
    <w:rsid w:val="00506564"/>
    <w:rsid w:val="0050658B"/>
    <w:rsid w:val="005066A7"/>
    <w:rsid w:val="005066E0"/>
    <w:rsid w:val="005066ED"/>
    <w:rsid w:val="005069F4"/>
    <w:rsid w:val="005069F7"/>
    <w:rsid w:val="00506B02"/>
    <w:rsid w:val="00506B23"/>
    <w:rsid w:val="00506D27"/>
    <w:rsid w:val="00506F34"/>
    <w:rsid w:val="005071F4"/>
    <w:rsid w:val="00507252"/>
    <w:rsid w:val="005074FB"/>
    <w:rsid w:val="005075D1"/>
    <w:rsid w:val="005076FA"/>
    <w:rsid w:val="00507704"/>
    <w:rsid w:val="00507765"/>
    <w:rsid w:val="005078C8"/>
    <w:rsid w:val="00507AEB"/>
    <w:rsid w:val="00507C41"/>
    <w:rsid w:val="00507C7D"/>
    <w:rsid w:val="00507EB6"/>
    <w:rsid w:val="00507F96"/>
    <w:rsid w:val="00510019"/>
    <w:rsid w:val="005101A0"/>
    <w:rsid w:val="00510469"/>
    <w:rsid w:val="005104E7"/>
    <w:rsid w:val="0051058C"/>
    <w:rsid w:val="00510792"/>
    <w:rsid w:val="00510796"/>
    <w:rsid w:val="005107D0"/>
    <w:rsid w:val="005108CE"/>
    <w:rsid w:val="00510919"/>
    <w:rsid w:val="00510954"/>
    <w:rsid w:val="00510CEE"/>
    <w:rsid w:val="00510F9C"/>
    <w:rsid w:val="00511019"/>
    <w:rsid w:val="005110F9"/>
    <w:rsid w:val="00511306"/>
    <w:rsid w:val="00511371"/>
    <w:rsid w:val="00511460"/>
    <w:rsid w:val="005115AB"/>
    <w:rsid w:val="0051166B"/>
    <w:rsid w:val="00511794"/>
    <w:rsid w:val="005119EA"/>
    <w:rsid w:val="00511AD6"/>
    <w:rsid w:val="00511C4F"/>
    <w:rsid w:val="00511EBA"/>
    <w:rsid w:val="00511F35"/>
    <w:rsid w:val="00512064"/>
    <w:rsid w:val="0051231F"/>
    <w:rsid w:val="0051245D"/>
    <w:rsid w:val="005124B5"/>
    <w:rsid w:val="00512504"/>
    <w:rsid w:val="0051255B"/>
    <w:rsid w:val="005125B3"/>
    <w:rsid w:val="005125D0"/>
    <w:rsid w:val="00512609"/>
    <w:rsid w:val="0051265C"/>
    <w:rsid w:val="005126F4"/>
    <w:rsid w:val="00512821"/>
    <w:rsid w:val="005129A6"/>
    <w:rsid w:val="005129B2"/>
    <w:rsid w:val="00512C12"/>
    <w:rsid w:val="00512CDE"/>
    <w:rsid w:val="00512D84"/>
    <w:rsid w:val="00512E7A"/>
    <w:rsid w:val="00513273"/>
    <w:rsid w:val="00513342"/>
    <w:rsid w:val="005133E1"/>
    <w:rsid w:val="00513424"/>
    <w:rsid w:val="00513446"/>
    <w:rsid w:val="0051347B"/>
    <w:rsid w:val="0051347D"/>
    <w:rsid w:val="00513599"/>
    <w:rsid w:val="00513622"/>
    <w:rsid w:val="0051365A"/>
    <w:rsid w:val="005136C5"/>
    <w:rsid w:val="0051370D"/>
    <w:rsid w:val="00513A00"/>
    <w:rsid w:val="00513AB6"/>
    <w:rsid w:val="00513AC6"/>
    <w:rsid w:val="00513EF9"/>
    <w:rsid w:val="00513FF0"/>
    <w:rsid w:val="00514076"/>
    <w:rsid w:val="00514101"/>
    <w:rsid w:val="00514171"/>
    <w:rsid w:val="00514188"/>
    <w:rsid w:val="00514325"/>
    <w:rsid w:val="005144B7"/>
    <w:rsid w:val="0051496D"/>
    <w:rsid w:val="005149D9"/>
    <w:rsid w:val="005149E1"/>
    <w:rsid w:val="00514BF1"/>
    <w:rsid w:val="00514C16"/>
    <w:rsid w:val="00514CFB"/>
    <w:rsid w:val="00515129"/>
    <w:rsid w:val="00515170"/>
    <w:rsid w:val="00515364"/>
    <w:rsid w:val="0051540E"/>
    <w:rsid w:val="00515448"/>
    <w:rsid w:val="00515489"/>
    <w:rsid w:val="005156C6"/>
    <w:rsid w:val="00515709"/>
    <w:rsid w:val="0051570E"/>
    <w:rsid w:val="00515761"/>
    <w:rsid w:val="00515A55"/>
    <w:rsid w:val="00515EB1"/>
    <w:rsid w:val="00515FF6"/>
    <w:rsid w:val="00516052"/>
    <w:rsid w:val="0051612F"/>
    <w:rsid w:val="005166E8"/>
    <w:rsid w:val="005167C4"/>
    <w:rsid w:val="0051686F"/>
    <w:rsid w:val="0051688A"/>
    <w:rsid w:val="00516936"/>
    <w:rsid w:val="00516B60"/>
    <w:rsid w:val="00516D50"/>
    <w:rsid w:val="00516E7F"/>
    <w:rsid w:val="00516ED6"/>
    <w:rsid w:val="00516F70"/>
    <w:rsid w:val="0051726E"/>
    <w:rsid w:val="00517277"/>
    <w:rsid w:val="0051736F"/>
    <w:rsid w:val="00517454"/>
    <w:rsid w:val="005174B8"/>
    <w:rsid w:val="0051763A"/>
    <w:rsid w:val="00517692"/>
    <w:rsid w:val="00517795"/>
    <w:rsid w:val="00517A75"/>
    <w:rsid w:val="00517FBA"/>
    <w:rsid w:val="00520520"/>
    <w:rsid w:val="005207BD"/>
    <w:rsid w:val="005207DE"/>
    <w:rsid w:val="00520860"/>
    <w:rsid w:val="005209B1"/>
    <w:rsid w:val="00520ABA"/>
    <w:rsid w:val="00520B3C"/>
    <w:rsid w:val="00520D95"/>
    <w:rsid w:val="00520E32"/>
    <w:rsid w:val="00520E78"/>
    <w:rsid w:val="00520F4B"/>
    <w:rsid w:val="00520F5F"/>
    <w:rsid w:val="00520F7B"/>
    <w:rsid w:val="00521003"/>
    <w:rsid w:val="00521018"/>
    <w:rsid w:val="0052117A"/>
    <w:rsid w:val="005211EF"/>
    <w:rsid w:val="005214CA"/>
    <w:rsid w:val="0052158F"/>
    <w:rsid w:val="00521738"/>
    <w:rsid w:val="005217E0"/>
    <w:rsid w:val="005218E9"/>
    <w:rsid w:val="00521991"/>
    <w:rsid w:val="00521A6D"/>
    <w:rsid w:val="00521AE6"/>
    <w:rsid w:val="00521C15"/>
    <w:rsid w:val="00521CAA"/>
    <w:rsid w:val="00521DE6"/>
    <w:rsid w:val="00521E70"/>
    <w:rsid w:val="00522190"/>
    <w:rsid w:val="0052228A"/>
    <w:rsid w:val="0052245F"/>
    <w:rsid w:val="005227B7"/>
    <w:rsid w:val="0052293A"/>
    <w:rsid w:val="00522966"/>
    <w:rsid w:val="00522A0B"/>
    <w:rsid w:val="00522A35"/>
    <w:rsid w:val="00522A50"/>
    <w:rsid w:val="00522D87"/>
    <w:rsid w:val="00522E48"/>
    <w:rsid w:val="00522EBA"/>
    <w:rsid w:val="00522F04"/>
    <w:rsid w:val="00522FE1"/>
    <w:rsid w:val="0052329D"/>
    <w:rsid w:val="005233A5"/>
    <w:rsid w:val="005234C3"/>
    <w:rsid w:val="0052355D"/>
    <w:rsid w:val="005235BC"/>
    <w:rsid w:val="00523650"/>
    <w:rsid w:val="0052389E"/>
    <w:rsid w:val="00523AE6"/>
    <w:rsid w:val="00523F11"/>
    <w:rsid w:val="00523FAE"/>
    <w:rsid w:val="005240A4"/>
    <w:rsid w:val="0052425F"/>
    <w:rsid w:val="00524386"/>
    <w:rsid w:val="0052452E"/>
    <w:rsid w:val="00524600"/>
    <w:rsid w:val="00524635"/>
    <w:rsid w:val="00524A18"/>
    <w:rsid w:val="00524A53"/>
    <w:rsid w:val="00524D05"/>
    <w:rsid w:val="00525049"/>
    <w:rsid w:val="005251D0"/>
    <w:rsid w:val="00525201"/>
    <w:rsid w:val="005252C4"/>
    <w:rsid w:val="005255D7"/>
    <w:rsid w:val="005256F4"/>
    <w:rsid w:val="00525789"/>
    <w:rsid w:val="005258D4"/>
    <w:rsid w:val="0052593B"/>
    <w:rsid w:val="005259E5"/>
    <w:rsid w:val="00525E60"/>
    <w:rsid w:val="00525EC7"/>
    <w:rsid w:val="00525F68"/>
    <w:rsid w:val="005260A9"/>
    <w:rsid w:val="005260B5"/>
    <w:rsid w:val="00526153"/>
    <w:rsid w:val="005261BA"/>
    <w:rsid w:val="005261EF"/>
    <w:rsid w:val="005262F1"/>
    <w:rsid w:val="005264B3"/>
    <w:rsid w:val="00526566"/>
    <w:rsid w:val="0052656A"/>
    <w:rsid w:val="0052662C"/>
    <w:rsid w:val="0052682B"/>
    <w:rsid w:val="00526997"/>
    <w:rsid w:val="00526AC9"/>
    <w:rsid w:val="00526B1F"/>
    <w:rsid w:val="00526B2F"/>
    <w:rsid w:val="00526CEC"/>
    <w:rsid w:val="00526D6D"/>
    <w:rsid w:val="00526E53"/>
    <w:rsid w:val="00526F05"/>
    <w:rsid w:val="00526F7B"/>
    <w:rsid w:val="005270B0"/>
    <w:rsid w:val="00527423"/>
    <w:rsid w:val="0052752F"/>
    <w:rsid w:val="00527628"/>
    <w:rsid w:val="005276AF"/>
    <w:rsid w:val="005279BB"/>
    <w:rsid w:val="00527A0F"/>
    <w:rsid w:val="00527A70"/>
    <w:rsid w:val="00527A80"/>
    <w:rsid w:val="00527A88"/>
    <w:rsid w:val="00527AF5"/>
    <w:rsid w:val="00527B45"/>
    <w:rsid w:val="00527B72"/>
    <w:rsid w:val="00527CE4"/>
    <w:rsid w:val="00527E0F"/>
    <w:rsid w:val="00527E96"/>
    <w:rsid w:val="00527F2D"/>
    <w:rsid w:val="00527F55"/>
    <w:rsid w:val="00527F84"/>
    <w:rsid w:val="00527FA0"/>
    <w:rsid w:val="0053027C"/>
    <w:rsid w:val="00530417"/>
    <w:rsid w:val="005306DA"/>
    <w:rsid w:val="005306F0"/>
    <w:rsid w:val="00530770"/>
    <w:rsid w:val="005308E2"/>
    <w:rsid w:val="0053093D"/>
    <w:rsid w:val="00530A70"/>
    <w:rsid w:val="00530A8F"/>
    <w:rsid w:val="00530C69"/>
    <w:rsid w:val="00530E3C"/>
    <w:rsid w:val="00530FA4"/>
    <w:rsid w:val="0053106A"/>
    <w:rsid w:val="005311D8"/>
    <w:rsid w:val="005312AA"/>
    <w:rsid w:val="00531503"/>
    <w:rsid w:val="00531673"/>
    <w:rsid w:val="00531705"/>
    <w:rsid w:val="0053176A"/>
    <w:rsid w:val="00531862"/>
    <w:rsid w:val="00531985"/>
    <w:rsid w:val="00531A28"/>
    <w:rsid w:val="00531CE0"/>
    <w:rsid w:val="00531F7E"/>
    <w:rsid w:val="005320A0"/>
    <w:rsid w:val="00532244"/>
    <w:rsid w:val="00532358"/>
    <w:rsid w:val="005324C0"/>
    <w:rsid w:val="00532521"/>
    <w:rsid w:val="00532728"/>
    <w:rsid w:val="005327D5"/>
    <w:rsid w:val="00532A3A"/>
    <w:rsid w:val="005331CC"/>
    <w:rsid w:val="00533365"/>
    <w:rsid w:val="005338B3"/>
    <w:rsid w:val="00533935"/>
    <w:rsid w:val="0053394D"/>
    <w:rsid w:val="00533BDA"/>
    <w:rsid w:val="00533D90"/>
    <w:rsid w:val="00533E1B"/>
    <w:rsid w:val="00533FA7"/>
    <w:rsid w:val="00534096"/>
    <w:rsid w:val="005341EE"/>
    <w:rsid w:val="0053445E"/>
    <w:rsid w:val="005344C2"/>
    <w:rsid w:val="005345E9"/>
    <w:rsid w:val="005347D5"/>
    <w:rsid w:val="00534847"/>
    <w:rsid w:val="0053487D"/>
    <w:rsid w:val="00534B5E"/>
    <w:rsid w:val="00534C12"/>
    <w:rsid w:val="00534D0A"/>
    <w:rsid w:val="00534E37"/>
    <w:rsid w:val="00534E4D"/>
    <w:rsid w:val="00534EAE"/>
    <w:rsid w:val="00534F11"/>
    <w:rsid w:val="00535102"/>
    <w:rsid w:val="0053530E"/>
    <w:rsid w:val="0053561A"/>
    <w:rsid w:val="005356DB"/>
    <w:rsid w:val="00535B11"/>
    <w:rsid w:val="00535C8D"/>
    <w:rsid w:val="00535F8B"/>
    <w:rsid w:val="00535FE1"/>
    <w:rsid w:val="005361CB"/>
    <w:rsid w:val="00536247"/>
    <w:rsid w:val="00536381"/>
    <w:rsid w:val="005363C1"/>
    <w:rsid w:val="00536513"/>
    <w:rsid w:val="00536540"/>
    <w:rsid w:val="00536593"/>
    <w:rsid w:val="005365E2"/>
    <w:rsid w:val="0053665E"/>
    <w:rsid w:val="00536689"/>
    <w:rsid w:val="0053668F"/>
    <w:rsid w:val="005367AD"/>
    <w:rsid w:val="00536845"/>
    <w:rsid w:val="005368B2"/>
    <w:rsid w:val="005368B6"/>
    <w:rsid w:val="0053693D"/>
    <w:rsid w:val="005369E1"/>
    <w:rsid w:val="00536CA3"/>
    <w:rsid w:val="00536E73"/>
    <w:rsid w:val="00536F18"/>
    <w:rsid w:val="00536FC3"/>
    <w:rsid w:val="005371F7"/>
    <w:rsid w:val="00537224"/>
    <w:rsid w:val="0053728A"/>
    <w:rsid w:val="005373DA"/>
    <w:rsid w:val="005374A5"/>
    <w:rsid w:val="005374F1"/>
    <w:rsid w:val="005374F4"/>
    <w:rsid w:val="00537582"/>
    <w:rsid w:val="0053760C"/>
    <w:rsid w:val="00537706"/>
    <w:rsid w:val="00537881"/>
    <w:rsid w:val="005379BC"/>
    <w:rsid w:val="00537B0E"/>
    <w:rsid w:val="00537B82"/>
    <w:rsid w:val="00537C3B"/>
    <w:rsid w:val="00537D28"/>
    <w:rsid w:val="00537D49"/>
    <w:rsid w:val="00537DCE"/>
    <w:rsid w:val="00537E80"/>
    <w:rsid w:val="005401FB"/>
    <w:rsid w:val="005402BD"/>
    <w:rsid w:val="005402DE"/>
    <w:rsid w:val="0054035C"/>
    <w:rsid w:val="005403B2"/>
    <w:rsid w:val="005403D6"/>
    <w:rsid w:val="00540562"/>
    <w:rsid w:val="00540699"/>
    <w:rsid w:val="005408C4"/>
    <w:rsid w:val="00540AA9"/>
    <w:rsid w:val="00541039"/>
    <w:rsid w:val="005412EE"/>
    <w:rsid w:val="00541401"/>
    <w:rsid w:val="005414E9"/>
    <w:rsid w:val="0054169B"/>
    <w:rsid w:val="0054172D"/>
    <w:rsid w:val="00541780"/>
    <w:rsid w:val="00541932"/>
    <w:rsid w:val="0054193C"/>
    <w:rsid w:val="00541BBD"/>
    <w:rsid w:val="00541BCD"/>
    <w:rsid w:val="00541BED"/>
    <w:rsid w:val="00541C59"/>
    <w:rsid w:val="00541CEB"/>
    <w:rsid w:val="00541EF4"/>
    <w:rsid w:val="0054209A"/>
    <w:rsid w:val="005421F9"/>
    <w:rsid w:val="0054263E"/>
    <w:rsid w:val="00542865"/>
    <w:rsid w:val="00542936"/>
    <w:rsid w:val="00542A97"/>
    <w:rsid w:val="00542ACE"/>
    <w:rsid w:val="00542E17"/>
    <w:rsid w:val="00542F10"/>
    <w:rsid w:val="00542FA7"/>
    <w:rsid w:val="0054321B"/>
    <w:rsid w:val="00543297"/>
    <w:rsid w:val="005434E8"/>
    <w:rsid w:val="00543745"/>
    <w:rsid w:val="00543814"/>
    <w:rsid w:val="00543819"/>
    <w:rsid w:val="0054392B"/>
    <w:rsid w:val="005439CB"/>
    <w:rsid w:val="00543BC9"/>
    <w:rsid w:val="00543C21"/>
    <w:rsid w:val="00543D74"/>
    <w:rsid w:val="00543D8B"/>
    <w:rsid w:val="00543DAE"/>
    <w:rsid w:val="00543EA9"/>
    <w:rsid w:val="00544059"/>
    <w:rsid w:val="0054412E"/>
    <w:rsid w:val="00544381"/>
    <w:rsid w:val="00544439"/>
    <w:rsid w:val="005445FC"/>
    <w:rsid w:val="0054483E"/>
    <w:rsid w:val="00544967"/>
    <w:rsid w:val="00544999"/>
    <w:rsid w:val="005449A9"/>
    <w:rsid w:val="00544A06"/>
    <w:rsid w:val="00544A6B"/>
    <w:rsid w:val="00544B29"/>
    <w:rsid w:val="00544BBE"/>
    <w:rsid w:val="00544C95"/>
    <w:rsid w:val="00544D75"/>
    <w:rsid w:val="00544DA8"/>
    <w:rsid w:val="00544DC0"/>
    <w:rsid w:val="005451FE"/>
    <w:rsid w:val="00545281"/>
    <w:rsid w:val="005453D8"/>
    <w:rsid w:val="0054546A"/>
    <w:rsid w:val="0054578A"/>
    <w:rsid w:val="0054597B"/>
    <w:rsid w:val="0054598E"/>
    <w:rsid w:val="00545A14"/>
    <w:rsid w:val="00545A25"/>
    <w:rsid w:val="00545A94"/>
    <w:rsid w:val="00545B39"/>
    <w:rsid w:val="00545B69"/>
    <w:rsid w:val="00545CE9"/>
    <w:rsid w:val="00545DD3"/>
    <w:rsid w:val="00545F2B"/>
    <w:rsid w:val="00546043"/>
    <w:rsid w:val="005460BE"/>
    <w:rsid w:val="00546327"/>
    <w:rsid w:val="0054633B"/>
    <w:rsid w:val="00546351"/>
    <w:rsid w:val="00546372"/>
    <w:rsid w:val="0054670E"/>
    <w:rsid w:val="00546793"/>
    <w:rsid w:val="005469F9"/>
    <w:rsid w:val="00546A30"/>
    <w:rsid w:val="00546B84"/>
    <w:rsid w:val="00546C03"/>
    <w:rsid w:val="00546C9A"/>
    <w:rsid w:val="00546D5F"/>
    <w:rsid w:val="00546D99"/>
    <w:rsid w:val="00546DA2"/>
    <w:rsid w:val="00546E15"/>
    <w:rsid w:val="00546ED8"/>
    <w:rsid w:val="00546F32"/>
    <w:rsid w:val="00546FC2"/>
    <w:rsid w:val="0054703D"/>
    <w:rsid w:val="005473FF"/>
    <w:rsid w:val="00547835"/>
    <w:rsid w:val="00547B95"/>
    <w:rsid w:val="00547C2A"/>
    <w:rsid w:val="00547D5D"/>
    <w:rsid w:val="00547DB8"/>
    <w:rsid w:val="00547E1D"/>
    <w:rsid w:val="00547E3D"/>
    <w:rsid w:val="00550317"/>
    <w:rsid w:val="00550387"/>
    <w:rsid w:val="005504E2"/>
    <w:rsid w:val="00550B49"/>
    <w:rsid w:val="00550BD6"/>
    <w:rsid w:val="00550D88"/>
    <w:rsid w:val="00550E80"/>
    <w:rsid w:val="00551238"/>
    <w:rsid w:val="00551332"/>
    <w:rsid w:val="00551482"/>
    <w:rsid w:val="005514FB"/>
    <w:rsid w:val="005515BA"/>
    <w:rsid w:val="00551793"/>
    <w:rsid w:val="00551ED1"/>
    <w:rsid w:val="00551F3F"/>
    <w:rsid w:val="00551F8D"/>
    <w:rsid w:val="00552060"/>
    <w:rsid w:val="00552191"/>
    <w:rsid w:val="005522BB"/>
    <w:rsid w:val="00552366"/>
    <w:rsid w:val="005523EE"/>
    <w:rsid w:val="00552416"/>
    <w:rsid w:val="00552520"/>
    <w:rsid w:val="00552561"/>
    <w:rsid w:val="00552765"/>
    <w:rsid w:val="005529B0"/>
    <w:rsid w:val="00552A0B"/>
    <w:rsid w:val="00552B22"/>
    <w:rsid w:val="00552C0C"/>
    <w:rsid w:val="00552CB4"/>
    <w:rsid w:val="00552E36"/>
    <w:rsid w:val="005532D1"/>
    <w:rsid w:val="00553329"/>
    <w:rsid w:val="0055333E"/>
    <w:rsid w:val="005533AB"/>
    <w:rsid w:val="00553454"/>
    <w:rsid w:val="00553472"/>
    <w:rsid w:val="005535CC"/>
    <w:rsid w:val="00553653"/>
    <w:rsid w:val="00553686"/>
    <w:rsid w:val="005536B8"/>
    <w:rsid w:val="00553705"/>
    <w:rsid w:val="00553791"/>
    <w:rsid w:val="005537E7"/>
    <w:rsid w:val="00553812"/>
    <w:rsid w:val="00553937"/>
    <w:rsid w:val="00553C90"/>
    <w:rsid w:val="00553FD6"/>
    <w:rsid w:val="00554080"/>
    <w:rsid w:val="0055427B"/>
    <w:rsid w:val="00554345"/>
    <w:rsid w:val="005543C6"/>
    <w:rsid w:val="00554498"/>
    <w:rsid w:val="0055460E"/>
    <w:rsid w:val="005546D8"/>
    <w:rsid w:val="00554816"/>
    <w:rsid w:val="0055483D"/>
    <w:rsid w:val="00554A3B"/>
    <w:rsid w:val="00554BE9"/>
    <w:rsid w:val="00554C43"/>
    <w:rsid w:val="00554D41"/>
    <w:rsid w:val="00554D70"/>
    <w:rsid w:val="00554E25"/>
    <w:rsid w:val="00554EF6"/>
    <w:rsid w:val="00554EFF"/>
    <w:rsid w:val="00554F13"/>
    <w:rsid w:val="0055510D"/>
    <w:rsid w:val="00555224"/>
    <w:rsid w:val="00555320"/>
    <w:rsid w:val="00555448"/>
    <w:rsid w:val="00555547"/>
    <w:rsid w:val="00555963"/>
    <w:rsid w:val="00555A1D"/>
    <w:rsid w:val="00555A49"/>
    <w:rsid w:val="00555A64"/>
    <w:rsid w:val="00555CE4"/>
    <w:rsid w:val="00555D15"/>
    <w:rsid w:val="00555D29"/>
    <w:rsid w:val="00555FA0"/>
    <w:rsid w:val="00555FC3"/>
    <w:rsid w:val="005560DA"/>
    <w:rsid w:val="005562DC"/>
    <w:rsid w:val="0055641C"/>
    <w:rsid w:val="005565AF"/>
    <w:rsid w:val="005565F0"/>
    <w:rsid w:val="00556738"/>
    <w:rsid w:val="0055673C"/>
    <w:rsid w:val="005567FE"/>
    <w:rsid w:val="005568BB"/>
    <w:rsid w:val="00556923"/>
    <w:rsid w:val="0055696C"/>
    <w:rsid w:val="00556A42"/>
    <w:rsid w:val="00556B48"/>
    <w:rsid w:val="00556B7C"/>
    <w:rsid w:val="00556BA5"/>
    <w:rsid w:val="00556BCF"/>
    <w:rsid w:val="00556C14"/>
    <w:rsid w:val="00556CC7"/>
    <w:rsid w:val="00556DCD"/>
    <w:rsid w:val="00556E9E"/>
    <w:rsid w:val="00556F30"/>
    <w:rsid w:val="00556F41"/>
    <w:rsid w:val="00557029"/>
    <w:rsid w:val="005570B1"/>
    <w:rsid w:val="0055715C"/>
    <w:rsid w:val="005572B4"/>
    <w:rsid w:val="005572D2"/>
    <w:rsid w:val="00557319"/>
    <w:rsid w:val="005574C8"/>
    <w:rsid w:val="00557670"/>
    <w:rsid w:val="005576C2"/>
    <w:rsid w:val="0055793A"/>
    <w:rsid w:val="00557960"/>
    <w:rsid w:val="00557968"/>
    <w:rsid w:val="00557A1A"/>
    <w:rsid w:val="00557A55"/>
    <w:rsid w:val="00557BB0"/>
    <w:rsid w:val="00557C09"/>
    <w:rsid w:val="00557C89"/>
    <w:rsid w:val="00557D1C"/>
    <w:rsid w:val="00557D28"/>
    <w:rsid w:val="00557D35"/>
    <w:rsid w:val="00557DC7"/>
    <w:rsid w:val="00557E5A"/>
    <w:rsid w:val="00557E6F"/>
    <w:rsid w:val="00557F2B"/>
    <w:rsid w:val="00557FAE"/>
    <w:rsid w:val="005602CB"/>
    <w:rsid w:val="005603A4"/>
    <w:rsid w:val="00560425"/>
    <w:rsid w:val="0056046E"/>
    <w:rsid w:val="00560475"/>
    <w:rsid w:val="0056056C"/>
    <w:rsid w:val="00560635"/>
    <w:rsid w:val="005606AB"/>
    <w:rsid w:val="0056086F"/>
    <w:rsid w:val="0056093C"/>
    <w:rsid w:val="0056095C"/>
    <w:rsid w:val="005609D0"/>
    <w:rsid w:val="00560A3C"/>
    <w:rsid w:val="00560B3A"/>
    <w:rsid w:val="00560DAD"/>
    <w:rsid w:val="005611FD"/>
    <w:rsid w:val="00561284"/>
    <w:rsid w:val="005612D1"/>
    <w:rsid w:val="00561372"/>
    <w:rsid w:val="005614AD"/>
    <w:rsid w:val="0056171B"/>
    <w:rsid w:val="00561936"/>
    <w:rsid w:val="00561A67"/>
    <w:rsid w:val="00561CE9"/>
    <w:rsid w:val="00561D70"/>
    <w:rsid w:val="00561EDB"/>
    <w:rsid w:val="00561F27"/>
    <w:rsid w:val="00561F71"/>
    <w:rsid w:val="00561FA8"/>
    <w:rsid w:val="0056203C"/>
    <w:rsid w:val="005620B6"/>
    <w:rsid w:val="005620F3"/>
    <w:rsid w:val="0056216F"/>
    <w:rsid w:val="005621B4"/>
    <w:rsid w:val="0056250B"/>
    <w:rsid w:val="00562587"/>
    <w:rsid w:val="00562598"/>
    <w:rsid w:val="005627AB"/>
    <w:rsid w:val="00562801"/>
    <w:rsid w:val="005628CD"/>
    <w:rsid w:val="005629FE"/>
    <w:rsid w:val="00562A56"/>
    <w:rsid w:val="00562E78"/>
    <w:rsid w:val="00562F0E"/>
    <w:rsid w:val="00562F52"/>
    <w:rsid w:val="00563003"/>
    <w:rsid w:val="005631A2"/>
    <w:rsid w:val="0056320E"/>
    <w:rsid w:val="00563497"/>
    <w:rsid w:val="005636C3"/>
    <w:rsid w:val="005638AF"/>
    <w:rsid w:val="005638C9"/>
    <w:rsid w:val="005639B0"/>
    <w:rsid w:val="00563DFE"/>
    <w:rsid w:val="00563ED6"/>
    <w:rsid w:val="00563EF7"/>
    <w:rsid w:val="00563F95"/>
    <w:rsid w:val="00563FD3"/>
    <w:rsid w:val="00563FE2"/>
    <w:rsid w:val="005641A9"/>
    <w:rsid w:val="005641C2"/>
    <w:rsid w:val="0056458B"/>
    <w:rsid w:val="005645B2"/>
    <w:rsid w:val="00564659"/>
    <w:rsid w:val="00564819"/>
    <w:rsid w:val="005648B8"/>
    <w:rsid w:val="00564A9E"/>
    <w:rsid w:val="00564C1A"/>
    <w:rsid w:val="00564D05"/>
    <w:rsid w:val="00564DBE"/>
    <w:rsid w:val="0056505B"/>
    <w:rsid w:val="00565066"/>
    <w:rsid w:val="0056520D"/>
    <w:rsid w:val="005654FE"/>
    <w:rsid w:val="0056551B"/>
    <w:rsid w:val="00565A6F"/>
    <w:rsid w:val="00565AF8"/>
    <w:rsid w:val="00565C34"/>
    <w:rsid w:val="00565C79"/>
    <w:rsid w:val="00565CEB"/>
    <w:rsid w:val="00565D04"/>
    <w:rsid w:val="00565DED"/>
    <w:rsid w:val="00565F93"/>
    <w:rsid w:val="00566020"/>
    <w:rsid w:val="00566110"/>
    <w:rsid w:val="005662B3"/>
    <w:rsid w:val="005663B4"/>
    <w:rsid w:val="005663B5"/>
    <w:rsid w:val="005663DE"/>
    <w:rsid w:val="0056654C"/>
    <w:rsid w:val="005666B7"/>
    <w:rsid w:val="005667B2"/>
    <w:rsid w:val="0056694A"/>
    <w:rsid w:val="00566954"/>
    <w:rsid w:val="00566A5C"/>
    <w:rsid w:val="00566D41"/>
    <w:rsid w:val="00566DAE"/>
    <w:rsid w:val="00566DBF"/>
    <w:rsid w:val="00567381"/>
    <w:rsid w:val="005674FF"/>
    <w:rsid w:val="00567503"/>
    <w:rsid w:val="00567554"/>
    <w:rsid w:val="005678C5"/>
    <w:rsid w:val="00567925"/>
    <w:rsid w:val="00567B2F"/>
    <w:rsid w:val="00567C03"/>
    <w:rsid w:val="00567F55"/>
    <w:rsid w:val="005701FE"/>
    <w:rsid w:val="00570240"/>
    <w:rsid w:val="005702AE"/>
    <w:rsid w:val="00570349"/>
    <w:rsid w:val="005703BA"/>
    <w:rsid w:val="005703EF"/>
    <w:rsid w:val="005705AB"/>
    <w:rsid w:val="0057069B"/>
    <w:rsid w:val="005706D6"/>
    <w:rsid w:val="00570B5E"/>
    <w:rsid w:val="00570C7F"/>
    <w:rsid w:val="00570CB9"/>
    <w:rsid w:val="00570CF4"/>
    <w:rsid w:val="00570CFF"/>
    <w:rsid w:val="005710B6"/>
    <w:rsid w:val="00571120"/>
    <w:rsid w:val="00571127"/>
    <w:rsid w:val="005711BB"/>
    <w:rsid w:val="005711C5"/>
    <w:rsid w:val="005711F3"/>
    <w:rsid w:val="005712B2"/>
    <w:rsid w:val="00571386"/>
    <w:rsid w:val="005713DC"/>
    <w:rsid w:val="00571422"/>
    <w:rsid w:val="00571464"/>
    <w:rsid w:val="00571531"/>
    <w:rsid w:val="00571533"/>
    <w:rsid w:val="0057160B"/>
    <w:rsid w:val="005716ED"/>
    <w:rsid w:val="0057178F"/>
    <w:rsid w:val="005717C4"/>
    <w:rsid w:val="00571B36"/>
    <w:rsid w:val="00571C2E"/>
    <w:rsid w:val="00571D45"/>
    <w:rsid w:val="00571DD9"/>
    <w:rsid w:val="00571E8B"/>
    <w:rsid w:val="005720A4"/>
    <w:rsid w:val="0057231E"/>
    <w:rsid w:val="00572375"/>
    <w:rsid w:val="005728C9"/>
    <w:rsid w:val="00572BD3"/>
    <w:rsid w:val="00572D9B"/>
    <w:rsid w:val="00572DA6"/>
    <w:rsid w:val="0057334B"/>
    <w:rsid w:val="0057335F"/>
    <w:rsid w:val="005735C4"/>
    <w:rsid w:val="0057363B"/>
    <w:rsid w:val="00573662"/>
    <w:rsid w:val="00573733"/>
    <w:rsid w:val="00573B66"/>
    <w:rsid w:val="00573B71"/>
    <w:rsid w:val="00573BD0"/>
    <w:rsid w:val="00573D3F"/>
    <w:rsid w:val="00573DA4"/>
    <w:rsid w:val="00573DC3"/>
    <w:rsid w:val="00573E7A"/>
    <w:rsid w:val="00573F42"/>
    <w:rsid w:val="005741CC"/>
    <w:rsid w:val="00574423"/>
    <w:rsid w:val="005745EC"/>
    <w:rsid w:val="00574676"/>
    <w:rsid w:val="0057492F"/>
    <w:rsid w:val="005749D3"/>
    <w:rsid w:val="00574ABE"/>
    <w:rsid w:val="00574CB6"/>
    <w:rsid w:val="00574D0A"/>
    <w:rsid w:val="00574FE5"/>
    <w:rsid w:val="00575026"/>
    <w:rsid w:val="005750FA"/>
    <w:rsid w:val="0057513C"/>
    <w:rsid w:val="00575242"/>
    <w:rsid w:val="005752D8"/>
    <w:rsid w:val="0057537C"/>
    <w:rsid w:val="005754D8"/>
    <w:rsid w:val="00575501"/>
    <w:rsid w:val="005756D6"/>
    <w:rsid w:val="005757A3"/>
    <w:rsid w:val="005757CB"/>
    <w:rsid w:val="005757F1"/>
    <w:rsid w:val="0057581C"/>
    <w:rsid w:val="00575A64"/>
    <w:rsid w:val="00575ACB"/>
    <w:rsid w:val="00575C1D"/>
    <w:rsid w:val="00575C8C"/>
    <w:rsid w:val="00576016"/>
    <w:rsid w:val="00576034"/>
    <w:rsid w:val="005760BB"/>
    <w:rsid w:val="005761F2"/>
    <w:rsid w:val="00576365"/>
    <w:rsid w:val="00576451"/>
    <w:rsid w:val="005764BA"/>
    <w:rsid w:val="00576593"/>
    <w:rsid w:val="005766A8"/>
    <w:rsid w:val="00576756"/>
    <w:rsid w:val="005767F6"/>
    <w:rsid w:val="00576852"/>
    <w:rsid w:val="0057694C"/>
    <w:rsid w:val="0057697B"/>
    <w:rsid w:val="00576F1A"/>
    <w:rsid w:val="00576F91"/>
    <w:rsid w:val="00577065"/>
    <w:rsid w:val="00577173"/>
    <w:rsid w:val="0057750F"/>
    <w:rsid w:val="005777BE"/>
    <w:rsid w:val="0057789C"/>
    <w:rsid w:val="0057794C"/>
    <w:rsid w:val="005779C9"/>
    <w:rsid w:val="005779FB"/>
    <w:rsid w:val="00577C22"/>
    <w:rsid w:val="00577EB5"/>
    <w:rsid w:val="00577F23"/>
    <w:rsid w:val="005800ED"/>
    <w:rsid w:val="0058026F"/>
    <w:rsid w:val="0058095B"/>
    <w:rsid w:val="00580977"/>
    <w:rsid w:val="005810AF"/>
    <w:rsid w:val="005811B8"/>
    <w:rsid w:val="0058122D"/>
    <w:rsid w:val="0058131D"/>
    <w:rsid w:val="0058144B"/>
    <w:rsid w:val="00581561"/>
    <w:rsid w:val="00581965"/>
    <w:rsid w:val="005819C2"/>
    <w:rsid w:val="00581A17"/>
    <w:rsid w:val="00581B1F"/>
    <w:rsid w:val="00581B99"/>
    <w:rsid w:val="00581BCB"/>
    <w:rsid w:val="005822D1"/>
    <w:rsid w:val="00582730"/>
    <w:rsid w:val="00582861"/>
    <w:rsid w:val="00582919"/>
    <w:rsid w:val="00582B0C"/>
    <w:rsid w:val="00582B28"/>
    <w:rsid w:val="00582F39"/>
    <w:rsid w:val="00582FF6"/>
    <w:rsid w:val="0058302B"/>
    <w:rsid w:val="005830BD"/>
    <w:rsid w:val="005830C0"/>
    <w:rsid w:val="005832A7"/>
    <w:rsid w:val="00583503"/>
    <w:rsid w:val="0058367B"/>
    <w:rsid w:val="00583820"/>
    <w:rsid w:val="00583893"/>
    <w:rsid w:val="00583A52"/>
    <w:rsid w:val="00583C4B"/>
    <w:rsid w:val="00583C9F"/>
    <w:rsid w:val="00583D0E"/>
    <w:rsid w:val="00583EDC"/>
    <w:rsid w:val="00583EF3"/>
    <w:rsid w:val="00583F8D"/>
    <w:rsid w:val="00584064"/>
    <w:rsid w:val="00584200"/>
    <w:rsid w:val="00584569"/>
    <w:rsid w:val="00584685"/>
    <w:rsid w:val="005846C9"/>
    <w:rsid w:val="005846D8"/>
    <w:rsid w:val="005847D2"/>
    <w:rsid w:val="0058489B"/>
    <w:rsid w:val="00584905"/>
    <w:rsid w:val="0058493A"/>
    <w:rsid w:val="00584AE7"/>
    <w:rsid w:val="00584B38"/>
    <w:rsid w:val="00584B8C"/>
    <w:rsid w:val="00584C01"/>
    <w:rsid w:val="00584C5C"/>
    <w:rsid w:val="00584EB8"/>
    <w:rsid w:val="00584F1C"/>
    <w:rsid w:val="005850C7"/>
    <w:rsid w:val="005851CE"/>
    <w:rsid w:val="005852FB"/>
    <w:rsid w:val="005854BF"/>
    <w:rsid w:val="0058562B"/>
    <w:rsid w:val="0058568E"/>
    <w:rsid w:val="0058581B"/>
    <w:rsid w:val="00585871"/>
    <w:rsid w:val="005858F3"/>
    <w:rsid w:val="005859B0"/>
    <w:rsid w:val="00585C74"/>
    <w:rsid w:val="00585E9B"/>
    <w:rsid w:val="00585FB2"/>
    <w:rsid w:val="00586016"/>
    <w:rsid w:val="0058645B"/>
    <w:rsid w:val="0058669B"/>
    <w:rsid w:val="0058694B"/>
    <w:rsid w:val="0058697D"/>
    <w:rsid w:val="00586AA4"/>
    <w:rsid w:val="00586AF0"/>
    <w:rsid w:val="00586BBC"/>
    <w:rsid w:val="00586BC1"/>
    <w:rsid w:val="00586BF9"/>
    <w:rsid w:val="00586CBB"/>
    <w:rsid w:val="00587063"/>
    <w:rsid w:val="00587082"/>
    <w:rsid w:val="005870AC"/>
    <w:rsid w:val="00587178"/>
    <w:rsid w:val="00587218"/>
    <w:rsid w:val="005872ED"/>
    <w:rsid w:val="005873EE"/>
    <w:rsid w:val="005873FC"/>
    <w:rsid w:val="00587461"/>
    <w:rsid w:val="0058768B"/>
    <w:rsid w:val="0058777D"/>
    <w:rsid w:val="005877EF"/>
    <w:rsid w:val="005877F3"/>
    <w:rsid w:val="0058786F"/>
    <w:rsid w:val="00587936"/>
    <w:rsid w:val="00587A58"/>
    <w:rsid w:val="00587AA8"/>
    <w:rsid w:val="00587AC1"/>
    <w:rsid w:val="00587AE7"/>
    <w:rsid w:val="00587CB8"/>
    <w:rsid w:val="00587D23"/>
    <w:rsid w:val="00587F0B"/>
    <w:rsid w:val="00587FD8"/>
    <w:rsid w:val="00590053"/>
    <w:rsid w:val="00590558"/>
    <w:rsid w:val="005906CC"/>
    <w:rsid w:val="00590CF9"/>
    <w:rsid w:val="00590E58"/>
    <w:rsid w:val="00590E6A"/>
    <w:rsid w:val="00590F59"/>
    <w:rsid w:val="00591054"/>
    <w:rsid w:val="005912EA"/>
    <w:rsid w:val="0059160E"/>
    <w:rsid w:val="0059162E"/>
    <w:rsid w:val="005916CA"/>
    <w:rsid w:val="005916DC"/>
    <w:rsid w:val="0059172C"/>
    <w:rsid w:val="00591982"/>
    <w:rsid w:val="005919D2"/>
    <w:rsid w:val="00591A5D"/>
    <w:rsid w:val="00591B5A"/>
    <w:rsid w:val="00591CC2"/>
    <w:rsid w:val="00591CE9"/>
    <w:rsid w:val="00591EDC"/>
    <w:rsid w:val="00591F7E"/>
    <w:rsid w:val="005920AC"/>
    <w:rsid w:val="005921C7"/>
    <w:rsid w:val="005923B6"/>
    <w:rsid w:val="005927DD"/>
    <w:rsid w:val="00592888"/>
    <w:rsid w:val="00592B0D"/>
    <w:rsid w:val="00592B17"/>
    <w:rsid w:val="00592DE8"/>
    <w:rsid w:val="00592DEE"/>
    <w:rsid w:val="00593072"/>
    <w:rsid w:val="005930A2"/>
    <w:rsid w:val="005932FE"/>
    <w:rsid w:val="005934C3"/>
    <w:rsid w:val="0059364E"/>
    <w:rsid w:val="0059370C"/>
    <w:rsid w:val="00593722"/>
    <w:rsid w:val="005937CF"/>
    <w:rsid w:val="0059383B"/>
    <w:rsid w:val="00593954"/>
    <w:rsid w:val="00593A32"/>
    <w:rsid w:val="00593A63"/>
    <w:rsid w:val="00593B21"/>
    <w:rsid w:val="00593BD3"/>
    <w:rsid w:val="00593C3B"/>
    <w:rsid w:val="00593D3D"/>
    <w:rsid w:val="00593E55"/>
    <w:rsid w:val="00593F1E"/>
    <w:rsid w:val="00594130"/>
    <w:rsid w:val="00594587"/>
    <w:rsid w:val="005945CF"/>
    <w:rsid w:val="0059464D"/>
    <w:rsid w:val="005946FB"/>
    <w:rsid w:val="005947FA"/>
    <w:rsid w:val="00594824"/>
    <w:rsid w:val="005948F1"/>
    <w:rsid w:val="00594912"/>
    <w:rsid w:val="00594A07"/>
    <w:rsid w:val="00594A33"/>
    <w:rsid w:val="00594A5A"/>
    <w:rsid w:val="00594A5F"/>
    <w:rsid w:val="00594BD8"/>
    <w:rsid w:val="00594C3A"/>
    <w:rsid w:val="00594E7A"/>
    <w:rsid w:val="0059509B"/>
    <w:rsid w:val="00595179"/>
    <w:rsid w:val="00595192"/>
    <w:rsid w:val="0059521A"/>
    <w:rsid w:val="00595232"/>
    <w:rsid w:val="00595318"/>
    <w:rsid w:val="00595371"/>
    <w:rsid w:val="00595388"/>
    <w:rsid w:val="00595648"/>
    <w:rsid w:val="00595BAE"/>
    <w:rsid w:val="00595BBB"/>
    <w:rsid w:val="00595C32"/>
    <w:rsid w:val="00595D4F"/>
    <w:rsid w:val="00595F91"/>
    <w:rsid w:val="00596199"/>
    <w:rsid w:val="0059623F"/>
    <w:rsid w:val="005962CB"/>
    <w:rsid w:val="005962E2"/>
    <w:rsid w:val="00596390"/>
    <w:rsid w:val="00596636"/>
    <w:rsid w:val="005966E5"/>
    <w:rsid w:val="005967C6"/>
    <w:rsid w:val="00596C1F"/>
    <w:rsid w:val="00596C30"/>
    <w:rsid w:val="00596F33"/>
    <w:rsid w:val="00596FA1"/>
    <w:rsid w:val="00596FC4"/>
    <w:rsid w:val="005970A2"/>
    <w:rsid w:val="0059723B"/>
    <w:rsid w:val="00597288"/>
    <w:rsid w:val="005972E1"/>
    <w:rsid w:val="0059743B"/>
    <w:rsid w:val="005978A2"/>
    <w:rsid w:val="00597979"/>
    <w:rsid w:val="00597A7B"/>
    <w:rsid w:val="00597C23"/>
    <w:rsid w:val="00597DBB"/>
    <w:rsid w:val="00597EF1"/>
    <w:rsid w:val="005A008B"/>
    <w:rsid w:val="005A05E9"/>
    <w:rsid w:val="005A0C76"/>
    <w:rsid w:val="005A0CBF"/>
    <w:rsid w:val="005A0CE7"/>
    <w:rsid w:val="005A0ECF"/>
    <w:rsid w:val="005A0F08"/>
    <w:rsid w:val="005A0F97"/>
    <w:rsid w:val="005A11D0"/>
    <w:rsid w:val="005A12DA"/>
    <w:rsid w:val="005A182B"/>
    <w:rsid w:val="005A1A1E"/>
    <w:rsid w:val="005A1E57"/>
    <w:rsid w:val="005A1E60"/>
    <w:rsid w:val="005A1F91"/>
    <w:rsid w:val="005A1FB6"/>
    <w:rsid w:val="005A20F7"/>
    <w:rsid w:val="005A214A"/>
    <w:rsid w:val="005A2178"/>
    <w:rsid w:val="005A230C"/>
    <w:rsid w:val="005A23D3"/>
    <w:rsid w:val="005A2495"/>
    <w:rsid w:val="005A2627"/>
    <w:rsid w:val="005A2760"/>
    <w:rsid w:val="005A2765"/>
    <w:rsid w:val="005A2958"/>
    <w:rsid w:val="005A2BA2"/>
    <w:rsid w:val="005A2BA4"/>
    <w:rsid w:val="005A2D05"/>
    <w:rsid w:val="005A2D0C"/>
    <w:rsid w:val="005A2F10"/>
    <w:rsid w:val="005A3011"/>
    <w:rsid w:val="005A321D"/>
    <w:rsid w:val="005A3227"/>
    <w:rsid w:val="005A339B"/>
    <w:rsid w:val="005A3541"/>
    <w:rsid w:val="005A3659"/>
    <w:rsid w:val="005A3680"/>
    <w:rsid w:val="005A3690"/>
    <w:rsid w:val="005A379D"/>
    <w:rsid w:val="005A37E4"/>
    <w:rsid w:val="005A3908"/>
    <w:rsid w:val="005A3C3E"/>
    <w:rsid w:val="005A3DE2"/>
    <w:rsid w:val="005A3E55"/>
    <w:rsid w:val="005A3FAB"/>
    <w:rsid w:val="005A4249"/>
    <w:rsid w:val="005A4406"/>
    <w:rsid w:val="005A450F"/>
    <w:rsid w:val="005A45DE"/>
    <w:rsid w:val="005A463E"/>
    <w:rsid w:val="005A4640"/>
    <w:rsid w:val="005A4775"/>
    <w:rsid w:val="005A47F3"/>
    <w:rsid w:val="005A48E0"/>
    <w:rsid w:val="005A4952"/>
    <w:rsid w:val="005A49EB"/>
    <w:rsid w:val="005A4AA8"/>
    <w:rsid w:val="005A4E5F"/>
    <w:rsid w:val="005A4ECE"/>
    <w:rsid w:val="005A4F25"/>
    <w:rsid w:val="005A508E"/>
    <w:rsid w:val="005A5231"/>
    <w:rsid w:val="005A525A"/>
    <w:rsid w:val="005A5496"/>
    <w:rsid w:val="005A54B2"/>
    <w:rsid w:val="005A5582"/>
    <w:rsid w:val="005A559E"/>
    <w:rsid w:val="005A5727"/>
    <w:rsid w:val="005A5817"/>
    <w:rsid w:val="005A58BB"/>
    <w:rsid w:val="005A5AE6"/>
    <w:rsid w:val="005A5BE5"/>
    <w:rsid w:val="005A5CEE"/>
    <w:rsid w:val="005A5E4F"/>
    <w:rsid w:val="005A5F0A"/>
    <w:rsid w:val="005A5FE6"/>
    <w:rsid w:val="005A6059"/>
    <w:rsid w:val="005A60E2"/>
    <w:rsid w:val="005A619B"/>
    <w:rsid w:val="005A6451"/>
    <w:rsid w:val="005A64CA"/>
    <w:rsid w:val="005A650D"/>
    <w:rsid w:val="005A6571"/>
    <w:rsid w:val="005A66C3"/>
    <w:rsid w:val="005A66CB"/>
    <w:rsid w:val="005A679D"/>
    <w:rsid w:val="005A67DE"/>
    <w:rsid w:val="005A680B"/>
    <w:rsid w:val="005A6857"/>
    <w:rsid w:val="005A69C2"/>
    <w:rsid w:val="005A6B68"/>
    <w:rsid w:val="005A6F5A"/>
    <w:rsid w:val="005A7217"/>
    <w:rsid w:val="005A7368"/>
    <w:rsid w:val="005A7429"/>
    <w:rsid w:val="005A75E9"/>
    <w:rsid w:val="005A767B"/>
    <w:rsid w:val="005A76CF"/>
    <w:rsid w:val="005A7C03"/>
    <w:rsid w:val="005A7D5C"/>
    <w:rsid w:val="005A7D66"/>
    <w:rsid w:val="005B00CD"/>
    <w:rsid w:val="005B02E4"/>
    <w:rsid w:val="005B03C6"/>
    <w:rsid w:val="005B03F3"/>
    <w:rsid w:val="005B07AD"/>
    <w:rsid w:val="005B08E8"/>
    <w:rsid w:val="005B08F5"/>
    <w:rsid w:val="005B0945"/>
    <w:rsid w:val="005B09B8"/>
    <w:rsid w:val="005B09E2"/>
    <w:rsid w:val="005B0C32"/>
    <w:rsid w:val="005B0C4A"/>
    <w:rsid w:val="005B0D23"/>
    <w:rsid w:val="005B10DA"/>
    <w:rsid w:val="005B1223"/>
    <w:rsid w:val="005B12F1"/>
    <w:rsid w:val="005B13CB"/>
    <w:rsid w:val="005B1568"/>
    <w:rsid w:val="005B1587"/>
    <w:rsid w:val="005B15CB"/>
    <w:rsid w:val="005B15EF"/>
    <w:rsid w:val="005B1724"/>
    <w:rsid w:val="005B1732"/>
    <w:rsid w:val="005B18BA"/>
    <w:rsid w:val="005B18C4"/>
    <w:rsid w:val="005B1AA7"/>
    <w:rsid w:val="005B1B2A"/>
    <w:rsid w:val="005B1B6A"/>
    <w:rsid w:val="005B1BF9"/>
    <w:rsid w:val="005B1DC7"/>
    <w:rsid w:val="005B1F19"/>
    <w:rsid w:val="005B2012"/>
    <w:rsid w:val="005B2096"/>
    <w:rsid w:val="005B20C3"/>
    <w:rsid w:val="005B215D"/>
    <w:rsid w:val="005B21B1"/>
    <w:rsid w:val="005B2256"/>
    <w:rsid w:val="005B2274"/>
    <w:rsid w:val="005B22BF"/>
    <w:rsid w:val="005B2408"/>
    <w:rsid w:val="005B24F1"/>
    <w:rsid w:val="005B2518"/>
    <w:rsid w:val="005B25C7"/>
    <w:rsid w:val="005B27C6"/>
    <w:rsid w:val="005B281F"/>
    <w:rsid w:val="005B288D"/>
    <w:rsid w:val="005B2B2B"/>
    <w:rsid w:val="005B2C3A"/>
    <w:rsid w:val="005B2CD9"/>
    <w:rsid w:val="005B2D2C"/>
    <w:rsid w:val="005B2D37"/>
    <w:rsid w:val="005B2DA5"/>
    <w:rsid w:val="005B2E42"/>
    <w:rsid w:val="005B2E5C"/>
    <w:rsid w:val="005B2FBE"/>
    <w:rsid w:val="005B301D"/>
    <w:rsid w:val="005B3156"/>
    <w:rsid w:val="005B3164"/>
    <w:rsid w:val="005B3188"/>
    <w:rsid w:val="005B31A4"/>
    <w:rsid w:val="005B31C9"/>
    <w:rsid w:val="005B321E"/>
    <w:rsid w:val="005B32C4"/>
    <w:rsid w:val="005B3474"/>
    <w:rsid w:val="005B347D"/>
    <w:rsid w:val="005B3545"/>
    <w:rsid w:val="005B362C"/>
    <w:rsid w:val="005B362D"/>
    <w:rsid w:val="005B363A"/>
    <w:rsid w:val="005B3784"/>
    <w:rsid w:val="005B37AF"/>
    <w:rsid w:val="005B38A1"/>
    <w:rsid w:val="005B39B6"/>
    <w:rsid w:val="005B3CB2"/>
    <w:rsid w:val="005B3D3D"/>
    <w:rsid w:val="005B3E72"/>
    <w:rsid w:val="005B4418"/>
    <w:rsid w:val="005B452B"/>
    <w:rsid w:val="005B45BB"/>
    <w:rsid w:val="005B4662"/>
    <w:rsid w:val="005B473F"/>
    <w:rsid w:val="005B48A5"/>
    <w:rsid w:val="005B49C1"/>
    <w:rsid w:val="005B4AC7"/>
    <w:rsid w:val="005B50C4"/>
    <w:rsid w:val="005B5112"/>
    <w:rsid w:val="005B52BA"/>
    <w:rsid w:val="005B5362"/>
    <w:rsid w:val="005B57BE"/>
    <w:rsid w:val="005B58E1"/>
    <w:rsid w:val="005B58E8"/>
    <w:rsid w:val="005B58E9"/>
    <w:rsid w:val="005B591F"/>
    <w:rsid w:val="005B59A3"/>
    <w:rsid w:val="005B59FA"/>
    <w:rsid w:val="005B5A3C"/>
    <w:rsid w:val="005B63F0"/>
    <w:rsid w:val="005B67E1"/>
    <w:rsid w:val="005B6965"/>
    <w:rsid w:val="005B6A50"/>
    <w:rsid w:val="005B6ABB"/>
    <w:rsid w:val="005B6C19"/>
    <w:rsid w:val="005B6CD5"/>
    <w:rsid w:val="005B6D23"/>
    <w:rsid w:val="005B6DB4"/>
    <w:rsid w:val="005B6F02"/>
    <w:rsid w:val="005B6F61"/>
    <w:rsid w:val="005B6FCB"/>
    <w:rsid w:val="005B6FF6"/>
    <w:rsid w:val="005B702E"/>
    <w:rsid w:val="005B70BB"/>
    <w:rsid w:val="005B71A4"/>
    <w:rsid w:val="005B729A"/>
    <w:rsid w:val="005B72B3"/>
    <w:rsid w:val="005B72B7"/>
    <w:rsid w:val="005B7333"/>
    <w:rsid w:val="005B7604"/>
    <w:rsid w:val="005B7643"/>
    <w:rsid w:val="005B7748"/>
    <w:rsid w:val="005B7842"/>
    <w:rsid w:val="005B79A9"/>
    <w:rsid w:val="005B79C0"/>
    <w:rsid w:val="005B7B65"/>
    <w:rsid w:val="005B7B66"/>
    <w:rsid w:val="005B7E19"/>
    <w:rsid w:val="005B7FFA"/>
    <w:rsid w:val="005C02C9"/>
    <w:rsid w:val="005C0319"/>
    <w:rsid w:val="005C0340"/>
    <w:rsid w:val="005C03B3"/>
    <w:rsid w:val="005C0512"/>
    <w:rsid w:val="005C056F"/>
    <w:rsid w:val="005C08B4"/>
    <w:rsid w:val="005C0915"/>
    <w:rsid w:val="005C0A13"/>
    <w:rsid w:val="005C0B45"/>
    <w:rsid w:val="005C0C16"/>
    <w:rsid w:val="005C0D29"/>
    <w:rsid w:val="005C0E10"/>
    <w:rsid w:val="005C0FE7"/>
    <w:rsid w:val="005C1015"/>
    <w:rsid w:val="005C10CC"/>
    <w:rsid w:val="005C11C4"/>
    <w:rsid w:val="005C1369"/>
    <w:rsid w:val="005C13B5"/>
    <w:rsid w:val="005C150B"/>
    <w:rsid w:val="005C15CC"/>
    <w:rsid w:val="005C15E6"/>
    <w:rsid w:val="005C15FC"/>
    <w:rsid w:val="005C1693"/>
    <w:rsid w:val="005C16BE"/>
    <w:rsid w:val="005C1867"/>
    <w:rsid w:val="005C1B1D"/>
    <w:rsid w:val="005C1B7D"/>
    <w:rsid w:val="005C1D5A"/>
    <w:rsid w:val="005C1D7C"/>
    <w:rsid w:val="005C1D89"/>
    <w:rsid w:val="005C2188"/>
    <w:rsid w:val="005C21A4"/>
    <w:rsid w:val="005C21E1"/>
    <w:rsid w:val="005C221F"/>
    <w:rsid w:val="005C2273"/>
    <w:rsid w:val="005C22E1"/>
    <w:rsid w:val="005C2306"/>
    <w:rsid w:val="005C255D"/>
    <w:rsid w:val="005C29ED"/>
    <w:rsid w:val="005C2B4B"/>
    <w:rsid w:val="005C2B67"/>
    <w:rsid w:val="005C2C91"/>
    <w:rsid w:val="005C2E56"/>
    <w:rsid w:val="005C2EE5"/>
    <w:rsid w:val="005C30EE"/>
    <w:rsid w:val="005C318D"/>
    <w:rsid w:val="005C319E"/>
    <w:rsid w:val="005C319F"/>
    <w:rsid w:val="005C322D"/>
    <w:rsid w:val="005C3295"/>
    <w:rsid w:val="005C32E6"/>
    <w:rsid w:val="005C3494"/>
    <w:rsid w:val="005C34C1"/>
    <w:rsid w:val="005C366B"/>
    <w:rsid w:val="005C3989"/>
    <w:rsid w:val="005C3D7C"/>
    <w:rsid w:val="005C3EDF"/>
    <w:rsid w:val="005C41A3"/>
    <w:rsid w:val="005C420D"/>
    <w:rsid w:val="005C42EA"/>
    <w:rsid w:val="005C43FA"/>
    <w:rsid w:val="005C44F4"/>
    <w:rsid w:val="005C4577"/>
    <w:rsid w:val="005C46B6"/>
    <w:rsid w:val="005C46BF"/>
    <w:rsid w:val="005C46FC"/>
    <w:rsid w:val="005C47A1"/>
    <w:rsid w:val="005C48B6"/>
    <w:rsid w:val="005C49AF"/>
    <w:rsid w:val="005C4DB8"/>
    <w:rsid w:val="005C4F2E"/>
    <w:rsid w:val="005C50B1"/>
    <w:rsid w:val="005C5530"/>
    <w:rsid w:val="005C5634"/>
    <w:rsid w:val="005C57AB"/>
    <w:rsid w:val="005C5822"/>
    <w:rsid w:val="005C5A9C"/>
    <w:rsid w:val="005C5D0D"/>
    <w:rsid w:val="005C5E65"/>
    <w:rsid w:val="005C5FF7"/>
    <w:rsid w:val="005C6050"/>
    <w:rsid w:val="005C6255"/>
    <w:rsid w:val="005C62E9"/>
    <w:rsid w:val="005C63EB"/>
    <w:rsid w:val="005C66A8"/>
    <w:rsid w:val="005C670C"/>
    <w:rsid w:val="005C67EC"/>
    <w:rsid w:val="005C6CAF"/>
    <w:rsid w:val="005C6ED6"/>
    <w:rsid w:val="005C6FD7"/>
    <w:rsid w:val="005C70B0"/>
    <w:rsid w:val="005C72D7"/>
    <w:rsid w:val="005C72D8"/>
    <w:rsid w:val="005C74CA"/>
    <w:rsid w:val="005C775A"/>
    <w:rsid w:val="005C7777"/>
    <w:rsid w:val="005C77A1"/>
    <w:rsid w:val="005C7811"/>
    <w:rsid w:val="005C795E"/>
    <w:rsid w:val="005C7973"/>
    <w:rsid w:val="005C7AD2"/>
    <w:rsid w:val="005C7BC7"/>
    <w:rsid w:val="005C7EE5"/>
    <w:rsid w:val="005D0152"/>
    <w:rsid w:val="005D01A2"/>
    <w:rsid w:val="005D01B8"/>
    <w:rsid w:val="005D037A"/>
    <w:rsid w:val="005D03D7"/>
    <w:rsid w:val="005D03DE"/>
    <w:rsid w:val="005D042E"/>
    <w:rsid w:val="005D0449"/>
    <w:rsid w:val="005D048E"/>
    <w:rsid w:val="005D0504"/>
    <w:rsid w:val="005D068A"/>
    <w:rsid w:val="005D07B4"/>
    <w:rsid w:val="005D0810"/>
    <w:rsid w:val="005D08ED"/>
    <w:rsid w:val="005D0A45"/>
    <w:rsid w:val="005D0B4C"/>
    <w:rsid w:val="005D0BCD"/>
    <w:rsid w:val="005D0D16"/>
    <w:rsid w:val="005D1246"/>
    <w:rsid w:val="005D154D"/>
    <w:rsid w:val="005D15E1"/>
    <w:rsid w:val="005D1829"/>
    <w:rsid w:val="005D192F"/>
    <w:rsid w:val="005D194B"/>
    <w:rsid w:val="005D1A36"/>
    <w:rsid w:val="005D1AB3"/>
    <w:rsid w:val="005D1BA3"/>
    <w:rsid w:val="005D1BA8"/>
    <w:rsid w:val="005D1D20"/>
    <w:rsid w:val="005D1E15"/>
    <w:rsid w:val="005D1E46"/>
    <w:rsid w:val="005D202A"/>
    <w:rsid w:val="005D2042"/>
    <w:rsid w:val="005D21FA"/>
    <w:rsid w:val="005D26FC"/>
    <w:rsid w:val="005D29C6"/>
    <w:rsid w:val="005D2AAB"/>
    <w:rsid w:val="005D2AF6"/>
    <w:rsid w:val="005D2B79"/>
    <w:rsid w:val="005D2B94"/>
    <w:rsid w:val="005D2DAB"/>
    <w:rsid w:val="005D2DE4"/>
    <w:rsid w:val="005D2E69"/>
    <w:rsid w:val="005D307A"/>
    <w:rsid w:val="005D30F6"/>
    <w:rsid w:val="005D34B6"/>
    <w:rsid w:val="005D34DC"/>
    <w:rsid w:val="005D34E1"/>
    <w:rsid w:val="005D35CB"/>
    <w:rsid w:val="005D3680"/>
    <w:rsid w:val="005D3A14"/>
    <w:rsid w:val="005D3B8F"/>
    <w:rsid w:val="005D3C36"/>
    <w:rsid w:val="005D3CAD"/>
    <w:rsid w:val="005D40E8"/>
    <w:rsid w:val="005D41EA"/>
    <w:rsid w:val="005D4297"/>
    <w:rsid w:val="005D434A"/>
    <w:rsid w:val="005D465A"/>
    <w:rsid w:val="005D49F6"/>
    <w:rsid w:val="005D4A1A"/>
    <w:rsid w:val="005D4A76"/>
    <w:rsid w:val="005D4C9A"/>
    <w:rsid w:val="005D4CD4"/>
    <w:rsid w:val="005D4D2E"/>
    <w:rsid w:val="005D4EE3"/>
    <w:rsid w:val="005D50DC"/>
    <w:rsid w:val="005D52A5"/>
    <w:rsid w:val="005D53E6"/>
    <w:rsid w:val="005D5412"/>
    <w:rsid w:val="005D54E8"/>
    <w:rsid w:val="005D5540"/>
    <w:rsid w:val="005D5557"/>
    <w:rsid w:val="005D5584"/>
    <w:rsid w:val="005D55AA"/>
    <w:rsid w:val="005D5617"/>
    <w:rsid w:val="005D56AF"/>
    <w:rsid w:val="005D5821"/>
    <w:rsid w:val="005D5864"/>
    <w:rsid w:val="005D58A8"/>
    <w:rsid w:val="005D5933"/>
    <w:rsid w:val="005D5947"/>
    <w:rsid w:val="005D59B6"/>
    <w:rsid w:val="005D5A93"/>
    <w:rsid w:val="005D5AA4"/>
    <w:rsid w:val="005D5C95"/>
    <w:rsid w:val="005D5EF8"/>
    <w:rsid w:val="005D62F8"/>
    <w:rsid w:val="005D6346"/>
    <w:rsid w:val="005D6406"/>
    <w:rsid w:val="005D6445"/>
    <w:rsid w:val="005D660D"/>
    <w:rsid w:val="005D68FC"/>
    <w:rsid w:val="005D6A5D"/>
    <w:rsid w:val="005D6C80"/>
    <w:rsid w:val="005D6DAF"/>
    <w:rsid w:val="005D6EF5"/>
    <w:rsid w:val="005D6F0E"/>
    <w:rsid w:val="005D700B"/>
    <w:rsid w:val="005D7151"/>
    <w:rsid w:val="005D7352"/>
    <w:rsid w:val="005D7A2C"/>
    <w:rsid w:val="005D7A4F"/>
    <w:rsid w:val="005D7A6E"/>
    <w:rsid w:val="005D7ACE"/>
    <w:rsid w:val="005D7CEA"/>
    <w:rsid w:val="005D7D45"/>
    <w:rsid w:val="005E00B3"/>
    <w:rsid w:val="005E04B3"/>
    <w:rsid w:val="005E0697"/>
    <w:rsid w:val="005E06D0"/>
    <w:rsid w:val="005E0902"/>
    <w:rsid w:val="005E0958"/>
    <w:rsid w:val="005E09A0"/>
    <w:rsid w:val="005E0A15"/>
    <w:rsid w:val="005E0A84"/>
    <w:rsid w:val="005E0AA7"/>
    <w:rsid w:val="005E0D55"/>
    <w:rsid w:val="005E0E61"/>
    <w:rsid w:val="005E0FA2"/>
    <w:rsid w:val="005E0FE9"/>
    <w:rsid w:val="005E1057"/>
    <w:rsid w:val="005E1224"/>
    <w:rsid w:val="005E12F0"/>
    <w:rsid w:val="005E13FA"/>
    <w:rsid w:val="005E1509"/>
    <w:rsid w:val="005E16E0"/>
    <w:rsid w:val="005E1844"/>
    <w:rsid w:val="005E188D"/>
    <w:rsid w:val="005E1C75"/>
    <w:rsid w:val="005E1DEF"/>
    <w:rsid w:val="005E1DF9"/>
    <w:rsid w:val="005E1DFC"/>
    <w:rsid w:val="005E205C"/>
    <w:rsid w:val="005E206F"/>
    <w:rsid w:val="005E20F6"/>
    <w:rsid w:val="005E20FE"/>
    <w:rsid w:val="005E21D5"/>
    <w:rsid w:val="005E2255"/>
    <w:rsid w:val="005E246A"/>
    <w:rsid w:val="005E25D1"/>
    <w:rsid w:val="005E2733"/>
    <w:rsid w:val="005E27E5"/>
    <w:rsid w:val="005E2AF5"/>
    <w:rsid w:val="005E2B9B"/>
    <w:rsid w:val="005E2C3A"/>
    <w:rsid w:val="005E2E0C"/>
    <w:rsid w:val="005E300C"/>
    <w:rsid w:val="005E315C"/>
    <w:rsid w:val="005E335C"/>
    <w:rsid w:val="005E3386"/>
    <w:rsid w:val="005E34C4"/>
    <w:rsid w:val="005E3534"/>
    <w:rsid w:val="005E3640"/>
    <w:rsid w:val="005E372C"/>
    <w:rsid w:val="005E377E"/>
    <w:rsid w:val="005E380A"/>
    <w:rsid w:val="005E384A"/>
    <w:rsid w:val="005E38ED"/>
    <w:rsid w:val="005E3948"/>
    <w:rsid w:val="005E3A38"/>
    <w:rsid w:val="005E3A72"/>
    <w:rsid w:val="005E3BA9"/>
    <w:rsid w:val="005E3C80"/>
    <w:rsid w:val="005E3D4F"/>
    <w:rsid w:val="005E3E52"/>
    <w:rsid w:val="005E3FD9"/>
    <w:rsid w:val="005E4000"/>
    <w:rsid w:val="005E4059"/>
    <w:rsid w:val="005E40F5"/>
    <w:rsid w:val="005E419E"/>
    <w:rsid w:val="005E41D9"/>
    <w:rsid w:val="005E43EA"/>
    <w:rsid w:val="005E4495"/>
    <w:rsid w:val="005E44D3"/>
    <w:rsid w:val="005E46A5"/>
    <w:rsid w:val="005E4941"/>
    <w:rsid w:val="005E4AF9"/>
    <w:rsid w:val="005E4D28"/>
    <w:rsid w:val="005E4EB0"/>
    <w:rsid w:val="005E5131"/>
    <w:rsid w:val="005E5287"/>
    <w:rsid w:val="005E5372"/>
    <w:rsid w:val="005E54B4"/>
    <w:rsid w:val="005E5595"/>
    <w:rsid w:val="005E5649"/>
    <w:rsid w:val="005E56D2"/>
    <w:rsid w:val="005E5815"/>
    <w:rsid w:val="005E5C79"/>
    <w:rsid w:val="005E5CE6"/>
    <w:rsid w:val="005E5E8B"/>
    <w:rsid w:val="005E5F2C"/>
    <w:rsid w:val="005E6232"/>
    <w:rsid w:val="005E62A2"/>
    <w:rsid w:val="005E641D"/>
    <w:rsid w:val="005E672D"/>
    <w:rsid w:val="005E6790"/>
    <w:rsid w:val="005E6A9C"/>
    <w:rsid w:val="005E6B0B"/>
    <w:rsid w:val="005E6BBA"/>
    <w:rsid w:val="005E6C3B"/>
    <w:rsid w:val="005E6F26"/>
    <w:rsid w:val="005E6F62"/>
    <w:rsid w:val="005E71B8"/>
    <w:rsid w:val="005E72AB"/>
    <w:rsid w:val="005E735C"/>
    <w:rsid w:val="005E7365"/>
    <w:rsid w:val="005E7519"/>
    <w:rsid w:val="005E76ED"/>
    <w:rsid w:val="005E77DD"/>
    <w:rsid w:val="005E7892"/>
    <w:rsid w:val="005E7897"/>
    <w:rsid w:val="005E7AB2"/>
    <w:rsid w:val="005E7D7C"/>
    <w:rsid w:val="005F015F"/>
    <w:rsid w:val="005F0168"/>
    <w:rsid w:val="005F02DC"/>
    <w:rsid w:val="005F0543"/>
    <w:rsid w:val="005F0626"/>
    <w:rsid w:val="005F0844"/>
    <w:rsid w:val="005F087F"/>
    <w:rsid w:val="005F0911"/>
    <w:rsid w:val="005F09C4"/>
    <w:rsid w:val="005F0A42"/>
    <w:rsid w:val="005F10BC"/>
    <w:rsid w:val="005F11DB"/>
    <w:rsid w:val="005F12A1"/>
    <w:rsid w:val="005F12DA"/>
    <w:rsid w:val="005F1501"/>
    <w:rsid w:val="005F154C"/>
    <w:rsid w:val="005F15BD"/>
    <w:rsid w:val="005F15CB"/>
    <w:rsid w:val="005F15D4"/>
    <w:rsid w:val="005F1636"/>
    <w:rsid w:val="005F17D4"/>
    <w:rsid w:val="005F190D"/>
    <w:rsid w:val="005F1AE9"/>
    <w:rsid w:val="005F1BC7"/>
    <w:rsid w:val="005F1E0D"/>
    <w:rsid w:val="005F1E9F"/>
    <w:rsid w:val="005F1F0A"/>
    <w:rsid w:val="005F1F10"/>
    <w:rsid w:val="005F1F81"/>
    <w:rsid w:val="005F204C"/>
    <w:rsid w:val="005F22AA"/>
    <w:rsid w:val="005F25BD"/>
    <w:rsid w:val="005F25D9"/>
    <w:rsid w:val="005F26D5"/>
    <w:rsid w:val="005F2729"/>
    <w:rsid w:val="005F27DB"/>
    <w:rsid w:val="005F2845"/>
    <w:rsid w:val="005F2AA6"/>
    <w:rsid w:val="005F2BE2"/>
    <w:rsid w:val="005F3097"/>
    <w:rsid w:val="005F30BF"/>
    <w:rsid w:val="005F30EC"/>
    <w:rsid w:val="005F3144"/>
    <w:rsid w:val="005F3438"/>
    <w:rsid w:val="005F348C"/>
    <w:rsid w:val="005F35EF"/>
    <w:rsid w:val="005F36A7"/>
    <w:rsid w:val="005F3AE5"/>
    <w:rsid w:val="005F3BF7"/>
    <w:rsid w:val="005F3CE6"/>
    <w:rsid w:val="005F3F58"/>
    <w:rsid w:val="005F3F67"/>
    <w:rsid w:val="005F40E2"/>
    <w:rsid w:val="005F44B7"/>
    <w:rsid w:val="005F45CD"/>
    <w:rsid w:val="005F4640"/>
    <w:rsid w:val="005F4A04"/>
    <w:rsid w:val="005F4E9A"/>
    <w:rsid w:val="005F5337"/>
    <w:rsid w:val="005F5393"/>
    <w:rsid w:val="005F55F2"/>
    <w:rsid w:val="005F5E8C"/>
    <w:rsid w:val="005F5FC0"/>
    <w:rsid w:val="005F60C6"/>
    <w:rsid w:val="005F60DD"/>
    <w:rsid w:val="005F610B"/>
    <w:rsid w:val="005F61E3"/>
    <w:rsid w:val="005F6211"/>
    <w:rsid w:val="005F6224"/>
    <w:rsid w:val="005F641D"/>
    <w:rsid w:val="005F64F0"/>
    <w:rsid w:val="005F6564"/>
    <w:rsid w:val="005F6587"/>
    <w:rsid w:val="005F66B3"/>
    <w:rsid w:val="005F67CB"/>
    <w:rsid w:val="005F68CF"/>
    <w:rsid w:val="005F690E"/>
    <w:rsid w:val="005F692B"/>
    <w:rsid w:val="005F7008"/>
    <w:rsid w:val="005F70D2"/>
    <w:rsid w:val="005F7165"/>
    <w:rsid w:val="005F71D9"/>
    <w:rsid w:val="005F71FB"/>
    <w:rsid w:val="005F72AF"/>
    <w:rsid w:val="005F7321"/>
    <w:rsid w:val="005F7514"/>
    <w:rsid w:val="005F75AE"/>
    <w:rsid w:val="005F760D"/>
    <w:rsid w:val="005F78C0"/>
    <w:rsid w:val="005F7A40"/>
    <w:rsid w:val="005F7A89"/>
    <w:rsid w:val="005F7A8E"/>
    <w:rsid w:val="005F7B23"/>
    <w:rsid w:val="005F7BE2"/>
    <w:rsid w:val="005F7C43"/>
    <w:rsid w:val="005F7CA8"/>
    <w:rsid w:val="005F7CC9"/>
    <w:rsid w:val="005F7D41"/>
    <w:rsid w:val="005F7DE7"/>
    <w:rsid w:val="005F7E18"/>
    <w:rsid w:val="00600021"/>
    <w:rsid w:val="00600211"/>
    <w:rsid w:val="0060021B"/>
    <w:rsid w:val="006003C3"/>
    <w:rsid w:val="006005A4"/>
    <w:rsid w:val="006005BE"/>
    <w:rsid w:val="006006C8"/>
    <w:rsid w:val="00600716"/>
    <w:rsid w:val="00600805"/>
    <w:rsid w:val="00600874"/>
    <w:rsid w:val="00600A6D"/>
    <w:rsid w:val="00600ABD"/>
    <w:rsid w:val="00600BB0"/>
    <w:rsid w:val="00600C51"/>
    <w:rsid w:val="00600E4F"/>
    <w:rsid w:val="00600E8C"/>
    <w:rsid w:val="006011C1"/>
    <w:rsid w:val="00601226"/>
    <w:rsid w:val="00601404"/>
    <w:rsid w:val="00601459"/>
    <w:rsid w:val="00601741"/>
    <w:rsid w:val="00601826"/>
    <w:rsid w:val="00601887"/>
    <w:rsid w:val="006018C7"/>
    <w:rsid w:val="00601B44"/>
    <w:rsid w:val="00601C51"/>
    <w:rsid w:val="00601D22"/>
    <w:rsid w:val="00601D93"/>
    <w:rsid w:val="00601F68"/>
    <w:rsid w:val="006021D3"/>
    <w:rsid w:val="00602251"/>
    <w:rsid w:val="0060229B"/>
    <w:rsid w:val="00602345"/>
    <w:rsid w:val="006023B7"/>
    <w:rsid w:val="006024D9"/>
    <w:rsid w:val="006025ED"/>
    <w:rsid w:val="0060261F"/>
    <w:rsid w:val="0060271C"/>
    <w:rsid w:val="00602927"/>
    <w:rsid w:val="00602A84"/>
    <w:rsid w:val="00602AA7"/>
    <w:rsid w:val="00602F26"/>
    <w:rsid w:val="00602F7A"/>
    <w:rsid w:val="006031FF"/>
    <w:rsid w:val="0060351C"/>
    <w:rsid w:val="00603553"/>
    <w:rsid w:val="0060362E"/>
    <w:rsid w:val="0060364A"/>
    <w:rsid w:val="0060369C"/>
    <w:rsid w:val="006037A0"/>
    <w:rsid w:val="006037E7"/>
    <w:rsid w:val="006038AD"/>
    <w:rsid w:val="00603995"/>
    <w:rsid w:val="006039D9"/>
    <w:rsid w:val="00603B7B"/>
    <w:rsid w:val="00603DEA"/>
    <w:rsid w:val="00603EF5"/>
    <w:rsid w:val="00603F18"/>
    <w:rsid w:val="0060419E"/>
    <w:rsid w:val="00604347"/>
    <w:rsid w:val="006043C3"/>
    <w:rsid w:val="00604528"/>
    <w:rsid w:val="006046C9"/>
    <w:rsid w:val="00604812"/>
    <w:rsid w:val="0060485F"/>
    <w:rsid w:val="00604B33"/>
    <w:rsid w:val="00604F6E"/>
    <w:rsid w:val="00604F81"/>
    <w:rsid w:val="00604FE5"/>
    <w:rsid w:val="006051BC"/>
    <w:rsid w:val="0060522A"/>
    <w:rsid w:val="006055C1"/>
    <w:rsid w:val="006056AB"/>
    <w:rsid w:val="006056DC"/>
    <w:rsid w:val="00605987"/>
    <w:rsid w:val="00605AE8"/>
    <w:rsid w:val="00605B8D"/>
    <w:rsid w:val="00605C12"/>
    <w:rsid w:val="00605C2C"/>
    <w:rsid w:val="00605C96"/>
    <w:rsid w:val="00605D64"/>
    <w:rsid w:val="006060A9"/>
    <w:rsid w:val="006060D1"/>
    <w:rsid w:val="00606198"/>
    <w:rsid w:val="00606408"/>
    <w:rsid w:val="0060641C"/>
    <w:rsid w:val="0060654E"/>
    <w:rsid w:val="006069CB"/>
    <w:rsid w:val="00606AD5"/>
    <w:rsid w:val="00606ADB"/>
    <w:rsid w:val="00606FAF"/>
    <w:rsid w:val="00606FC6"/>
    <w:rsid w:val="006071C8"/>
    <w:rsid w:val="0060744E"/>
    <w:rsid w:val="0060748D"/>
    <w:rsid w:val="006074D3"/>
    <w:rsid w:val="00607536"/>
    <w:rsid w:val="006076F6"/>
    <w:rsid w:val="0060788C"/>
    <w:rsid w:val="00607ADB"/>
    <w:rsid w:val="00607C3D"/>
    <w:rsid w:val="00607E87"/>
    <w:rsid w:val="00607F8F"/>
    <w:rsid w:val="00610226"/>
    <w:rsid w:val="006102A8"/>
    <w:rsid w:val="0061032E"/>
    <w:rsid w:val="00610338"/>
    <w:rsid w:val="0061051D"/>
    <w:rsid w:val="0061055F"/>
    <w:rsid w:val="006106D6"/>
    <w:rsid w:val="00610709"/>
    <w:rsid w:val="006107A8"/>
    <w:rsid w:val="00610B12"/>
    <w:rsid w:val="00610C35"/>
    <w:rsid w:val="00610D6A"/>
    <w:rsid w:val="00611478"/>
    <w:rsid w:val="00611789"/>
    <w:rsid w:val="006117FB"/>
    <w:rsid w:val="006118AE"/>
    <w:rsid w:val="00611A3F"/>
    <w:rsid w:val="00611A80"/>
    <w:rsid w:val="00611AA5"/>
    <w:rsid w:val="00611E24"/>
    <w:rsid w:val="0061208D"/>
    <w:rsid w:val="006124F4"/>
    <w:rsid w:val="00612662"/>
    <w:rsid w:val="006126A5"/>
    <w:rsid w:val="0061275C"/>
    <w:rsid w:val="006128A7"/>
    <w:rsid w:val="00612A8A"/>
    <w:rsid w:val="00612C2E"/>
    <w:rsid w:val="00612E53"/>
    <w:rsid w:val="006131F6"/>
    <w:rsid w:val="006132AE"/>
    <w:rsid w:val="006132FD"/>
    <w:rsid w:val="0061336A"/>
    <w:rsid w:val="00613456"/>
    <w:rsid w:val="00613564"/>
    <w:rsid w:val="00613EF4"/>
    <w:rsid w:val="00613F9B"/>
    <w:rsid w:val="00613FB8"/>
    <w:rsid w:val="0061409C"/>
    <w:rsid w:val="0061434E"/>
    <w:rsid w:val="006144F1"/>
    <w:rsid w:val="00614670"/>
    <w:rsid w:val="006148F5"/>
    <w:rsid w:val="006149C9"/>
    <w:rsid w:val="00614A96"/>
    <w:rsid w:val="00614ADF"/>
    <w:rsid w:val="00614B1D"/>
    <w:rsid w:val="00614DEE"/>
    <w:rsid w:val="00614E0E"/>
    <w:rsid w:val="00614EE9"/>
    <w:rsid w:val="00614F79"/>
    <w:rsid w:val="0061517A"/>
    <w:rsid w:val="0061517B"/>
    <w:rsid w:val="0061542D"/>
    <w:rsid w:val="00615530"/>
    <w:rsid w:val="006156BC"/>
    <w:rsid w:val="00615791"/>
    <w:rsid w:val="0061599D"/>
    <w:rsid w:val="006159DB"/>
    <w:rsid w:val="00615B1F"/>
    <w:rsid w:val="00615D5D"/>
    <w:rsid w:val="00615DD0"/>
    <w:rsid w:val="00615E77"/>
    <w:rsid w:val="00615F84"/>
    <w:rsid w:val="00616231"/>
    <w:rsid w:val="00616317"/>
    <w:rsid w:val="0061634A"/>
    <w:rsid w:val="00616470"/>
    <w:rsid w:val="006164C7"/>
    <w:rsid w:val="006165F7"/>
    <w:rsid w:val="006166CF"/>
    <w:rsid w:val="00616774"/>
    <w:rsid w:val="0061677A"/>
    <w:rsid w:val="006167FC"/>
    <w:rsid w:val="00616A4B"/>
    <w:rsid w:val="00616A67"/>
    <w:rsid w:val="00616AB3"/>
    <w:rsid w:val="00616C55"/>
    <w:rsid w:val="00616CDA"/>
    <w:rsid w:val="00616E81"/>
    <w:rsid w:val="00616EE4"/>
    <w:rsid w:val="00616F40"/>
    <w:rsid w:val="00616F4B"/>
    <w:rsid w:val="00616FF2"/>
    <w:rsid w:val="006171EA"/>
    <w:rsid w:val="006173AA"/>
    <w:rsid w:val="00617410"/>
    <w:rsid w:val="0061749E"/>
    <w:rsid w:val="0061761B"/>
    <w:rsid w:val="006176C8"/>
    <w:rsid w:val="00617732"/>
    <w:rsid w:val="00617774"/>
    <w:rsid w:val="006177CF"/>
    <w:rsid w:val="006177D0"/>
    <w:rsid w:val="00617A7D"/>
    <w:rsid w:val="00617FB9"/>
    <w:rsid w:val="006200CC"/>
    <w:rsid w:val="006200F9"/>
    <w:rsid w:val="006200FA"/>
    <w:rsid w:val="00620117"/>
    <w:rsid w:val="00620188"/>
    <w:rsid w:val="006201E6"/>
    <w:rsid w:val="0062053F"/>
    <w:rsid w:val="0062056B"/>
    <w:rsid w:val="006205BC"/>
    <w:rsid w:val="00620640"/>
    <w:rsid w:val="0062068F"/>
    <w:rsid w:val="006208B5"/>
    <w:rsid w:val="006208EF"/>
    <w:rsid w:val="00620980"/>
    <w:rsid w:val="00620A72"/>
    <w:rsid w:val="00620C5E"/>
    <w:rsid w:val="00620C9B"/>
    <w:rsid w:val="00620CEF"/>
    <w:rsid w:val="00620DE4"/>
    <w:rsid w:val="00620DEE"/>
    <w:rsid w:val="00620DF1"/>
    <w:rsid w:val="0062105D"/>
    <w:rsid w:val="006210E6"/>
    <w:rsid w:val="006212A6"/>
    <w:rsid w:val="00621464"/>
    <w:rsid w:val="00621468"/>
    <w:rsid w:val="00621539"/>
    <w:rsid w:val="00621558"/>
    <w:rsid w:val="0062157E"/>
    <w:rsid w:val="006216DF"/>
    <w:rsid w:val="00621850"/>
    <w:rsid w:val="0062186E"/>
    <w:rsid w:val="00621986"/>
    <w:rsid w:val="006219F2"/>
    <w:rsid w:val="00621B29"/>
    <w:rsid w:val="00621B95"/>
    <w:rsid w:val="00621C20"/>
    <w:rsid w:val="00621DEA"/>
    <w:rsid w:val="00621E88"/>
    <w:rsid w:val="00621ED2"/>
    <w:rsid w:val="00621FEA"/>
    <w:rsid w:val="006223A0"/>
    <w:rsid w:val="006224A0"/>
    <w:rsid w:val="00622553"/>
    <w:rsid w:val="0062259B"/>
    <w:rsid w:val="00622998"/>
    <w:rsid w:val="00622B62"/>
    <w:rsid w:val="00622C2E"/>
    <w:rsid w:val="00622D2F"/>
    <w:rsid w:val="00622FB4"/>
    <w:rsid w:val="0062310B"/>
    <w:rsid w:val="0062328D"/>
    <w:rsid w:val="00623312"/>
    <w:rsid w:val="006234A4"/>
    <w:rsid w:val="006235C6"/>
    <w:rsid w:val="00623808"/>
    <w:rsid w:val="0062391E"/>
    <w:rsid w:val="00623CBF"/>
    <w:rsid w:val="00623CDD"/>
    <w:rsid w:val="00623DE0"/>
    <w:rsid w:val="00623FDA"/>
    <w:rsid w:val="00624588"/>
    <w:rsid w:val="006245DB"/>
    <w:rsid w:val="006245F5"/>
    <w:rsid w:val="0062465C"/>
    <w:rsid w:val="006247AB"/>
    <w:rsid w:val="006247BE"/>
    <w:rsid w:val="0062487C"/>
    <w:rsid w:val="006248A2"/>
    <w:rsid w:val="006249FF"/>
    <w:rsid w:val="00624A68"/>
    <w:rsid w:val="00624B05"/>
    <w:rsid w:val="00624B60"/>
    <w:rsid w:val="00624B94"/>
    <w:rsid w:val="00624BAE"/>
    <w:rsid w:val="00624C4F"/>
    <w:rsid w:val="00624E2B"/>
    <w:rsid w:val="00624FD3"/>
    <w:rsid w:val="00625207"/>
    <w:rsid w:val="006252D8"/>
    <w:rsid w:val="006252DC"/>
    <w:rsid w:val="00625340"/>
    <w:rsid w:val="00625455"/>
    <w:rsid w:val="00625603"/>
    <w:rsid w:val="00625675"/>
    <w:rsid w:val="006256B1"/>
    <w:rsid w:val="006257D9"/>
    <w:rsid w:val="00625EFC"/>
    <w:rsid w:val="00626046"/>
    <w:rsid w:val="006261B7"/>
    <w:rsid w:val="00626400"/>
    <w:rsid w:val="0062647E"/>
    <w:rsid w:val="00626820"/>
    <w:rsid w:val="00626915"/>
    <w:rsid w:val="00626B29"/>
    <w:rsid w:val="00626DD3"/>
    <w:rsid w:val="00626FA9"/>
    <w:rsid w:val="00626FF7"/>
    <w:rsid w:val="00627038"/>
    <w:rsid w:val="0062703D"/>
    <w:rsid w:val="0062711A"/>
    <w:rsid w:val="00627182"/>
    <w:rsid w:val="0062728D"/>
    <w:rsid w:val="00627297"/>
    <w:rsid w:val="006272DA"/>
    <w:rsid w:val="0062747E"/>
    <w:rsid w:val="006277E4"/>
    <w:rsid w:val="0062798F"/>
    <w:rsid w:val="00627AFB"/>
    <w:rsid w:val="00627D25"/>
    <w:rsid w:val="00627DC0"/>
    <w:rsid w:val="00627F84"/>
    <w:rsid w:val="00630209"/>
    <w:rsid w:val="006302C7"/>
    <w:rsid w:val="006305DE"/>
    <w:rsid w:val="006305F0"/>
    <w:rsid w:val="006306B7"/>
    <w:rsid w:val="0063074B"/>
    <w:rsid w:val="006309E3"/>
    <w:rsid w:val="00630A3D"/>
    <w:rsid w:val="00630AA7"/>
    <w:rsid w:val="00630BA6"/>
    <w:rsid w:val="00630CD1"/>
    <w:rsid w:val="00630D36"/>
    <w:rsid w:val="006310C6"/>
    <w:rsid w:val="00631176"/>
    <w:rsid w:val="006311E2"/>
    <w:rsid w:val="0063164D"/>
    <w:rsid w:val="00631933"/>
    <w:rsid w:val="00631B8B"/>
    <w:rsid w:val="00631CAB"/>
    <w:rsid w:val="00631CDA"/>
    <w:rsid w:val="00631D1E"/>
    <w:rsid w:val="00631DAB"/>
    <w:rsid w:val="00631EE2"/>
    <w:rsid w:val="006326CE"/>
    <w:rsid w:val="00632737"/>
    <w:rsid w:val="00632765"/>
    <w:rsid w:val="0063295D"/>
    <w:rsid w:val="00632997"/>
    <w:rsid w:val="006329DA"/>
    <w:rsid w:val="00632B2F"/>
    <w:rsid w:val="00632BA9"/>
    <w:rsid w:val="00632FB3"/>
    <w:rsid w:val="0063302D"/>
    <w:rsid w:val="0063306E"/>
    <w:rsid w:val="0063307E"/>
    <w:rsid w:val="006331A9"/>
    <w:rsid w:val="006331D2"/>
    <w:rsid w:val="0063334E"/>
    <w:rsid w:val="00633373"/>
    <w:rsid w:val="0063373C"/>
    <w:rsid w:val="00633762"/>
    <w:rsid w:val="00633929"/>
    <w:rsid w:val="00633D7D"/>
    <w:rsid w:val="006340D0"/>
    <w:rsid w:val="00634282"/>
    <w:rsid w:val="006343DC"/>
    <w:rsid w:val="00634529"/>
    <w:rsid w:val="00634675"/>
    <w:rsid w:val="006346DB"/>
    <w:rsid w:val="00634920"/>
    <w:rsid w:val="0063492C"/>
    <w:rsid w:val="00634A1A"/>
    <w:rsid w:val="00634B22"/>
    <w:rsid w:val="00634C4E"/>
    <w:rsid w:val="00634F47"/>
    <w:rsid w:val="00634F59"/>
    <w:rsid w:val="0063507C"/>
    <w:rsid w:val="006353E8"/>
    <w:rsid w:val="006354FD"/>
    <w:rsid w:val="00635648"/>
    <w:rsid w:val="00635796"/>
    <w:rsid w:val="00635924"/>
    <w:rsid w:val="00635989"/>
    <w:rsid w:val="00635BB2"/>
    <w:rsid w:val="00635BF6"/>
    <w:rsid w:val="00635C25"/>
    <w:rsid w:val="00635C3C"/>
    <w:rsid w:val="00635DDB"/>
    <w:rsid w:val="00635EB5"/>
    <w:rsid w:val="00635F7A"/>
    <w:rsid w:val="00635F8D"/>
    <w:rsid w:val="00636055"/>
    <w:rsid w:val="0063622E"/>
    <w:rsid w:val="006362B1"/>
    <w:rsid w:val="00636351"/>
    <w:rsid w:val="0063637C"/>
    <w:rsid w:val="00636459"/>
    <w:rsid w:val="0063670E"/>
    <w:rsid w:val="00636807"/>
    <w:rsid w:val="00636879"/>
    <w:rsid w:val="00636894"/>
    <w:rsid w:val="0063692D"/>
    <w:rsid w:val="0063695A"/>
    <w:rsid w:val="00636CBE"/>
    <w:rsid w:val="00636DBF"/>
    <w:rsid w:val="00636E01"/>
    <w:rsid w:val="00636EE6"/>
    <w:rsid w:val="00636F9D"/>
    <w:rsid w:val="00636FE7"/>
    <w:rsid w:val="006370F3"/>
    <w:rsid w:val="006371AC"/>
    <w:rsid w:val="006372D0"/>
    <w:rsid w:val="006373DB"/>
    <w:rsid w:val="006374AC"/>
    <w:rsid w:val="006374C3"/>
    <w:rsid w:val="006374E9"/>
    <w:rsid w:val="006375CB"/>
    <w:rsid w:val="00637606"/>
    <w:rsid w:val="006377DC"/>
    <w:rsid w:val="00637839"/>
    <w:rsid w:val="00637BE3"/>
    <w:rsid w:val="00637EA2"/>
    <w:rsid w:val="00637F7D"/>
    <w:rsid w:val="006401AD"/>
    <w:rsid w:val="006401C7"/>
    <w:rsid w:val="006404E0"/>
    <w:rsid w:val="0064051E"/>
    <w:rsid w:val="006405D1"/>
    <w:rsid w:val="0064061A"/>
    <w:rsid w:val="00640683"/>
    <w:rsid w:val="0064068C"/>
    <w:rsid w:val="0064074A"/>
    <w:rsid w:val="006407C4"/>
    <w:rsid w:val="00640871"/>
    <w:rsid w:val="0064090C"/>
    <w:rsid w:val="00640A7A"/>
    <w:rsid w:val="00640AD7"/>
    <w:rsid w:val="00640BE3"/>
    <w:rsid w:val="00640CB1"/>
    <w:rsid w:val="00640E65"/>
    <w:rsid w:val="00640F40"/>
    <w:rsid w:val="00640F4C"/>
    <w:rsid w:val="00641008"/>
    <w:rsid w:val="0064100F"/>
    <w:rsid w:val="006412FC"/>
    <w:rsid w:val="0064159F"/>
    <w:rsid w:val="00641847"/>
    <w:rsid w:val="00641915"/>
    <w:rsid w:val="00641991"/>
    <w:rsid w:val="00641A69"/>
    <w:rsid w:val="00641A84"/>
    <w:rsid w:val="00641ABF"/>
    <w:rsid w:val="00641C00"/>
    <w:rsid w:val="00641C7D"/>
    <w:rsid w:val="00641D52"/>
    <w:rsid w:val="00641DC0"/>
    <w:rsid w:val="00641EE5"/>
    <w:rsid w:val="00641F13"/>
    <w:rsid w:val="00641FA4"/>
    <w:rsid w:val="00642118"/>
    <w:rsid w:val="00642202"/>
    <w:rsid w:val="00642284"/>
    <w:rsid w:val="006422D2"/>
    <w:rsid w:val="00642771"/>
    <w:rsid w:val="00642AB8"/>
    <w:rsid w:val="00642E74"/>
    <w:rsid w:val="006432C3"/>
    <w:rsid w:val="006434D4"/>
    <w:rsid w:val="0064367E"/>
    <w:rsid w:val="00643802"/>
    <w:rsid w:val="00643857"/>
    <w:rsid w:val="006438A9"/>
    <w:rsid w:val="00643CF8"/>
    <w:rsid w:val="00643D03"/>
    <w:rsid w:val="00643F93"/>
    <w:rsid w:val="00644147"/>
    <w:rsid w:val="0064445C"/>
    <w:rsid w:val="0064446E"/>
    <w:rsid w:val="006445AE"/>
    <w:rsid w:val="0064475A"/>
    <w:rsid w:val="00644764"/>
    <w:rsid w:val="00644987"/>
    <w:rsid w:val="00644BAD"/>
    <w:rsid w:val="00644D04"/>
    <w:rsid w:val="00644D9F"/>
    <w:rsid w:val="00644E4D"/>
    <w:rsid w:val="00645089"/>
    <w:rsid w:val="0064516F"/>
    <w:rsid w:val="006452AE"/>
    <w:rsid w:val="006453C4"/>
    <w:rsid w:val="006456D5"/>
    <w:rsid w:val="006456E1"/>
    <w:rsid w:val="006457B8"/>
    <w:rsid w:val="00645A6C"/>
    <w:rsid w:val="00645A85"/>
    <w:rsid w:val="00645A86"/>
    <w:rsid w:val="00645B84"/>
    <w:rsid w:val="00645BFC"/>
    <w:rsid w:val="00645E34"/>
    <w:rsid w:val="00645E99"/>
    <w:rsid w:val="006460F5"/>
    <w:rsid w:val="00646257"/>
    <w:rsid w:val="006462E6"/>
    <w:rsid w:val="00646460"/>
    <w:rsid w:val="006464A3"/>
    <w:rsid w:val="006468E5"/>
    <w:rsid w:val="00646ABA"/>
    <w:rsid w:val="00646B76"/>
    <w:rsid w:val="00646E9A"/>
    <w:rsid w:val="00646EA6"/>
    <w:rsid w:val="00646FE3"/>
    <w:rsid w:val="006470D4"/>
    <w:rsid w:val="00647355"/>
    <w:rsid w:val="006475D7"/>
    <w:rsid w:val="006476F9"/>
    <w:rsid w:val="0064771D"/>
    <w:rsid w:val="0064772C"/>
    <w:rsid w:val="00647737"/>
    <w:rsid w:val="006478C6"/>
    <w:rsid w:val="00647B65"/>
    <w:rsid w:val="00647E05"/>
    <w:rsid w:val="00647FA9"/>
    <w:rsid w:val="0065013D"/>
    <w:rsid w:val="00650407"/>
    <w:rsid w:val="0065050A"/>
    <w:rsid w:val="00650612"/>
    <w:rsid w:val="006508B5"/>
    <w:rsid w:val="006508F0"/>
    <w:rsid w:val="00650AC3"/>
    <w:rsid w:val="00650BA0"/>
    <w:rsid w:val="00650C8E"/>
    <w:rsid w:val="00650DFC"/>
    <w:rsid w:val="00650F4F"/>
    <w:rsid w:val="0065116F"/>
    <w:rsid w:val="006511C8"/>
    <w:rsid w:val="006511F7"/>
    <w:rsid w:val="006515DE"/>
    <w:rsid w:val="00651860"/>
    <w:rsid w:val="0065198F"/>
    <w:rsid w:val="00651B92"/>
    <w:rsid w:val="00651C43"/>
    <w:rsid w:val="00651CD8"/>
    <w:rsid w:val="00652129"/>
    <w:rsid w:val="0065226B"/>
    <w:rsid w:val="00652290"/>
    <w:rsid w:val="006523AE"/>
    <w:rsid w:val="00652454"/>
    <w:rsid w:val="0065282E"/>
    <w:rsid w:val="00652909"/>
    <w:rsid w:val="0065298F"/>
    <w:rsid w:val="00652A18"/>
    <w:rsid w:val="00652B03"/>
    <w:rsid w:val="00652BCC"/>
    <w:rsid w:val="00652C07"/>
    <w:rsid w:val="00652E14"/>
    <w:rsid w:val="00652E2D"/>
    <w:rsid w:val="00652FC5"/>
    <w:rsid w:val="00653037"/>
    <w:rsid w:val="006531C8"/>
    <w:rsid w:val="006531C9"/>
    <w:rsid w:val="006532FD"/>
    <w:rsid w:val="006533E3"/>
    <w:rsid w:val="00653469"/>
    <w:rsid w:val="006534AB"/>
    <w:rsid w:val="00653518"/>
    <w:rsid w:val="006535F7"/>
    <w:rsid w:val="00653638"/>
    <w:rsid w:val="0065366B"/>
    <w:rsid w:val="0065384F"/>
    <w:rsid w:val="00653A16"/>
    <w:rsid w:val="00653ABE"/>
    <w:rsid w:val="00653B3C"/>
    <w:rsid w:val="00653C05"/>
    <w:rsid w:val="00653C4E"/>
    <w:rsid w:val="00653E39"/>
    <w:rsid w:val="00654445"/>
    <w:rsid w:val="00654482"/>
    <w:rsid w:val="006546F4"/>
    <w:rsid w:val="006548FD"/>
    <w:rsid w:val="006549D5"/>
    <w:rsid w:val="00654C42"/>
    <w:rsid w:val="00654D74"/>
    <w:rsid w:val="00654E08"/>
    <w:rsid w:val="0065531D"/>
    <w:rsid w:val="006553E1"/>
    <w:rsid w:val="0065543B"/>
    <w:rsid w:val="00655492"/>
    <w:rsid w:val="006555CB"/>
    <w:rsid w:val="006557B6"/>
    <w:rsid w:val="006557D3"/>
    <w:rsid w:val="0065587B"/>
    <w:rsid w:val="006559B1"/>
    <w:rsid w:val="00655AA7"/>
    <w:rsid w:val="00655B3B"/>
    <w:rsid w:val="00655D5B"/>
    <w:rsid w:val="00655DD6"/>
    <w:rsid w:val="00655DEE"/>
    <w:rsid w:val="00655E45"/>
    <w:rsid w:val="00655F84"/>
    <w:rsid w:val="00655FE6"/>
    <w:rsid w:val="0065601A"/>
    <w:rsid w:val="0065638F"/>
    <w:rsid w:val="006563BB"/>
    <w:rsid w:val="006563E6"/>
    <w:rsid w:val="0065649B"/>
    <w:rsid w:val="006565F1"/>
    <w:rsid w:val="0065662C"/>
    <w:rsid w:val="00656963"/>
    <w:rsid w:val="00656ACA"/>
    <w:rsid w:val="00656B30"/>
    <w:rsid w:val="00656E37"/>
    <w:rsid w:val="00656EB8"/>
    <w:rsid w:val="00656EE2"/>
    <w:rsid w:val="00656F66"/>
    <w:rsid w:val="00656F83"/>
    <w:rsid w:val="0065703C"/>
    <w:rsid w:val="00657146"/>
    <w:rsid w:val="00657157"/>
    <w:rsid w:val="0065750F"/>
    <w:rsid w:val="00657552"/>
    <w:rsid w:val="0065756F"/>
    <w:rsid w:val="00657587"/>
    <w:rsid w:val="00657686"/>
    <w:rsid w:val="00657701"/>
    <w:rsid w:val="0065779A"/>
    <w:rsid w:val="00657857"/>
    <w:rsid w:val="0065795A"/>
    <w:rsid w:val="00657A71"/>
    <w:rsid w:val="00657AB1"/>
    <w:rsid w:val="00657CD7"/>
    <w:rsid w:val="00657FDA"/>
    <w:rsid w:val="0066009A"/>
    <w:rsid w:val="006601FB"/>
    <w:rsid w:val="0066025D"/>
    <w:rsid w:val="00660407"/>
    <w:rsid w:val="0066045B"/>
    <w:rsid w:val="00660562"/>
    <w:rsid w:val="006605A0"/>
    <w:rsid w:val="006605F5"/>
    <w:rsid w:val="00660733"/>
    <w:rsid w:val="00660811"/>
    <w:rsid w:val="00660817"/>
    <w:rsid w:val="0066096C"/>
    <w:rsid w:val="00660A6F"/>
    <w:rsid w:val="00660BC4"/>
    <w:rsid w:val="00660C0A"/>
    <w:rsid w:val="00660C5F"/>
    <w:rsid w:val="00660CE6"/>
    <w:rsid w:val="00660E12"/>
    <w:rsid w:val="00660EEE"/>
    <w:rsid w:val="00660FC6"/>
    <w:rsid w:val="0066112C"/>
    <w:rsid w:val="00661145"/>
    <w:rsid w:val="00661148"/>
    <w:rsid w:val="0066140F"/>
    <w:rsid w:val="0066141B"/>
    <w:rsid w:val="00661447"/>
    <w:rsid w:val="0066161A"/>
    <w:rsid w:val="00661756"/>
    <w:rsid w:val="006617DC"/>
    <w:rsid w:val="00661A1F"/>
    <w:rsid w:val="00661A86"/>
    <w:rsid w:val="00661BDC"/>
    <w:rsid w:val="00661BF1"/>
    <w:rsid w:val="00661E65"/>
    <w:rsid w:val="00661F24"/>
    <w:rsid w:val="00661FE8"/>
    <w:rsid w:val="006621AA"/>
    <w:rsid w:val="00662250"/>
    <w:rsid w:val="006623AA"/>
    <w:rsid w:val="006623B8"/>
    <w:rsid w:val="00662508"/>
    <w:rsid w:val="00662557"/>
    <w:rsid w:val="006625A8"/>
    <w:rsid w:val="0066277C"/>
    <w:rsid w:val="00662861"/>
    <w:rsid w:val="00662B51"/>
    <w:rsid w:val="00662B58"/>
    <w:rsid w:val="00662BC0"/>
    <w:rsid w:val="00662CED"/>
    <w:rsid w:val="00662DD6"/>
    <w:rsid w:val="00662E06"/>
    <w:rsid w:val="00663254"/>
    <w:rsid w:val="0066325F"/>
    <w:rsid w:val="006632A8"/>
    <w:rsid w:val="006633FF"/>
    <w:rsid w:val="006634BB"/>
    <w:rsid w:val="00663596"/>
    <w:rsid w:val="006635B7"/>
    <w:rsid w:val="0066379A"/>
    <w:rsid w:val="006637B2"/>
    <w:rsid w:val="00663852"/>
    <w:rsid w:val="0066390C"/>
    <w:rsid w:val="00663B62"/>
    <w:rsid w:val="00663D06"/>
    <w:rsid w:val="00663E11"/>
    <w:rsid w:val="00663E1F"/>
    <w:rsid w:val="00663EE7"/>
    <w:rsid w:val="0066406B"/>
    <w:rsid w:val="006640FD"/>
    <w:rsid w:val="00664117"/>
    <w:rsid w:val="0066439D"/>
    <w:rsid w:val="00664428"/>
    <w:rsid w:val="006646C2"/>
    <w:rsid w:val="006648C1"/>
    <w:rsid w:val="00664959"/>
    <w:rsid w:val="00664A86"/>
    <w:rsid w:val="00664BE3"/>
    <w:rsid w:val="00664E22"/>
    <w:rsid w:val="00664F09"/>
    <w:rsid w:val="00664F28"/>
    <w:rsid w:val="00665143"/>
    <w:rsid w:val="00665517"/>
    <w:rsid w:val="006655FB"/>
    <w:rsid w:val="0066583B"/>
    <w:rsid w:val="0066589D"/>
    <w:rsid w:val="00665989"/>
    <w:rsid w:val="00665C36"/>
    <w:rsid w:val="00665CCB"/>
    <w:rsid w:val="00665DFC"/>
    <w:rsid w:val="00665E27"/>
    <w:rsid w:val="00665E32"/>
    <w:rsid w:val="00665ECA"/>
    <w:rsid w:val="00666107"/>
    <w:rsid w:val="006662C1"/>
    <w:rsid w:val="006662E2"/>
    <w:rsid w:val="00666334"/>
    <w:rsid w:val="006663DE"/>
    <w:rsid w:val="006663EB"/>
    <w:rsid w:val="00666481"/>
    <w:rsid w:val="0066675F"/>
    <w:rsid w:val="006668B0"/>
    <w:rsid w:val="00666928"/>
    <w:rsid w:val="006669A8"/>
    <w:rsid w:val="006669CF"/>
    <w:rsid w:val="00666B53"/>
    <w:rsid w:val="00666DFF"/>
    <w:rsid w:val="00666E79"/>
    <w:rsid w:val="00666FB4"/>
    <w:rsid w:val="00667019"/>
    <w:rsid w:val="00667157"/>
    <w:rsid w:val="00667499"/>
    <w:rsid w:val="00667514"/>
    <w:rsid w:val="006675E7"/>
    <w:rsid w:val="00667744"/>
    <w:rsid w:val="006677D3"/>
    <w:rsid w:val="0066780A"/>
    <w:rsid w:val="00667963"/>
    <w:rsid w:val="00667B72"/>
    <w:rsid w:val="00667CCA"/>
    <w:rsid w:val="00667E00"/>
    <w:rsid w:val="00670149"/>
    <w:rsid w:val="0067018E"/>
    <w:rsid w:val="00670226"/>
    <w:rsid w:val="006704A0"/>
    <w:rsid w:val="006704F1"/>
    <w:rsid w:val="00670693"/>
    <w:rsid w:val="00670842"/>
    <w:rsid w:val="006708CD"/>
    <w:rsid w:val="006708F6"/>
    <w:rsid w:val="006709BA"/>
    <w:rsid w:val="00670B2F"/>
    <w:rsid w:val="00670B91"/>
    <w:rsid w:val="00670D26"/>
    <w:rsid w:val="00670DBC"/>
    <w:rsid w:val="00670FE4"/>
    <w:rsid w:val="00670FE7"/>
    <w:rsid w:val="00671178"/>
    <w:rsid w:val="0067125F"/>
    <w:rsid w:val="006712A7"/>
    <w:rsid w:val="006714E8"/>
    <w:rsid w:val="00671636"/>
    <w:rsid w:val="006719B5"/>
    <w:rsid w:val="00671AD4"/>
    <w:rsid w:val="00671AD5"/>
    <w:rsid w:val="00671B36"/>
    <w:rsid w:val="00671B4E"/>
    <w:rsid w:val="00671E72"/>
    <w:rsid w:val="0067226D"/>
    <w:rsid w:val="006722B4"/>
    <w:rsid w:val="0067245E"/>
    <w:rsid w:val="006724D9"/>
    <w:rsid w:val="00672514"/>
    <w:rsid w:val="006725F9"/>
    <w:rsid w:val="00672664"/>
    <w:rsid w:val="00672752"/>
    <w:rsid w:val="00672781"/>
    <w:rsid w:val="0067280F"/>
    <w:rsid w:val="00672A7E"/>
    <w:rsid w:val="00672B05"/>
    <w:rsid w:val="00672B0D"/>
    <w:rsid w:val="00672B0F"/>
    <w:rsid w:val="00672B93"/>
    <w:rsid w:val="00672D48"/>
    <w:rsid w:val="00672E12"/>
    <w:rsid w:val="00672FE1"/>
    <w:rsid w:val="00673014"/>
    <w:rsid w:val="0067309A"/>
    <w:rsid w:val="0067310E"/>
    <w:rsid w:val="0067313D"/>
    <w:rsid w:val="0067339C"/>
    <w:rsid w:val="006733B0"/>
    <w:rsid w:val="006733D8"/>
    <w:rsid w:val="006733F4"/>
    <w:rsid w:val="0067345D"/>
    <w:rsid w:val="00673555"/>
    <w:rsid w:val="00673614"/>
    <w:rsid w:val="00673755"/>
    <w:rsid w:val="00673995"/>
    <w:rsid w:val="00673B7F"/>
    <w:rsid w:val="00673E2B"/>
    <w:rsid w:val="00674315"/>
    <w:rsid w:val="00674545"/>
    <w:rsid w:val="00674680"/>
    <w:rsid w:val="0067473C"/>
    <w:rsid w:val="006747C1"/>
    <w:rsid w:val="00674845"/>
    <w:rsid w:val="00674ADC"/>
    <w:rsid w:val="00674F31"/>
    <w:rsid w:val="0067502C"/>
    <w:rsid w:val="006752BB"/>
    <w:rsid w:val="00675330"/>
    <w:rsid w:val="006755C0"/>
    <w:rsid w:val="006756FA"/>
    <w:rsid w:val="00675730"/>
    <w:rsid w:val="006757BF"/>
    <w:rsid w:val="006759A2"/>
    <w:rsid w:val="00675A92"/>
    <w:rsid w:val="00675AA4"/>
    <w:rsid w:val="00675C49"/>
    <w:rsid w:val="00675F36"/>
    <w:rsid w:val="00675FF9"/>
    <w:rsid w:val="006760AA"/>
    <w:rsid w:val="0067616F"/>
    <w:rsid w:val="00676460"/>
    <w:rsid w:val="006764E4"/>
    <w:rsid w:val="006765F9"/>
    <w:rsid w:val="0067663C"/>
    <w:rsid w:val="0067685B"/>
    <w:rsid w:val="0067697C"/>
    <w:rsid w:val="00676B01"/>
    <w:rsid w:val="00676C38"/>
    <w:rsid w:val="00676CE0"/>
    <w:rsid w:val="00676DFE"/>
    <w:rsid w:val="00676F30"/>
    <w:rsid w:val="0067742B"/>
    <w:rsid w:val="00677484"/>
    <w:rsid w:val="00677525"/>
    <w:rsid w:val="006775CC"/>
    <w:rsid w:val="0067774F"/>
    <w:rsid w:val="00677774"/>
    <w:rsid w:val="00677858"/>
    <w:rsid w:val="00677B8D"/>
    <w:rsid w:val="00677F07"/>
    <w:rsid w:val="00677FEC"/>
    <w:rsid w:val="006800CD"/>
    <w:rsid w:val="00680103"/>
    <w:rsid w:val="0068015E"/>
    <w:rsid w:val="00680176"/>
    <w:rsid w:val="00680262"/>
    <w:rsid w:val="006804C5"/>
    <w:rsid w:val="00680544"/>
    <w:rsid w:val="006805F9"/>
    <w:rsid w:val="0068064E"/>
    <w:rsid w:val="0068065B"/>
    <w:rsid w:val="006809F5"/>
    <w:rsid w:val="00680B28"/>
    <w:rsid w:val="00680BFC"/>
    <w:rsid w:val="00680C1F"/>
    <w:rsid w:val="00680C4E"/>
    <w:rsid w:val="00680CCF"/>
    <w:rsid w:val="00680E34"/>
    <w:rsid w:val="00680E7C"/>
    <w:rsid w:val="00680FAD"/>
    <w:rsid w:val="006810F3"/>
    <w:rsid w:val="0068114E"/>
    <w:rsid w:val="006811D9"/>
    <w:rsid w:val="006812D0"/>
    <w:rsid w:val="006812F4"/>
    <w:rsid w:val="0068134F"/>
    <w:rsid w:val="0068157F"/>
    <w:rsid w:val="00681590"/>
    <w:rsid w:val="00681591"/>
    <w:rsid w:val="0068160D"/>
    <w:rsid w:val="00681723"/>
    <w:rsid w:val="00681B8E"/>
    <w:rsid w:val="00681BFE"/>
    <w:rsid w:val="00681D5D"/>
    <w:rsid w:val="00681DF0"/>
    <w:rsid w:val="00681EB8"/>
    <w:rsid w:val="00681ED8"/>
    <w:rsid w:val="006820E7"/>
    <w:rsid w:val="006821E6"/>
    <w:rsid w:val="00682235"/>
    <w:rsid w:val="006823FE"/>
    <w:rsid w:val="006824BF"/>
    <w:rsid w:val="00682598"/>
    <w:rsid w:val="0068266D"/>
    <w:rsid w:val="006826E8"/>
    <w:rsid w:val="006826FA"/>
    <w:rsid w:val="00682705"/>
    <w:rsid w:val="006827B6"/>
    <w:rsid w:val="0068290D"/>
    <w:rsid w:val="0068293B"/>
    <w:rsid w:val="006829A1"/>
    <w:rsid w:val="006829F9"/>
    <w:rsid w:val="00682A3F"/>
    <w:rsid w:val="00682AA7"/>
    <w:rsid w:val="00682B4A"/>
    <w:rsid w:val="00682C82"/>
    <w:rsid w:val="00682D09"/>
    <w:rsid w:val="00682F2D"/>
    <w:rsid w:val="006831B7"/>
    <w:rsid w:val="0068320B"/>
    <w:rsid w:val="006832E7"/>
    <w:rsid w:val="0068334A"/>
    <w:rsid w:val="006833CB"/>
    <w:rsid w:val="006833E6"/>
    <w:rsid w:val="00683654"/>
    <w:rsid w:val="006836F9"/>
    <w:rsid w:val="00683743"/>
    <w:rsid w:val="00683C13"/>
    <w:rsid w:val="00683E2B"/>
    <w:rsid w:val="00683F07"/>
    <w:rsid w:val="00683FA8"/>
    <w:rsid w:val="0068405D"/>
    <w:rsid w:val="006841E8"/>
    <w:rsid w:val="006842F5"/>
    <w:rsid w:val="0068444F"/>
    <w:rsid w:val="006844EF"/>
    <w:rsid w:val="0068456B"/>
    <w:rsid w:val="00684675"/>
    <w:rsid w:val="00684688"/>
    <w:rsid w:val="006846F6"/>
    <w:rsid w:val="006847FC"/>
    <w:rsid w:val="006849D3"/>
    <w:rsid w:val="00684DB9"/>
    <w:rsid w:val="00684ECD"/>
    <w:rsid w:val="00684FBD"/>
    <w:rsid w:val="00684FEE"/>
    <w:rsid w:val="0068509D"/>
    <w:rsid w:val="006850F8"/>
    <w:rsid w:val="00685105"/>
    <w:rsid w:val="00685320"/>
    <w:rsid w:val="00685511"/>
    <w:rsid w:val="006855F7"/>
    <w:rsid w:val="006857E5"/>
    <w:rsid w:val="0068583A"/>
    <w:rsid w:val="006859B6"/>
    <w:rsid w:val="00685B15"/>
    <w:rsid w:val="00685BCD"/>
    <w:rsid w:val="00685D2B"/>
    <w:rsid w:val="00685D6A"/>
    <w:rsid w:val="00685E44"/>
    <w:rsid w:val="00685EF6"/>
    <w:rsid w:val="00685F22"/>
    <w:rsid w:val="00685F85"/>
    <w:rsid w:val="006860EE"/>
    <w:rsid w:val="006861D2"/>
    <w:rsid w:val="0068628A"/>
    <w:rsid w:val="006863E8"/>
    <w:rsid w:val="006863F4"/>
    <w:rsid w:val="006864A1"/>
    <w:rsid w:val="00686601"/>
    <w:rsid w:val="00686714"/>
    <w:rsid w:val="0068688B"/>
    <w:rsid w:val="00686961"/>
    <w:rsid w:val="006869E7"/>
    <w:rsid w:val="00686B65"/>
    <w:rsid w:val="00686B71"/>
    <w:rsid w:val="00686B72"/>
    <w:rsid w:val="00686BF0"/>
    <w:rsid w:val="00686BFC"/>
    <w:rsid w:val="00686C10"/>
    <w:rsid w:val="00686DAD"/>
    <w:rsid w:val="00686DE7"/>
    <w:rsid w:val="00686DEE"/>
    <w:rsid w:val="00686FAD"/>
    <w:rsid w:val="0068702F"/>
    <w:rsid w:val="00687082"/>
    <w:rsid w:val="006870C8"/>
    <w:rsid w:val="00687116"/>
    <w:rsid w:val="00687455"/>
    <w:rsid w:val="00687859"/>
    <w:rsid w:val="00687A18"/>
    <w:rsid w:val="00687BC3"/>
    <w:rsid w:val="006900D1"/>
    <w:rsid w:val="006901BD"/>
    <w:rsid w:val="006905CE"/>
    <w:rsid w:val="00690915"/>
    <w:rsid w:val="006909A4"/>
    <w:rsid w:val="006909A7"/>
    <w:rsid w:val="006909C0"/>
    <w:rsid w:val="00690A88"/>
    <w:rsid w:val="00690ACE"/>
    <w:rsid w:val="00690B3A"/>
    <w:rsid w:val="00690BCC"/>
    <w:rsid w:val="00690C3B"/>
    <w:rsid w:val="00690C94"/>
    <w:rsid w:val="00690CB6"/>
    <w:rsid w:val="00690DC9"/>
    <w:rsid w:val="00690EB6"/>
    <w:rsid w:val="00690F46"/>
    <w:rsid w:val="00690FB4"/>
    <w:rsid w:val="00691263"/>
    <w:rsid w:val="006912BF"/>
    <w:rsid w:val="0069147B"/>
    <w:rsid w:val="0069149A"/>
    <w:rsid w:val="006914C8"/>
    <w:rsid w:val="00691518"/>
    <w:rsid w:val="006915CE"/>
    <w:rsid w:val="006917AD"/>
    <w:rsid w:val="006918B8"/>
    <w:rsid w:val="0069195E"/>
    <w:rsid w:val="00691A16"/>
    <w:rsid w:val="00691A32"/>
    <w:rsid w:val="006920DA"/>
    <w:rsid w:val="006921FF"/>
    <w:rsid w:val="00692365"/>
    <w:rsid w:val="00692412"/>
    <w:rsid w:val="006928A2"/>
    <w:rsid w:val="00692919"/>
    <w:rsid w:val="00692975"/>
    <w:rsid w:val="00692981"/>
    <w:rsid w:val="00692A17"/>
    <w:rsid w:val="00693073"/>
    <w:rsid w:val="0069316F"/>
    <w:rsid w:val="00693228"/>
    <w:rsid w:val="0069336A"/>
    <w:rsid w:val="00693375"/>
    <w:rsid w:val="0069337F"/>
    <w:rsid w:val="0069350C"/>
    <w:rsid w:val="00693547"/>
    <w:rsid w:val="0069358E"/>
    <w:rsid w:val="006936C3"/>
    <w:rsid w:val="006936CE"/>
    <w:rsid w:val="006936E2"/>
    <w:rsid w:val="006937B5"/>
    <w:rsid w:val="00693AFB"/>
    <w:rsid w:val="00693C94"/>
    <w:rsid w:val="00693E75"/>
    <w:rsid w:val="006940B6"/>
    <w:rsid w:val="0069410B"/>
    <w:rsid w:val="00694315"/>
    <w:rsid w:val="00694385"/>
    <w:rsid w:val="00694411"/>
    <w:rsid w:val="00694488"/>
    <w:rsid w:val="006945BB"/>
    <w:rsid w:val="00694653"/>
    <w:rsid w:val="00694AF8"/>
    <w:rsid w:val="00694B90"/>
    <w:rsid w:val="00694C4C"/>
    <w:rsid w:val="00694E28"/>
    <w:rsid w:val="00694E3C"/>
    <w:rsid w:val="00694EE3"/>
    <w:rsid w:val="0069531F"/>
    <w:rsid w:val="00695320"/>
    <w:rsid w:val="00695476"/>
    <w:rsid w:val="006955F9"/>
    <w:rsid w:val="00695913"/>
    <w:rsid w:val="00695A7D"/>
    <w:rsid w:val="00695E0B"/>
    <w:rsid w:val="006961F7"/>
    <w:rsid w:val="0069691F"/>
    <w:rsid w:val="00696B6F"/>
    <w:rsid w:val="00696BFA"/>
    <w:rsid w:val="00696C49"/>
    <w:rsid w:val="00696D44"/>
    <w:rsid w:val="00696FDA"/>
    <w:rsid w:val="00696FE8"/>
    <w:rsid w:val="006972D6"/>
    <w:rsid w:val="00697337"/>
    <w:rsid w:val="00697451"/>
    <w:rsid w:val="00697776"/>
    <w:rsid w:val="006978C2"/>
    <w:rsid w:val="00697B99"/>
    <w:rsid w:val="00697E57"/>
    <w:rsid w:val="00697E71"/>
    <w:rsid w:val="00697EA8"/>
    <w:rsid w:val="00697EB0"/>
    <w:rsid w:val="006A013E"/>
    <w:rsid w:val="006A01D2"/>
    <w:rsid w:val="006A02A9"/>
    <w:rsid w:val="006A0308"/>
    <w:rsid w:val="006A03E7"/>
    <w:rsid w:val="006A048E"/>
    <w:rsid w:val="006A0573"/>
    <w:rsid w:val="006A0623"/>
    <w:rsid w:val="006A0745"/>
    <w:rsid w:val="006A07D9"/>
    <w:rsid w:val="006A093F"/>
    <w:rsid w:val="006A09B4"/>
    <w:rsid w:val="006A0C1B"/>
    <w:rsid w:val="006A0C9F"/>
    <w:rsid w:val="006A0E75"/>
    <w:rsid w:val="006A1089"/>
    <w:rsid w:val="006A1777"/>
    <w:rsid w:val="006A1826"/>
    <w:rsid w:val="006A1833"/>
    <w:rsid w:val="006A1ACF"/>
    <w:rsid w:val="006A1C12"/>
    <w:rsid w:val="006A1C38"/>
    <w:rsid w:val="006A1D24"/>
    <w:rsid w:val="006A1D80"/>
    <w:rsid w:val="006A1DDE"/>
    <w:rsid w:val="006A1F7D"/>
    <w:rsid w:val="006A1FBE"/>
    <w:rsid w:val="006A211B"/>
    <w:rsid w:val="006A216E"/>
    <w:rsid w:val="006A24E7"/>
    <w:rsid w:val="006A26E2"/>
    <w:rsid w:val="006A29DB"/>
    <w:rsid w:val="006A2B23"/>
    <w:rsid w:val="006A2E58"/>
    <w:rsid w:val="006A2F31"/>
    <w:rsid w:val="006A314F"/>
    <w:rsid w:val="006A3368"/>
    <w:rsid w:val="006A347C"/>
    <w:rsid w:val="006A3497"/>
    <w:rsid w:val="006A35C7"/>
    <w:rsid w:val="006A3700"/>
    <w:rsid w:val="006A3817"/>
    <w:rsid w:val="006A3833"/>
    <w:rsid w:val="006A3938"/>
    <w:rsid w:val="006A3A8B"/>
    <w:rsid w:val="006A3B1A"/>
    <w:rsid w:val="006A3C44"/>
    <w:rsid w:val="006A3CD2"/>
    <w:rsid w:val="006A3E8F"/>
    <w:rsid w:val="006A40E5"/>
    <w:rsid w:val="006A4119"/>
    <w:rsid w:val="006A4160"/>
    <w:rsid w:val="006A4184"/>
    <w:rsid w:val="006A4542"/>
    <w:rsid w:val="006A468E"/>
    <w:rsid w:val="006A4709"/>
    <w:rsid w:val="006A4A3B"/>
    <w:rsid w:val="006A4A7A"/>
    <w:rsid w:val="006A4B2A"/>
    <w:rsid w:val="006A4CF8"/>
    <w:rsid w:val="006A4D3F"/>
    <w:rsid w:val="006A4DF6"/>
    <w:rsid w:val="006A4E7E"/>
    <w:rsid w:val="006A502F"/>
    <w:rsid w:val="006A50E5"/>
    <w:rsid w:val="006A52F1"/>
    <w:rsid w:val="006A5313"/>
    <w:rsid w:val="006A551F"/>
    <w:rsid w:val="006A567E"/>
    <w:rsid w:val="006A595A"/>
    <w:rsid w:val="006A59B6"/>
    <w:rsid w:val="006A5A5F"/>
    <w:rsid w:val="006A5B5C"/>
    <w:rsid w:val="006A5D54"/>
    <w:rsid w:val="006A5E8D"/>
    <w:rsid w:val="006A5F75"/>
    <w:rsid w:val="006A61BB"/>
    <w:rsid w:val="006A62B0"/>
    <w:rsid w:val="006A64BC"/>
    <w:rsid w:val="006A65FD"/>
    <w:rsid w:val="006A66A5"/>
    <w:rsid w:val="006A66AC"/>
    <w:rsid w:val="006A69C0"/>
    <w:rsid w:val="006A6AF8"/>
    <w:rsid w:val="006A6B00"/>
    <w:rsid w:val="006A6C22"/>
    <w:rsid w:val="006A7034"/>
    <w:rsid w:val="006A7323"/>
    <w:rsid w:val="006A737D"/>
    <w:rsid w:val="006A7482"/>
    <w:rsid w:val="006A7631"/>
    <w:rsid w:val="006A7781"/>
    <w:rsid w:val="006A7821"/>
    <w:rsid w:val="006A794E"/>
    <w:rsid w:val="006A7B1A"/>
    <w:rsid w:val="006A7C7A"/>
    <w:rsid w:val="006A7F04"/>
    <w:rsid w:val="006B056F"/>
    <w:rsid w:val="006B05BB"/>
    <w:rsid w:val="006B065E"/>
    <w:rsid w:val="006B06E8"/>
    <w:rsid w:val="006B073D"/>
    <w:rsid w:val="006B0A5D"/>
    <w:rsid w:val="006B0CEA"/>
    <w:rsid w:val="006B0D6E"/>
    <w:rsid w:val="006B0E2B"/>
    <w:rsid w:val="006B0E76"/>
    <w:rsid w:val="006B0EFC"/>
    <w:rsid w:val="006B0FE8"/>
    <w:rsid w:val="006B10C8"/>
    <w:rsid w:val="006B10EF"/>
    <w:rsid w:val="006B1267"/>
    <w:rsid w:val="006B1288"/>
    <w:rsid w:val="006B169B"/>
    <w:rsid w:val="006B16A7"/>
    <w:rsid w:val="006B16BB"/>
    <w:rsid w:val="006B17AD"/>
    <w:rsid w:val="006B17DD"/>
    <w:rsid w:val="006B185A"/>
    <w:rsid w:val="006B1863"/>
    <w:rsid w:val="006B1874"/>
    <w:rsid w:val="006B18D1"/>
    <w:rsid w:val="006B1BF4"/>
    <w:rsid w:val="006B1BF7"/>
    <w:rsid w:val="006B1D32"/>
    <w:rsid w:val="006B1F12"/>
    <w:rsid w:val="006B2155"/>
    <w:rsid w:val="006B21B5"/>
    <w:rsid w:val="006B2244"/>
    <w:rsid w:val="006B22EC"/>
    <w:rsid w:val="006B251F"/>
    <w:rsid w:val="006B2660"/>
    <w:rsid w:val="006B2903"/>
    <w:rsid w:val="006B2914"/>
    <w:rsid w:val="006B295A"/>
    <w:rsid w:val="006B2D7D"/>
    <w:rsid w:val="006B2FD2"/>
    <w:rsid w:val="006B32D3"/>
    <w:rsid w:val="006B33B0"/>
    <w:rsid w:val="006B342E"/>
    <w:rsid w:val="006B36FC"/>
    <w:rsid w:val="006B38D2"/>
    <w:rsid w:val="006B392A"/>
    <w:rsid w:val="006B3DBB"/>
    <w:rsid w:val="006B3E66"/>
    <w:rsid w:val="006B3E8B"/>
    <w:rsid w:val="006B3F48"/>
    <w:rsid w:val="006B3F74"/>
    <w:rsid w:val="006B40F4"/>
    <w:rsid w:val="006B4159"/>
    <w:rsid w:val="006B41E8"/>
    <w:rsid w:val="006B4519"/>
    <w:rsid w:val="006B4663"/>
    <w:rsid w:val="006B48E3"/>
    <w:rsid w:val="006B4986"/>
    <w:rsid w:val="006B5315"/>
    <w:rsid w:val="006B5552"/>
    <w:rsid w:val="006B5582"/>
    <w:rsid w:val="006B561A"/>
    <w:rsid w:val="006B5704"/>
    <w:rsid w:val="006B595F"/>
    <w:rsid w:val="006B5BED"/>
    <w:rsid w:val="006B5D7D"/>
    <w:rsid w:val="006B5E7E"/>
    <w:rsid w:val="006B5EF5"/>
    <w:rsid w:val="006B61FE"/>
    <w:rsid w:val="006B62E8"/>
    <w:rsid w:val="006B67B1"/>
    <w:rsid w:val="006B6C46"/>
    <w:rsid w:val="006B6C99"/>
    <w:rsid w:val="006B6D4A"/>
    <w:rsid w:val="006B6DC4"/>
    <w:rsid w:val="006B6DEC"/>
    <w:rsid w:val="006B6E18"/>
    <w:rsid w:val="006B6E51"/>
    <w:rsid w:val="006B6FD1"/>
    <w:rsid w:val="006B7091"/>
    <w:rsid w:val="006B7198"/>
    <w:rsid w:val="006B7614"/>
    <w:rsid w:val="006B763A"/>
    <w:rsid w:val="006B77BC"/>
    <w:rsid w:val="006B7C5D"/>
    <w:rsid w:val="006B7D4D"/>
    <w:rsid w:val="006B7E23"/>
    <w:rsid w:val="006B7E81"/>
    <w:rsid w:val="006B7F95"/>
    <w:rsid w:val="006C01C5"/>
    <w:rsid w:val="006C0328"/>
    <w:rsid w:val="006C0537"/>
    <w:rsid w:val="006C0581"/>
    <w:rsid w:val="006C08A2"/>
    <w:rsid w:val="006C0A7C"/>
    <w:rsid w:val="006C0B0B"/>
    <w:rsid w:val="006C0B32"/>
    <w:rsid w:val="006C0C6B"/>
    <w:rsid w:val="006C0E53"/>
    <w:rsid w:val="006C0EFB"/>
    <w:rsid w:val="006C1069"/>
    <w:rsid w:val="006C10F1"/>
    <w:rsid w:val="006C147E"/>
    <w:rsid w:val="006C19EF"/>
    <w:rsid w:val="006C1AE8"/>
    <w:rsid w:val="006C1C52"/>
    <w:rsid w:val="006C1E66"/>
    <w:rsid w:val="006C20A5"/>
    <w:rsid w:val="006C2112"/>
    <w:rsid w:val="006C215F"/>
    <w:rsid w:val="006C228B"/>
    <w:rsid w:val="006C229D"/>
    <w:rsid w:val="006C235A"/>
    <w:rsid w:val="006C243A"/>
    <w:rsid w:val="006C24E8"/>
    <w:rsid w:val="006C2581"/>
    <w:rsid w:val="006C262D"/>
    <w:rsid w:val="006C270C"/>
    <w:rsid w:val="006C28C0"/>
    <w:rsid w:val="006C28CE"/>
    <w:rsid w:val="006C2955"/>
    <w:rsid w:val="006C2A36"/>
    <w:rsid w:val="006C2AA6"/>
    <w:rsid w:val="006C2BF9"/>
    <w:rsid w:val="006C2D48"/>
    <w:rsid w:val="006C2DA0"/>
    <w:rsid w:val="006C2EE2"/>
    <w:rsid w:val="006C3047"/>
    <w:rsid w:val="006C3069"/>
    <w:rsid w:val="006C3242"/>
    <w:rsid w:val="006C3251"/>
    <w:rsid w:val="006C32E7"/>
    <w:rsid w:val="006C34FC"/>
    <w:rsid w:val="006C3581"/>
    <w:rsid w:val="006C35E1"/>
    <w:rsid w:val="006C374E"/>
    <w:rsid w:val="006C3820"/>
    <w:rsid w:val="006C38EA"/>
    <w:rsid w:val="006C3A95"/>
    <w:rsid w:val="006C3B92"/>
    <w:rsid w:val="006C3C6C"/>
    <w:rsid w:val="006C3DD1"/>
    <w:rsid w:val="006C3EE6"/>
    <w:rsid w:val="006C40A4"/>
    <w:rsid w:val="006C4180"/>
    <w:rsid w:val="006C4245"/>
    <w:rsid w:val="006C426A"/>
    <w:rsid w:val="006C4291"/>
    <w:rsid w:val="006C43B0"/>
    <w:rsid w:val="006C4711"/>
    <w:rsid w:val="006C49EE"/>
    <w:rsid w:val="006C4A6A"/>
    <w:rsid w:val="006C4B80"/>
    <w:rsid w:val="006C4BED"/>
    <w:rsid w:val="006C4C93"/>
    <w:rsid w:val="006C4C9B"/>
    <w:rsid w:val="006C4D4C"/>
    <w:rsid w:val="006C4DC0"/>
    <w:rsid w:val="006C4F69"/>
    <w:rsid w:val="006C4FC9"/>
    <w:rsid w:val="006C50A9"/>
    <w:rsid w:val="006C51EB"/>
    <w:rsid w:val="006C525C"/>
    <w:rsid w:val="006C5660"/>
    <w:rsid w:val="006C5A3A"/>
    <w:rsid w:val="006C5C52"/>
    <w:rsid w:val="006C5D35"/>
    <w:rsid w:val="006C6231"/>
    <w:rsid w:val="006C624A"/>
    <w:rsid w:val="006C62B4"/>
    <w:rsid w:val="006C6566"/>
    <w:rsid w:val="006C65DA"/>
    <w:rsid w:val="006C6709"/>
    <w:rsid w:val="006C671F"/>
    <w:rsid w:val="006C6745"/>
    <w:rsid w:val="006C675B"/>
    <w:rsid w:val="006C6780"/>
    <w:rsid w:val="006C67FC"/>
    <w:rsid w:val="006C6B18"/>
    <w:rsid w:val="006C6B22"/>
    <w:rsid w:val="006C6C73"/>
    <w:rsid w:val="006C6CA3"/>
    <w:rsid w:val="006C6E1C"/>
    <w:rsid w:val="006C704B"/>
    <w:rsid w:val="006C7085"/>
    <w:rsid w:val="006C7292"/>
    <w:rsid w:val="006C7345"/>
    <w:rsid w:val="006C7394"/>
    <w:rsid w:val="006C7491"/>
    <w:rsid w:val="006C7731"/>
    <w:rsid w:val="006C7A28"/>
    <w:rsid w:val="006C7B35"/>
    <w:rsid w:val="006C7B9C"/>
    <w:rsid w:val="006C7C86"/>
    <w:rsid w:val="006C7CC4"/>
    <w:rsid w:val="006C7CDC"/>
    <w:rsid w:val="006C7E29"/>
    <w:rsid w:val="006C7E62"/>
    <w:rsid w:val="006D0105"/>
    <w:rsid w:val="006D01DB"/>
    <w:rsid w:val="006D0201"/>
    <w:rsid w:val="006D04EA"/>
    <w:rsid w:val="006D0531"/>
    <w:rsid w:val="006D0740"/>
    <w:rsid w:val="006D07F2"/>
    <w:rsid w:val="006D0AEE"/>
    <w:rsid w:val="006D0B0B"/>
    <w:rsid w:val="006D0B41"/>
    <w:rsid w:val="006D0D00"/>
    <w:rsid w:val="006D0D5D"/>
    <w:rsid w:val="006D131A"/>
    <w:rsid w:val="006D1343"/>
    <w:rsid w:val="006D15D2"/>
    <w:rsid w:val="006D15DC"/>
    <w:rsid w:val="006D16D6"/>
    <w:rsid w:val="006D170D"/>
    <w:rsid w:val="006D1759"/>
    <w:rsid w:val="006D17F8"/>
    <w:rsid w:val="006D19D9"/>
    <w:rsid w:val="006D1B07"/>
    <w:rsid w:val="006D1C14"/>
    <w:rsid w:val="006D1C9C"/>
    <w:rsid w:val="006D1EB5"/>
    <w:rsid w:val="006D1F53"/>
    <w:rsid w:val="006D1F8E"/>
    <w:rsid w:val="006D203C"/>
    <w:rsid w:val="006D212F"/>
    <w:rsid w:val="006D2163"/>
    <w:rsid w:val="006D2275"/>
    <w:rsid w:val="006D2316"/>
    <w:rsid w:val="006D2697"/>
    <w:rsid w:val="006D27A0"/>
    <w:rsid w:val="006D2B14"/>
    <w:rsid w:val="006D2D84"/>
    <w:rsid w:val="006D2F1D"/>
    <w:rsid w:val="006D2FCA"/>
    <w:rsid w:val="006D30A2"/>
    <w:rsid w:val="006D3412"/>
    <w:rsid w:val="006D358F"/>
    <w:rsid w:val="006D36F8"/>
    <w:rsid w:val="006D382D"/>
    <w:rsid w:val="006D38EB"/>
    <w:rsid w:val="006D3C82"/>
    <w:rsid w:val="006D3C8B"/>
    <w:rsid w:val="006D3CA8"/>
    <w:rsid w:val="006D3D49"/>
    <w:rsid w:val="006D3EB9"/>
    <w:rsid w:val="006D3EFC"/>
    <w:rsid w:val="006D3F87"/>
    <w:rsid w:val="006D4128"/>
    <w:rsid w:val="006D420C"/>
    <w:rsid w:val="006D434D"/>
    <w:rsid w:val="006D4368"/>
    <w:rsid w:val="006D4473"/>
    <w:rsid w:val="006D45EA"/>
    <w:rsid w:val="006D470A"/>
    <w:rsid w:val="006D47F2"/>
    <w:rsid w:val="006D48E1"/>
    <w:rsid w:val="006D4B65"/>
    <w:rsid w:val="006D4B66"/>
    <w:rsid w:val="006D4C1A"/>
    <w:rsid w:val="006D4C9C"/>
    <w:rsid w:val="006D4CA1"/>
    <w:rsid w:val="006D4DD1"/>
    <w:rsid w:val="006D50CD"/>
    <w:rsid w:val="006D50D4"/>
    <w:rsid w:val="006D5164"/>
    <w:rsid w:val="006D51ED"/>
    <w:rsid w:val="006D531D"/>
    <w:rsid w:val="006D53AF"/>
    <w:rsid w:val="006D5925"/>
    <w:rsid w:val="006D5A84"/>
    <w:rsid w:val="006D5A9A"/>
    <w:rsid w:val="006D5AC4"/>
    <w:rsid w:val="006D5B35"/>
    <w:rsid w:val="006D5B9B"/>
    <w:rsid w:val="006D5BEE"/>
    <w:rsid w:val="006D5C11"/>
    <w:rsid w:val="006D5C2C"/>
    <w:rsid w:val="006D5D12"/>
    <w:rsid w:val="006D5D13"/>
    <w:rsid w:val="006D600F"/>
    <w:rsid w:val="006D635B"/>
    <w:rsid w:val="006D65C4"/>
    <w:rsid w:val="006D6668"/>
    <w:rsid w:val="006D6706"/>
    <w:rsid w:val="006D6729"/>
    <w:rsid w:val="006D6BE8"/>
    <w:rsid w:val="006D6D91"/>
    <w:rsid w:val="006D6DE3"/>
    <w:rsid w:val="006D6EC3"/>
    <w:rsid w:val="006D7009"/>
    <w:rsid w:val="006D70D8"/>
    <w:rsid w:val="006D71D5"/>
    <w:rsid w:val="006D71E4"/>
    <w:rsid w:val="006D74A8"/>
    <w:rsid w:val="006D7556"/>
    <w:rsid w:val="006D767E"/>
    <w:rsid w:val="006D76A8"/>
    <w:rsid w:val="006D7789"/>
    <w:rsid w:val="006D7832"/>
    <w:rsid w:val="006D7BCD"/>
    <w:rsid w:val="006D7D12"/>
    <w:rsid w:val="006E00BA"/>
    <w:rsid w:val="006E0169"/>
    <w:rsid w:val="006E02B6"/>
    <w:rsid w:val="006E02DE"/>
    <w:rsid w:val="006E038D"/>
    <w:rsid w:val="006E041C"/>
    <w:rsid w:val="006E0439"/>
    <w:rsid w:val="006E0575"/>
    <w:rsid w:val="006E0602"/>
    <w:rsid w:val="006E0B47"/>
    <w:rsid w:val="006E0E63"/>
    <w:rsid w:val="006E1011"/>
    <w:rsid w:val="006E159F"/>
    <w:rsid w:val="006E167F"/>
    <w:rsid w:val="006E1802"/>
    <w:rsid w:val="006E18E9"/>
    <w:rsid w:val="006E1A12"/>
    <w:rsid w:val="006E1A39"/>
    <w:rsid w:val="006E1A70"/>
    <w:rsid w:val="006E1B03"/>
    <w:rsid w:val="006E1B05"/>
    <w:rsid w:val="006E1E55"/>
    <w:rsid w:val="006E1E8C"/>
    <w:rsid w:val="006E1EBC"/>
    <w:rsid w:val="006E1EE3"/>
    <w:rsid w:val="006E1EED"/>
    <w:rsid w:val="006E1FA0"/>
    <w:rsid w:val="006E2621"/>
    <w:rsid w:val="006E2637"/>
    <w:rsid w:val="006E2A75"/>
    <w:rsid w:val="006E2B69"/>
    <w:rsid w:val="006E2B86"/>
    <w:rsid w:val="006E2C7E"/>
    <w:rsid w:val="006E2CBB"/>
    <w:rsid w:val="006E2D03"/>
    <w:rsid w:val="006E2FEA"/>
    <w:rsid w:val="006E3181"/>
    <w:rsid w:val="006E318C"/>
    <w:rsid w:val="006E3212"/>
    <w:rsid w:val="006E3285"/>
    <w:rsid w:val="006E3406"/>
    <w:rsid w:val="006E352B"/>
    <w:rsid w:val="006E3A73"/>
    <w:rsid w:val="006E3A7A"/>
    <w:rsid w:val="006E3A86"/>
    <w:rsid w:val="006E3AA9"/>
    <w:rsid w:val="006E3ED6"/>
    <w:rsid w:val="006E4018"/>
    <w:rsid w:val="006E4163"/>
    <w:rsid w:val="006E4179"/>
    <w:rsid w:val="006E4212"/>
    <w:rsid w:val="006E4247"/>
    <w:rsid w:val="006E4598"/>
    <w:rsid w:val="006E486B"/>
    <w:rsid w:val="006E48B9"/>
    <w:rsid w:val="006E49B0"/>
    <w:rsid w:val="006E49BA"/>
    <w:rsid w:val="006E4A2F"/>
    <w:rsid w:val="006E4C5F"/>
    <w:rsid w:val="006E4C85"/>
    <w:rsid w:val="006E4CDD"/>
    <w:rsid w:val="006E4DF9"/>
    <w:rsid w:val="006E516E"/>
    <w:rsid w:val="006E5425"/>
    <w:rsid w:val="006E5499"/>
    <w:rsid w:val="006E5694"/>
    <w:rsid w:val="006E5A6D"/>
    <w:rsid w:val="006E5B2E"/>
    <w:rsid w:val="006E61A4"/>
    <w:rsid w:val="006E61A5"/>
    <w:rsid w:val="006E67A1"/>
    <w:rsid w:val="006E68AE"/>
    <w:rsid w:val="006E6949"/>
    <w:rsid w:val="006E6B73"/>
    <w:rsid w:val="006E6C0C"/>
    <w:rsid w:val="006E707E"/>
    <w:rsid w:val="006E7134"/>
    <w:rsid w:val="006E7294"/>
    <w:rsid w:val="006E7386"/>
    <w:rsid w:val="006E749A"/>
    <w:rsid w:val="006E755A"/>
    <w:rsid w:val="006E764A"/>
    <w:rsid w:val="006E7689"/>
    <w:rsid w:val="006E7986"/>
    <w:rsid w:val="006E7B70"/>
    <w:rsid w:val="006E7BF9"/>
    <w:rsid w:val="006E7BFF"/>
    <w:rsid w:val="006E7C45"/>
    <w:rsid w:val="006E7D07"/>
    <w:rsid w:val="006E7D6F"/>
    <w:rsid w:val="006E7EF1"/>
    <w:rsid w:val="006F01B9"/>
    <w:rsid w:val="006F032C"/>
    <w:rsid w:val="006F05A5"/>
    <w:rsid w:val="006F060A"/>
    <w:rsid w:val="006F07C2"/>
    <w:rsid w:val="006F0851"/>
    <w:rsid w:val="006F0916"/>
    <w:rsid w:val="006F0B67"/>
    <w:rsid w:val="006F0D85"/>
    <w:rsid w:val="006F0EA8"/>
    <w:rsid w:val="006F0EBA"/>
    <w:rsid w:val="006F0F3B"/>
    <w:rsid w:val="006F10A2"/>
    <w:rsid w:val="006F10F4"/>
    <w:rsid w:val="006F117A"/>
    <w:rsid w:val="006F129B"/>
    <w:rsid w:val="006F1354"/>
    <w:rsid w:val="006F1637"/>
    <w:rsid w:val="006F19FD"/>
    <w:rsid w:val="006F1C15"/>
    <w:rsid w:val="006F1CBF"/>
    <w:rsid w:val="006F1D53"/>
    <w:rsid w:val="006F210C"/>
    <w:rsid w:val="006F221A"/>
    <w:rsid w:val="006F2462"/>
    <w:rsid w:val="006F24D9"/>
    <w:rsid w:val="006F2671"/>
    <w:rsid w:val="006F27E4"/>
    <w:rsid w:val="006F287C"/>
    <w:rsid w:val="006F291A"/>
    <w:rsid w:val="006F2964"/>
    <w:rsid w:val="006F2A1F"/>
    <w:rsid w:val="006F2ABA"/>
    <w:rsid w:val="006F2ACB"/>
    <w:rsid w:val="006F2B05"/>
    <w:rsid w:val="006F2B81"/>
    <w:rsid w:val="006F2BF0"/>
    <w:rsid w:val="006F2DD5"/>
    <w:rsid w:val="006F2E5D"/>
    <w:rsid w:val="006F2F4E"/>
    <w:rsid w:val="006F2FC8"/>
    <w:rsid w:val="006F3018"/>
    <w:rsid w:val="006F3285"/>
    <w:rsid w:val="006F32F4"/>
    <w:rsid w:val="006F330E"/>
    <w:rsid w:val="006F337E"/>
    <w:rsid w:val="006F33E3"/>
    <w:rsid w:val="006F348B"/>
    <w:rsid w:val="006F3691"/>
    <w:rsid w:val="006F36BD"/>
    <w:rsid w:val="006F3A57"/>
    <w:rsid w:val="006F3F27"/>
    <w:rsid w:val="006F402A"/>
    <w:rsid w:val="006F425E"/>
    <w:rsid w:val="006F4560"/>
    <w:rsid w:val="006F46AA"/>
    <w:rsid w:val="006F47CA"/>
    <w:rsid w:val="006F4A72"/>
    <w:rsid w:val="006F4E36"/>
    <w:rsid w:val="006F4FA5"/>
    <w:rsid w:val="006F500D"/>
    <w:rsid w:val="006F526B"/>
    <w:rsid w:val="006F5521"/>
    <w:rsid w:val="006F55EB"/>
    <w:rsid w:val="006F587F"/>
    <w:rsid w:val="006F58B9"/>
    <w:rsid w:val="006F58C1"/>
    <w:rsid w:val="006F597A"/>
    <w:rsid w:val="006F59DB"/>
    <w:rsid w:val="006F5C44"/>
    <w:rsid w:val="006F5C9B"/>
    <w:rsid w:val="006F5CA1"/>
    <w:rsid w:val="006F5D25"/>
    <w:rsid w:val="006F5E5C"/>
    <w:rsid w:val="006F5EC8"/>
    <w:rsid w:val="006F6221"/>
    <w:rsid w:val="006F6369"/>
    <w:rsid w:val="006F639D"/>
    <w:rsid w:val="006F63A4"/>
    <w:rsid w:val="006F6464"/>
    <w:rsid w:val="006F64F2"/>
    <w:rsid w:val="006F67B6"/>
    <w:rsid w:val="006F6818"/>
    <w:rsid w:val="006F6904"/>
    <w:rsid w:val="006F6952"/>
    <w:rsid w:val="006F69D7"/>
    <w:rsid w:val="006F6A2A"/>
    <w:rsid w:val="006F6D2C"/>
    <w:rsid w:val="006F6EE5"/>
    <w:rsid w:val="006F6F28"/>
    <w:rsid w:val="006F7094"/>
    <w:rsid w:val="006F714B"/>
    <w:rsid w:val="006F73D7"/>
    <w:rsid w:val="006F74B4"/>
    <w:rsid w:val="006F75AA"/>
    <w:rsid w:val="006F7696"/>
    <w:rsid w:val="006F7749"/>
    <w:rsid w:val="006F7938"/>
    <w:rsid w:val="006F7D4F"/>
    <w:rsid w:val="006F7F18"/>
    <w:rsid w:val="006F7F2D"/>
    <w:rsid w:val="007000F4"/>
    <w:rsid w:val="0070034D"/>
    <w:rsid w:val="007004C0"/>
    <w:rsid w:val="00700552"/>
    <w:rsid w:val="00700722"/>
    <w:rsid w:val="0070094C"/>
    <w:rsid w:val="00700969"/>
    <w:rsid w:val="007009AD"/>
    <w:rsid w:val="00700AAD"/>
    <w:rsid w:val="00700AD4"/>
    <w:rsid w:val="00700B74"/>
    <w:rsid w:val="00700B9E"/>
    <w:rsid w:val="00700BBE"/>
    <w:rsid w:val="00700BD7"/>
    <w:rsid w:val="00700E44"/>
    <w:rsid w:val="00700EA2"/>
    <w:rsid w:val="00700F66"/>
    <w:rsid w:val="00700FBF"/>
    <w:rsid w:val="0070126A"/>
    <w:rsid w:val="0070131F"/>
    <w:rsid w:val="00701434"/>
    <w:rsid w:val="007017E4"/>
    <w:rsid w:val="0070191C"/>
    <w:rsid w:val="00701AF3"/>
    <w:rsid w:val="00701BBD"/>
    <w:rsid w:val="00701CF5"/>
    <w:rsid w:val="00701D3B"/>
    <w:rsid w:val="00701E7B"/>
    <w:rsid w:val="00701E89"/>
    <w:rsid w:val="007020B6"/>
    <w:rsid w:val="00702145"/>
    <w:rsid w:val="0070216D"/>
    <w:rsid w:val="007021FA"/>
    <w:rsid w:val="0070238A"/>
    <w:rsid w:val="0070269E"/>
    <w:rsid w:val="007027AB"/>
    <w:rsid w:val="00702958"/>
    <w:rsid w:val="00702A70"/>
    <w:rsid w:val="00702AA3"/>
    <w:rsid w:val="00702AC0"/>
    <w:rsid w:val="00702AD3"/>
    <w:rsid w:val="00702D90"/>
    <w:rsid w:val="00702D96"/>
    <w:rsid w:val="00702E39"/>
    <w:rsid w:val="00702E51"/>
    <w:rsid w:val="00702EEB"/>
    <w:rsid w:val="00702F98"/>
    <w:rsid w:val="007034A1"/>
    <w:rsid w:val="007034C0"/>
    <w:rsid w:val="00703583"/>
    <w:rsid w:val="00703718"/>
    <w:rsid w:val="00703786"/>
    <w:rsid w:val="007038A9"/>
    <w:rsid w:val="00703991"/>
    <w:rsid w:val="007039F9"/>
    <w:rsid w:val="00703ACA"/>
    <w:rsid w:val="00703D22"/>
    <w:rsid w:val="00703DC2"/>
    <w:rsid w:val="00704158"/>
    <w:rsid w:val="0070419C"/>
    <w:rsid w:val="00704411"/>
    <w:rsid w:val="0070443F"/>
    <w:rsid w:val="0070459E"/>
    <w:rsid w:val="00704628"/>
    <w:rsid w:val="0070483C"/>
    <w:rsid w:val="007048A4"/>
    <w:rsid w:val="00704989"/>
    <w:rsid w:val="007049C8"/>
    <w:rsid w:val="00704C02"/>
    <w:rsid w:val="00704C57"/>
    <w:rsid w:val="00704D92"/>
    <w:rsid w:val="00704EA6"/>
    <w:rsid w:val="00704EE3"/>
    <w:rsid w:val="00704F94"/>
    <w:rsid w:val="00705097"/>
    <w:rsid w:val="0070519E"/>
    <w:rsid w:val="00705428"/>
    <w:rsid w:val="00705526"/>
    <w:rsid w:val="00705A20"/>
    <w:rsid w:val="00705DB8"/>
    <w:rsid w:val="00705EFA"/>
    <w:rsid w:val="00706062"/>
    <w:rsid w:val="0070606B"/>
    <w:rsid w:val="00706072"/>
    <w:rsid w:val="0070609F"/>
    <w:rsid w:val="007062A8"/>
    <w:rsid w:val="0070630C"/>
    <w:rsid w:val="00706344"/>
    <w:rsid w:val="0070638A"/>
    <w:rsid w:val="00706402"/>
    <w:rsid w:val="00706949"/>
    <w:rsid w:val="00706A20"/>
    <w:rsid w:val="00706B2D"/>
    <w:rsid w:val="00706BB9"/>
    <w:rsid w:val="00706C10"/>
    <w:rsid w:val="00706CAE"/>
    <w:rsid w:val="00706FD7"/>
    <w:rsid w:val="00706FDD"/>
    <w:rsid w:val="00707130"/>
    <w:rsid w:val="007071DD"/>
    <w:rsid w:val="00707579"/>
    <w:rsid w:val="0070759C"/>
    <w:rsid w:val="007077CB"/>
    <w:rsid w:val="0070786E"/>
    <w:rsid w:val="00707879"/>
    <w:rsid w:val="0070792A"/>
    <w:rsid w:val="00707969"/>
    <w:rsid w:val="00707973"/>
    <w:rsid w:val="00707C91"/>
    <w:rsid w:val="00707DFB"/>
    <w:rsid w:val="00707E32"/>
    <w:rsid w:val="00707F17"/>
    <w:rsid w:val="00710000"/>
    <w:rsid w:val="0071009A"/>
    <w:rsid w:val="007103AD"/>
    <w:rsid w:val="007106A0"/>
    <w:rsid w:val="007106BC"/>
    <w:rsid w:val="00710994"/>
    <w:rsid w:val="007109FB"/>
    <w:rsid w:val="00710AC0"/>
    <w:rsid w:val="00710DDC"/>
    <w:rsid w:val="00710F14"/>
    <w:rsid w:val="00710F74"/>
    <w:rsid w:val="00710FAA"/>
    <w:rsid w:val="007112DE"/>
    <w:rsid w:val="007113FF"/>
    <w:rsid w:val="00711447"/>
    <w:rsid w:val="00711499"/>
    <w:rsid w:val="00711691"/>
    <w:rsid w:val="007116E1"/>
    <w:rsid w:val="00711708"/>
    <w:rsid w:val="00711961"/>
    <w:rsid w:val="007119CD"/>
    <w:rsid w:val="00711B08"/>
    <w:rsid w:val="00711B91"/>
    <w:rsid w:val="00711E72"/>
    <w:rsid w:val="00711F05"/>
    <w:rsid w:val="00711F53"/>
    <w:rsid w:val="0071201F"/>
    <w:rsid w:val="007120B3"/>
    <w:rsid w:val="00712395"/>
    <w:rsid w:val="00712494"/>
    <w:rsid w:val="00712588"/>
    <w:rsid w:val="007125C5"/>
    <w:rsid w:val="00712699"/>
    <w:rsid w:val="007128D3"/>
    <w:rsid w:val="00712A98"/>
    <w:rsid w:val="00712AEC"/>
    <w:rsid w:val="00712B29"/>
    <w:rsid w:val="00712C91"/>
    <w:rsid w:val="00712E4B"/>
    <w:rsid w:val="00712E98"/>
    <w:rsid w:val="00713010"/>
    <w:rsid w:val="007131CF"/>
    <w:rsid w:val="007132A5"/>
    <w:rsid w:val="007134E1"/>
    <w:rsid w:val="007135A3"/>
    <w:rsid w:val="007135F0"/>
    <w:rsid w:val="007136B0"/>
    <w:rsid w:val="007137C7"/>
    <w:rsid w:val="007137CB"/>
    <w:rsid w:val="007139E5"/>
    <w:rsid w:val="00713A37"/>
    <w:rsid w:val="00713BDB"/>
    <w:rsid w:val="00713CE5"/>
    <w:rsid w:val="00713EA0"/>
    <w:rsid w:val="007140B4"/>
    <w:rsid w:val="00714201"/>
    <w:rsid w:val="0071445B"/>
    <w:rsid w:val="007144A5"/>
    <w:rsid w:val="007145BD"/>
    <w:rsid w:val="0071468E"/>
    <w:rsid w:val="00714803"/>
    <w:rsid w:val="007148EB"/>
    <w:rsid w:val="007149A1"/>
    <w:rsid w:val="00714AFA"/>
    <w:rsid w:val="00714CBA"/>
    <w:rsid w:val="00714DB5"/>
    <w:rsid w:val="00714DCB"/>
    <w:rsid w:val="0071512E"/>
    <w:rsid w:val="00715291"/>
    <w:rsid w:val="007154FA"/>
    <w:rsid w:val="0071554E"/>
    <w:rsid w:val="0071570B"/>
    <w:rsid w:val="00715851"/>
    <w:rsid w:val="007158A0"/>
    <w:rsid w:val="007159A8"/>
    <w:rsid w:val="00715ACC"/>
    <w:rsid w:val="00715AFC"/>
    <w:rsid w:val="00715C35"/>
    <w:rsid w:val="00715D90"/>
    <w:rsid w:val="00715E7A"/>
    <w:rsid w:val="0071605A"/>
    <w:rsid w:val="00716080"/>
    <w:rsid w:val="00716216"/>
    <w:rsid w:val="0071625D"/>
    <w:rsid w:val="007163AC"/>
    <w:rsid w:val="00716524"/>
    <w:rsid w:val="00716552"/>
    <w:rsid w:val="007166AA"/>
    <w:rsid w:val="00716C25"/>
    <w:rsid w:val="00716C2C"/>
    <w:rsid w:val="00716C6D"/>
    <w:rsid w:val="00716C8F"/>
    <w:rsid w:val="00716C95"/>
    <w:rsid w:val="00716C97"/>
    <w:rsid w:val="00716CDD"/>
    <w:rsid w:val="00716D2F"/>
    <w:rsid w:val="00716D30"/>
    <w:rsid w:val="00716E72"/>
    <w:rsid w:val="00716EE6"/>
    <w:rsid w:val="00716F22"/>
    <w:rsid w:val="0071701F"/>
    <w:rsid w:val="007170FB"/>
    <w:rsid w:val="00717156"/>
    <w:rsid w:val="00717238"/>
    <w:rsid w:val="0071729C"/>
    <w:rsid w:val="00717335"/>
    <w:rsid w:val="007174A3"/>
    <w:rsid w:val="007174B2"/>
    <w:rsid w:val="0071760A"/>
    <w:rsid w:val="0071763B"/>
    <w:rsid w:val="0071764C"/>
    <w:rsid w:val="007177C2"/>
    <w:rsid w:val="007177F5"/>
    <w:rsid w:val="00717944"/>
    <w:rsid w:val="00717A48"/>
    <w:rsid w:val="00717B4C"/>
    <w:rsid w:val="00717B77"/>
    <w:rsid w:val="00717E33"/>
    <w:rsid w:val="00717E4D"/>
    <w:rsid w:val="00717E89"/>
    <w:rsid w:val="00720044"/>
    <w:rsid w:val="007200A8"/>
    <w:rsid w:val="0072010F"/>
    <w:rsid w:val="0072036C"/>
    <w:rsid w:val="007204BE"/>
    <w:rsid w:val="00720537"/>
    <w:rsid w:val="0072058B"/>
    <w:rsid w:val="00720707"/>
    <w:rsid w:val="00720A89"/>
    <w:rsid w:val="00720C7B"/>
    <w:rsid w:val="00720D2E"/>
    <w:rsid w:val="00720F20"/>
    <w:rsid w:val="007211BB"/>
    <w:rsid w:val="0072140D"/>
    <w:rsid w:val="00721428"/>
    <w:rsid w:val="0072154B"/>
    <w:rsid w:val="00721636"/>
    <w:rsid w:val="00721A60"/>
    <w:rsid w:val="00721B1B"/>
    <w:rsid w:val="00721E6A"/>
    <w:rsid w:val="007221BB"/>
    <w:rsid w:val="007224EB"/>
    <w:rsid w:val="007224F8"/>
    <w:rsid w:val="00722564"/>
    <w:rsid w:val="0072261D"/>
    <w:rsid w:val="00722952"/>
    <w:rsid w:val="007229AA"/>
    <w:rsid w:val="007229AE"/>
    <w:rsid w:val="00722A03"/>
    <w:rsid w:val="00722A94"/>
    <w:rsid w:val="00722C6B"/>
    <w:rsid w:val="00722DE0"/>
    <w:rsid w:val="00722FB5"/>
    <w:rsid w:val="00723020"/>
    <w:rsid w:val="0072324A"/>
    <w:rsid w:val="007232B7"/>
    <w:rsid w:val="00723548"/>
    <w:rsid w:val="007235B5"/>
    <w:rsid w:val="007237DC"/>
    <w:rsid w:val="007237DF"/>
    <w:rsid w:val="007237F3"/>
    <w:rsid w:val="00723A1C"/>
    <w:rsid w:val="00723AEE"/>
    <w:rsid w:val="00723FD9"/>
    <w:rsid w:val="0072402A"/>
    <w:rsid w:val="00724050"/>
    <w:rsid w:val="0072406C"/>
    <w:rsid w:val="007240C9"/>
    <w:rsid w:val="007243CB"/>
    <w:rsid w:val="0072451B"/>
    <w:rsid w:val="00724545"/>
    <w:rsid w:val="00724683"/>
    <w:rsid w:val="00724715"/>
    <w:rsid w:val="007247CC"/>
    <w:rsid w:val="00724853"/>
    <w:rsid w:val="00724A3C"/>
    <w:rsid w:val="00724B93"/>
    <w:rsid w:val="00724E46"/>
    <w:rsid w:val="00724EB5"/>
    <w:rsid w:val="00725158"/>
    <w:rsid w:val="0072534B"/>
    <w:rsid w:val="007253AC"/>
    <w:rsid w:val="00725495"/>
    <w:rsid w:val="00725798"/>
    <w:rsid w:val="00725843"/>
    <w:rsid w:val="00725912"/>
    <w:rsid w:val="0072593C"/>
    <w:rsid w:val="00725A7A"/>
    <w:rsid w:val="00725C45"/>
    <w:rsid w:val="00725E9D"/>
    <w:rsid w:val="00725E9E"/>
    <w:rsid w:val="00725FFA"/>
    <w:rsid w:val="00726222"/>
    <w:rsid w:val="007263EE"/>
    <w:rsid w:val="007265AE"/>
    <w:rsid w:val="0072665D"/>
    <w:rsid w:val="00726697"/>
    <w:rsid w:val="0072673F"/>
    <w:rsid w:val="007267C3"/>
    <w:rsid w:val="0072691F"/>
    <w:rsid w:val="00726B24"/>
    <w:rsid w:val="00726C9C"/>
    <w:rsid w:val="00726D4B"/>
    <w:rsid w:val="00726D4C"/>
    <w:rsid w:val="00726EF4"/>
    <w:rsid w:val="00726F2F"/>
    <w:rsid w:val="00726F81"/>
    <w:rsid w:val="00726F8E"/>
    <w:rsid w:val="0072701A"/>
    <w:rsid w:val="00727055"/>
    <w:rsid w:val="00727066"/>
    <w:rsid w:val="0072719A"/>
    <w:rsid w:val="007273DB"/>
    <w:rsid w:val="00727548"/>
    <w:rsid w:val="00727638"/>
    <w:rsid w:val="0072782E"/>
    <w:rsid w:val="00727865"/>
    <w:rsid w:val="00727A29"/>
    <w:rsid w:val="00727A2D"/>
    <w:rsid w:val="00727B48"/>
    <w:rsid w:val="00727B85"/>
    <w:rsid w:val="00727CAD"/>
    <w:rsid w:val="00727EA9"/>
    <w:rsid w:val="00727F1E"/>
    <w:rsid w:val="0073000D"/>
    <w:rsid w:val="007301F1"/>
    <w:rsid w:val="0073070D"/>
    <w:rsid w:val="007307F2"/>
    <w:rsid w:val="00730B78"/>
    <w:rsid w:val="00730CA1"/>
    <w:rsid w:val="00730EBE"/>
    <w:rsid w:val="00730F62"/>
    <w:rsid w:val="00731255"/>
    <w:rsid w:val="00731351"/>
    <w:rsid w:val="007313E7"/>
    <w:rsid w:val="0073155D"/>
    <w:rsid w:val="00731619"/>
    <w:rsid w:val="00731A9F"/>
    <w:rsid w:val="00731AB2"/>
    <w:rsid w:val="00731BF1"/>
    <w:rsid w:val="00731D2A"/>
    <w:rsid w:val="00731D3E"/>
    <w:rsid w:val="00731D5B"/>
    <w:rsid w:val="00731E9F"/>
    <w:rsid w:val="00731F36"/>
    <w:rsid w:val="00731F9D"/>
    <w:rsid w:val="00732057"/>
    <w:rsid w:val="0073212D"/>
    <w:rsid w:val="007322F9"/>
    <w:rsid w:val="00732650"/>
    <w:rsid w:val="00732662"/>
    <w:rsid w:val="0073273D"/>
    <w:rsid w:val="00732818"/>
    <w:rsid w:val="007328FA"/>
    <w:rsid w:val="00732A04"/>
    <w:rsid w:val="00732A58"/>
    <w:rsid w:val="00732AAF"/>
    <w:rsid w:val="00732C48"/>
    <w:rsid w:val="00732D1A"/>
    <w:rsid w:val="00732DFB"/>
    <w:rsid w:val="00732E2A"/>
    <w:rsid w:val="00732E70"/>
    <w:rsid w:val="00732F13"/>
    <w:rsid w:val="007331ED"/>
    <w:rsid w:val="00733333"/>
    <w:rsid w:val="00733388"/>
    <w:rsid w:val="007334BD"/>
    <w:rsid w:val="0073373F"/>
    <w:rsid w:val="00733748"/>
    <w:rsid w:val="00733808"/>
    <w:rsid w:val="0073392F"/>
    <w:rsid w:val="00733A27"/>
    <w:rsid w:val="00733BE2"/>
    <w:rsid w:val="00733BF2"/>
    <w:rsid w:val="00733C19"/>
    <w:rsid w:val="00733C2B"/>
    <w:rsid w:val="00733E90"/>
    <w:rsid w:val="00733F4B"/>
    <w:rsid w:val="007340C9"/>
    <w:rsid w:val="007340D5"/>
    <w:rsid w:val="00734205"/>
    <w:rsid w:val="0073424F"/>
    <w:rsid w:val="00734434"/>
    <w:rsid w:val="0073447E"/>
    <w:rsid w:val="007344AD"/>
    <w:rsid w:val="007344BE"/>
    <w:rsid w:val="007345F0"/>
    <w:rsid w:val="00734B9A"/>
    <w:rsid w:val="00734CAD"/>
    <w:rsid w:val="00734D23"/>
    <w:rsid w:val="00734D58"/>
    <w:rsid w:val="00734E00"/>
    <w:rsid w:val="007352EB"/>
    <w:rsid w:val="00735349"/>
    <w:rsid w:val="007353D9"/>
    <w:rsid w:val="007354AF"/>
    <w:rsid w:val="00735874"/>
    <w:rsid w:val="00735A9D"/>
    <w:rsid w:val="00735AEC"/>
    <w:rsid w:val="00735B86"/>
    <w:rsid w:val="00735D77"/>
    <w:rsid w:val="00735D83"/>
    <w:rsid w:val="00735E38"/>
    <w:rsid w:val="00736005"/>
    <w:rsid w:val="0073611F"/>
    <w:rsid w:val="007362CB"/>
    <w:rsid w:val="00736428"/>
    <w:rsid w:val="00736469"/>
    <w:rsid w:val="007367F1"/>
    <w:rsid w:val="00736948"/>
    <w:rsid w:val="00736BEA"/>
    <w:rsid w:val="00736C4D"/>
    <w:rsid w:val="00736D2D"/>
    <w:rsid w:val="00736E30"/>
    <w:rsid w:val="00737082"/>
    <w:rsid w:val="00737085"/>
    <w:rsid w:val="00737397"/>
    <w:rsid w:val="007373F5"/>
    <w:rsid w:val="00737415"/>
    <w:rsid w:val="0073744B"/>
    <w:rsid w:val="007375CB"/>
    <w:rsid w:val="0073772D"/>
    <w:rsid w:val="0073777A"/>
    <w:rsid w:val="007377AD"/>
    <w:rsid w:val="0073782C"/>
    <w:rsid w:val="00737DBF"/>
    <w:rsid w:val="00737E90"/>
    <w:rsid w:val="00737F77"/>
    <w:rsid w:val="00737F8F"/>
    <w:rsid w:val="007400C5"/>
    <w:rsid w:val="0074010D"/>
    <w:rsid w:val="00740732"/>
    <w:rsid w:val="0074087A"/>
    <w:rsid w:val="007408F8"/>
    <w:rsid w:val="00740AD6"/>
    <w:rsid w:val="00740CEA"/>
    <w:rsid w:val="00740D9C"/>
    <w:rsid w:val="00740DA7"/>
    <w:rsid w:val="00740ED7"/>
    <w:rsid w:val="00740F99"/>
    <w:rsid w:val="00740F9D"/>
    <w:rsid w:val="00741031"/>
    <w:rsid w:val="0074106A"/>
    <w:rsid w:val="00741354"/>
    <w:rsid w:val="00741420"/>
    <w:rsid w:val="00741614"/>
    <w:rsid w:val="00741854"/>
    <w:rsid w:val="007418C1"/>
    <w:rsid w:val="00741951"/>
    <w:rsid w:val="00741A27"/>
    <w:rsid w:val="00741B2F"/>
    <w:rsid w:val="00741C24"/>
    <w:rsid w:val="00741C62"/>
    <w:rsid w:val="00741E3A"/>
    <w:rsid w:val="00741E3F"/>
    <w:rsid w:val="0074218D"/>
    <w:rsid w:val="0074219C"/>
    <w:rsid w:val="00742367"/>
    <w:rsid w:val="00742457"/>
    <w:rsid w:val="0074270A"/>
    <w:rsid w:val="0074289E"/>
    <w:rsid w:val="0074294E"/>
    <w:rsid w:val="00742988"/>
    <w:rsid w:val="007429E1"/>
    <w:rsid w:val="00742A7F"/>
    <w:rsid w:val="00742E59"/>
    <w:rsid w:val="00742EDC"/>
    <w:rsid w:val="00742F26"/>
    <w:rsid w:val="00742F33"/>
    <w:rsid w:val="007430E9"/>
    <w:rsid w:val="0074310D"/>
    <w:rsid w:val="0074314C"/>
    <w:rsid w:val="00743307"/>
    <w:rsid w:val="00743318"/>
    <w:rsid w:val="00743325"/>
    <w:rsid w:val="0074337E"/>
    <w:rsid w:val="00743393"/>
    <w:rsid w:val="0074341B"/>
    <w:rsid w:val="00743467"/>
    <w:rsid w:val="007434EE"/>
    <w:rsid w:val="007435AD"/>
    <w:rsid w:val="0074375C"/>
    <w:rsid w:val="00743826"/>
    <w:rsid w:val="007438F5"/>
    <w:rsid w:val="00743BC4"/>
    <w:rsid w:val="00743CE4"/>
    <w:rsid w:val="00743CFA"/>
    <w:rsid w:val="00743D8E"/>
    <w:rsid w:val="00743D99"/>
    <w:rsid w:val="00743EA9"/>
    <w:rsid w:val="00743ED3"/>
    <w:rsid w:val="00743ED5"/>
    <w:rsid w:val="007441AA"/>
    <w:rsid w:val="0074420B"/>
    <w:rsid w:val="0074434B"/>
    <w:rsid w:val="00744457"/>
    <w:rsid w:val="0074479E"/>
    <w:rsid w:val="007447B2"/>
    <w:rsid w:val="007449C1"/>
    <w:rsid w:val="00744C8F"/>
    <w:rsid w:val="00744D19"/>
    <w:rsid w:val="00744D27"/>
    <w:rsid w:val="00744D70"/>
    <w:rsid w:val="00744FDA"/>
    <w:rsid w:val="00744FE8"/>
    <w:rsid w:val="00745176"/>
    <w:rsid w:val="00745266"/>
    <w:rsid w:val="007453EC"/>
    <w:rsid w:val="0074543F"/>
    <w:rsid w:val="00745448"/>
    <w:rsid w:val="00745512"/>
    <w:rsid w:val="0074577E"/>
    <w:rsid w:val="00745800"/>
    <w:rsid w:val="007458C4"/>
    <w:rsid w:val="0074596D"/>
    <w:rsid w:val="007459FB"/>
    <w:rsid w:val="00745B22"/>
    <w:rsid w:val="00745B61"/>
    <w:rsid w:val="00745BD6"/>
    <w:rsid w:val="00745C6F"/>
    <w:rsid w:val="00745EB8"/>
    <w:rsid w:val="00745EE6"/>
    <w:rsid w:val="00745F6C"/>
    <w:rsid w:val="00745FCE"/>
    <w:rsid w:val="0074600C"/>
    <w:rsid w:val="007460A2"/>
    <w:rsid w:val="00746171"/>
    <w:rsid w:val="00746211"/>
    <w:rsid w:val="0074622E"/>
    <w:rsid w:val="007462A1"/>
    <w:rsid w:val="007462CE"/>
    <w:rsid w:val="0074634C"/>
    <w:rsid w:val="007463E4"/>
    <w:rsid w:val="00746791"/>
    <w:rsid w:val="007467FA"/>
    <w:rsid w:val="007468F3"/>
    <w:rsid w:val="00746940"/>
    <w:rsid w:val="00746D3F"/>
    <w:rsid w:val="00746DC4"/>
    <w:rsid w:val="00746F30"/>
    <w:rsid w:val="00747066"/>
    <w:rsid w:val="007472B4"/>
    <w:rsid w:val="007473E4"/>
    <w:rsid w:val="007474AE"/>
    <w:rsid w:val="007474D7"/>
    <w:rsid w:val="0074753E"/>
    <w:rsid w:val="007477BA"/>
    <w:rsid w:val="007479D1"/>
    <w:rsid w:val="00747A02"/>
    <w:rsid w:val="00747C5D"/>
    <w:rsid w:val="00747DDB"/>
    <w:rsid w:val="00747E1F"/>
    <w:rsid w:val="00747E96"/>
    <w:rsid w:val="0075002A"/>
    <w:rsid w:val="007500E9"/>
    <w:rsid w:val="00750299"/>
    <w:rsid w:val="0075057D"/>
    <w:rsid w:val="007505D3"/>
    <w:rsid w:val="007505DA"/>
    <w:rsid w:val="007506A6"/>
    <w:rsid w:val="00750845"/>
    <w:rsid w:val="00750915"/>
    <w:rsid w:val="00750B8C"/>
    <w:rsid w:val="00750C75"/>
    <w:rsid w:val="00750CAE"/>
    <w:rsid w:val="00750CBD"/>
    <w:rsid w:val="00750EB4"/>
    <w:rsid w:val="00750F42"/>
    <w:rsid w:val="00750FC4"/>
    <w:rsid w:val="00751060"/>
    <w:rsid w:val="00751100"/>
    <w:rsid w:val="00751117"/>
    <w:rsid w:val="0075113B"/>
    <w:rsid w:val="0075168B"/>
    <w:rsid w:val="0075188E"/>
    <w:rsid w:val="007518B4"/>
    <w:rsid w:val="007518F6"/>
    <w:rsid w:val="00751A26"/>
    <w:rsid w:val="00751A4E"/>
    <w:rsid w:val="00751BE4"/>
    <w:rsid w:val="00751C5B"/>
    <w:rsid w:val="00751CB0"/>
    <w:rsid w:val="00751EDD"/>
    <w:rsid w:val="00752113"/>
    <w:rsid w:val="007525E7"/>
    <w:rsid w:val="007528E3"/>
    <w:rsid w:val="00752B32"/>
    <w:rsid w:val="00752D68"/>
    <w:rsid w:val="00752DDD"/>
    <w:rsid w:val="00752E04"/>
    <w:rsid w:val="00753323"/>
    <w:rsid w:val="007533EF"/>
    <w:rsid w:val="0075343B"/>
    <w:rsid w:val="0075346B"/>
    <w:rsid w:val="0075351D"/>
    <w:rsid w:val="00753561"/>
    <w:rsid w:val="00753637"/>
    <w:rsid w:val="00753711"/>
    <w:rsid w:val="00753745"/>
    <w:rsid w:val="007537C7"/>
    <w:rsid w:val="00753801"/>
    <w:rsid w:val="00753A81"/>
    <w:rsid w:val="00753C5C"/>
    <w:rsid w:val="00753E48"/>
    <w:rsid w:val="00753E64"/>
    <w:rsid w:val="00753EDC"/>
    <w:rsid w:val="00753EF2"/>
    <w:rsid w:val="00753F41"/>
    <w:rsid w:val="00754056"/>
    <w:rsid w:val="00754068"/>
    <w:rsid w:val="0075407B"/>
    <w:rsid w:val="00754241"/>
    <w:rsid w:val="00754273"/>
    <w:rsid w:val="007542C5"/>
    <w:rsid w:val="00754750"/>
    <w:rsid w:val="007547BD"/>
    <w:rsid w:val="00754AE1"/>
    <w:rsid w:val="00754B10"/>
    <w:rsid w:val="00754B84"/>
    <w:rsid w:val="00754DEA"/>
    <w:rsid w:val="00754EAE"/>
    <w:rsid w:val="00754FF3"/>
    <w:rsid w:val="00755025"/>
    <w:rsid w:val="007550D3"/>
    <w:rsid w:val="0075513D"/>
    <w:rsid w:val="00755192"/>
    <w:rsid w:val="007552F9"/>
    <w:rsid w:val="0075544A"/>
    <w:rsid w:val="00755557"/>
    <w:rsid w:val="007557A4"/>
    <w:rsid w:val="00755996"/>
    <w:rsid w:val="00755CC2"/>
    <w:rsid w:val="00755DFA"/>
    <w:rsid w:val="00755E35"/>
    <w:rsid w:val="00755F8C"/>
    <w:rsid w:val="00756000"/>
    <w:rsid w:val="0075600B"/>
    <w:rsid w:val="0075610D"/>
    <w:rsid w:val="007563BA"/>
    <w:rsid w:val="00756430"/>
    <w:rsid w:val="00756528"/>
    <w:rsid w:val="00756567"/>
    <w:rsid w:val="00756795"/>
    <w:rsid w:val="0075689C"/>
    <w:rsid w:val="007569DC"/>
    <w:rsid w:val="00756B85"/>
    <w:rsid w:val="00756D10"/>
    <w:rsid w:val="00757127"/>
    <w:rsid w:val="007571E5"/>
    <w:rsid w:val="007572EC"/>
    <w:rsid w:val="00757546"/>
    <w:rsid w:val="0075754F"/>
    <w:rsid w:val="00757574"/>
    <w:rsid w:val="007575E3"/>
    <w:rsid w:val="0075776B"/>
    <w:rsid w:val="007577DD"/>
    <w:rsid w:val="00757850"/>
    <w:rsid w:val="0075795C"/>
    <w:rsid w:val="00757BE8"/>
    <w:rsid w:val="00757CFC"/>
    <w:rsid w:val="00757E6C"/>
    <w:rsid w:val="00757EA8"/>
    <w:rsid w:val="00757F7B"/>
    <w:rsid w:val="00760185"/>
    <w:rsid w:val="007602D0"/>
    <w:rsid w:val="00760346"/>
    <w:rsid w:val="007603F8"/>
    <w:rsid w:val="007605B0"/>
    <w:rsid w:val="007605DB"/>
    <w:rsid w:val="00760717"/>
    <w:rsid w:val="007608F2"/>
    <w:rsid w:val="0076097C"/>
    <w:rsid w:val="00760B3E"/>
    <w:rsid w:val="00760E2B"/>
    <w:rsid w:val="00760FE7"/>
    <w:rsid w:val="0076111E"/>
    <w:rsid w:val="00761251"/>
    <w:rsid w:val="0076130F"/>
    <w:rsid w:val="0076134B"/>
    <w:rsid w:val="0076142D"/>
    <w:rsid w:val="00761443"/>
    <w:rsid w:val="0076145B"/>
    <w:rsid w:val="00761465"/>
    <w:rsid w:val="007614E8"/>
    <w:rsid w:val="00761539"/>
    <w:rsid w:val="00761755"/>
    <w:rsid w:val="0076199C"/>
    <w:rsid w:val="00761D8D"/>
    <w:rsid w:val="00761DF8"/>
    <w:rsid w:val="00761E02"/>
    <w:rsid w:val="0076213F"/>
    <w:rsid w:val="00762516"/>
    <w:rsid w:val="007627AE"/>
    <w:rsid w:val="007627E2"/>
    <w:rsid w:val="0076282B"/>
    <w:rsid w:val="00762968"/>
    <w:rsid w:val="007629E3"/>
    <w:rsid w:val="00762D2F"/>
    <w:rsid w:val="00762E08"/>
    <w:rsid w:val="0076395F"/>
    <w:rsid w:val="00763A6B"/>
    <w:rsid w:val="00763D22"/>
    <w:rsid w:val="00763DF6"/>
    <w:rsid w:val="00763EFE"/>
    <w:rsid w:val="00763F1C"/>
    <w:rsid w:val="0076414D"/>
    <w:rsid w:val="00764394"/>
    <w:rsid w:val="007645D0"/>
    <w:rsid w:val="00764741"/>
    <w:rsid w:val="0076474D"/>
    <w:rsid w:val="007648D9"/>
    <w:rsid w:val="00764DD7"/>
    <w:rsid w:val="00764EF7"/>
    <w:rsid w:val="00764F2B"/>
    <w:rsid w:val="00764F69"/>
    <w:rsid w:val="00764FCA"/>
    <w:rsid w:val="0076508A"/>
    <w:rsid w:val="00765195"/>
    <w:rsid w:val="00765276"/>
    <w:rsid w:val="007653C5"/>
    <w:rsid w:val="00765506"/>
    <w:rsid w:val="00765551"/>
    <w:rsid w:val="007656C0"/>
    <w:rsid w:val="007658CB"/>
    <w:rsid w:val="00765C80"/>
    <w:rsid w:val="00765D9A"/>
    <w:rsid w:val="00765F86"/>
    <w:rsid w:val="00766041"/>
    <w:rsid w:val="00766174"/>
    <w:rsid w:val="007661AF"/>
    <w:rsid w:val="00766214"/>
    <w:rsid w:val="00766230"/>
    <w:rsid w:val="007662B2"/>
    <w:rsid w:val="007662E8"/>
    <w:rsid w:val="0076640D"/>
    <w:rsid w:val="00766693"/>
    <w:rsid w:val="007666FB"/>
    <w:rsid w:val="00766768"/>
    <w:rsid w:val="00766833"/>
    <w:rsid w:val="0076694A"/>
    <w:rsid w:val="00766999"/>
    <w:rsid w:val="00766A9C"/>
    <w:rsid w:val="00766C90"/>
    <w:rsid w:val="00766CC1"/>
    <w:rsid w:val="00766E68"/>
    <w:rsid w:val="00766EAB"/>
    <w:rsid w:val="00766FA9"/>
    <w:rsid w:val="00766FC4"/>
    <w:rsid w:val="0076713E"/>
    <w:rsid w:val="0076725A"/>
    <w:rsid w:val="00767476"/>
    <w:rsid w:val="007674F2"/>
    <w:rsid w:val="00767619"/>
    <w:rsid w:val="00767871"/>
    <w:rsid w:val="007678CC"/>
    <w:rsid w:val="00767998"/>
    <w:rsid w:val="00767B89"/>
    <w:rsid w:val="00767CA9"/>
    <w:rsid w:val="00767CCF"/>
    <w:rsid w:val="00767D6D"/>
    <w:rsid w:val="00767E25"/>
    <w:rsid w:val="00767FA4"/>
    <w:rsid w:val="00767FE6"/>
    <w:rsid w:val="007700A9"/>
    <w:rsid w:val="007700F9"/>
    <w:rsid w:val="007701F9"/>
    <w:rsid w:val="00770246"/>
    <w:rsid w:val="007702A1"/>
    <w:rsid w:val="0077030B"/>
    <w:rsid w:val="00770359"/>
    <w:rsid w:val="00770451"/>
    <w:rsid w:val="0077045E"/>
    <w:rsid w:val="007704A9"/>
    <w:rsid w:val="00770515"/>
    <w:rsid w:val="00770BC3"/>
    <w:rsid w:val="00770F0F"/>
    <w:rsid w:val="007710DD"/>
    <w:rsid w:val="0077110A"/>
    <w:rsid w:val="00771147"/>
    <w:rsid w:val="00771488"/>
    <w:rsid w:val="007716D7"/>
    <w:rsid w:val="007717C6"/>
    <w:rsid w:val="00771971"/>
    <w:rsid w:val="00771A44"/>
    <w:rsid w:val="00771DBF"/>
    <w:rsid w:val="00771EFC"/>
    <w:rsid w:val="00771F81"/>
    <w:rsid w:val="00771FDF"/>
    <w:rsid w:val="007720DF"/>
    <w:rsid w:val="00772259"/>
    <w:rsid w:val="00772260"/>
    <w:rsid w:val="00772454"/>
    <w:rsid w:val="007724AC"/>
    <w:rsid w:val="0077250B"/>
    <w:rsid w:val="007725EF"/>
    <w:rsid w:val="00772800"/>
    <w:rsid w:val="007728FB"/>
    <w:rsid w:val="00772959"/>
    <w:rsid w:val="007729FD"/>
    <w:rsid w:val="00772A2B"/>
    <w:rsid w:val="0077300E"/>
    <w:rsid w:val="007731B3"/>
    <w:rsid w:val="00773226"/>
    <w:rsid w:val="00773264"/>
    <w:rsid w:val="0077326A"/>
    <w:rsid w:val="007732C9"/>
    <w:rsid w:val="00773417"/>
    <w:rsid w:val="007736CD"/>
    <w:rsid w:val="00773785"/>
    <w:rsid w:val="0077382A"/>
    <w:rsid w:val="0077383A"/>
    <w:rsid w:val="00773946"/>
    <w:rsid w:val="007739BD"/>
    <w:rsid w:val="00773BA5"/>
    <w:rsid w:val="00773CD1"/>
    <w:rsid w:val="00773DA9"/>
    <w:rsid w:val="00773E01"/>
    <w:rsid w:val="00773E84"/>
    <w:rsid w:val="00773F49"/>
    <w:rsid w:val="00774127"/>
    <w:rsid w:val="007742F5"/>
    <w:rsid w:val="007743BD"/>
    <w:rsid w:val="007743D0"/>
    <w:rsid w:val="007743E7"/>
    <w:rsid w:val="0077452D"/>
    <w:rsid w:val="00774531"/>
    <w:rsid w:val="0077460C"/>
    <w:rsid w:val="007747AB"/>
    <w:rsid w:val="007747F5"/>
    <w:rsid w:val="00774931"/>
    <w:rsid w:val="00774935"/>
    <w:rsid w:val="00774B7E"/>
    <w:rsid w:val="00774BC9"/>
    <w:rsid w:val="00774DC8"/>
    <w:rsid w:val="00774E87"/>
    <w:rsid w:val="00774EBE"/>
    <w:rsid w:val="00775008"/>
    <w:rsid w:val="00775145"/>
    <w:rsid w:val="00775194"/>
    <w:rsid w:val="00775366"/>
    <w:rsid w:val="007758C2"/>
    <w:rsid w:val="00775AED"/>
    <w:rsid w:val="00775B63"/>
    <w:rsid w:val="00775BAE"/>
    <w:rsid w:val="00775CE6"/>
    <w:rsid w:val="00775E50"/>
    <w:rsid w:val="00775F9D"/>
    <w:rsid w:val="00776129"/>
    <w:rsid w:val="00776192"/>
    <w:rsid w:val="00776196"/>
    <w:rsid w:val="00776209"/>
    <w:rsid w:val="00776999"/>
    <w:rsid w:val="00776BA2"/>
    <w:rsid w:val="00776D56"/>
    <w:rsid w:val="00776D86"/>
    <w:rsid w:val="00776F06"/>
    <w:rsid w:val="00777044"/>
    <w:rsid w:val="0077705E"/>
    <w:rsid w:val="0077727C"/>
    <w:rsid w:val="0077734F"/>
    <w:rsid w:val="007773E8"/>
    <w:rsid w:val="00777531"/>
    <w:rsid w:val="0077756D"/>
    <w:rsid w:val="007779DE"/>
    <w:rsid w:val="00777A41"/>
    <w:rsid w:val="00777CBC"/>
    <w:rsid w:val="00777FC0"/>
    <w:rsid w:val="007800AE"/>
    <w:rsid w:val="0078011E"/>
    <w:rsid w:val="007801F0"/>
    <w:rsid w:val="0078024F"/>
    <w:rsid w:val="0078042E"/>
    <w:rsid w:val="0078043E"/>
    <w:rsid w:val="00780586"/>
    <w:rsid w:val="007809C9"/>
    <w:rsid w:val="00780A5A"/>
    <w:rsid w:val="00780BC5"/>
    <w:rsid w:val="00780C46"/>
    <w:rsid w:val="00780CFF"/>
    <w:rsid w:val="00781010"/>
    <w:rsid w:val="0078113E"/>
    <w:rsid w:val="00781240"/>
    <w:rsid w:val="007812E2"/>
    <w:rsid w:val="0078138D"/>
    <w:rsid w:val="007817A9"/>
    <w:rsid w:val="007818F1"/>
    <w:rsid w:val="0078197E"/>
    <w:rsid w:val="00781A24"/>
    <w:rsid w:val="00781A4B"/>
    <w:rsid w:val="00781B73"/>
    <w:rsid w:val="00781BAE"/>
    <w:rsid w:val="00781F04"/>
    <w:rsid w:val="00782100"/>
    <w:rsid w:val="007825EB"/>
    <w:rsid w:val="007826E9"/>
    <w:rsid w:val="007826F3"/>
    <w:rsid w:val="007829C4"/>
    <w:rsid w:val="00782AD2"/>
    <w:rsid w:val="00782D89"/>
    <w:rsid w:val="00782E1C"/>
    <w:rsid w:val="00782ED4"/>
    <w:rsid w:val="00782F32"/>
    <w:rsid w:val="00783325"/>
    <w:rsid w:val="00783439"/>
    <w:rsid w:val="007834D6"/>
    <w:rsid w:val="007834E2"/>
    <w:rsid w:val="007835E1"/>
    <w:rsid w:val="0078372E"/>
    <w:rsid w:val="0078399B"/>
    <w:rsid w:val="00783AD8"/>
    <w:rsid w:val="00783B92"/>
    <w:rsid w:val="00783D29"/>
    <w:rsid w:val="00783D94"/>
    <w:rsid w:val="00783F14"/>
    <w:rsid w:val="00783FC1"/>
    <w:rsid w:val="00783FC9"/>
    <w:rsid w:val="007842A9"/>
    <w:rsid w:val="0078430E"/>
    <w:rsid w:val="007843EA"/>
    <w:rsid w:val="00784665"/>
    <w:rsid w:val="007847A9"/>
    <w:rsid w:val="007847EB"/>
    <w:rsid w:val="00784A9D"/>
    <w:rsid w:val="00784B60"/>
    <w:rsid w:val="00784D9A"/>
    <w:rsid w:val="00784E60"/>
    <w:rsid w:val="00784F5E"/>
    <w:rsid w:val="00784FF4"/>
    <w:rsid w:val="007856E5"/>
    <w:rsid w:val="0078575D"/>
    <w:rsid w:val="007858EF"/>
    <w:rsid w:val="00785A7C"/>
    <w:rsid w:val="00785AEB"/>
    <w:rsid w:val="00785B1A"/>
    <w:rsid w:val="00785BEB"/>
    <w:rsid w:val="00785C8F"/>
    <w:rsid w:val="00785CC2"/>
    <w:rsid w:val="00785D4A"/>
    <w:rsid w:val="00785D93"/>
    <w:rsid w:val="00785DC6"/>
    <w:rsid w:val="0078611B"/>
    <w:rsid w:val="00786272"/>
    <w:rsid w:val="00786484"/>
    <w:rsid w:val="007864DD"/>
    <w:rsid w:val="00786599"/>
    <w:rsid w:val="007865CF"/>
    <w:rsid w:val="00786894"/>
    <w:rsid w:val="00786957"/>
    <w:rsid w:val="00786A4E"/>
    <w:rsid w:val="00786A5F"/>
    <w:rsid w:val="00786BC1"/>
    <w:rsid w:val="00786C18"/>
    <w:rsid w:val="00786CB0"/>
    <w:rsid w:val="00786D7B"/>
    <w:rsid w:val="007870DA"/>
    <w:rsid w:val="00787220"/>
    <w:rsid w:val="00787266"/>
    <w:rsid w:val="0078737E"/>
    <w:rsid w:val="0078739C"/>
    <w:rsid w:val="00787978"/>
    <w:rsid w:val="0078799A"/>
    <w:rsid w:val="00787B52"/>
    <w:rsid w:val="00787C80"/>
    <w:rsid w:val="00787D82"/>
    <w:rsid w:val="00787DFF"/>
    <w:rsid w:val="00787E2C"/>
    <w:rsid w:val="00787F33"/>
    <w:rsid w:val="00787F77"/>
    <w:rsid w:val="00790377"/>
    <w:rsid w:val="007903ED"/>
    <w:rsid w:val="00790464"/>
    <w:rsid w:val="0079076B"/>
    <w:rsid w:val="00790BBF"/>
    <w:rsid w:val="00790C44"/>
    <w:rsid w:val="00790CAA"/>
    <w:rsid w:val="00790CFF"/>
    <w:rsid w:val="00790EA8"/>
    <w:rsid w:val="00790F87"/>
    <w:rsid w:val="007910DB"/>
    <w:rsid w:val="007910E7"/>
    <w:rsid w:val="007911B5"/>
    <w:rsid w:val="00791455"/>
    <w:rsid w:val="007914C3"/>
    <w:rsid w:val="007915A6"/>
    <w:rsid w:val="007915BA"/>
    <w:rsid w:val="00791694"/>
    <w:rsid w:val="007916B4"/>
    <w:rsid w:val="007917BD"/>
    <w:rsid w:val="00791883"/>
    <w:rsid w:val="00791A56"/>
    <w:rsid w:val="00791C24"/>
    <w:rsid w:val="00791D13"/>
    <w:rsid w:val="00791D90"/>
    <w:rsid w:val="00791DAA"/>
    <w:rsid w:val="00791ED7"/>
    <w:rsid w:val="00791F49"/>
    <w:rsid w:val="007925D3"/>
    <w:rsid w:val="007925F0"/>
    <w:rsid w:val="00792695"/>
    <w:rsid w:val="0079274E"/>
    <w:rsid w:val="0079291E"/>
    <w:rsid w:val="007929A7"/>
    <w:rsid w:val="00792C78"/>
    <w:rsid w:val="00792CC1"/>
    <w:rsid w:val="00792D09"/>
    <w:rsid w:val="007931C7"/>
    <w:rsid w:val="0079328B"/>
    <w:rsid w:val="007932F4"/>
    <w:rsid w:val="0079331A"/>
    <w:rsid w:val="00793405"/>
    <w:rsid w:val="0079348E"/>
    <w:rsid w:val="00793530"/>
    <w:rsid w:val="007936BC"/>
    <w:rsid w:val="007936F1"/>
    <w:rsid w:val="007938DD"/>
    <w:rsid w:val="007938F2"/>
    <w:rsid w:val="00793A22"/>
    <w:rsid w:val="00793DBB"/>
    <w:rsid w:val="007940D2"/>
    <w:rsid w:val="00794173"/>
    <w:rsid w:val="00794247"/>
    <w:rsid w:val="0079441E"/>
    <w:rsid w:val="007945DC"/>
    <w:rsid w:val="00794732"/>
    <w:rsid w:val="00794981"/>
    <w:rsid w:val="00794A46"/>
    <w:rsid w:val="00794AF1"/>
    <w:rsid w:val="00794B3E"/>
    <w:rsid w:val="00794B9A"/>
    <w:rsid w:val="00794CE6"/>
    <w:rsid w:val="00794DDC"/>
    <w:rsid w:val="00794FA1"/>
    <w:rsid w:val="0079501F"/>
    <w:rsid w:val="007952AA"/>
    <w:rsid w:val="00795337"/>
    <w:rsid w:val="007953D0"/>
    <w:rsid w:val="00795402"/>
    <w:rsid w:val="0079569D"/>
    <w:rsid w:val="007956BB"/>
    <w:rsid w:val="007957A8"/>
    <w:rsid w:val="007957B7"/>
    <w:rsid w:val="0079583A"/>
    <w:rsid w:val="007958BA"/>
    <w:rsid w:val="007958F0"/>
    <w:rsid w:val="007959D4"/>
    <w:rsid w:val="00795A59"/>
    <w:rsid w:val="00795BD5"/>
    <w:rsid w:val="00795EA3"/>
    <w:rsid w:val="007960EE"/>
    <w:rsid w:val="007961D2"/>
    <w:rsid w:val="0079623F"/>
    <w:rsid w:val="00796329"/>
    <w:rsid w:val="00796369"/>
    <w:rsid w:val="00796459"/>
    <w:rsid w:val="00796527"/>
    <w:rsid w:val="0079655C"/>
    <w:rsid w:val="00796598"/>
    <w:rsid w:val="00796753"/>
    <w:rsid w:val="007967C0"/>
    <w:rsid w:val="0079690C"/>
    <w:rsid w:val="007969F4"/>
    <w:rsid w:val="00796AC2"/>
    <w:rsid w:val="00796AC7"/>
    <w:rsid w:val="00796BD1"/>
    <w:rsid w:val="00796C84"/>
    <w:rsid w:val="00796CD7"/>
    <w:rsid w:val="00796DD5"/>
    <w:rsid w:val="00796FBD"/>
    <w:rsid w:val="007973A2"/>
    <w:rsid w:val="007973B9"/>
    <w:rsid w:val="007973C0"/>
    <w:rsid w:val="007973D0"/>
    <w:rsid w:val="00797452"/>
    <w:rsid w:val="007975D4"/>
    <w:rsid w:val="00797640"/>
    <w:rsid w:val="007977EC"/>
    <w:rsid w:val="007977F0"/>
    <w:rsid w:val="00797824"/>
    <w:rsid w:val="0079795F"/>
    <w:rsid w:val="00797A54"/>
    <w:rsid w:val="007A0096"/>
    <w:rsid w:val="007A01A8"/>
    <w:rsid w:val="007A025D"/>
    <w:rsid w:val="007A043C"/>
    <w:rsid w:val="007A05BD"/>
    <w:rsid w:val="007A0628"/>
    <w:rsid w:val="007A0665"/>
    <w:rsid w:val="007A06CA"/>
    <w:rsid w:val="007A0726"/>
    <w:rsid w:val="007A0732"/>
    <w:rsid w:val="007A0756"/>
    <w:rsid w:val="007A0773"/>
    <w:rsid w:val="007A07F6"/>
    <w:rsid w:val="007A08CF"/>
    <w:rsid w:val="007A0906"/>
    <w:rsid w:val="007A09FC"/>
    <w:rsid w:val="007A0BB0"/>
    <w:rsid w:val="007A0BC4"/>
    <w:rsid w:val="007A0BF2"/>
    <w:rsid w:val="007A1016"/>
    <w:rsid w:val="007A11CF"/>
    <w:rsid w:val="007A1474"/>
    <w:rsid w:val="007A14D5"/>
    <w:rsid w:val="007A156D"/>
    <w:rsid w:val="007A15E0"/>
    <w:rsid w:val="007A1B0D"/>
    <w:rsid w:val="007A1D4A"/>
    <w:rsid w:val="007A1E69"/>
    <w:rsid w:val="007A1FFA"/>
    <w:rsid w:val="007A203E"/>
    <w:rsid w:val="007A2099"/>
    <w:rsid w:val="007A2109"/>
    <w:rsid w:val="007A227D"/>
    <w:rsid w:val="007A24BC"/>
    <w:rsid w:val="007A2514"/>
    <w:rsid w:val="007A27CF"/>
    <w:rsid w:val="007A285E"/>
    <w:rsid w:val="007A29A4"/>
    <w:rsid w:val="007A2D3F"/>
    <w:rsid w:val="007A2D45"/>
    <w:rsid w:val="007A2D91"/>
    <w:rsid w:val="007A2FA3"/>
    <w:rsid w:val="007A3190"/>
    <w:rsid w:val="007A31FE"/>
    <w:rsid w:val="007A335D"/>
    <w:rsid w:val="007A3400"/>
    <w:rsid w:val="007A3488"/>
    <w:rsid w:val="007A3672"/>
    <w:rsid w:val="007A3712"/>
    <w:rsid w:val="007A37C4"/>
    <w:rsid w:val="007A3892"/>
    <w:rsid w:val="007A3B74"/>
    <w:rsid w:val="007A3D01"/>
    <w:rsid w:val="007A3D51"/>
    <w:rsid w:val="007A3D6C"/>
    <w:rsid w:val="007A3EAB"/>
    <w:rsid w:val="007A3FCA"/>
    <w:rsid w:val="007A4172"/>
    <w:rsid w:val="007A4187"/>
    <w:rsid w:val="007A426C"/>
    <w:rsid w:val="007A448E"/>
    <w:rsid w:val="007A46A8"/>
    <w:rsid w:val="007A470D"/>
    <w:rsid w:val="007A4900"/>
    <w:rsid w:val="007A4A09"/>
    <w:rsid w:val="007A4BA0"/>
    <w:rsid w:val="007A4D78"/>
    <w:rsid w:val="007A4DA3"/>
    <w:rsid w:val="007A4DB4"/>
    <w:rsid w:val="007A5014"/>
    <w:rsid w:val="007A511D"/>
    <w:rsid w:val="007A519D"/>
    <w:rsid w:val="007A52F2"/>
    <w:rsid w:val="007A53AA"/>
    <w:rsid w:val="007A5517"/>
    <w:rsid w:val="007A56CC"/>
    <w:rsid w:val="007A56F1"/>
    <w:rsid w:val="007A570D"/>
    <w:rsid w:val="007A594C"/>
    <w:rsid w:val="007A5C2A"/>
    <w:rsid w:val="007A5C59"/>
    <w:rsid w:val="007A5F0A"/>
    <w:rsid w:val="007A6091"/>
    <w:rsid w:val="007A60A2"/>
    <w:rsid w:val="007A61FD"/>
    <w:rsid w:val="007A6216"/>
    <w:rsid w:val="007A648D"/>
    <w:rsid w:val="007A6642"/>
    <w:rsid w:val="007A6657"/>
    <w:rsid w:val="007A67A4"/>
    <w:rsid w:val="007A67E0"/>
    <w:rsid w:val="007A68B5"/>
    <w:rsid w:val="007A6A87"/>
    <w:rsid w:val="007A6B1B"/>
    <w:rsid w:val="007A6E63"/>
    <w:rsid w:val="007A70C9"/>
    <w:rsid w:val="007A732B"/>
    <w:rsid w:val="007A7539"/>
    <w:rsid w:val="007A753B"/>
    <w:rsid w:val="007A755F"/>
    <w:rsid w:val="007A76B2"/>
    <w:rsid w:val="007A7786"/>
    <w:rsid w:val="007A7B05"/>
    <w:rsid w:val="007A7DFB"/>
    <w:rsid w:val="007A7E2C"/>
    <w:rsid w:val="007A7E94"/>
    <w:rsid w:val="007A7F2B"/>
    <w:rsid w:val="007A7F47"/>
    <w:rsid w:val="007B0039"/>
    <w:rsid w:val="007B05AB"/>
    <w:rsid w:val="007B061B"/>
    <w:rsid w:val="007B0686"/>
    <w:rsid w:val="007B06BC"/>
    <w:rsid w:val="007B0A6D"/>
    <w:rsid w:val="007B0AAA"/>
    <w:rsid w:val="007B0C84"/>
    <w:rsid w:val="007B0E86"/>
    <w:rsid w:val="007B0F43"/>
    <w:rsid w:val="007B0F6E"/>
    <w:rsid w:val="007B11DD"/>
    <w:rsid w:val="007B1221"/>
    <w:rsid w:val="007B127A"/>
    <w:rsid w:val="007B1283"/>
    <w:rsid w:val="007B13EF"/>
    <w:rsid w:val="007B1519"/>
    <w:rsid w:val="007B154B"/>
    <w:rsid w:val="007B1634"/>
    <w:rsid w:val="007B1A4D"/>
    <w:rsid w:val="007B1A5E"/>
    <w:rsid w:val="007B1C03"/>
    <w:rsid w:val="007B1C62"/>
    <w:rsid w:val="007B1C94"/>
    <w:rsid w:val="007B1D43"/>
    <w:rsid w:val="007B1F5B"/>
    <w:rsid w:val="007B2016"/>
    <w:rsid w:val="007B2073"/>
    <w:rsid w:val="007B22A2"/>
    <w:rsid w:val="007B24D7"/>
    <w:rsid w:val="007B2514"/>
    <w:rsid w:val="007B2627"/>
    <w:rsid w:val="007B2762"/>
    <w:rsid w:val="007B287F"/>
    <w:rsid w:val="007B2A1A"/>
    <w:rsid w:val="007B2C4B"/>
    <w:rsid w:val="007B2D10"/>
    <w:rsid w:val="007B2F67"/>
    <w:rsid w:val="007B2F71"/>
    <w:rsid w:val="007B308A"/>
    <w:rsid w:val="007B3443"/>
    <w:rsid w:val="007B35D4"/>
    <w:rsid w:val="007B35D9"/>
    <w:rsid w:val="007B3A4E"/>
    <w:rsid w:val="007B3BA8"/>
    <w:rsid w:val="007B3F4F"/>
    <w:rsid w:val="007B4116"/>
    <w:rsid w:val="007B412D"/>
    <w:rsid w:val="007B41B8"/>
    <w:rsid w:val="007B41BB"/>
    <w:rsid w:val="007B41FB"/>
    <w:rsid w:val="007B423A"/>
    <w:rsid w:val="007B432B"/>
    <w:rsid w:val="007B43D9"/>
    <w:rsid w:val="007B44C4"/>
    <w:rsid w:val="007B456B"/>
    <w:rsid w:val="007B4586"/>
    <w:rsid w:val="007B460D"/>
    <w:rsid w:val="007B4620"/>
    <w:rsid w:val="007B49C4"/>
    <w:rsid w:val="007B4A7C"/>
    <w:rsid w:val="007B4B08"/>
    <w:rsid w:val="007B4BAF"/>
    <w:rsid w:val="007B4C28"/>
    <w:rsid w:val="007B4C9C"/>
    <w:rsid w:val="007B4D80"/>
    <w:rsid w:val="007B4D8F"/>
    <w:rsid w:val="007B4E0B"/>
    <w:rsid w:val="007B4E26"/>
    <w:rsid w:val="007B4F7B"/>
    <w:rsid w:val="007B4FC3"/>
    <w:rsid w:val="007B51B4"/>
    <w:rsid w:val="007B5607"/>
    <w:rsid w:val="007B561F"/>
    <w:rsid w:val="007B587B"/>
    <w:rsid w:val="007B58BF"/>
    <w:rsid w:val="007B58D9"/>
    <w:rsid w:val="007B5B8B"/>
    <w:rsid w:val="007B5CAB"/>
    <w:rsid w:val="007B5D56"/>
    <w:rsid w:val="007B5F90"/>
    <w:rsid w:val="007B5FB7"/>
    <w:rsid w:val="007B6034"/>
    <w:rsid w:val="007B6035"/>
    <w:rsid w:val="007B60F2"/>
    <w:rsid w:val="007B610F"/>
    <w:rsid w:val="007B61A0"/>
    <w:rsid w:val="007B65ED"/>
    <w:rsid w:val="007B66DB"/>
    <w:rsid w:val="007B674C"/>
    <w:rsid w:val="007B6ADC"/>
    <w:rsid w:val="007B6AE5"/>
    <w:rsid w:val="007B6B23"/>
    <w:rsid w:val="007B6D0E"/>
    <w:rsid w:val="007B6EEC"/>
    <w:rsid w:val="007B6F42"/>
    <w:rsid w:val="007B736B"/>
    <w:rsid w:val="007B7378"/>
    <w:rsid w:val="007B7501"/>
    <w:rsid w:val="007B762E"/>
    <w:rsid w:val="007B7697"/>
    <w:rsid w:val="007B76E7"/>
    <w:rsid w:val="007B79E1"/>
    <w:rsid w:val="007B7B91"/>
    <w:rsid w:val="007B7FF8"/>
    <w:rsid w:val="007C003D"/>
    <w:rsid w:val="007C0161"/>
    <w:rsid w:val="007C03A4"/>
    <w:rsid w:val="007C0467"/>
    <w:rsid w:val="007C0513"/>
    <w:rsid w:val="007C0538"/>
    <w:rsid w:val="007C0545"/>
    <w:rsid w:val="007C0717"/>
    <w:rsid w:val="007C07F1"/>
    <w:rsid w:val="007C09D9"/>
    <w:rsid w:val="007C0B8B"/>
    <w:rsid w:val="007C0C16"/>
    <w:rsid w:val="007C0C44"/>
    <w:rsid w:val="007C0D40"/>
    <w:rsid w:val="007C0DA1"/>
    <w:rsid w:val="007C0DFC"/>
    <w:rsid w:val="007C1186"/>
    <w:rsid w:val="007C1206"/>
    <w:rsid w:val="007C12B1"/>
    <w:rsid w:val="007C1475"/>
    <w:rsid w:val="007C14C8"/>
    <w:rsid w:val="007C14FA"/>
    <w:rsid w:val="007C158C"/>
    <w:rsid w:val="007C16C6"/>
    <w:rsid w:val="007C1711"/>
    <w:rsid w:val="007C1992"/>
    <w:rsid w:val="007C1994"/>
    <w:rsid w:val="007C19C6"/>
    <w:rsid w:val="007C1A4B"/>
    <w:rsid w:val="007C1B71"/>
    <w:rsid w:val="007C1CB2"/>
    <w:rsid w:val="007C1CEB"/>
    <w:rsid w:val="007C20F2"/>
    <w:rsid w:val="007C2204"/>
    <w:rsid w:val="007C226A"/>
    <w:rsid w:val="007C2359"/>
    <w:rsid w:val="007C2370"/>
    <w:rsid w:val="007C24B4"/>
    <w:rsid w:val="007C24BF"/>
    <w:rsid w:val="007C27BA"/>
    <w:rsid w:val="007C2809"/>
    <w:rsid w:val="007C2A36"/>
    <w:rsid w:val="007C2C2D"/>
    <w:rsid w:val="007C2E4B"/>
    <w:rsid w:val="007C2E72"/>
    <w:rsid w:val="007C2F9D"/>
    <w:rsid w:val="007C30E1"/>
    <w:rsid w:val="007C31BA"/>
    <w:rsid w:val="007C32FA"/>
    <w:rsid w:val="007C3328"/>
    <w:rsid w:val="007C338A"/>
    <w:rsid w:val="007C3556"/>
    <w:rsid w:val="007C36EE"/>
    <w:rsid w:val="007C3960"/>
    <w:rsid w:val="007C3A16"/>
    <w:rsid w:val="007C3CEA"/>
    <w:rsid w:val="007C3EEA"/>
    <w:rsid w:val="007C4087"/>
    <w:rsid w:val="007C414D"/>
    <w:rsid w:val="007C416F"/>
    <w:rsid w:val="007C4261"/>
    <w:rsid w:val="007C4345"/>
    <w:rsid w:val="007C439E"/>
    <w:rsid w:val="007C43FC"/>
    <w:rsid w:val="007C448B"/>
    <w:rsid w:val="007C4550"/>
    <w:rsid w:val="007C46A8"/>
    <w:rsid w:val="007C4709"/>
    <w:rsid w:val="007C47A8"/>
    <w:rsid w:val="007C47B4"/>
    <w:rsid w:val="007C47E2"/>
    <w:rsid w:val="007C48D0"/>
    <w:rsid w:val="007C48E2"/>
    <w:rsid w:val="007C4B37"/>
    <w:rsid w:val="007C4E90"/>
    <w:rsid w:val="007C4EC0"/>
    <w:rsid w:val="007C503F"/>
    <w:rsid w:val="007C504D"/>
    <w:rsid w:val="007C5188"/>
    <w:rsid w:val="007C51B5"/>
    <w:rsid w:val="007C51CD"/>
    <w:rsid w:val="007C552A"/>
    <w:rsid w:val="007C56AE"/>
    <w:rsid w:val="007C5874"/>
    <w:rsid w:val="007C595D"/>
    <w:rsid w:val="007C59D8"/>
    <w:rsid w:val="007C59F6"/>
    <w:rsid w:val="007C5A3E"/>
    <w:rsid w:val="007C5A91"/>
    <w:rsid w:val="007C5A93"/>
    <w:rsid w:val="007C5E36"/>
    <w:rsid w:val="007C5E73"/>
    <w:rsid w:val="007C6016"/>
    <w:rsid w:val="007C640A"/>
    <w:rsid w:val="007C65D0"/>
    <w:rsid w:val="007C6656"/>
    <w:rsid w:val="007C66EC"/>
    <w:rsid w:val="007C673A"/>
    <w:rsid w:val="007C6880"/>
    <w:rsid w:val="007C6A40"/>
    <w:rsid w:val="007C6B3B"/>
    <w:rsid w:val="007C6B67"/>
    <w:rsid w:val="007C6CAC"/>
    <w:rsid w:val="007C708C"/>
    <w:rsid w:val="007C715D"/>
    <w:rsid w:val="007C7229"/>
    <w:rsid w:val="007C732F"/>
    <w:rsid w:val="007C735A"/>
    <w:rsid w:val="007C740F"/>
    <w:rsid w:val="007C753A"/>
    <w:rsid w:val="007C754E"/>
    <w:rsid w:val="007C7554"/>
    <w:rsid w:val="007C75E5"/>
    <w:rsid w:val="007C772E"/>
    <w:rsid w:val="007C77D3"/>
    <w:rsid w:val="007C7819"/>
    <w:rsid w:val="007C7B99"/>
    <w:rsid w:val="007C7CB5"/>
    <w:rsid w:val="007C7CBD"/>
    <w:rsid w:val="007C7EA6"/>
    <w:rsid w:val="007D0114"/>
    <w:rsid w:val="007D01BC"/>
    <w:rsid w:val="007D022B"/>
    <w:rsid w:val="007D03EC"/>
    <w:rsid w:val="007D05D2"/>
    <w:rsid w:val="007D05EA"/>
    <w:rsid w:val="007D07AA"/>
    <w:rsid w:val="007D07B5"/>
    <w:rsid w:val="007D08C6"/>
    <w:rsid w:val="007D0905"/>
    <w:rsid w:val="007D092D"/>
    <w:rsid w:val="007D098E"/>
    <w:rsid w:val="007D0A9B"/>
    <w:rsid w:val="007D0B2C"/>
    <w:rsid w:val="007D0C40"/>
    <w:rsid w:val="007D0DBD"/>
    <w:rsid w:val="007D0F0F"/>
    <w:rsid w:val="007D0F26"/>
    <w:rsid w:val="007D0F58"/>
    <w:rsid w:val="007D10B2"/>
    <w:rsid w:val="007D1187"/>
    <w:rsid w:val="007D12D1"/>
    <w:rsid w:val="007D142C"/>
    <w:rsid w:val="007D1456"/>
    <w:rsid w:val="007D1485"/>
    <w:rsid w:val="007D1571"/>
    <w:rsid w:val="007D18A5"/>
    <w:rsid w:val="007D18F2"/>
    <w:rsid w:val="007D1A0D"/>
    <w:rsid w:val="007D1B16"/>
    <w:rsid w:val="007D1F89"/>
    <w:rsid w:val="007D21AA"/>
    <w:rsid w:val="007D248A"/>
    <w:rsid w:val="007D29A6"/>
    <w:rsid w:val="007D2A45"/>
    <w:rsid w:val="007D2CB6"/>
    <w:rsid w:val="007D2F67"/>
    <w:rsid w:val="007D3068"/>
    <w:rsid w:val="007D310C"/>
    <w:rsid w:val="007D3292"/>
    <w:rsid w:val="007D33AF"/>
    <w:rsid w:val="007D33BA"/>
    <w:rsid w:val="007D33C4"/>
    <w:rsid w:val="007D3915"/>
    <w:rsid w:val="007D3965"/>
    <w:rsid w:val="007D39C5"/>
    <w:rsid w:val="007D3C03"/>
    <w:rsid w:val="007D3C90"/>
    <w:rsid w:val="007D3D4D"/>
    <w:rsid w:val="007D3EC8"/>
    <w:rsid w:val="007D4145"/>
    <w:rsid w:val="007D4182"/>
    <w:rsid w:val="007D433D"/>
    <w:rsid w:val="007D4B46"/>
    <w:rsid w:val="007D4B51"/>
    <w:rsid w:val="007D4C05"/>
    <w:rsid w:val="007D4F11"/>
    <w:rsid w:val="007D4FCB"/>
    <w:rsid w:val="007D50D4"/>
    <w:rsid w:val="007D5368"/>
    <w:rsid w:val="007D53C5"/>
    <w:rsid w:val="007D59FE"/>
    <w:rsid w:val="007D5D11"/>
    <w:rsid w:val="007D5FA1"/>
    <w:rsid w:val="007D625E"/>
    <w:rsid w:val="007D639B"/>
    <w:rsid w:val="007D648D"/>
    <w:rsid w:val="007D64A8"/>
    <w:rsid w:val="007D6517"/>
    <w:rsid w:val="007D6820"/>
    <w:rsid w:val="007D69A0"/>
    <w:rsid w:val="007D69C8"/>
    <w:rsid w:val="007D6A95"/>
    <w:rsid w:val="007D6EE6"/>
    <w:rsid w:val="007D6EE9"/>
    <w:rsid w:val="007D6F68"/>
    <w:rsid w:val="007D6FD3"/>
    <w:rsid w:val="007D70D0"/>
    <w:rsid w:val="007D710A"/>
    <w:rsid w:val="007D714A"/>
    <w:rsid w:val="007D732F"/>
    <w:rsid w:val="007D743E"/>
    <w:rsid w:val="007D76DA"/>
    <w:rsid w:val="007D7A7B"/>
    <w:rsid w:val="007D7A86"/>
    <w:rsid w:val="007D7B8F"/>
    <w:rsid w:val="007D7BC8"/>
    <w:rsid w:val="007D7C8C"/>
    <w:rsid w:val="007D7D1D"/>
    <w:rsid w:val="007D7D98"/>
    <w:rsid w:val="007E0113"/>
    <w:rsid w:val="007E0142"/>
    <w:rsid w:val="007E024F"/>
    <w:rsid w:val="007E03CD"/>
    <w:rsid w:val="007E0450"/>
    <w:rsid w:val="007E053C"/>
    <w:rsid w:val="007E094A"/>
    <w:rsid w:val="007E0A5D"/>
    <w:rsid w:val="007E0B9B"/>
    <w:rsid w:val="007E0C40"/>
    <w:rsid w:val="007E0C61"/>
    <w:rsid w:val="007E0CE1"/>
    <w:rsid w:val="007E0E9E"/>
    <w:rsid w:val="007E0F7C"/>
    <w:rsid w:val="007E10A3"/>
    <w:rsid w:val="007E1217"/>
    <w:rsid w:val="007E1228"/>
    <w:rsid w:val="007E1395"/>
    <w:rsid w:val="007E14EF"/>
    <w:rsid w:val="007E1B1D"/>
    <w:rsid w:val="007E1C39"/>
    <w:rsid w:val="007E1CD4"/>
    <w:rsid w:val="007E1DAB"/>
    <w:rsid w:val="007E1EF9"/>
    <w:rsid w:val="007E1F0D"/>
    <w:rsid w:val="007E20AC"/>
    <w:rsid w:val="007E216D"/>
    <w:rsid w:val="007E21F1"/>
    <w:rsid w:val="007E2318"/>
    <w:rsid w:val="007E25B2"/>
    <w:rsid w:val="007E2843"/>
    <w:rsid w:val="007E29C9"/>
    <w:rsid w:val="007E2ADC"/>
    <w:rsid w:val="007E2ED3"/>
    <w:rsid w:val="007E2F1D"/>
    <w:rsid w:val="007E318A"/>
    <w:rsid w:val="007E319C"/>
    <w:rsid w:val="007E31EB"/>
    <w:rsid w:val="007E3455"/>
    <w:rsid w:val="007E360D"/>
    <w:rsid w:val="007E363D"/>
    <w:rsid w:val="007E38CA"/>
    <w:rsid w:val="007E3998"/>
    <w:rsid w:val="007E3AA4"/>
    <w:rsid w:val="007E3B79"/>
    <w:rsid w:val="007E3E56"/>
    <w:rsid w:val="007E4023"/>
    <w:rsid w:val="007E410B"/>
    <w:rsid w:val="007E416C"/>
    <w:rsid w:val="007E43C0"/>
    <w:rsid w:val="007E4478"/>
    <w:rsid w:val="007E45F0"/>
    <w:rsid w:val="007E486A"/>
    <w:rsid w:val="007E4A6F"/>
    <w:rsid w:val="007E4F3B"/>
    <w:rsid w:val="007E5082"/>
    <w:rsid w:val="007E5112"/>
    <w:rsid w:val="007E512D"/>
    <w:rsid w:val="007E518C"/>
    <w:rsid w:val="007E5199"/>
    <w:rsid w:val="007E51B1"/>
    <w:rsid w:val="007E52BA"/>
    <w:rsid w:val="007E5460"/>
    <w:rsid w:val="007E550F"/>
    <w:rsid w:val="007E5B1B"/>
    <w:rsid w:val="007E5B22"/>
    <w:rsid w:val="007E5BCB"/>
    <w:rsid w:val="007E5E26"/>
    <w:rsid w:val="007E61EC"/>
    <w:rsid w:val="007E64DB"/>
    <w:rsid w:val="007E656C"/>
    <w:rsid w:val="007E658C"/>
    <w:rsid w:val="007E6732"/>
    <w:rsid w:val="007E67B5"/>
    <w:rsid w:val="007E6907"/>
    <w:rsid w:val="007E695F"/>
    <w:rsid w:val="007E6C07"/>
    <w:rsid w:val="007E6C49"/>
    <w:rsid w:val="007E6C62"/>
    <w:rsid w:val="007E6CFF"/>
    <w:rsid w:val="007E6D46"/>
    <w:rsid w:val="007E6D63"/>
    <w:rsid w:val="007E6F65"/>
    <w:rsid w:val="007E7049"/>
    <w:rsid w:val="007E7088"/>
    <w:rsid w:val="007E728F"/>
    <w:rsid w:val="007E7369"/>
    <w:rsid w:val="007E745E"/>
    <w:rsid w:val="007E7718"/>
    <w:rsid w:val="007E781D"/>
    <w:rsid w:val="007E7A1D"/>
    <w:rsid w:val="007E7A5E"/>
    <w:rsid w:val="007E7A6B"/>
    <w:rsid w:val="007E7D54"/>
    <w:rsid w:val="007E7DB8"/>
    <w:rsid w:val="007F0130"/>
    <w:rsid w:val="007F0135"/>
    <w:rsid w:val="007F0165"/>
    <w:rsid w:val="007F0514"/>
    <w:rsid w:val="007F05C4"/>
    <w:rsid w:val="007F086A"/>
    <w:rsid w:val="007F088C"/>
    <w:rsid w:val="007F0AB4"/>
    <w:rsid w:val="007F0F01"/>
    <w:rsid w:val="007F0FCD"/>
    <w:rsid w:val="007F1001"/>
    <w:rsid w:val="007F12BF"/>
    <w:rsid w:val="007F139B"/>
    <w:rsid w:val="007F1402"/>
    <w:rsid w:val="007F1403"/>
    <w:rsid w:val="007F157C"/>
    <w:rsid w:val="007F15A0"/>
    <w:rsid w:val="007F1650"/>
    <w:rsid w:val="007F1710"/>
    <w:rsid w:val="007F181E"/>
    <w:rsid w:val="007F1850"/>
    <w:rsid w:val="007F18B6"/>
    <w:rsid w:val="007F1981"/>
    <w:rsid w:val="007F1989"/>
    <w:rsid w:val="007F1AA4"/>
    <w:rsid w:val="007F1B07"/>
    <w:rsid w:val="007F1D47"/>
    <w:rsid w:val="007F1D90"/>
    <w:rsid w:val="007F1FB8"/>
    <w:rsid w:val="007F200F"/>
    <w:rsid w:val="007F2016"/>
    <w:rsid w:val="007F2140"/>
    <w:rsid w:val="007F221B"/>
    <w:rsid w:val="007F22CF"/>
    <w:rsid w:val="007F235D"/>
    <w:rsid w:val="007F239A"/>
    <w:rsid w:val="007F2410"/>
    <w:rsid w:val="007F241F"/>
    <w:rsid w:val="007F24EC"/>
    <w:rsid w:val="007F25D8"/>
    <w:rsid w:val="007F28A8"/>
    <w:rsid w:val="007F296D"/>
    <w:rsid w:val="007F2CE1"/>
    <w:rsid w:val="007F2CF7"/>
    <w:rsid w:val="007F2D30"/>
    <w:rsid w:val="007F31D5"/>
    <w:rsid w:val="007F3275"/>
    <w:rsid w:val="007F32B9"/>
    <w:rsid w:val="007F3343"/>
    <w:rsid w:val="007F34FB"/>
    <w:rsid w:val="007F36A6"/>
    <w:rsid w:val="007F388D"/>
    <w:rsid w:val="007F3901"/>
    <w:rsid w:val="007F3AA5"/>
    <w:rsid w:val="007F3C17"/>
    <w:rsid w:val="007F3C4D"/>
    <w:rsid w:val="007F3CAA"/>
    <w:rsid w:val="007F3CBB"/>
    <w:rsid w:val="007F3E02"/>
    <w:rsid w:val="007F3E39"/>
    <w:rsid w:val="007F3F00"/>
    <w:rsid w:val="007F3F0F"/>
    <w:rsid w:val="007F3FBF"/>
    <w:rsid w:val="007F3FD9"/>
    <w:rsid w:val="007F4130"/>
    <w:rsid w:val="007F424B"/>
    <w:rsid w:val="007F4321"/>
    <w:rsid w:val="007F4677"/>
    <w:rsid w:val="007F4705"/>
    <w:rsid w:val="007F490F"/>
    <w:rsid w:val="007F4A36"/>
    <w:rsid w:val="007F4B0A"/>
    <w:rsid w:val="007F4C25"/>
    <w:rsid w:val="007F4C4B"/>
    <w:rsid w:val="007F4E51"/>
    <w:rsid w:val="007F501B"/>
    <w:rsid w:val="007F51E9"/>
    <w:rsid w:val="007F5221"/>
    <w:rsid w:val="007F558C"/>
    <w:rsid w:val="007F561B"/>
    <w:rsid w:val="007F5749"/>
    <w:rsid w:val="007F5812"/>
    <w:rsid w:val="007F58DF"/>
    <w:rsid w:val="007F5A20"/>
    <w:rsid w:val="007F5A23"/>
    <w:rsid w:val="007F5A64"/>
    <w:rsid w:val="007F5B4B"/>
    <w:rsid w:val="007F5C21"/>
    <w:rsid w:val="007F5CE9"/>
    <w:rsid w:val="007F5DA7"/>
    <w:rsid w:val="007F5E7D"/>
    <w:rsid w:val="007F5F14"/>
    <w:rsid w:val="007F5F2D"/>
    <w:rsid w:val="007F5F41"/>
    <w:rsid w:val="007F618F"/>
    <w:rsid w:val="007F6332"/>
    <w:rsid w:val="007F635F"/>
    <w:rsid w:val="007F674F"/>
    <w:rsid w:val="007F67C0"/>
    <w:rsid w:val="007F6851"/>
    <w:rsid w:val="007F69A3"/>
    <w:rsid w:val="007F6BC6"/>
    <w:rsid w:val="007F6C3F"/>
    <w:rsid w:val="007F6C9F"/>
    <w:rsid w:val="007F6FD9"/>
    <w:rsid w:val="007F7272"/>
    <w:rsid w:val="007F7349"/>
    <w:rsid w:val="007F742D"/>
    <w:rsid w:val="007F764F"/>
    <w:rsid w:val="007F77AF"/>
    <w:rsid w:val="007F77F6"/>
    <w:rsid w:val="007F7809"/>
    <w:rsid w:val="007F7ECD"/>
    <w:rsid w:val="007F7EF9"/>
    <w:rsid w:val="00800086"/>
    <w:rsid w:val="008000E9"/>
    <w:rsid w:val="008006D1"/>
    <w:rsid w:val="008006F7"/>
    <w:rsid w:val="0080076D"/>
    <w:rsid w:val="008009A6"/>
    <w:rsid w:val="00800A54"/>
    <w:rsid w:val="00800AD9"/>
    <w:rsid w:val="00800B2A"/>
    <w:rsid w:val="00800B91"/>
    <w:rsid w:val="00800BE5"/>
    <w:rsid w:val="00800BEC"/>
    <w:rsid w:val="0080100C"/>
    <w:rsid w:val="0080113D"/>
    <w:rsid w:val="00801521"/>
    <w:rsid w:val="00801658"/>
    <w:rsid w:val="00801677"/>
    <w:rsid w:val="00801779"/>
    <w:rsid w:val="00801809"/>
    <w:rsid w:val="0080194E"/>
    <w:rsid w:val="00801A1A"/>
    <w:rsid w:val="00801A40"/>
    <w:rsid w:val="00801B91"/>
    <w:rsid w:val="00801CC3"/>
    <w:rsid w:val="00801CFA"/>
    <w:rsid w:val="00801D55"/>
    <w:rsid w:val="00801D7A"/>
    <w:rsid w:val="00801DED"/>
    <w:rsid w:val="00801DF6"/>
    <w:rsid w:val="00801E02"/>
    <w:rsid w:val="00801EAD"/>
    <w:rsid w:val="00801FB6"/>
    <w:rsid w:val="00802027"/>
    <w:rsid w:val="008020C6"/>
    <w:rsid w:val="0080245C"/>
    <w:rsid w:val="0080264E"/>
    <w:rsid w:val="00802807"/>
    <w:rsid w:val="008028B8"/>
    <w:rsid w:val="00802AE6"/>
    <w:rsid w:val="00802D22"/>
    <w:rsid w:val="00802DA8"/>
    <w:rsid w:val="00802F29"/>
    <w:rsid w:val="00802F4F"/>
    <w:rsid w:val="00803412"/>
    <w:rsid w:val="00803494"/>
    <w:rsid w:val="008034BF"/>
    <w:rsid w:val="008034E9"/>
    <w:rsid w:val="008035F7"/>
    <w:rsid w:val="00803692"/>
    <w:rsid w:val="008037B6"/>
    <w:rsid w:val="00803901"/>
    <w:rsid w:val="00803A1A"/>
    <w:rsid w:val="00803A7D"/>
    <w:rsid w:val="00803A92"/>
    <w:rsid w:val="00803B0F"/>
    <w:rsid w:val="00803B51"/>
    <w:rsid w:val="00803BCC"/>
    <w:rsid w:val="00803C88"/>
    <w:rsid w:val="00803D4B"/>
    <w:rsid w:val="00803D64"/>
    <w:rsid w:val="00803D98"/>
    <w:rsid w:val="00803DB6"/>
    <w:rsid w:val="00803E0D"/>
    <w:rsid w:val="00803F9C"/>
    <w:rsid w:val="00804080"/>
    <w:rsid w:val="00804214"/>
    <w:rsid w:val="0080426C"/>
    <w:rsid w:val="008042B7"/>
    <w:rsid w:val="008042D3"/>
    <w:rsid w:val="008044A8"/>
    <w:rsid w:val="008044B4"/>
    <w:rsid w:val="00804561"/>
    <w:rsid w:val="008047FA"/>
    <w:rsid w:val="0080499E"/>
    <w:rsid w:val="00804B01"/>
    <w:rsid w:val="00804B40"/>
    <w:rsid w:val="00804BC9"/>
    <w:rsid w:val="00804C63"/>
    <w:rsid w:val="00804E09"/>
    <w:rsid w:val="0080536F"/>
    <w:rsid w:val="00805378"/>
    <w:rsid w:val="00805383"/>
    <w:rsid w:val="008053D8"/>
    <w:rsid w:val="00805488"/>
    <w:rsid w:val="0080558E"/>
    <w:rsid w:val="008055BC"/>
    <w:rsid w:val="008056A4"/>
    <w:rsid w:val="00805730"/>
    <w:rsid w:val="00805837"/>
    <w:rsid w:val="0080584C"/>
    <w:rsid w:val="00805858"/>
    <w:rsid w:val="00805889"/>
    <w:rsid w:val="00805CEA"/>
    <w:rsid w:val="00805D66"/>
    <w:rsid w:val="00805E91"/>
    <w:rsid w:val="00805EAD"/>
    <w:rsid w:val="00805F4B"/>
    <w:rsid w:val="00806064"/>
    <w:rsid w:val="008061D4"/>
    <w:rsid w:val="0080625F"/>
    <w:rsid w:val="00806553"/>
    <w:rsid w:val="00806591"/>
    <w:rsid w:val="0080662D"/>
    <w:rsid w:val="008067F0"/>
    <w:rsid w:val="00806A80"/>
    <w:rsid w:val="00806BFE"/>
    <w:rsid w:val="00806C5E"/>
    <w:rsid w:val="00806D83"/>
    <w:rsid w:val="00806DA4"/>
    <w:rsid w:val="00806E20"/>
    <w:rsid w:val="008070B1"/>
    <w:rsid w:val="008070BE"/>
    <w:rsid w:val="00807197"/>
    <w:rsid w:val="00807345"/>
    <w:rsid w:val="008074DA"/>
    <w:rsid w:val="00807545"/>
    <w:rsid w:val="0080755E"/>
    <w:rsid w:val="0080763E"/>
    <w:rsid w:val="008076CE"/>
    <w:rsid w:val="00807AD6"/>
    <w:rsid w:val="00807AF3"/>
    <w:rsid w:val="00807C63"/>
    <w:rsid w:val="00807D24"/>
    <w:rsid w:val="00807F1E"/>
    <w:rsid w:val="00807F98"/>
    <w:rsid w:val="008100C5"/>
    <w:rsid w:val="0081011D"/>
    <w:rsid w:val="00810293"/>
    <w:rsid w:val="008102A5"/>
    <w:rsid w:val="008103CB"/>
    <w:rsid w:val="008104AE"/>
    <w:rsid w:val="0081062E"/>
    <w:rsid w:val="008106A7"/>
    <w:rsid w:val="008106AC"/>
    <w:rsid w:val="008106E5"/>
    <w:rsid w:val="008107A5"/>
    <w:rsid w:val="0081086E"/>
    <w:rsid w:val="008108E0"/>
    <w:rsid w:val="00810A2A"/>
    <w:rsid w:val="00810A89"/>
    <w:rsid w:val="00810BD2"/>
    <w:rsid w:val="00810CFF"/>
    <w:rsid w:val="00810D15"/>
    <w:rsid w:val="008110A5"/>
    <w:rsid w:val="00811127"/>
    <w:rsid w:val="00811248"/>
    <w:rsid w:val="008112A5"/>
    <w:rsid w:val="0081152E"/>
    <w:rsid w:val="00811562"/>
    <w:rsid w:val="00811684"/>
    <w:rsid w:val="008117A7"/>
    <w:rsid w:val="008117AB"/>
    <w:rsid w:val="008118F7"/>
    <w:rsid w:val="00811B7F"/>
    <w:rsid w:val="00811E86"/>
    <w:rsid w:val="00812276"/>
    <w:rsid w:val="00812297"/>
    <w:rsid w:val="008122AB"/>
    <w:rsid w:val="00812353"/>
    <w:rsid w:val="00812370"/>
    <w:rsid w:val="008124AE"/>
    <w:rsid w:val="00812629"/>
    <w:rsid w:val="0081272C"/>
    <w:rsid w:val="00812870"/>
    <w:rsid w:val="008128A2"/>
    <w:rsid w:val="00812A2A"/>
    <w:rsid w:val="00812B72"/>
    <w:rsid w:val="00812C62"/>
    <w:rsid w:val="00812EF0"/>
    <w:rsid w:val="00813018"/>
    <w:rsid w:val="0081301B"/>
    <w:rsid w:val="008132FB"/>
    <w:rsid w:val="008133FB"/>
    <w:rsid w:val="00813463"/>
    <w:rsid w:val="00813534"/>
    <w:rsid w:val="008136A6"/>
    <w:rsid w:val="00813903"/>
    <w:rsid w:val="008139DB"/>
    <w:rsid w:val="00813AC8"/>
    <w:rsid w:val="00814097"/>
    <w:rsid w:val="00814371"/>
    <w:rsid w:val="0081437D"/>
    <w:rsid w:val="00814594"/>
    <w:rsid w:val="008148A6"/>
    <w:rsid w:val="008148B6"/>
    <w:rsid w:val="008148E7"/>
    <w:rsid w:val="00814960"/>
    <w:rsid w:val="00814B16"/>
    <w:rsid w:val="00814B6D"/>
    <w:rsid w:val="00814E05"/>
    <w:rsid w:val="00814ED8"/>
    <w:rsid w:val="00814EF8"/>
    <w:rsid w:val="00815083"/>
    <w:rsid w:val="0081517B"/>
    <w:rsid w:val="008151DF"/>
    <w:rsid w:val="008152DA"/>
    <w:rsid w:val="00815386"/>
    <w:rsid w:val="0081543E"/>
    <w:rsid w:val="00815454"/>
    <w:rsid w:val="008155C1"/>
    <w:rsid w:val="0081565B"/>
    <w:rsid w:val="0081565D"/>
    <w:rsid w:val="008156B4"/>
    <w:rsid w:val="0081577D"/>
    <w:rsid w:val="008157D4"/>
    <w:rsid w:val="00815818"/>
    <w:rsid w:val="008158FA"/>
    <w:rsid w:val="00815AC0"/>
    <w:rsid w:val="00815AE3"/>
    <w:rsid w:val="00815C71"/>
    <w:rsid w:val="00815DA2"/>
    <w:rsid w:val="00815F80"/>
    <w:rsid w:val="008161FA"/>
    <w:rsid w:val="00816277"/>
    <w:rsid w:val="008162C6"/>
    <w:rsid w:val="0081638B"/>
    <w:rsid w:val="008167D6"/>
    <w:rsid w:val="00816876"/>
    <w:rsid w:val="00816A57"/>
    <w:rsid w:val="00816AEB"/>
    <w:rsid w:val="00816BF9"/>
    <w:rsid w:val="00816C2B"/>
    <w:rsid w:val="00816CA9"/>
    <w:rsid w:val="00816DB8"/>
    <w:rsid w:val="00817102"/>
    <w:rsid w:val="00817256"/>
    <w:rsid w:val="0081733C"/>
    <w:rsid w:val="008173EE"/>
    <w:rsid w:val="008174B7"/>
    <w:rsid w:val="008174C3"/>
    <w:rsid w:val="008174D9"/>
    <w:rsid w:val="0081753D"/>
    <w:rsid w:val="0081781C"/>
    <w:rsid w:val="00817856"/>
    <w:rsid w:val="00817858"/>
    <w:rsid w:val="00817954"/>
    <w:rsid w:val="0081796A"/>
    <w:rsid w:val="00817ACA"/>
    <w:rsid w:val="00817B72"/>
    <w:rsid w:val="00817C2E"/>
    <w:rsid w:val="00817C4D"/>
    <w:rsid w:val="00817CD9"/>
    <w:rsid w:val="00817DC4"/>
    <w:rsid w:val="00817DF3"/>
    <w:rsid w:val="00817F4D"/>
    <w:rsid w:val="00817FF4"/>
    <w:rsid w:val="00820071"/>
    <w:rsid w:val="008203CC"/>
    <w:rsid w:val="0082045E"/>
    <w:rsid w:val="0082060D"/>
    <w:rsid w:val="008206A7"/>
    <w:rsid w:val="00820754"/>
    <w:rsid w:val="00820769"/>
    <w:rsid w:val="00820806"/>
    <w:rsid w:val="0082096B"/>
    <w:rsid w:val="00820B2C"/>
    <w:rsid w:val="00820C19"/>
    <w:rsid w:val="00820C36"/>
    <w:rsid w:val="00820C39"/>
    <w:rsid w:val="00820E1B"/>
    <w:rsid w:val="00820E5D"/>
    <w:rsid w:val="00820EEF"/>
    <w:rsid w:val="00820FC4"/>
    <w:rsid w:val="00821065"/>
    <w:rsid w:val="00821119"/>
    <w:rsid w:val="0082119B"/>
    <w:rsid w:val="008211EA"/>
    <w:rsid w:val="00821305"/>
    <w:rsid w:val="0082146F"/>
    <w:rsid w:val="00821471"/>
    <w:rsid w:val="008214CA"/>
    <w:rsid w:val="008214E1"/>
    <w:rsid w:val="008214E3"/>
    <w:rsid w:val="00821773"/>
    <w:rsid w:val="00821815"/>
    <w:rsid w:val="008219B3"/>
    <w:rsid w:val="00821A1B"/>
    <w:rsid w:val="00821ABE"/>
    <w:rsid w:val="00821B77"/>
    <w:rsid w:val="00821B80"/>
    <w:rsid w:val="00821CDA"/>
    <w:rsid w:val="00821D67"/>
    <w:rsid w:val="00821EBA"/>
    <w:rsid w:val="00821F24"/>
    <w:rsid w:val="00822029"/>
    <w:rsid w:val="008221CF"/>
    <w:rsid w:val="0082224D"/>
    <w:rsid w:val="008223AC"/>
    <w:rsid w:val="00822529"/>
    <w:rsid w:val="00822631"/>
    <w:rsid w:val="0082264D"/>
    <w:rsid w:val="00822CB8"/>
    <w:rsid w:val="00822DDC"/>
    <w:rsid w:val="00822E29"/>
    <w:rsid w:val="00822E2F"/>
    <w:rsid w:val="00823015"/>
    <w:rsid w:val="0082312F"/>
    <w:rsid w:val="00823216"/>
    <w:rsid w:val="00823439"/>
    <w:rsid w:val="0082361C"/>
    <w:rsid w:val="00823650"/>
    <w:rsid w:val="00823664"/>
    <w:rsid w:val="0082366A"/>
    <w:rsid w:val="008236F6"/>
    <w:rsid w:val="0082377F"/>
    <w:rsid w:val="00823C1C"/>
    <w:rsid w:val="00823E02"/>
    <w:rsid w:val="00823E6E"/>
    <w:rsid w:val="00823F04"/>
    <w:rsid w:val="00824042"/>
    <w:rsid w:val="008240F1"/>
    <w:rsid w:val="00824155"/>
    <w:rsid w:val="008242FE"/>
    <w:rsid w:val="0082445A"/>
    <w:rsid w:val="00824641"/>
    <w:rsid w:val="0082486C"/>
    <w:rsid w:val="008248E9"/>
    <w:rsid w:val="00824B7E"/>
    <w:rsid w:val="00824D57"/>
    <w:rsid w:val="00824E45"/>
    <w:rsid w:val="00824ED7"/>
    <w:rsid w:val="00824FDE"/>
    <w:rsid w:val="00825010"/>
    <w:rsid w:val="00825075"/>
    <w:rsid w:val="008252A1"/>
    <w:rsid w:val="0082531A"/>
    <w:rsid w:val="0082536C"/>
    <w:rsid w:val="00825376"/>
    <w:rsid w:val="008253B3"/>
    <w:rsid w:val="00825521"/>
    <w:rsid w:val="008256E3"/>
    <w:rsid w:val="008259B0"/>
    <w:rsid w:val="00825B98"/>
    <w:rsid w:val="00825CAE"/>
    <w:rsid w:val="00825E97"/>
    <w:rsid w:val="00825EE1"/>
    <w:rsid w:val="00826099"/>
    <w:rsid w:val="0082637E"/>
    <w:rsid w:val="008264B2"/>
    <w:rsid w:val="0082656B"/>
    <w:rsid w:val="00826570"/>
    <w:rsid w:val="008266A6"/>
    <w:rsid w:val="00826995"/>
    <w:rsid w:val="00826C12"/>
    <w:rsid w:val="00827072"/>
    <w:rsid w:val="00827146"/>
    <w:rsid w:val="0082721F"/>
    <w:rsid w:val="008275E7"/>
    <w:rsid w:val="008275F0"/>
    <w:rsid w:val="00827661"/>
    <w:rsid w:val="00827668"/>
    <w:rsid w:val="008277B0"/>
    <w:rsid w:val="008278DA"/>
    <w:rsid w:val="008278E1"/>
    <w:rsid w:val="00827DB5"/>
    <w:rsid w:val="008300A0"/>
    <w:rsid w:val="008306C9"/>
    <w:rsid w:val="008306DA"/>
    <w:rsid w:val="0083079E"/>
    <w:rsid w:val="0083084D"/>
    <w:rsid w:val="0083085A"/>
    <w:rsid w:val="0083089D"/>
    <w:rsid w:val="008309F9"/>
    <w:rsid w:val="00830B41"/>
    <w:rsid w:val="00830C3D"/>
    <w:rsid w:val="00830C55"/>
    <w:rsid w:val="00830D1E"/>
    <w:rsid w:val="00830D21"/>
    <w:rsid w:val="00830D22"/>
    <w:rsid w:val="00830D9D"/>
    <w:rsid w:val="00830E33"/>
    <w:rsid w:val="00830F9A"/>
    <w:rsid w:val="00831405"/>
    <w:rsid w:val="008315C5"/>
    <w:rsid w:val="00831630"/>
    <w:rsid w:val="00831639"/>
    <w:rsid w:val="00831661"/>
    <w:rsid w:val="008316E3"/>
    <w:rsid w:val="008319B8"/>
    <w:rsid w:val="008319C3"/>
    <w:rsid w:val="008319E8"/>
    <w:rsid w:val="00831A20"/>
    <w:rsid w:val="00831C11"/>
    <w:rsid w:val="00831CA8"/>
    <w:rsid w:val="00831F95"/>
    <w:rsid w:val="008320EC"/>
    <w:rsid w:val="00832150"/>
    <w:rsid w:val="0083223E"/>
    <w:rsid w:val="00832509"/>
    <w:rsid w:val="008325FF"/>
    <w:rsid w:val="008326A3"/>
    <w:rsid w:val="008326B3"/>
    <w:rsid w:val="0083277F"/>
    <w:rsid w:val="008327C3"/>
    <w:rsid w:val="00832D33"/>
    <w:rsid w:val="00832F51"/>
    <w:rsid w:val="00833584"/>
    <w:rsid w:val="00833760"/>
    <w:rsid w:val="0083392B"/>
    <w:rsid w:val="00833A96"/>
    <w:rsid w:val="00833CAF"/>
    <w:rsid w:val="00833D5C"/>
    <w:rsid w:val="00833E7A"/>
    <w:rsid w:val="0083436D"/>
    <w:rsid w:val="008343B7"/>
    <w:rsid w:val="00834453"/>
    <w:rsid w:val="008347BD"/>
    <w:rsid w:val="00834817"/>
    <w:rsid w:val="00834A37"/>
    <w:rsid w:val="00834A60"/>
    <w:rsid w:val="00834A94"/>
    <w:rsid w:val="00834EE2"/>
    <w:rsid w:val="00834F33"/>
    <w:rsid w:val="008350A7"/>
    <w:rsid w:val="00835290"/>
    <w:rsid w:val="0083531A"/>
    <w:rsid w:val="00835334"/>
    <w:rsid w:val="0083540E"/>
    <w:rsid w:val="00835413"/>
    <w:rsid w:val="00835485"/>
    <w:rsid w:val="0083551F"/>
    <w:rsid w:val="008356A4"/>
    <w:rsid w:val="008356DB"/>
    <w:rsid w:val="0083585C"/>
    <w:rsid w:val="00835BDC"/>
    <w:rsid w:val="00835BE0"/>
    <w:rsid w:val="00835BEC"/>
    <w:rsid w:val="00835CE1"/>
    <w:rsid w:val="00835D21"/>
    <w:rsid w:val="00835D34"/>
    <w:rsid w:val="008362BC"/>
    <w:rsid w:val="008362EF"/>
    <w:rsid w:val="008363D7"/>
    <w:rsid w:val="0083649D"/>
    <w:rsid w:val="0083656B"/>
    <w:rsid w:val="00836681"/>
    <w:rsid w:val="00836747"/>
    <w:rsid w:val="00836749"/>
    <w:rsid w:val="00836905"/>
    <w:rsid w:val="0083690F"/>
    <w:rsid w:val="00836986"/>
    <w:rsid w:val="008369D0"/>
    <w:rsid w:val="00836A90"/>
    <w:rsid w:val="00836B5E"/>
    <w:rsid w:val="00836C5B"/>
    <w:rsid w:val="00836DA8"/>
    <w:rsid w:val="00836E86"/>
    <w:rsid w:val="00836F1C"/>
    <w:rsid w:val="00837015"/>
    <w:rsid w:val="008370BF"/>
    <w:rsid w:val="00837174"/>
    <w:rsid w:val="00837480"/>
    <w:rsid w:val="0083763F"/>
    <w:rsid w:val="00837747"/>
    <w:rsid w:val="00837856"/>
    <w:rsid w:val="0083791C"/>
    <w:rsid w:val="008379DE"/>
    <w:rsid w:val="00837D0C"/>
    <w:rsid w:val="0084016C"/>
    <w:rsid w:val="00840296"/>
    <w:rsid w:val="00840446"/>
    <w:rsid w:val="00840495"/>
    <w:rsid w:val="008404A6"/>
    <w:rsid w:val="008405E7"/>
    <w:rsid w:val="008406D0"/>
    <w:rsid w:val="008407E6"/>
    <w:rsid w:val="00840863"/>
    <w:rsid w:val="0084090D"/>
    <w:rsid w:val="00840AEE"/>
    <w:rsid w:val="00840C4E"/>
    <w:rsid w:val="00840CA1"/>
    <w:rsid w:val="00840D63"/>
    <w:rsid w:val="00840DED"/>
    <w:rsid w:val="00840F7E"/>
    <w:rsid w:val="00840F83"/>
    <w:rsid w:val="00841025"/>
    <w:rsid w:val="008411AC"/>
    <w:rsid w:val="008411F8"/>
    <w:rsid w:val="00841363"/>
    <w:rsid w:val="008414FF"/>
    <w:rsid w:val="0084158B"/>
    <w:rsid w:val="00841609"/>
    <w:rsid w:val="00841684"/>
    <w:rsid w:val="008416A8"/>
    <w:rsid w:val="00841AC8"/>
    <w:rsid w:val="00842180"/>
    <w:rsid w:val="008423CF"/>
    <w:rsid w:val="0084243E"/>
    <w:rsid w:val="008425D0"/>
    <w:rsid w:val="008426F1"/>
    <w:rsid w:val="00842848"/>
    <w:rsid w:val="00842A09"/>
    <w:rsid w:val="00842AB5"/>
    <w:rsid w:val="00842C03"/>
    <w:rsid w:val="00842C1C"/>
    <w:rsid w:val="00842F6D"/>
    <w:rsid w:val="008430C9"/>
    <w:rsid w:val="00843492"/>
    <w:rsid w:val="00843592"/>
    <w:rsid w:val="0084361E"/>
    <w:rsid w:val="00843632"/>
    <w:rsid w:val="00843808"/>
    <w:rsid w:val="0084385F"/>
    <w:rsid w:val="00843944"/>
    <w:rsid w:val="00843B8D"/>
    <w:rsid w:val="00843DE8"/>
    <w:rsid w:val="00843DF6"/>
    <w:rsid w:val="00843E70"/>
    <w:rsid w:val="00843F82"/>
    <w:rsid w:val="00844002"/>
    <w:rsid w:val="00844033"/>
    <w:rsid w:val="008442A6"/>
    <w:rsid w:val="00844357"/>
    <w:rsid w:val="008443F6"/>
    <w:rsid w:val="00844584"/>
    <w:rsid w:val="00844586"/>
    <w:rsid w:val="00844697"/>
    <w:rsid w:val="008448F3"/>
    <w:rsid w:val="00844B5A"/>
    <w:rsid w:val="00844E17"/>
    <w:rsid w:val="00844E84"/>
    <w:rsid w:val="00844EFB"/>
    <w:rsid w:val="00844F66"/>
    <w:rsid w:val="00845022"/>
    <w:rsid w:val="00845151"/>
    <w:rsid w:val="0084539A"/>
    <w:rsid w:val="008454C4"/>
    <w:rsid w:val="00845522"/>
    <w:rsid w:val="0084556C"/>
    <w:rsid w:val="008455BF"/>
    <w:rsid w:val="008455EB"/>
    <w:rsid w:val="008456F2"/>
    <w:rsid w:val="00845745"/>
    <w:rsid w:val="00845C0C"/>
    <w:rsid w:val="00845D0E"/>
    <w:rsid w:val="00845D78"/>
    <w:rsid w:val="00845E39"/>
    <w:rsid w:val="00845EF5"/>
    <w:rsid w:val="0084613C"/>
    <w:rsid w:val="0084616E"/>
    <w:rsid w:val="008461CE"/>
    <w:rsid w:val="00846206"/>
    <w:rsid w:val="00846352"/>
    <w:rsid w:val="0084666F"/>
    <w:rsid w:val="00846888"/>
    <w:rsid w:val="008468FA"/>
    <w:rsid w:val="008469D0"/>
    <w:rsid w:val="00846C07"/>
    <w:rsid w:val="00846CE7"/>
    <w:rsid w:val="00846E87"/>
    <w:rsid w:val="00846EE1"/>
    <w:rsid w:val="00846EEA"/>
    <w:rsid w:val="008470D4"/>
    <w:rsid w:val="0084720C"/>
    <w:rsid w:val="0084741D"/>
    <w:rsid w:val="00847496"/>
    <w:rsid w:val="008474E7"/>
    <w:rsid w:val="0084773D"/>
    <w:rsid w:val="00847757"/>
    <w:rsid w:val="008478E5"/>
    <w:rsid w:val="00847913"/>
    <w:rsid w:val="00847951"/>
    <w:rsid w:val="0084796F"/>
    <w:rsid w:val="00847AEC"/>
    <w:rsid w:val="00847C24"/>
    <w:rsid w:val="00847DFE"/>
    <w:rsid w:val="00847FDA"/>
    <w:rsid w:val="0085013B"/>
    <w:rsid w:val="0085043F"/>
    <w:rsid w:val="00850511"/>
    <w:rsid w:val="00850539"/>
    <w:rsid w:val="00850619"/>
    <w:rsid w:val="008506DF"/>
    <w:rsid w:val="008506EE"/>
    <w:rsid w:val="00850819"/>
    <w:rsid w:val="008508CE"/>
    <w:rsid w:val="008509BA"/>
    <w:rsid w:val="00850A1D"/>
    <w:rsid w:val="00850B39"/>
    <w:rsid w:val="00850B4F"/>
    <w:rsid w:val="00850B77"/>
    <w:rsid w:val="00850CF7"/>
    <w:rsid w:val="00850E40"/>
    <w:rsid w:val="00851016"/>
    <w:rsid w:val="00851300"/>
    <w:rsid w:val="0085133F"/>
    <w:rsid w:val="00851368"/>
    <w:rsid w:val="00851376"/>
    <w:rsid w:val="0085184C"/>
    <w:rsid w:val="0085192B"/>
    <w:rsid w:val="00851AB3"/>
    <w:rsid w:val="00851B67"/>
    <w:rsid w:val="00851BB8"/>
    <w:rsid w:val="00851C05"/>
    <w:rsid w:val="00851C43"/>
    <w:rsid w:val="00851F86"/>
    <w:rsid w:val="00851FF7"/>
    <w:rsid w:val="008520AC"/>
    <w:rsid w:val="00852312"/>
    <w:rsid w:val="0085231D"/>
    <w:rsid w:val="00852324"/>
    <w:rsid w:val="00852442"/>
    <w:rsid w:val="00852445"/>
    <w:rsid w:val="008525D0"/>
    <w:rsid w:val="0085260D"/>
    <w:rsid w:val="008529EC"/>
    <w:rsid w:val="00852A0C"/>
    <w:rsid w:val="00852B1A"/>
    <w:rsid w:val="00852B3F"/>
    <w:rsid w:val="00852B7A"/>
    <w:rsid w:val="00852FD9"/>
    <w:rsid w:val="008530A6"/>
    <w:rsid w:val="00853285"/>
    <w:rsid w:val="008533A1"/>
    <w:rsid w:val="00853597"/>
    <w:rsid w:val="0085365B"/>
    <w:rsid w:val="008536BD"/>
    <w:rsid w:val="008537A7"/>
    <w:rsid w:val="00853B25"/>
    <w:rsid w:val="00853CF9"/>
    <w:rsid w:val="00853D8F"/>
    <w:rsid w:val="00853EE0"/>
    <w:rsid w:val="00853EF8"/>
    <w:rsid w:val="00853FE4"/>
    <w:rsid w:val="0085404C"/>
    <w:rsid w:val="0085414E"/>
    <w:rsid w:val="008541DE"/>
    <w:rsid w:val="0085446C"/>
    <w:rsid w:val="00854724"/>
    <w:rsid w:val="00854759"/>
    <w:rsid w:val="0085482F"/>
    <w:rsid w:val="00854CA4"/>
    <w:rsid w:val="00854D26"/>
    <w:rsid w:val="00854DC0"/>
    <w:rsid w:val="00854EFE"/>
    <w:rsid w:val="00854F61"/>
    <w:rsid w:val="00855041"/>
    <w:rsid w:val="0085525B"/>
    <w:rsid w:val="00855266"/>
    <w:rsid w:val="00855291"/>
    <w:rsid w:val="008552E6"/>
    <w:rsid w:val="00855322"/>
    <w:rsid w:val="00855331"/>
    <w:rsid w:val="008553AD"/>
    <w:rsid w:val="008553E7"/>
    <w:rsid w:val="008555A4"/>
    <w:rsid w:val="008556E8"/>
    <w:rsid w:val="008558A5"/>
    <w:rsid w:val="008558F6"/>
    <w:rsid w:val="008558FA"/>
    <w:rsid w:val="00855A2E"/>
    <w:rsid w:val="00855B5F"/>
    <w:rsid w:val="00855C3B"/>
    <w:rsid w:val="00855CD7"/>
    <w:rsid w:val="00855F20"/>
    <w:rsid w:val="0085600B"/>
    <w:rsid w:val="008561A0"/>
    <w:rsid w:val="008562E4"/>
    <w:rsid w:val="00856315"/>
    <w:rsid w:val="008564AF"/>
    <w:rsid w:val="0085655D"/>
    <w:rsid w:val="00856631"/>
    <w:rsid w:val="008566A1"/>
    <w:rsid w:val="00856700"/>
    <w:rsid w:val="00856ACD"/>
    <w:rsid w:val="00856DB4"/>
    <w:rsid w:val="00856DCA"/>
    <w:rsid w:val="008570F9"/>
    <w:rsid w:val="0085717C"/>
    <w:rsid w:val="0085719F"/>
    <w:rsid w:val="008571CB"/>
    <w:rsid w:val="00857239"/>
    <w:rsid w:val="008573B6"/>
    <w:rsid w:val="00857426"/>
    <w:rsid w:val="00857578"/>
    <w:rsid w:val="0085757B"/>
    <w:rsid w:val="008575F2"/>
    <w:rsid w:val="0085792B"/>
    <w:rsid w:val="0085794A"/>
    <w:rsid w:val="00857BF8"/>
    <w:rsid w:val="00857D2C"/>
    <w:rsid w:val="00857D89"/>
    <w:rsid w:val="00857DF3"/>
    <w:rsid w:val="0086009E"/>
    <w:rsid w:val="008600AD"/>
    <w:rsid w:val="008602F2"/>
    <w:rsid w:val="00860343"/>
    <w:rsid w:val="00860508"/>
    <w:rsid w:val="00860635"/>
    <w:rsid w:val="00860843"/>
    <w:rsid w:val="0086099F"/>
    <w:rsid w:val="00860B21"/>
    <w:rsid w:val="00860B3C"/>
    <w:rsid w:val="00860B59"/>
    <w:rsid w:val="00860B79"/>
    <w:rsid w:val="00860B82"/>
    <w:rsid w:val="00860C40"/>
    <w:rsid w:val="00860F10"/>
    <w:rsid w:val="0086113A"/>
    <w:rsid w:val="008611C0"/>
    <w:rsid w:val="008612A2"/>
    <w:rsid w:val="008612F6"/>
    <w:rsid w:val="00861390"/>
    <w:rsid w:val="00861514"/>
    <w:rsid w:val="0086151E"/>
    <w:rsid w:val="0086169E"/>
    <w:rsid w:val="008617E7"/>
    <w:rsid w:val="00861A7C"/>
    <w:rsid w:val="00861A8C"/>
    <w:rsid w:val="00861BEF"/>
    <w:rsid w:val="00861C16"/>
    <w:rsid w:val="00861D9E"/>
    <w:rsid w:val="00861E63"/>
    <w:rsid w:val="00861E8F"/>
    <w:rsid w:val="00861F28"/>
    <w:rsid w:val="00862154"/>
    <w:rsid w:val="008621A1"/>
    <w:rsid w:val="008622C7"/>
    <w:rsid w:val="00862544"/>
    <w:rsid w:val="00862555"/>
    <w:rsid w:val="00862873"/>
    <w:rsid w:val="00862879"/>
    <w:rsid w:val="0086287F"/>
    <w:rsid w:val="00862923"/>
    <w:rsid w:val="00862B63"/>
    <w:rsid w:val="00862B98"/>
    <w:rsid w:val="00862CE3"/>
    <w:rsid w:val="00862FC4"/>
    <w:rsid w:val="00863041"/>
    <w:rsid w:val="0086304C"/>
    <w:rsid w:val="008634D0"/>
    <w:rsid w:val="00863877"/>
    <w:rsid w:val="008638A2"/>
    <w:rsid w:val="008638E0"/>
    <w:rsid w:val="0086396F"/>
    <w:rsid w:val="00863A09"/>
    <w:rsid w:val="00863A59"/>
    <w:rsid w:val="00863BAB"/>
    <w:rsid w:val="00863C58"/>
    <w:rsid w:val="0086400E"/>
    <w:rsid w:val="008640B6"/>
    <w:rsid w:val="008646C8"/>
    <w:rsid w:val="00864892"/>
    <w:rsid w:val="00864957"/>
    <w:rsid w:val="00864DB6"/>
    <w:rsid w:val="00864F8F"/>
    <w:rsid w:val="00864FA6"/>
    <w:rsid w:val="00864FEC"/>
    <w:rsid w:val="00865027"/>
    <w:rsid w:val="00865185"/>
    <w:rsid w:val="008652DA"/>
    <w:rsid w:val="0086531E"/>
    <w:rsid w:val="00865371"/>
    <w:rsid w:val="00865373"/>
    <w:rsid w:val="00865578"/>
    <w:rsid w:val="0086557F"/>
    <w:rsid w:val="0086578C"/>
    <w:rsid w:val="00865998"/>
    <w:rsid w:val="008659B1"/>
    <w:rsid w:val="0086601D"/>
    <w:rsid w:val="0086613A"/>
    <w:rsid w:val="008661EC"/>
    <w:rsid w:val="0086624B"/>
    <w:rsid w:val="00866469"/>
    <w:rsid w:val="00866540"/>
    <w:rsid w:val="0086665F"/>
    <w:rsid w:val="0086679F"/>
    <w:rsid w:val="00866ABC"/>
    <w:rsid w:val="00866B71"/>
    <w:rsid w:val="00866C13"/>
    <w:rsid w:val="00866C82"/>
    <w:rsid w:val="00866C92"/>
    <w:rsid w:val="00866F4A"/>
    <w:rsid w:val="00867030"/>
    <w:rsid w:val="00867098"/>
    <w:rsid w:val="008670A7"/>
    <w:rsid w:val="00867349"/>
    <w:rsid w:val="0086741A"/>
    <w:rsid w:val="00867431"/>
    <w:rsid w:val="00867438"/>
    <w:rsid w:val="008674C6"/>
    <w:rsid w:val="008674DD"/>
    <w:rsid w:val="008674F0"/>
    <w:rsid w:val="00867734"/>
    <w:rsid w:val="0086788C"/>
    <w:rsid w:val="00867BC0"/>
    <w:rsid w:val="00867BC5"/>
    <w:rsid w:val="00867C71"/>
    <w:rsid w:val="00867E6B"/>
    <w:rsid w:val="00867F23"/>
    <w:rsid w:val="008700E5"/>
    <w:rsid w:val="008701BC"/>
    <w:rsid w:val="0087025D"/>
    <w:rsid w:val="008703EA"/>
    <w:rsid w:val="0087069E"/>
    <w:rsid w:val="008706AA"/>
    <w:rsid w:val="008706BE"/>
    <w:rsid w:val="008706E0"/>
    <w:rsid w:val="00870703"/>
    <w:rsid w:val="00870859"/>
    <w:rsid w:val="008708A4"/>
    <w:rsid w:val="008709C2"/>
    <w:rsid w:val="00870B0E"/>
    <w:rsid w:val="00870B61"/>
    <w:rsid w:val="00870DA7"/>
    <w:rsid w:val="00870DC4"/>
    <w:rsid w:val="00870DD6"/>
    <w:rsid w:val="00870F3A"/>
    <w:rsid w:val="00871085"/>
    <w:rsid w:val="00871297"/>
    <w:rsid w:val="008712A0"/>
    <w:rsid w:val="008712D3"/>
    <w:rsid w:val="00871750"/>
    <w:rsid w:val="0087185B"/>
    <w:rsid w:val="00871991"/>
    <w:rsid w:val="00871B14"/>
    <w:rsid w:val="00871F21"/>
    <w:rsid w:val="00872126"/>
    <w:rsid w:val="00872163"/>
    <w:rsid w:val="0087248D"/>
    <w:rsid w:val="00872554"/>
    <w:rsid w:val="0087273F"/>
    <w:rsid w:val="008727F0"/>
    <w:rsid w:val="00872966"/>
    <w:rsid w:val="00872B07"/>
    <w:rsid w:val="00872B96"/>
    <w:rsid w:val="00872BE8"/>
    <w:rsid w:val="00872C8A"/>
    <w:rsid w:val="00872CD2"/>
    <w:rsid w:val="00872D00"/>
    <w:rsid w:val="00872D37"/>
    <w:rsid w:val="00872EA4"/>
    <w:rsid w:val="00872FE7"/>
    <w:rsid w:val="0087305A"/>
    <w:rsid w:val="00873343"/>
    <w:rsid w:val="00873389"/>
    <w:rsid w:val="008733D6"/>
    <w:rsid w:val="0087352E"/>
    <w:rsid w:val="008736B8"/>
    <w:rsid w:val="00873939"/>
    <w:rsid w:val="0087395C"/>
    <w:rsid w:val="008739B2"/>
    <w:rsid w:val="008739BD"/>
    <w:rsid w:val="00873A79"/>
    <w:rsid w:val="00873DCB"/>
    <w:rsid w:val="00873E2C"/>
    <w:rsid w:val="00873E9F"/>
    <w:rsid w:val="00873F39"/>
    <w:rsid w:val="00873F68"/>
    <w:rsid w:val="00873F89"/>
    <w:rsid w:val="0087406B"/>
    <w:rsid w:val="008743E1"/>
    <w:rsid w:val="00874557"/>
    <w:rsid w:val="0087456E"/>
    <w:rsid w:val="00874837"/>
    <w:rsid w:val="00874ACE"/>
    <w:rsid w:val="00874B2E"/>
    <w:rsid w:val="00874C08"/>
    <w:rsid w:val="00874C32"/>
    <w:rsid w:val="00874C5D"/>
    <w:rsid w:val="00874CAD"/>
    <w:rsid w:val="00874CE2"/>
    <w:rsid w:val="00874D2B"/>
    <w:rsid w:val="00874E20"/>
    <w:rsid w:val="00874F13"/>
    <w:rsid w:val="00874F68"/>
    <w:rsid w:val="00875114"/>
    <w:rsid w:val="008754F5"/>
    <w:rsid w:val="00875509"/>
    <w:rsid w:val="008755F2"/>
    <w:rsid w:val="00875633"/>
    <w:rsid w:val="0087572C"/>
    <w:rsid w:val="008757B9"/>
    <w:rsid w:val="00875B48"/>
    <w:rsid w:val="00875BB3"/>
    <w:rsid w:val="00875C27"/>
    <w:rsid w:val="00875DC7"/>
    <w:rsid w:val="00875EAC"/>
    <w:rsid w:val="00875F08"/>
    <w:rsid w:val="00876217"/>
    <w:rsid w:val="00876371"/>
    <w:rsid w:val="008764DF"/>
    <w:rsid w:val="008764E6"/>
    <w:rsid w:val="008765D6"/>
    <w:rsid w:val="00876737"/>
    <w:rsid w:val="00876DEA"/>
    <w:rsid w:val="00876FD1"/>
    <w:rsid w:val="00877068"/>
    <w:rsid w:val="008772F0"/>
    <w:rsid w:val="0087736F"/>
    <w:rsid w:val="00877553"/>
    <w:rsid w:val="00877655"/>
    <w:rsid w:val="0087767B"/>
    <w:rsid w:val="00877778"/>
    <w:rsid w:val="00877835"/>
    <w:rsid w:val="0087793D"/>
    <w:rsid w:val="0087793F"/>
    <w:rsid w:val="008779AC"/>
    <w:rsid w:val="008779B2"/>
    <w:rsid w:val="00877CB7"/>
    <w:rsid w:val="00880008"/>
    <w:rsid w:val="00880074"/>
    <w:rsid w:val="00880113"/>
    <w:rsid w:val="008801AF"/>
    <w:rsid w:val="00880280"/>
    <w:rsid w:val="00880328"/>
    <w:rsid w:val="0088041A"/>
    <w:rsid w:val="00880705"/>
    <w:rsid w:val="00880834"/>
    <w:rsid w:val="0088087A"/>
    <w:rsid w:val="008808F3"/>
    <w:rsid w:val="008809C7"/>
    <w:rsid w:val="00880A2B"/>
    <w:rsid w:val="00880B05"/>
    <w:rsid w:val="00880B6D"/>
    <w:rsid w:val="00880E15"/>
    <w:rsid w:val="008810C2"/>
    <w:rsid w:val="008815A2"/>
    <w:rsid w:val="00881635"/>
    <w:rsid w:val="0088164C"/>
    <w:rsid w:val="008816B3"/>
    <w:rsid w:val="0088175E"/>
    <w:rsid w:val="008818DD"/>
    <w:rsid w:val="008819D3"/>
    <w:rsid w:val="00881A17"/>
    <w:rsid w:val="00881B9E"/>
    <w:rsid w:val="00881BEC"/>
    <w:rsid w:val="00881CF3"/>
    <w:rsid w:val="00881CFB"/>
    <w:rsid w:val="00881D96"/>
    <w:rsid w:val="00881EB6"/>
    <w:rsid w:val="00881F22"/>
    <w:rsid w:val="0088206B"/>
    <w:rsid w:val="008820DD"/>
    <w:rsid w:val="0088223F"/>
    <w:rsid w:val="008823B2"/>
    <w:rsid w:val="00882420"/>
    <w:rsid w:val="008824D6"/>
    <w:rsid w:val="008825CE"/>
    <w:rsid w:val="00882692"/>
    <w:rsid w:val="0088269C"/>
    <w:rsid w:val="0088292F"/>
    <w:rsid w:val="00882A46"/>
    <w:rsid w:val="00882AA3"/>
    <w:rsid w:val="00882BB6"/>
    <w:rsid w:val="00882E12"/>
    <w:rsid w:val="00882EA1"/>
    <w:rsid w:val="00882EF3"/>
    <w:rsid w:val="00882F9C"/>
    <w:rsid w:val="008830E6"/>
    <w:rsid w:val="00883520"/>
    <w:rsid w:val="008835B5"/>
    <w:rsid w:val="008838F4"/>
    <w:rsid w:val="00883927"/>
    <w:rsid w:val="00883ACD"/>
    <w:rsid w:val="00883AEC"/>
    <w:rsid w:val="00883E52"/>
    <w:rsid w:val="00883E9B"/>
    <w:rsid w:val="00883ED6"/>
    <w:rsid w:val="00884007"/>
    <w:rsid w:val="0088400B"/>
    <w:rsid w:val="00884037"/>
    <w:rsid w:val="008840B6"/>
    <w:rsid w:val="008843D7"/>
    <w:rsid w:val="00884435"/>
    <w:rsid w:val="0088443D"/>
    <w:rsid w:val="0088454B"/>
    <w:rsid w:val="00884561"/>
    <w:rsid w:val="00884650"/>
    <w:rsid w:val="00884659"/>
    <w:rsid w:val="00884747"/>
    <w:rsid w:val="00884920"/>
    <w:rsid w:val="008849A6"/>
    <w:rsid w:val="00884A00"/>
    <w:rsid w:val="00884C8D"/>
    <w:rsid w:val="00884D3E"/>
    <w:rsid w:val="00884EA7"/>
    <w:rsid w:val="008850F8"/>
    <w:rsid w:val="008851B2"/>
    <w:rsid w:val="008851B7"/>
    <w:rsid w:val="00885229"/>
    <w:rsid w:val="008853CD"/>
    <w:rsid w:val="0088561C"/>
    <w:rsid w:val="008857B9"/>
    <w:rsid w:val="00885889"/>
    <w:rsid w:val="008858B6"/>
    <w:rsid w:val="008859F9"/>
    <w:rsid w:val="00885AB6"/>
    <w:rsid w:val="00885CD6"/>
    <w:rsid w:val="00885EC8"/>
    <w:rsid w:val="00885F4A"/>
    <w:rsid w:val="008860A8"/>
    <w:rsid w:val="008860FD"/>
    <w:rsid w:val="00886284"/>
    <w:rsid w:val="00886386"/>
    <w:rsid w:val="008863B5"/>
    <w:rsid w:val="0088643F"/>
    <w:rsid w:val="00886662"/>
    <w:rsid w:val="008867A1"/>
    <w:rsid w:val="0088680E"/>
    <w:rsid w:val="008868A4"/>
    <w:rsid w:val="00886A78"/>
    <w:rsid w:val="00886C1C"/>
    <w:rsid w:val="00886C3C"/>
    <w:rsid w:val="00887018"/>
    <w:rsid w:val="008870EA"/>
    <w:rsid w:val="0088735F"/>
    <w:rsid w:val="0088738D"/>
    <w:rsid w:val="008873F8"/>
    <w:rsid w:val="0088745A"/>
    <w:rsid w:val="008874C3"/>
    <w:rsid w:val="00887708"/>
    <w:rsid w:val="00887A19"/>
    <w:rsid w:val="00887A37"/>
    <w:rsid w:val="00887C47"/>
    <w:rsid w:val="00887FD5"/>
    <w:rsid w:val="0089019D"/>
    <w:rsid w:val="00890307"/>
    <w:rsid w:val="0089044A"/>
    <w:rsid w:val="008905FB"/>
    <w:rsid w:val="00890666"/>
    <w:rsid w:val="00890773"/>
    <w:rsid w:val="00890873"/>
    <w:rsid w:val="008909DA"/>
    <w:rsid w:val="00890A1D"/>
    <w:rsid w:val="00890B4D"/>
    <w:rsid w:val="00890D40"/>
    <w:rsid w:val="00890E8E"/>
    <w:rsid w:val="00890EF6"/>
    <w:rsid w:val="00890F47"/>
    <w:rsid w:val="0089129D"/>
    <w:rsid w:val="008913C0"/>
    <w:rsid w:val="008914E5"/>
    <w:rsid w:val="008915B9"/>
    <w:rsid w:val="00891689"/>
    <w:rsid w:val="00891723"/>
    <w:rsid w:val="008917E6"/>
    <w:rsid w:val="0089180C"/>
    <w:rsid w:val="00891952"/>
    <w:rsid w:val="00891A0D"/>
    <w:rsid w:val="00891AEB"/>
    <w:rsid w:val="00891B07"/>
    <w:rsid w:val="00891B65"/>
    <w:rsid w:val="00891B77"/>
    <w:rsid w:val="00891C90"/>
    <w:rsid w:val="00891D05"/>
    <w:rsid w:val="00891D3C"/>
    <w:rsid w:val="00891DCD"/>
    <w:rsid w:val="00891F7C"/>
    <w:rsid w:val="00891FD0"/>
    <w:rsid w:val="00891FD9"/>
    <w:rsid w:val="0089200A"/>
    <w:rsid w:val="008921A1"/>
    <w:rsid w:val="008922D8"/>
    <w:rsid w:val="00892341"/>
    <w:rsid w:val="00892413"/>
    <w:rsid w:val="0089265B"/>
    <w:rsid w:val="0089265F"/>
    <w:rsid w:val="008926EE"/>
    <w:rsid w:val="0089273A"/>
    <w:rsid w:val="00892BD6"/>
    <w:rsid w:val="00892EC7"/>
    <w:rsid w:val="00892F71"/>
    <w:rsid w:val="00892FDE"/>
    <w:rsid w:val="008930C1"/>
    <w:rsid w:val="008931E6"/>
    <w:rsid w:val="0089320A"/>
    <w:rsid w:val="0089352A"/>
    <w:rsid w:val="008937BC"/>
    <w:rsid w:val="008938C0"/>
    <w:rsid w:val="0089396C"/>
    <w:rsid w:val="00893A35"/>
    <w:rsid w:val="00893BFB"/>
    <w:rsid w:val="00893F22"/>
    <w:rsid w:val="0089402B"/>
    <w:rsid w:val="00894055"/>
    <w:rsid w:val="008943BA"/>
    <w:rsid w:val="008943DB"/>
    <w:rsid w:val="0089445B"/>
    <w:rsid w:val="008944BF"/>
    <w:rsid w:val="00894545"/>
    <w:rsid w:val="0089456E"/>
    <w:rsid w:val="0089488E"/>
    <w:rsid w:val="0089492B"/>
    <w:rsid w:val="00894A38"/>
    <w:rsid w:val="00894A51"/>
    <w:rsid w:val="00894C09"/>
    <w:rsid w:val="00894C91"/>
    <w:rsid w:val="00894CFF"/>
    <w:rsid w:val="00894DD2"/>
    <w:rsid w:val="00894F1C"/>
    <w:rsid w:val="00894F4A"/>
    <w:rsid w:val="00895035"/>
    <w:rsid w:val="00895150"/>
    <w:rsid w:val="0089520E"/>
    <w:rsid w:val="008952BB"/>
    <w:rsid w:val="00895321"/>
    <w:rsid w:val="0089532B"/>
    <w:rsid w:val="00895338"/>
    <w:rsid w:val="00895426"/>
    <w:rsid w:val="00895501"/>
    <w:rsid w:val="00895769"/>
    <w:rsid w:val="00895832"/>
    <w:rsid w:val="0089594D"/>
    <w:rsid w:val="00895B4E"/>
    <w:rsid w:val="00895C5B"/>
    <w:rsid w:val="00895E8D"/>
    <w:rsid w:val="00895FE8"/>
    <w:rsid w:val="00896026"/>
    <w:rsid w:val="008961C3"/>
    <w:rsid w:val="00896479"/>
    <w:rsid w:val="0089655A"/>
    <w:rsid w:val="0089658C"/>
    <w:rsid w:val="008965AE"/>
    <w:rsid w:val="008965FB"/>
    <w:rsid w:val="00896732"/>
    <w:rsid w:val="0089695A"/>
    <w:rsid w:val="008969A9"/>
    <w:rsid w:val="00896D09"/>
    <w:rsid w:val="00896DA5"/>
    <w:rsid w:val="00896E59"/>
    <w:rsid w:val="00897166"/>
    <w:rsid w:val="00897181"/>
    <w:rsid w:val="008972CF"/>
    <w:rsid w:val="008975CA"/>
    <w:rsid w:val="008975F8"/>
    <w:rsid w:val="0089763E"/>
    <w:rsid w:val="008978E1"/>
    <w:rsid w:val="00897AE4"/>
    <w:rsid w:val="00897F0A"/>
    <w:rsid w:val="00897F77"/>
    <w:rsid w:val="008A0205"/>
    <w:rsid w:val="008A02F2"/>
    <w:rsid w:val="008A0386"/>
    <w:rsid w:val="008A03F5"/>
    <w:rsid w:val="008A0574"/>
    <w:rsid w:val="008A0721"/>
    <w:rsid w:val="008A0AC4"/>
    <w:rsid w:val="008A0AEE"/>
    <w:rsid w:val="008A0C1A"/>
    <w:rsid w:val="008A0E10"/>
    <w:rsid w:val="008A0FD9"/>
    <w:rsid w:val="008A1280"/>
    <w:rsid w:val="008A129E"/>
    <w:rsid w:val="008A12A3"/>
    <w:rsid w:val="008A1420"/>
    <w:rsid w:val="008A16DA"/>
    <w:rsid w:val="008A173B"/>
    <w:rsid w:val="008A17F9"/>
    <w:rsid w:val="008A18B2"/>
    <w:rsid w:val="008A19EF"/>
    <w:rsid w:val="008A1ACB"/>
    <w:rsid w:val="008A1DCA"/>
    <w:rsid w:val="008A1DE5"/>
    <w:rsid w:val="008A1E95"/>
    <w:rsid w:val="008A20FE"/>
    <w:rsid w:val="008A2257"/>
    <w:rsid w:val="008A23AC"/>
    <w:rsid w:val="008A2694"/>
    <w:rsid w:val="008A27D8"/>
    <w:rsid w:val="008A28B4"/>
    <w:rsid w:val="008A29D3"/>
    <w:rsid w:val="008A29E1"/>
    <w:rsid w:val="008A2B03"/>
    <w:rsid w:val="008A2C80"/>
    <w:rsid w:val="008A2CAC"/>
    <w:rsid w:val="008A2CF7"/>
    <w:rsid w:val="008A2E86"/>
    <w:rsid w:val="008A2F54"/>
    <w:rsid w:val="008A2F88"/>
    <w:rsid w:val="008A3015"/>
    <w:rsid w:val="008A30EE"/>
    <w:rsid w:val="008A32A7"/>
    <w:rsid w:val="008A3697"/>
    <w:rsid w:val="008A3767"/>
    <w:rsid w:val="008A37BA"/>
    <w:rsid w:val="008A37DE"/>
    <w:rsid w:val="008A38C0"/>
    <w:rsid w:val="008A3992"/>
    <w:rsid w:val="008A39A7"/>
    <w:rsid w:val="008A3BA5"/>
    <w:rsid w:val="008A3CDA"/>
    <w:rsid w:val="008A3D51"/>
    <w:rsid w:val="008A3DB9"/>
    <w:rsid w:val="008A3FAC"/>
    <w:rsid w:val="008A3FC6"/>
    <w:rsid w:val="008A40BB"/>
    <w:rsid w:val="008A40C3"/>
    <w:rsid w:val="008A4237"/>
    <w:rsid w:val="008A4428"/>
    <w:rsid w:val="008A44B3"/>
    <w:rsid w:val="008A453E"/>
    <w:rsid w:val="008A4548"/>
    <w:rsid w:val="008A455F"/>
    <w:rsid w:val="008A4620"/>
    <w:rsid w:val="008A4639"/>
    <w:rsid w:val="008A47F1"/>
    <w:rsid w:val="008A4A13"/>
    <w:rsid w:val="008A4BFD"/>
    <w:rsid w:val="008A4DE1"/>
    <w:rsid w:val="008A4F52"/>
    <w:rsid w:val="008A5161"/>
    <w:rsid w:val="008A519F"/>
    <w:rsid w:val="008A5295"/>
    <w:rsid w:val="008A53EB"/>
    <w:rsid w:val="008A560E"/>
    <w:rsid w:val="008A5AB9"/>
    <w:rsid w:val="008A5B5B"/>
    <w:rsid w:val="008A5C7B"/>
    <w:rsid w:val="008A5CC4"/>
    <w:rsid w:val="008A5F2B"/>
    <w:rsid w:val="008A62BE"/>
    <w:rsid w:val="008A62D0"/>
    <w:rsid w:val="008A632A"/>
    <w:rsid w:val="008A6371"/>
    <w:rsid w:val="008A6375"/>
    <w:rsid w:val="008A65DD"/>
    <w:rsid w:val="008A6613"/>
    <w:rsid w:val="008A681C"/>
    <w:rsid w:val="008A69B2"/>
    <w:rsid w:val="008A6BCE"/>
    <w:rsid w:val="008A6BD1"/>
    <w:rsid w:val="008A6C24"/>
    <w:rsid w:val="008A6D65"/>
    <w:rsid w:val="008A6E4F"/>
    <w:rsid w:val="008A6F56"/>
    <w:rsid w:val="008A7058"/>
    <w:rsid w:val="008A7210"/>
    <w:rsid w:val="008A786C"/>
    <w:rsid w:val="008A7AD9"/>
    <w:rsid w:val="008A7DFC"/>
    <w:rsid w:val="008A7FBA"/>
    <w:rsid w:val="008B0167"/>
    <w:rsid w:val="008B021D"/>
    <w:rsid w:val="008B0304"/>
    <w:rsid w:val="008B0313"/>
    <w:rsid w:val="008B041A"/>
    <w:rsid w:val="008B0645"/>
    <w:rsid w:val="008B0667"/>
    <w:rsid w:val="008B076E"/>
    <w:rsid w:val="008B079D"/>
    <w:rsid w:val="008B07D8"/>
    <w:rsid w:val="008B09E3"/>
    <w:rsid w:val="008B0A34"/>
    <w:rsid w:val="008B0BED"/>
    <w:rsid w:val="008B0C31"/>
    <w:rsid w:val="008B0C4F"/>
    <w:rsid w:val="008B0CB9"/>
    <w:rsid w:val="008B0D57"/>
    <w:rsid w:val="008B0F06"/>
    <w:rsid w:val="008B0FAC"/>
    <w:rsid w:val="008B139C"/>
    <w:rsid w:val="008B13EF"/>
    <w:rsid w:val="008B1483"/>
    <w:rsid w:val="008B14BD"/>
    <w:rsid w:val="008B1577"/>
    <w:rsid w:val="008B1672"/>
    <w:rsid w:val="008B177B"/>
    <w:rsid w:val="008B1862"/>
    <w:rsid w:val="008B18AE"/>
    <w:rsid w:val="008B1AD3"/>
    <w:rsid w:val="008B1F54"/>
    <w:rsid w:val="008B2173"/>
    <w:rsid w:val="008B21F2"/>
    <w:rsid w:val="008B2335"/>
    <w:rsid w:val="008B24E6"/>
    <w:rsid w:val="008B2569"/>
    <w:rsid w:val="008B2618"/>
    <w:rsid w:val="008B2850"/>
    <w:rsid w:val="008B28B8"/>
    <w:rsid w:val="008B2967"/>
    <w:rsid w:val="008B2B27"/>
    <w:rsid w:val="008B2BEB"/>
    <w:rsid w:val="008B2C53"/>
    <w:rsid w:val="008B2CA2"/>
    <w:rsid w:val="008B2D22"/>
    <w:rsid w:val="008B2E33"/>
    <w:rsid w:val="008B307A"/>
    <w:rsid w:val="008B30A3"/>
    <w:rsid w:val="008B318C"/>
    <w:rsid w:val="008B31A6"/>
    <w:rsid w:val="008B344A"/>
    <w:rsid w:val="008B354F"/>
    <w:rsid w:val="008B376E"/>
    <w:rsid w:val="008B3855"/>
    <w:rsid w:val="008B3864"/>
    <w:rsid w:val="008B3994"/>
    <w:rsid w:val="008B3A37"/>
    <w:rsid w:val="008B3B09"/>
    <w:rsid w:val="008B3B99"/>
    <w:rsid w:val="008B3C5D"/>
    <w:rsid w:val="008B3DA4"/>
    <w:rsid w:val="008B3E22"/>
    <w:rsid w:val="008B3E26"/>
    <w:rsid w:val="008B3F4C"/>
    <w:rsid w:val="008B403E"/>
    <w:rsid w:val="008B4277"/>
    <w:rsid w:val="008B4299"/>
    <w:rsid w:val="008B4342"/>
    <w:rsid w:val="008B4803"/>
    <w:rsid w:val="008B487D"/>
    <w:rsid w:val="008B48CD"/>
    <w:rsid w:val="008B4951"/>
    <w:rsid w:val="008B4B94"/>
    <w:rsid w:val="008B4FB8"/>
    <w:rsid w:val="008B4FC5"/>
    <w:rsid w:val="008B5036"/>
    <w:rsid w:val="008B50DF"/>
    <w:rsid w:val="008B52A6"/>
    <w:rsid w:val="008B53F7"/>
    <w:rsid w:val="008B561A"/>
    <w:rsid w:val="008B5710"/>
    <w:rsid w:val="008B58F8"/>
    <w:rsid w:val="008B5965"/>
    <w:rsid w:val="008B59F1"/>
    <w:rsid w:val="008B5A09"/>
    <w:rsid w:val="008B5AEE"/>
    <w:rsid w:val="008B5C56"/>
    <w:rsid w:val="008B5CF6"/>
    <w:rsid w:val="008B5D87"/>
    <w:rsid w:val="008B5D92"/>
    <w:rsid w:val="008B5DBD"/>
    <w:rsid w:val="008B5FF5"/>
    <w:rsid w:val="008B6064"/>
    <w:rsid w:val="008B612C"/>
    <w:rsid w:val="008B63BA"/>
    <w:rsid w:val="008B63DC"/>
    <w:rsid w:val="008B6482"/>
    <w:rsid w:val="008B652B"/>
    <w:rsid w:val="008B662B"/>
    <w:rsid w:val="008B6630"/>
    <w:rsid w:val="008B6726"/>
    <w:rsid w:val="008B6BD0"/>
    <w:rsid w:val="008B6D5F"/>
    <w:rsid w:val="008B6D86"/>
    <w:rsid w:val="008B6DB5"/>
    <w:rsid w:val="008B7538"/>
    <w:rsid w:val="008B7812"/>
    <w:rsid w:val="008B789B"/>
    <w:rsid w:val="008B79A3"/>
    <w:rsid w:val="008B7A0E"/>
    <w:rsid w:val="008B7A9E"/>
    <w:rsid w:val="008B7B3E"/>
    <w:rsid w:val="008B7BE0"/>
    <w:rsid w:val="008B7EA1"/>
    <w:rsid w:val="008B7EBA"/>
    <w:rsid w:val="008B7F2D"/>
    <w:rsid w:val="008B7F36"/>
    <w:rsid w:val="008B7FD2"/>
    <w:rsid w:val="008C00D5"/>
    <w:rsid w:val="008C0163"/>
    <w:rsid w:val="008C01E2"/>
    <w:rsid w:val="008C024E"/>
    <w:rsid w:val="008C033D"/>
    <w:rsid w:val="008C041F"/>
    <w:rsid w:val="008C0557"/>
    <w:rsid w:val="008C067C"/>
    <w:rsid w:val="008C0710"/>
    <w:rsid w:val="008C07BA"/>
    <w:rsid w:val="008C0A5D"/>
    <w:rsid w:val="008C0B34"/>
    <w:rsid w:val="008C0D81"/>
    <w:rsid w:val="008C0D99"/>
    <w:rsid w:val="008C0F9C"/>
    <w:rsid w:val="008C0FD4"/>
    <w:rsid w:val="008C1010"/>
    <w:rsid w:val="008C110D"/>
    <w:rsid w:val="008C1172"/>
    <w:rsid w:val="008C14FD"/>
    <w:rsid w:val="008C1649"/>
    <w:rsid w:val="008C165D"/>
    <w:rsid w:val="008C1A2E"/>
    <w:rsid w:val="008C1B56"/>
    <w:rsid w:val="008C1C0D"/>
    <w:rsid w:val="008C1C43"/>
    <w:rsid w:val="008C1CD7"/>
    <w:rsid w:val="008C212E"/>
    <w:rsid w:val="008C21B3"/>
    <w:rsid w:val="008C2220"/>
    <w:rsid w:val="008C22FC"/>
    <w:rsid w:val="008C23E6"/>
    <w:rsid w:val="008C247A"/>
    <w:rsid w:val="008C257C"/>
    <w:rsid w:val="008C2610"/>
    <w:rsid w:val="008C2918"/>
    <w:rsid w:val="008C2A4C"/>
    <w:rsid w:val="008C2B5D"/>
    <w:rsid w:val="008C2C2F"/>
    <w:rsid w:val="008C2E07"/>
    <w:rsid w:val="008C2E67"/>
    <w:rsid w:val="008C2E9C"/>
    <w:rsid w:val="008C2FBB"/>
    <w:rsid w:val="008C3598"/>
    <w:rsid w:val="008C36F3"/>
    <w:rsid w:val="008C3799"/>
    <w:rsid w:val="008C3850"/>
    <w:rsid w:val="008C3877"/>
    <w:rsid w:val="008C3CE1"/>
    <w:rsid w:val="008C3D10"/>
    <w:rsid w:val="008C3D7C"/>
    <w:rsid w:val="008C3DF1"/>
    <w:rsid w:val="008C3E19"/>
    <w:rsid w:val="008C3F2C"/>
    <w:rsid w:val="008C4142"/>
    <w:rsid w:val="008C42CD"/>
    <w:rsid w:val="008C4546"/>
    <w:rsid w:val="008C466E"/>
    <w:rsid w:val="008C47B8"/>
    <w:rsid w:val="008C4871"/>
    <w:rsid w:val="008C48A0"/>
    <w:rsid w:val="008C48F0"/>
    <w:rsid w:val="008C492C"/>
    <w:rsid w:val="008C499C"/>
    <w:rsid w:val="008C4BE1"/>
    <w:rsid w:val="008C4F55"/>
    <w:rsid w:val="008C4FE8"/>
    <w:rsid w:val="008C5121"/>
    <w:rsid w:val="008C5331"/>
    <w:rsid w:val="008C545D"/>
    <w:rsid w:val="008C5494"/>
    <w:rsid w:val="008C55CD"/>
    <w:rsid w:val="008C5655"/>
    <w:rsid w:val="008C575B"/>
    <w:rsid w:val="008C5826"/>
    <w:rsid w:val="008C5A59"/>
    <w:rsid w:val="008C5C5F"/>
    <w:rsid w:val="008C5D24"/>
    <w:rsid w:val="008C5E61"/>
    <w:rsid w:val="008C612D"/>
    <w:rsid w:val="008C61A3"/>
    <w:rsid w:val="008C6346"/>
    <w:rsid w:val="008C63BA"/>
    <w:rsid w:val="008C6691"/>
    <w:rsid w:val="008C6702"/>
    <w:rsid w:val="008C6815"/>
    <w:rsid w:val="008C68C4"/>
    <w:rsid w:val="008C6AA8"/>
    <w:rsid w:val="008C6AE6"/>
    <w:rsid w:val="008C6B0C"/>
    <w:rsid w:val="008C6BAF"/>
    <w:rsid w:val="008C6D08"/>
    <w:rsid w:val="008C6DB2"/>
    <w:rsid w:val="008C6E50"/>
    <w:rsid w:val="008C6E93"/>
    <w:rsid w:val="008C6F96"/>
    <w:rsid w:val="008C709E"/>
    <w:rsid w:val="008C712F"/>
    <w:rsid w:val="008C716B"/>
    <w:rsid w:val="008C71D8"/>
    <w:rsid w:val="008C7389"/>
    <w:rsid w:val="008C73BB"/>
    <w:rsid w:val="008C73C4"/>
    <w:rsid w:val="008C74DD"/>
    <w:rsid w:val="008C75D7"/>
    <w:rsid w:val="008C761D"/>
    <w:rsid w:val="008C781E"/>
    <w:rsid w:val="008C787C"/>
    <w:rsid w:val="008C78E5"/>
    <w:rsid w:val="008C7904"/>
    <w:rsid w:val="008C7A16"/>
    <w:rsid w:val="008C7BB7"/>
    <w:rsid w:val="008C7C96"/>
    <w:rsid w:val="008C7CB7"/>
    <w:rsid w:val="008C7CCB"/>
    <w:rsid w:val="008C7DC2"/>
    <w:rsid w:val="008C7F34"/>
    <w:rsid w:val="008D009C"/>
    <w:rsid w:val="008D0156"/>
    <w:rsid w:val="008D01C7"/>
    <w:rsid w:val="008D01D4"/>
    <w:rsid w:val="008D0295"/>
    <w:rsid w:val="008D04EC"/>
    <w:rsid w:val="008D0692"/>
    <w:rsid w:val="008D07EF"/>
    <w:rsid w:val="008D094F"/>
    <w:rsid w:val="008D09EE"/>
    <w:rsid w:val="008D0ABB"/>
    <w:rsid w:val="008D0D26"/>
    <w:rsid w:val="008D114A"/>
    <w:rsid w:val="008D1376"/>
    <w:rsid w:val="008D13EB"/>
    <w:rsid w:val="008D1714"/>
    <w:rsid w:val="008D1732"/>
    <w:rsid w:val="008D176E"/>
    <w:rsid w:val="008D1771"/>
    <w:rsid w:val="008D1ACE"/>
    <w:rsid w:val="008D1B97"/>
    <w:rsid w:val="008D1CB0"/>
    <w:rsid w:val="008D1CC2"/>
    <w:rsid w:val="008D1DBA"/>
    <w:rsid w:val="008D22BC"/>
    <w:rsid w:val="008D236A"/>
    <w:rsid w:val="008D237F"/>
    <w:rsid w:val="008D2403"/>
    <w:rsid w:val="008D25AC"/>
    <w:rsid w:val="008D25CB"/>
    <w:rsid w:val="008D25FC"/>
    <w:rsid w:val="008D26E4"/>
    <w:rsid w:val="008D2728"/>
    <w:rsid w:val="008D28C5"/>
    <w:rsid w:val="008D28D0"/>
    <w:rsid w:val="008D29B3"/>
    <w:rsid w:val="008D2C3B"/>
    <w:rsid w:val="008D2EE0"/>
    <w:rsid w:val="008D3074"/>
    <w:rsid w:val="008D3352"/>
    <w:rsid w:val="008D33D6"/>
    <w:rsid w:val="008D34FB"/>
    <w:rsid w:val="008D365F"/>
    <w:rsid w:val="008D3983"/>
    <w:rsid w:val="008D3B9F"/>
    <w:rsid w:val="008D3C4A"/>
    <w:rsid w:val="008D3FEF"/>
    <w:rsid w:val="008D4090"/>
    <w:rsid w:val="008D4099"/>
    <w:rsid w:val="008D423B"/>
    <w:rsid w:val="008D423F"/>
    <w:rsid w:val="008D424D"/>
    <w:rsid w:val="008D426F"/>
    <w:rsid w:val="008D436F"/>
    <w:rsid w:val="008D4488"/>
    <w:rsid w:val="008D449C"/>
    <w:rsid w:val="008D4654"/>
    <w:rsid w:val="008D4662"/>
    <w:rsid w:val="008D4698"/>
    <w:rsid w:val="008D4705"/>
    <w:rsid w:val="008D4855"/>
    <w:rsid w:val="008D490B"/>
    <w:rsid w:val="008D49D5"/>
    <w:rsid w:val="008D4A2D"/>
    <w:rsid w:val="008D4A92"/>
    <w:rsid w:val="008D4C92"/>
    <w:rsid w:val="008D4D6C"/>
    <w:rsid w:val="008D4D97"/>
    <w:rsid w:val="008D4DB6"/>
    <w:rsid w:val="008D4F71"/>
    <w:rsid w:val="008D5156"/>
    <w:rsid w:val="008D542F"/>
    <w:rsid w:val="008D5466"/>
    <w:rsid w:val="008D5505"/>
    <w:rsid w:val="008D56EE"/>
    <w:rsid w:val="008D5768"/>
    <w:rsid w:val="008D5848"/>
    <w:rsid w:val="008D59CD"/>
    <w:rsid w:val="008D5AB5"/>
    <w:rsid w:val="008D5B94"/>
    <w:rsid w:val="008D5BA3"/>
    <w:rsid w:val="008D5C74"/>
    <w:rsid w:val="008D5CD4"/>
    <w:rsid w:val="008D5CE6"/>
    <w:rsid w:val="008D5D8D"/>
    <w:rsid w:val="008D5DC7"/>
    <w:rsid w:val="008D5E20"/>
    <w:rsid w:val="008D5F68"/>
    <w:rsid w:val="008D5F7F"/>
    <w:rsid w:val="008D5FFD"/>
    <w:rsid w:val="008D60F4"/>
    <w:rsid w:val="008D6100"/>
    <w:rsid w:val="008D610C"/>
    <w:rsid w:val="008D6362"/>
    <w:rsid w:val="008D63E3"/>
    <w:rsid w:val="008D6544"/>
    <w:rsid w:val="008D6574"/>
    <w:rsid w:val="008D669C"/>
    <w:rsid w:val="008D69E9"/>
    <w:rsid w:val="008D6ACA"/>
    <w:rsid w:val="008D6D5E"/>
    <w:rsid w:val="008D6E1C"/>
    <w:rsid w:val="008D6E72"/>
    <w:rsid w:val="008D708B"/>
    <w:rsid w:val="008D735E"/>
    <w:rsid w:val="008D73CD"/>
    <w:rsid w:val="008D744B"/>
    <w:rsid w:val="008D79D7"/>
    <w:rsid w:val="008D7B3D"/>
    <w:rsid w:val="008D7C0C"/>
    <w:rsid w:val="008D7C49"/>
    <w:rsid w:val="008D7E1F"/>
    <w:rsid w:val="008D7F53"/>
    <w:rsid w:val="008D7F9F"/>
    <w:rsid w:val="008E0166"/>
    <w:rsid w:val="008E041B"/>
    <w:rsid w:val="008E0523"/>
    <w:rsid w:val="008E0550"/>
    <w:rsid w:val="008E0779"/>
    <w:rsid w:val="008E0840"/>
    <w:rsid w:val="008E0975"/>
    <w:rsid w:val="008E0A2C"/>
    <w:rsid w:val="008E0B00"/>
    <w:rsid w:val="008E0BC1"/>
    <w:rsid w:val="008E0CBA"/>
    <w:rsid w:val="008E0D74"/>
    <w:rsid w:val="008E1089"/>
    <w:rsid w:val="008E1323"/>
    <w:rsid w:val="008E1353"/>
    <w:rsid w:val="008E13D7"/>
    <w:rsid w:val="008E14BC"/>
    <w:rsid w:val="008E1525"/>
    <w:rsid w:val="008E178B"/>
    <w:rsid w:val="008E17EE"/>
    <w:rsid w:val="008E1A24"/>
    <w:rsid w:val="008E1BFE"/>
    <w:rsid w:val="008E1DCC"/>
    <w:rsid w:val="008E1E4A"/>
    <w:rsid w:val="008E202B"/>
    <w:rsid w:val="008E2052"/>
    <w:rsid w:val="008E20D6"/>
    <w:rsid w:val="008E20FA"/>
    <w:rsid w:val="008E2117"/>
    <w:rsid w:val="008E2191"/>
    <w:rsid w:val="008E2482"/>
    <w:rsid w:val="008E2528"/>
    <w:rsid w:val="008E28F3"/>
    <w:rsid w:val="008E29C7"/>
    <w:rsid w:val="008E2E50"/>
    <w:rsid w:val="008E2E9B"/>
    <w:rsid w:val="008E310E"/>
    <w:rsid w:val="008E3209"/>
    <w:rsid w:val="008E3376"/>
    <w:rsid w:val="008E3487"/>
    <w:rsid w:val="008E3749"/>
    <w:rsid w:val="008E37E6"/>
    <w:rsid w:val="008E3B53"/>
    <w:rsid w:val="008E3E8F"/>
    <w:rsid w:val="008E4192"/>
    <w:rsid w:val="008E4225"/>
    <w:rsid w:val="008E43BB"/>
    <w:rsid w:val="008E44D2"/>
    <w:rsid w:val="008E4647"/>
    <w:rsid w:val="008E4758"/>
    <w:rsid w:val="008E47C1"/>
    <w:rsid w:val="008E4821"/>
    <w:rsid w:val="008E4876"/>
    <w:rsid w:val="008E49B9"/>
    <w:rsid w:val="008E4B06"/>
    <w:rsid w:val="008E4B8C"/>
    <w:rsid w:val="008E4E7C"/>
    <w:rsid w:val="008E5315"/>
    <w:rsid w:val="008E5428"/>
    <w:rsid w:val="008E5812"/>
    <w:rsid w:val="008E5BE7"/>
    <w:rsid w:val="008E5D57"/>
    <w:rsid w:val="008E5EE2"/>
    <w:rsid w:val="008E611B"/>
    <w:rsid w:val="008E6449"/>
    <w:rsid w:val="008E66DE"/>
    <w:rsid w:val="008E67A4"/>
    <w:rsid w:val="008E6875"/>
    <w:rsid w:val="008E6892"/>
    <w:rsid w:val="008E6918"/>
    <w:rsid w:val="008E692F"/>
    <w:rsid w:val="008E6A0D"/>
    <w:rsid w:val="008E6E21"/>
    <w:rsid w:val="008E6EC8"/>
    <w:rsid w:val="008E70AA"/>
    <w:rsid w:val="008E70CF"/>
    <w:rsid w:val="008E70EB"/>
    <w:rsid w:val="008E73BA"/>
    <w:rsid w:val="008E7590"/>
    <w:rsid w:val="008E79D5"/>
    <w:rsid w:val="008E7CF5"/>
    <w:rsid w:val="008E7D83"/>
    <w:rsid w:val="008E7DED"/>
    <w:rsid w:val="008E7E55"/>
    <w:rsid w:val="008F0043"/>
    <w:rsid w:val="008F00FB"/>
    <w:rsid w:val="008F01B9"/>
    <w:rsid w:val="008F0282"/>
    <w:rsid w:val="008F045D"/>
    <w:rsid w:val="008F0479"/>
    <w:rsid w:val="008F0538"/>
    <w:rsid w:val="008F068B"/>
    <w:rsid w:val="008F0733"/>
    <w:rsid w:val="008F09A7"/>
    <w:rsid w:val="008F09CB"/>
    <w:rsid w:val="008F09DE"/>
    <w:rsid w:val="008F0C10"/>
    <w:rsid w:val="008F0CAA"/>
    <w:rsid w:val="008F0D7B"/>
    <w:rsid w:val="008F0F3B"/>
    <w:rsid w:val="008F1120"/>
    <w:rsid w:val="008F14D3"/>
    <w:rsid w:val="008F1527"/>
    <w:rsid w:val="008F1808"/>
    <w:rsid w:val="008F1902"/>
    <w:rsid w:val="008F1961"/>
    <w:rsid w:val="008F1D65"/>
    <w:rsid w:val="008F1E2E"/>
    <w:rsid w:val="008F1E59"/>
    <w:rsid w:val="008F1E97"/>
    <w:rsid w:val="008F2063"/>
    <w:rsid w:val="008F237B"/>
    <w:rsid w:val="008F23AF"/>
    <w:rsid w:val="008F2819"/>
    <w:rsid w:val="008F2859"/>
    <w:rsid w:val="008F287F"/>
    <w:rsid w:val="008F2A17"/>
    <w:rsid w:val="008F2AD9"/>
    <w:rsid w:val="008F2C5F"/>
    <w:rsid w:val="008F2CA8"/>
    <w:rsid w:val="008F339B"/>
    <w:rsid w:val="008F33DD"/>
    <w:rsid w:val="008F342C"/>
    <w:rsid w:val="008F3479"/>
    <w:rsid w:val="008F3564"/>
    <w:rsid w:val="008F3640"/>
    <w:rsid w:val="008F37F2"/>
    <w:rsid w:val="008F3808"/>
    <w:rsid w:val="008F3809"/>
    <w:rsid w:val="008F395E"/>
    <w:rsid w:val="008F3A2D"/>
    <w:rsid w:val="008F3BB7"/>
    <w:rsid w:val="008F3BC2"/>
    <w:rsid w:val="008F3BFC"/>
    <w:rsid w:val="008F3D93"/>
    <w:rsid w:val="008F3E4A"/>
    <w:rsid w:val="008F439C"/>
    <w:rsid w:val="008F449A"/>
    <w:rsid w:val="008F4540"/>
    <w:rsid w:val="008F466E"/>
    <w:rsid w:val="008F46AE"/>
    <w:rsid w:val="008F47DD"/>
    <w:rsid w:val="008F4982"/>
    <w:rsid w:val="008F4A1C"/>
    <w:rsid w:val="008F4A77"/>
    <w:rsid w:val="008F4B40"/>
    <w:rsid w:val="008F4D85"/>
    <w:rsid w:val="008F503F"/>
    <w:rsid w:val="008F515B"/>
    <w:rsid w:val="008F517A"/>
    <w:rsid w:val="008F518E"/>
    <w:rsid w:val="008F52E5"/>
    <w:rsid w:val="008F55AA"/>
    <w:rsid w:val="008F5655"/>
    <w:rsid w:val="008F5788"/>
    <w:rsid w:val="008F5A8F"/>
    <w:rsid w:val="008F5D9E"/>
    <w:rsid w:val="008F5E0C"/>
    <w:rsid w:val="008F62B9"/>
    <w:rsid w:val="008F64D1"/>
    <w:rsid w:val="008F657D"/>
    <w:rsid w:val="008F65B4"/>
    <w:rsid w:val="008F6676"/>
    <w:rsid w:val="008F66D4"/>
    <w:rsid w:val="008F6785"/>
    <w:rsid w:val="008F67AC"/>
    <w:rsid w:val="008F68C1"/>
    <w:rsid w:val="008F68CC"/>
    <w:rsid w:val="008F6C3D"/>
    <w:rsid w:val="008F6D84"/>
    <w:rsid w:val="008F6DEA"/>
    <w:rsid w:val="008F6E8F"/>
    <w:rsid w:val="008F6EF8"/>
    <w:rsid w:val="008F6F91"/>
    <w:rsid w:val="008F6FC2"/>
    <w:rsid w:val="008F70F4"/>
    <w:rsid w:val="008F711D"/>
    <w:rsid w:val="008F7147"/>
    <w:rsid w:val="008F71B6"/>
    <w:rsid w:val="008F726C"/>
    <w:rsid w:val="008F730A"/>
    <w:rsid w:val="008F74A9"/>
    <w:rsid w:val="008F74AF"/>
    <w:rsid w:val="008F75DC"/>
    <w:rsid w:val="008F7646"/>
    <w:rsid w:val="008F76BB"/>
    <w:rsid w:val="008F76C9"/>
    <w:rsid w:val="008F772F"/>
    <w:rsid w:val="008F779A"/>
    <w:rsid w:val="008F785A"/>
    <w:rsid w:val="008F78F7"/>
    <w:rsid w:val="008F79EA"/>
    <w:rsid w:val="008F7AB5"/>
    <w:rsid w:val="008F7BCA"/>
    <w:rsid w:val="008F7C25"/>
    <w:rsid w:val="008F7CFC"/>
    <w:rsid w:val="008F7FCA"/>
    <w:rsid w:val="0090022D"/>
    <w:rsid w:val="00900377"/>
    <w:rsid w:val="00900566"/>
    <w:rsid w:val="00900588"/>
    <w:rsid w:val="009005C9"/>
    <w:rsid w:val="00900617"/>
    <w:rsid w:val="009006EC"/>
    <w:rsid w:val="0090085A"/>
    <w:rsid w:val="00900885"/>
    <w:rsid w:val="0090093E"/>
    <w:rsid w:val="00900DE3"/>
    <w:rsid w:val="0090100D"/>
    <w:rsid w:val="00901091"/>
    <w:rsid w:val="009011AF"/>
    <w:rsid w:val="00901280"/>
    <w:rsid w:val="009014C1"/>
    <w:rsid w:val="00901552"/>
    <w:rsid w:val="009015F5"/>
    <w:rsid w:val="009016B9"/>
    <w:rsid w:val="009017F1"/>
    <w:rsid w:val="0090182C"/>
    <w:rsid w:val="00901CDE"/>
    <w:rsid w:val="00901DAE"/>
    <w:rsid w:val="00901DBE"/>
    <w:rsid w:val="00901E23"/>
    <w:rsid w:val="00901EA5"/>
    <w:rsid w:val="00902014"/>
    <w:rsid w:val="00902190"/>
    <w:rsid w:val="009021E1"/>
    <w:rsid w:val="009022CB"/>
    <w:rsid w:val="00902312"/>
    <w:rsid w:val="0090248A"/>
    <w:rsid w:val="00902734"/>
    <w:rsid w:val="00902B4B"/>
    <w:rsid w:val="00902DE7"/>
    <w:rsid w:val="00902EB1"/>
    <w:rsid w:val="00902F1E"/>
    <w:rsid w:val="0090308D"/>
    <w:rsid w:val="00903369"/>
    <w:rsid w:val="00903494"/>
    <w:rsid w:val="009034CB"/>
    <w:rsid w:val="00903739"/>
    <w:rsid w:val="00903757"/>
    <w:rsid w:val="00903A62"/>
    <w:rsid w:val="00903ABA"/>
    <w:rsid w:val="00903B17"/>
    <w:rsid w:val="00903F0F"/>
    <w:rsid w:val="0090420D"/>
    <w:rsid w:val="0090432F"/>
    <w:rsid w:val="00904331"/>
    <w:rsid w:val="009044AC"/>
    <w:rsid w:val="00904650"/>
    <w:rsid w:val="00904785"/>
    <w:rsid w:val="00904811"/>
    <w:rsid w:val="009049AE"/>
    <w:rsid w:val="00904AC5"/>
    <w:rsid w:val="00904CCC"/>
    <w:rsid w:val="00904CCD"/>
    <w:rsid w:val="00904E5A"/>
    <w:rsid w:val="00904F10"/>
    <w:rsid w:val="00904FB5"/>
    <w:rsid w:val="009051F3"/>
    <w:rsid w:val="0090544C"/>
    <w:rsid w:val="0090548C"/>
    <w:rsid w:val="009054C4"/>
    <w:rsid w:val="0090554B"/>
    <w:rsid w:val="009056D0"/>
    <w:rsid w:val="009056E4"/>
    <w:rsid w:val="00905772"/>
    <w:rsid w:val="00905774"/>
    <w:rsid w:val="00905813"/>
    <w:rsid w:val="00905B07"/>
    <w:rsid w:val="00905B2E"/>
    <w:rsid w:val="00905D08"/>
    <w:rsid w:val="00905DA2"/>
    <w:rsid w:val="00905E70"/>
    <w:rsid w:val="00905EFC"/>
    <w:rsid w:val="00905EFF"/>
    <w:rsid w:val="00905FA6"/>
    <w:rsid w:val="00906076"/>
    <w:rsid w:val="00906765"/>
    <w:rsid w:val="00906845"/>
    <w:rsid w:val="00906951"/>
    <w:rsid w:val="009069CF"/>
    <w:rsid w:val="009069F8"/>
    <w:rsid w:val="00906A94"/>
    <w:rsid w:val="00906C07"/>
    <w:rsid w:val="00906C34"/>
    <w:rsid w:val="00906C5B"/>
    <w:rsid w:val="00906CE1"/>
    <w:rsid w:val="00906E2B"/>
    <w:rsid w:val="00906EB8"/>
    <w:rsid w:val="00906F8E"/>
    <w:rsid w:val="0090714D"/>
    <w:rsid w:val="00907715"/>
    <w:rsid w:val="00907743"/>
    <w:rsid w:val="00907878"/>
    <w:rsid w:val="009078A3"/>
    <w:rsid w:val="009078C4"/>
    <w:rsid w:val="0090796D"/>
    <w:rsid w:val="009079A7"/>
    <w:rsid w:val="00907A2D"/>
    <w:rsid w:val="00907A3C"/>
    <w:rsid w:val="00907B94"/>
    <w:rsid w:val="00907D0B"/>
    <w:rsid w:val="00907E28"/>
    <w:rsid w:val="0091027B"/>
    <w:rsid w:val="00910509"/>
    <w:rsid w:val="009106B7"/>
    <w:rsid w:val="00910708"/>
    <w:rsid w:val="009107CC"/>
    <w:rsid w:val="00910845"/>
    <w:rsid w:val="00910AD1"/>
    <w:rsid w:val="00910BA6"/>
    <w:rsid w:val="00910E0B"/>
    <w:rsid w:val="009111FF"/>
    <w:rsid w:val="0091124D"/>
    <w:rsid w:val="0091126F"/>
    <w:rsid w:val="00911524"/>
    <w:rsid w:val="0091160A"/>
    <w:rsid w:val="00911685"/>
    <w:rsid w:val="0091180B"/>
    <w:rsid w:val="0091188D"/>
    <w:rsid w:val="00911BE6"/>
    <w:rsid w:val="00911C35"/>
    <w:rsid w:val="00911EA8"/>
    <w:rsid w:val="009121FD"/>
    <w:rsid w:val="009125AA"/>
    <w:rsid w:val="00912840"/>
    <w:rsid w:val="009129C3"/>
    <w:rsid w:val="009129D4"/>
    <w:rsid w:val="00912AA8"/>
    <w:rsid w:val="00912B42"/>
    <w:rsid w:val="00912B9C"/>
    <w:rsid w:val="00912C85"/>
    <w:rsid w:val="00913007"/>
    <w:rsid w:val="00913242"/>
    <w:rsid w:val="0091333B"/>
    <w:rsid w:val="0091337C"/>
    <w:rsid w:val="0091337F"/>
    <w:rsid w:val="00913470"/>
    <w:rsid w:val="00913535"/>
    <w:rsid w:val="009135AC"/>
    <w:rsid w:val="00913673"/>
    <w:rsid w:val="009136A7"/>
    <w:rsid w:val="009136DB"/>
    <w:rsid w:val="00913946"/>
    <w:rsid w:val="0091399A"/>
    <w:rsid w:val="00913C0B"/>
    <w:rsid w:val="00913E1E"/>
    <w:rsid w:val="009140A3"/>
    <w:rsid w:val="009140D6"/>
    <w:rsid w:val="009141E1"/>
    <w:rsid w:val="00914206"/>
    <w:rsid w:val="009142DF"/>
    <w:rsid w:val="009144E5"/>
    <w:rsid w:val="0091459E"/>
    <w:rsid w:val="009145A7"/>
    <w:rsid w:val="0091470C"/>
    <w:rsid w:val="00914886"/>
    <w:rsid w:val="00914B2B"/>
    <w:rsid w:val="00914DC7"/>
    <w:rsid w:val="00914EF1"/>
    <w:rsid w:val="00914F7D"/>
    <w:rsid w:val="00914FCF"/>
    <w:rsid w:val="00914FDB"/>
    <w:rsid w:val="00915004"/>
    <w:rsid w:val="009151D7"/>
    <w:rsid w:val="009151E7"/>
    <w:rsid w:val="0091522D"/>
    <w:rsid w:val="009153DC"/>
    <w:rsid w:val="009156F7"/>
    <w:rsid w:val="0091570D"/>
    <w:rsid w:val="00915844"/>
    <w:rsid w:val="0091590D"/>
    <w:rsid w:val="00915939"/>
    <w:rsid w:val="00915969"/>
    <w:rsid w:val="009159B6"/>
    <w:rsid w:val="00915B02"/>
    <w:rsid w:val="00915EBF"/>
    <w:rsid w:val="00915F83"/>
    <w:rsid w:val="00916234"/>
    <w:rsid w:val="0091625F"/>
    <w:rsid w:val="00916404"/>
    <w:rsid w:val="009164C3"/>
    <w:rsid w:val="00916610"/>
    <w:rsid w:val="00916824"/>
    <w:rsid w:val="00916B1B"/>
    <w:rsid w:val="00916C1E"/>
    <w:rsid w:val="00916C99"/>
    <w:rsid w:val="00916CC4"/>
    <w:rsid w:val="00916DCE"/>
    <w:rsid w:val="00916F43"/>
    <w:rsid w:val="00916F7B"/>
    <w:rsid w:val="009170F1"/>
    <w:rsid w:val="00917164"/>
    <w:rsid w:val="009171D9"/>
    <w:rsid w:val="00917378"/>
    <w:rsid w:val="00917494"/>
    <w:rsid w:val="009175D8"/>
    <w:rsid w:val="009177EA"/>
    <w:rsid w:val="00917855"/>
    <w:rsid w:val="009179D4"/>
    <w:rsid w:val="00917E05"/>
    <w:rsid w:val="00920021"/>
    <w:rsid w:val="00920083"/>
    <w:rsid w:val="0092044C"/>
    <w:rsid w:val="009206C3"/>
    <w:rsid w:val="0092087C"/>
    <w:rsid w:val="009209F5"/>
    <w:rsid w:val="00920B11"/>
    <w:rsid w:val="00920D37"/>
    <w:rsid w:val="00920F2B"/>
    <w:rsid w:val="00920FB9"/>
    <w:rsid w:val="009211EB"/>
    <w:rsid w:val="00921223"/>
    <w:rsid w:val="00921290"/>
    <w:rsid w:val="0092146B"/>
    <w:rsid w:val="00921517"/>
    <w:rsid w:val="009215A6"/>
    <w:rsid w:val="009216D1"/>
    <w:rsid w:val="00921899"/>
    <w:rsid w:val="00921C13"/>
    <w:rsid w:val="00921C7D"/>
    <w:rsid w:val="00921E8A"/>
    <w:rsid w:val="00921FA9"/>
    <w:rsid w:val="009220E4"/>
    <w:rsid w:val="00922217"/>
    <w:rsid w:val="00922285"/>
    <w:rsid w:val="009223FC"/>
    <w:rsid w:val="009226C1"/>
    <w:rsid w:val="0092274B"/>
    <w:rsid w:val="00922890"/>
    <w:rsid w:val="009228CC"/>
    <w:rsid w:val="0092295E"/>
    <w:rsid w:val="00922A0D"/>
    <w:rsid w:val="00922AD2"/>
    <w:rsid w:val="00922C1A"/>
    <w:rsid w:val="00922DB0"/>
    <w:rsid w:val="00922DFA"/>
    <w:rsid w:val="00922E97"/>
    <w:rsid w:val="00922ED1"/>
    <w:rsid w:val="00922F30"/>
    <w:rsid w:val="0092312E"/>
    <w:rsid w:val="009232BA"/>
    <w:rsid w:val="009232E1"/>
    <w:rsid w:val="009234D7"/>
    <w:rsid w:val="009236EA"/>
    <w:rsid w:val="009237A4"/>
    <w:rsid w:val="00923940"/>
    <w:rsid w:val="0092394D"/>
    <w:rsid w:val="00923B29"/>
    <w:rsid w:val="00923BCE"/>
    <w:rsid w:val="00923C64"/>
    <w:rsid w:val="00923FF8"/>
    <w:rsid w:val="00924062"/>
    <w:rsid w:val="00924229"/>
    <w:rsid w:val="00924473"/>
    <w:rsid w:val="009244CF"/>
    <w:rsid w:val="009244FB"/>
    <w:rsid w:val="00924542"/>
    <w:rsid w:val="0092458A"/>
    <w:rsid w:val="00924A1E"/>
    <w:rsid w:val="00924AD1"/>
    <w:rsid w:val="00924B9F"/>
    <w:rsid w:val="00924EED"/>
    <w:rsid w:val="009250FD"/>
    <w:rsid w:val="0092525F"/>
    <w:rsid w:val="00925306"/>
    <w:rsid w:val="009254BF"/>
    <w:rsid w:val="00925724"/>
    <w:rsid w:val="00925787"/>
    <w:rsid w:val="009259D7"/>
    <w:rsid w:val="00925AFA"/>
    <w:rsid w:val="00925DBE"/>
    <w:rsid w:val="00925E50"/>
    <w:rsid w:val="00925E6D"/>
    <w:rsid w:val="009261C6"/>
    <w:rsid w:val="009261D9"/>
    <w:rsid w:val="009261FE"/>
    <w:rsid w:val="0092646F"/>
    <w:rsid w:val="009264FA"/>
    <w:rsid w:val="0092658B"/>
    <w:rsid w:val="00926855"/>
    <w:rsid w:val="009269A5"/>
    <w:rsid w:val="00926B59"/>
    <w:rsid w:val="00926B7F"/>
    <w:rsid w:val="00926BE5"/>
    <w:rsid w:val="00926C2F"/>
    <w:rsid w:val="00926C54"/>
    <w:rsid w:val="00926DED"/>
    <w:rsid w:val="00926E0F"/>
    <w:rsid w:val="00926FAD"/>
    <w:rsid w:val="00927012"/>
    <w:rsid w:val="00927071"/>
    <w:rsid w:val="00927075"/>
    <w:rsid w:val="009270AE"/>
    <w:rsid w:val="00927159"/>
    <w:rsid w:val="00927199"/>
    <w:rsid w:val="009272E9"/>
    <w:rsid w:val="0092746E"/>
    <w:rsid w:val="0092756F"/>
    <w:rsid w:val="009276FB"/>
    <w:rsid w:val="009277B9"/>
    <w:rsid w:val="009278D5"/>
    <w:rsid w:val="0092790D"/>
    <w:rsid w:val="00927A47"/>
    <w:rsid w:val="00927AA5"/>
    <w:rsid w:val="00927BA3"/>
    <w:rsid w:val="00927BCF"/>
    <w:rsid w:val="00927D00"/>
    <w:rsid w:val="00927E4F"/>
    <w:rsid w:val="009301ED"/>
    <w:rsid w:val="009302D3"/>
    <w:rsid w:val="00930747"/>
    <w:rsid w:val="0093090A"/>
    <w:rsid w:val="009309A1"/>
    <w:rsid w:val="00930AF2"/>
    <w:rsid w:val="00930B25"/>
    <w:rsid w:val="00930C44"/>
    <w:rsid w:val="00930CC9"/>
    <w:rsid w:val="00930DEE"/>
    <w:rsid w:val="00930EF6"/>
    <w:rsid w:val="00930F94"/>
    <w:rsid w:val="009311C4"/>
    <w:rsid w:val="009311F9"/>
    <w:rsid w:val="0093122F"/>
    <w:rsid w:val="009312CA"/>
    <w:rsid w:val="0093131D"/>
    <w:rsid w:val="0093147D"/>
    <w:rsid w:val="009315F7"/>
    <w:rsid w:val="00931849"/>
    <w:rsid w:val="009318DC"/>
    <w:rsid w:val="0093191E"/>
    <w:rsid w:val="00931A3A"/>
    <w:rsid w:val="00931A5B"/>
    <w:rsid w:val="00931C86"/>
    <w:rsid w:val="00931CF1"/>
    <w:rsid w:val="00931DB5"/>
    <w:rsid w:val="00931FD8"/>
    <w:rsid w:val="009322EF"/>
    <w:rsid w:val="009323BF"/>
    <w:rsid w:val="009326AE"/>
    <w:rsid w:val="00932C63"/>
    <w:rsid w:val="00932D9F"/>
    <w:rsid w:val="00932EB2"/>
    <w:rsid w:val="00932ED3"/>
    <w:rsid w:val="00933079"/>
    <w:rsid w:val="00933304"/>
    <w:rsid w:val="0093332E"/>
    <w:rsid w:val="009333C3"/>
    <w:rsid w:val="00933458"/>
    <w:rsid w:val="0093353A"/>
    <w:rsid w:val="0093361A"/>
    <w:rsid w:val="0093375B"/>
    <w:rsid w:val="0093375D"/>
    <w:rsid w:val="009339D3"/>
    <w:rsid w:val="00933A7B"/>
    <w:rsid w:val="00933EAA"/>
    <w:rsid w:val="00933F48"/>
    <w:rsid w:val="00933F92"/>
    <w:rsid w:val="009343C4"/>
    <w:rsid w:val="0093440F"/>
    <w:rsid w:val="0093469F"/>
    <w:rsid w:val="00934712"/>
    <w:rsid w:val="00934840"/>
    <w:rsid w:val="00934942"/>
    <w:rsid w:val="00934A06"/>
    <w:rsid w:val="00934A70"/>
    <w:rsid w:val="00934ADB"/>
    <w:rsid w:val="00934E0E"/>
    <w:rsid w:val="00934E74"/>
    <w:rsid w:val="00934F2F"/>
    <w:rsid w:val="00934F4F"/>
    <w:rsid w:val="00935092"/>
    <w:rsid w:val="00935098"/>
    <w:rsid w:val="009351BE"/>
    <w:rsid w:val="00935BFC"/>
    <w:rsid w:val="00935C63"/>
    <w:rsid w:val="00935DBE"/>
    <w:rsid w:val="00935DF7"/>
    <w:rsid w:val="00935E26"/>
    <w:rsid w:val="00935FF2"/>
    <w:rsid w:val="0093638C"/>
    <w:rsid w:val="00936598"/>
    <w:rsid w:val="00936676"/>
    <w:rsid w:val="00936778"/>
    <w:rsid w:val="00936800"/>
    <w:rsid w:val="00936BA9"/>
    <w:rsid w:val="00936E91"/>
    <w:rsid w:val="00936F22"/>
    <w:rsid w:val="0093701C"/>
    <w:rsid w:val="009370BA"/>
    <w:rsid w:val="009370C3"/>
    <w:rsid w:val="0093727E"/>
    <w:rsid w:val="009372AD"/>
    <w:rsid w:val="009373AF"/>
    <w:rsid w:val="009373DB"/>
    <w:rsid w:val="009374FE"/>
    <w:rsid w:val="00937707"/>
    <w:rsid w:val="009377DA"/>
    <w:rsid w:val="009378D7"/>
    <w:rsid w:val="00937B47"/>
    <w:rsid w:val="00937BAA"/>
    <w:rsid w:val="00937BB7"/>
    <w:rsid w:val="00937D77"/>
    <w:rsid w:val="00937E55"/>
    <w:rsid w:val="0094000D"/>
    <w:rsid w:val="009400B9"/>
    <w:rsid w:val="00940276"/>
    <w:rsid w:val="009402F5"/>
    <w:rsid w:val="00940428"/>
    <w:rsid w:val="00940473"/>
    <w:rsid w:val="00940A36"/>
    <w:rsid w:val="00940B4A"/>
    <w:rsid w:val="00940BFE"/>
    <w:rsid w:val="00940CD4"/>
    <w:rsid w:val="00940EB3"/>
    <w:rsid w:val="00940EB6"/>
    <w:rsid w:val="00940FF6"/>
    <w:rsid w:val="00941297"/>
    <w:rsid w:val="00941299"/>
    <w:rsid w:val="00941390"/>
    <w:rsid w:val="009413EE"/>
    <w:rsid w:val="009414AD"/>
    <w:rsid w:val="009417D2"/>
    <w:rsid w:val="00941898"/>
    <w:rsid w:val="00941A50"/>
    <w:rsid w:val="00941AB1"/>
    <w:rsid w:val="00941BE4"/>
    <w:rsid w:val="00941EA2"/>
    <w:rsid w:val="00941EB9"/>
    <w:rsid w:val="00942076"/>
    <w:rsid w:val="00942176"/>
    <w:rsid w:val="00942552"/>
    <w:rsid w:val="0094261C"/>
    <w:rsid w:val="00942691"/>
    <w:rsid w:val="009426E0"/>
    <w:rsid w:val="009427C1"/>
    <w:rsid w:val="00942820"/>
    <w:rsid w:val="009428CC"/>
    <w:rsid w:val="009429A7"/>
    <w:rsid w:val="009429CD"/>
    <w:rsid w:val="00942B4A"/>
    <w:rsid w:val="00942B69"/>
    <w:rsid w:val="00942C30"/>
    <w:rsid w:val="00942E6A"/>
    <w:rsid w:val="00942F6E"/>
    <w:rsid w:val="00942FB0"/>
    <w:rsid w:val="00943046"/>
    <w:rsid w:val="0094310E"/>
    <w:rsid w:val="00943183"/>
    <w:rsid w:val="009432A8"/>
    <w:rsid w:val="0094336D"/>
    <w:rsid w:val="009434B0"/>
    <w:rsid w:val="009435CE"/>
    <w:rsid w:val="00943671"/>
    <w:rsid w:val="00943AE5"/>
    <w:rsid w:val="00943DE4"/>
    <w:rsid w:val="00943EC5"/>
    <w:rsid w:val="00943FE9"/>
    <w:rsid w:val="0094410F"/>
    <w:rsid w:val="00944211"/>
    <w:rsid w:val="009444CF"/>
    <w:rsid w:val="00944649"/>
    <w:rsid w:val="009446FC"/>
    <w:rsid w:val="009449B5"/>
    <w:rsid w:val="00944A96"/>
    <w:rsid w:val="00944C64"/>
    <w:rsid w:val="00944CDA"/>
    <w:rsid w:val="00944E42"/>
    <w:rsid w:val="00944E90"/>
    <w:rsid w:val="00944F53"/>
    <w:rsid w:val="009450E7"/>
    <w:rsid w:val="00945123"/>
    <w:rsid w:val="00945262"/>
    <w:rsid w:val="0094531E"/>
    <w:rsid w:val="00945652"/>
    <w:rsid w:val="00945805"/>
    <w:rsid w:val="00945890"/>
    <w:rsid w:val="00945942"/>
    <w:rsid w:val="00945A08"/>
    <w:rsid w:val="00945A9E"/>
    <w:rsid w:val="00945AA3"/>
    <w:rsid w:val="00945B5A"/>
    <w:rsid w:val="00945B92"/>
    <w:rsid w:val="00945E4D"/>
    <w:rsid w:val="0094606E"/>
    <w:rsid w:val="00946376"/>
    <w:rsid w:val="009463D9"/>
    <w:rsid w:val="009466D4"/>
    <w:rsid w:val="009469A1"/>
    <w:rsid w:val="009469C3"/>
    <w:rsid w:val="00946B3B"/>
    <w:rsid w:val="00946BD2"/>
    <w:rsid w:val="00946C87"/>
    <w:rsid w:val="00946FCE"/>
    <w:rsid w:val="009470F6"/>
    <w:rsid w:val="00947144"/>
    <w:rsid w:val="00947394"/>
    <w:rsid w:val="009473D9"/>
    <w:rsid w:val="0094742E"/>
    <w:rsid w:val="0094754B"/>
    <w:rsid w:val="00947562"/>
    <w:rsid w:val="0094766E"/>
    <w:rsid w:val="00947687"/>
    <w:rsid w:val="0094770C"/>
    <w:rsid w:val="009478D5"/>
    <w:rsid w:val="009479EB"/>
    <w:rsid w:val="00947A30"/>
    <w:rsid w:val="00947BB6"/>
    <w:rsid w:val="00947CF7"/>
    <w:rsid w:val="00947EA3"/>
    <w:rsid w:val="00947F8F"/>
    <w:rsid w:val="00950176"/>
    <w:rsid w:val="009501D2"/>
    <w:rsid w:val="009501F6"/>
    <w:rsid w:val="0095033C"/>
    <w:rsid w:val="009505F6"/>
    <w:rsid w:val="009507B3"/>
    <w:rsid w:val="0095084D"/>
    <w:rsid w:val="00950922"/>
    <w:rsid w:val="0095092F"/>
    <w:rsid w:val="009509F9"/>
    <w:rsid w:val="00950C01"/>
    <w:rsid w:val="00950C26"/>
    <w:rsid w:val="0095134E"/>
    <w:rsid w:val="00951451"/>
    <w:rsid w:val="00951499"/>
    <w:rsid w:val="009514BB"/>
    <w:rsid w:val="00951583"/>
    <w:rsid w:val="009516C0"/>
    <w:rsid w:val="009517E6"/>
    <w:rsid w:val="009517F9"/>
    <w:rsid w:val="009518A4"/>
    <w:rsid w:val="00951980"/>
    <w:rsid w:val="009519E9"/>
    <w:rsid w:val="00951A52"/>
    <w:rsid w:val="00951CA7"/>
    <w:rsid w:val="00951D6F"/>
    <w:rsid w:val="00951DC5"/>
    <w:rsid w:val="00951E5D"/>
    <w:rsid w:val="00951EC8"/>
    <w:rsid w:val="0095209E"/>
    <w:rsid w:val="009520E5"/>
    <w:rsid w:val="0095210B"/>
    <w:rsid w:val="009521FB"/>
    <w:rsid w:val="00952248"/>
    <w:rsid w:val="00952458"/>
    <w:rsid w:val="009524C4"/>
    <w:rsid w:val="00952525"/>
    <w:rsid w:val="0095264B"/>
    <w:rsid w:val="00952909"/>
    <w:rsid w:val="00952981"/>
    <w:rsid w:val="00952A9A"/>
    <w:rsid w:val="00952C9D"/>
    <w:rsid w:val="00952CAD"/>
    <w:rsid w:val="00952DA9"/>
    <w:rsid w:val="00952DCD"/>
    <w:rsid w:val="00952E8B"/>
    <w:rsid w:val="0095308A"/>
    <w:rsid w:val="0095308D"/>
    <w:rsid w:val="00953124"/>
    <w:rsid w:val="00953148"/>
    <w:rsid w:val="0095328F"/>
    <w:rsid w:val="00953435"/>
    <w:rsid w:val="00953440"/>
    <w:rsid w:val="00953459"/>
    <w:rsid w:val="009535A6"/>
    <w:rsid w:val="009535EE"/>
    <w:rsid w:val="009538D4"/>
    <w:rsid w:val="009538DC"/>
    <w:rsid w:val="009538FE"/>
    <w:rsid w:val="00953902"/>
    <w:rsid w:val="00953944"/>
    <w:rsid w:val="009539B7"/>
    <w:rsid w:val="00953C4C"/>
    <w:rsid w:val="00953E8F"/>
    <w:rsid w:val="00953EC3"/>
    <w:rsid w:val="00953FC0"/>
    <w:rsid w:val="0095455B"/>
    <w:rsid w:val="009545AD"/>
    <w:rsid w:val="00954621"/>
    <w:rsid w:val="00954679"/>
    <w:rsid w:val="00954754"/>
    <w:rsid w:val="00954927"/>
    <w:rsid w:val="00954A48"/>
    <w:rsid w:val="00954A4B"/>
    <w:rsid w:val="00954A52"/>
    <w:rsid w:val="00954AE8"/>
    <w:rsid w:val="00954B9E"/>
    <w:rsid w:val="00954D5F"/>
    <w:rsid w:val="009550BA"/>
    <w:rsid w:val="009552F3"/>
    <w:rsid w:val="009555D2"/>
    <w:rsid w:val="00955749"/>
    <w:rsid w:val="0095593F"/>
    <w:rsid w:val="00955A64"/>
    <w:rsid w:val="00955A9D"/>
    <w:rsid w:val="00955AA6"/>
    <w:rsid w:val="00955BF0"/>
    <w:rsid w:val="00955BFC"/>
    <w:rsid w:val="00955CCA"/>
    <w:rsid w:val="00955EA8"/>
    <w:rsid w:val="00955F7B"/>
    <w:rsid w:val="00955F80"/>
    <w:rsid w:val="00956089"/>
    <w:rsid w:val="00956113"/>
    <w:rsid w:val="009564D7"/>
    <w:rsid w:val="00956551"/>
    <w:rsid w:val="00956A87"/>
    <w:rsid w:val="00956A89"/>
    <w:rsid w:val="00956AB1"/>
    <w:rsid w:val="00956B5B"/>
    <w:rsid w:val="00956BD3"/>
    <w:rsid w:val="00956D04"/>
    <w:rsid w:val="00956D60"/>
    <w:rsid w:val="00956DE4"/>
    <w:rsid w:val="00956DFE"/>
    <w:rsid w:val="00957064"/>
    <w:rsid w:val="00957149"/>
    <w:rsid w:val="0095722A"/>
    <w:rsid w:val="00957310"/>
    <w:rsid w:val="00957323"/>
    <w:rsid w:val="009573E9"/>
    <w:rsid w:val="0095749A"/>
    <w:rsid w:val="009575A0"/>
    <w:rsid w:val="00957912"/>
    <w:rsid w:val="009579D5"/>
    <w:rsid w:val="00957BB4"/>
    <w:rsid w:val="00957BF3"/>
    <w:rsid w:val="00957C17"/>
    <w:rsid w:val="00957C81"/>
    <w:rsid w:val="00957CBF"/>
    <w:rsid w:val="00957CD9"/>
    <w:rsid w:val="0096013E"/>
    <w:rsid w:val="0096015E"/>
    <w:rsid w:val="009601F2"/>
    <w:rsid w:val="00960253"/>
    <w:rsid w:val="0096039B"/>
    <w:rsid w:val="00960647"/>
    <w:rsid w:val="00960761"/>
    <w:rsid w:val="009607DE"/>
    <w:rsid w:val="009608B6"/>
    <w:rsid w:val="00960A4B"/>
    <w:rsid w:val="00960CC3"/>
    <w:rsid w:val="009610CB"/>
    <w:rsid w:val="0096146F"/>
    <w:rsid w:val="009615B4"/>
    <w:rsid w:val="0096168A"/>
    <w:rsid w:val="0096169D"/>
    <w:rsid w:val="00961883"/>
    <w:rsid w:val="009618D5"/>
    <w:rsid w:val="00961969"/>
    <w:rsid w:val="00961A16"/>
    <w:rsid w:val="00961A9C"/>
    <w:rsid w:val="00961AF8"/>
    <w:rsid w:val="00961C75"/>
    <w:rsid w:val="00961C9F"/>
    <w:rsid w:val="00961CA0"/>
    <w:rsid w:val="0096234F"/>
    <w:rsid w:val="0096237D"/>
    <w:rsid w:val="009623D4"/>
    <w:rsid w:val="00962662"/>
    <w:rsid w:val="0096267B"/>
    <w:rsid w:val="00962856"/>
    <w:rsid w:val="00962890"/>
    <w:rsid w:val="0096289D"/>
    <w:rsid w:val="0096295D"/>
    <w:rsid w:val="00962B8E"/>
    <w:rsid w:val="00962D41"/>
    <w:rsid w:val="00962DB7"/>
    <w:rsid w:val="0096332C"/>
    <w:rsid w:val="0096352C"/>
    <w:rsid w:val="00963826"/>
    <w:rsid w:val="009638F5"/>
    <w:rsid w:val="0096394A"/>
    <w:rsid w:val="009639CB"/>
    <w:rsid w:val="00963E82"/>
    <w:rsid w:val="00963EA9"/>
    <w:rsid w:val="00964186"/>
    <w:rsid w:val="00964187"/>
    <w:rsid w:val="00964188"/>
    <w:rsid w:val="009641C7"/>
    <w:rsid w:val="009642B4"/>
    <w:rsid w:val="009647BF"/>
    <w:rsid w:val="009647FC"/>
    <w:rsid w:val="009648BD"/>
    <w:rsid w:val="009648DE"/>
    <w:rsid w:val="00964CB3"/>
    <w:rsid w:val="00965050"/>
    <w:rsid w:val="0096513F"/>
    <w:rsid w:val="009651BF"/>
    <w:rsid w:val="0096529D"/>
    <w:rsid w:val="009653A9"/>
    <w:rsid w:val="009653F1"/>
    <w:rsid w:val="00965422"/>
    <w:rsid w:val="0096555A"/>
    <w:rsid w:val="00965563"/>
    <w:rsid w:val="009657D5"/>
    <w:rsid w:val="0096595E"/>
    <w:rsid w:val="009659F0"/>
    <w:rsid w:val="00965A7F"/>
    <w:rsid w:val="00965AA1"/>
    <w:rsid w:val="00965AE6"/>
    <w:rsid w:val="00965E3D"/>
    <w:rsid w:val="00965FAC"/>
    <w:rsid w:val="00965FB6"/>
    <w:rsid w:val="009661BB"/>
    <w:rsid w:val="00966260"/>
    <w:rsid w:val="00966303"/>
    <w:rsid w:val="009663C4"/>
    <w:rsid w:val="00966475"/>
    <w:rsid w:val="0096658D"/>
    <w:rsid w:val="009665D9"/>
    <w:rsid w:val="0096665E"/>
    <w:rsid w:val="0096675C"/>
    <w:rsid w:val="00966AEE"/>
    <w:rsid w:val="00966CE5"/>
    <w:rsid w:val="00966D34"/>
    <w:rsid w:val="00966DB3"/>
    <w:rsid w:val="00966E6B"/>
    <w:rsid w:val="00966FF5"/>
    <w:rsid w:val="0096700E"/>
    <w:rsid w:val="0096707E"/>
    <w:rsid w:val="009670BB"/>
    <w:rsid w:val="00967118"/>
    <w:rsid w:val="00967189"/>
    <w:rsid w:val="0096722D"/>
    <w:rsid w:val="009672F8"/>
    <w:rsid w:val="00967584"/>
    <w:rsid w:val="009675E7"/>
    <w:rsid w:val="009675FC"/>
    <w:rsid w:val="0096766E"/>
    <w:rsid w:val="009677D5"/>
    <w:rsid w:val="009678A8"/>
    <w:rsid w:val="00967AA3"/>
    <w:rsid w:val="00967B38"/>
    <w:rsid w:val="00967B54"/>
    <w:rsid w:val="00967B65"/>
    <w:rsid w:val="00967D01"/>
    <w:rsid w:val="00967D56"/>
    <w:rsid w:val="0097016C"/>
    <w:rsid w:val="009703BD"/>
    <w:rsid w:val="00970664"/>
    <w:rsid w:val="0097073F"/>
    <w:rsid w:val="009709E3"/>
    <w:rsid w:val="00970A9C"/>
    <w:rsid w:val="00970D0F"/>
    <w:rsid w:val="00970D27"/>
    <w:rsid w:val="00970DFD"/>
    <w:rsid w:val="00970F8F"/>
    <w:rsid w:val="009710DC"/>
    <w:rsid w:val="0097112E"/>
    <w:rsid w:val="0097114D"/>
    <w:rsid w:val="0097121B"/>
    <w:rsid w:val="009714F4"/>
    <w:rsid w:val="0097153F"/>
    <w:rsid w:val="009717DF"/>
    <w:rsid w:val="009717FB"/>
    <w:rsid w:val="009718E9"/>
    <w:rsid w:val="009719C4"/>
    <w:rsid w:val="00971A97"/>
    <w:rsid w:val="00971AEC"/>
    <w:rsid w:val="00971CD9"/>
    <w:rsid w:val="00971D03"/>
    <w:rsid w:val="00971E5F"/>
    <w:rsid w:val="00971FB9"/>
    <w:rsid w:val="0097221B"/>
    <w:rsid w:val="0097239A"/>
    <w:rsid w:val="009723EF"/>
    <w:rsid w:val="0097240D"/>
    <w:rsid w:val="00972519"/>
    <w:rsid w:val="00972591"/>
    <w:rsid w:val="0097286B"/>
    <w:rsid w:val="009729E4"/>
    <w:rsid w:val="00972A24"/>
    <w:rsid w:val="00972ABA"/>
    <w:rsid w:val="00972B41"/>
    <w:rsid w:val="00972CF9"/>
    <w:rsid w:val="00972D10"/>
    <w:rsid w:val="00972E5E"/>
    <w:rsid w:val="0097308A"/>
    <w:rsid w:val="00973145"/>
    <w:rsid w:val="00973182"/>
    <w:rsid w:val="009733EC"/>
    <w:rsid w:val="00973462"/>
    <w:rsid w:val="009734AC"/>
    <w:rsid w:val="0097382D"/>
    <w:rsid w:val="009738D9"/>
    <w:rsid w:val="009738E3"/>
    <w:rsid w:val="00973963"/>
    <w:rsid w:val="009739D9"/>
    <w:rsid w:val="00973EB8"/>
    <w:rsid w:val="009740CA"/>
    <w:rsid w:val="009741EB"/>
    <w:rsid w:val="00974276"/>
    <w:rsid w:val="0097428A"/>
    <w:rsid w:val="009743A8"/>
    <w:rsid w:val="009745C0"/>
    <w:rsid w:val="00974892"/>
    <w:rsid w:val="009748C4"/>
    <w:rsid w:val="00974ACC"/>
    <w:rsid w:val="00974BE3"/>
    <w:rsid w:val="00974DE4"/>
    <w:rsid w:val="00974F5D"/>
    <w:rsid w:val="00975039"/>
    <w:rsid w:val="009751C4"/>
    <w:rsid w:val="00975327"/>
    <w:rsid w:val="009753F3"/>
    <w:rsid w:val="0097540A"/>
    <w:rsid w:val="0097554C"/>
    <w:rsid w:val="0097563F"/>
    <w:rsid w:val="00975722"/>
    <w:rsid w:val="0097573D"/>
    <w:rsid w:val="00975863"/>
    <w:rsid w:val="00975A38"/>
    <w:rsid w:val="00975A64"/>
    <w:rsid w:val="00975B92"/>
    <w:rsid w:val="00975BE6"/>
    <w:rsid w:val="00975DFE"/>
    <w:rsid w:val="00976248"/>
    <w:rsid w:val="00976303"/>
    <w:rsid w:val="009763B2"/>
    <w:rsid w:val="009764F4"/>
    <w:rsid w:val="009765EA"/>
    <w:rsid w:val="00976677"/>
    <w:rsid w:val="0097682E"/>
    <w:rsid w:val="009768C5"/>
    <w:rsid w:val="0097695E"/>
    <w:rsid w:val="00976A1F"/>
    <w:rsid w:val="00976B7C"/>
    <w:rsid w:val="00976D44"/>
    <w:rsid w:val="009771FC"/>
    <w:rsid w:val="0097725B"/>
    <w:rsid w:val="0097741F"/>
    <w:rsid w:val="0097746F"/>
    <w:rsid w:val="0097763C"/>
    <w:rsid w:val="00977692"/>
    <w:rsid w:val="009776FC"/>
    <w:rsid w:val="00977808"/>
    <w:rsid w:val="00977A99"/>
    <w:rsid w:val="00977B8D"/>
    <w:rsid w:val="00977C6B"/>
    <w:rsid w:val="00977C6C"/>
    <w:rsid w:val="00977DE4"/>
    <w:rsid w:val="009800E4"/>
    <w:rsid w:val="0098010C"/>
    <w:rsid w:val="00980532"/>
    <w:rsid w:val="0098073D"/>
    <w:rsid w:val="009807AD"/>
    <w:rsid w:val="009808A4"/>
    <w:rsid w:val="00980DFF"/>
    <w:rsid w:val="00981053"/>
    <w:rsid w:val="00981089"/>
    <w:rsid w:val="00981415"/>
    <w:rsid w:val="00981774"/>
    <w:rsid w:val="0098181B"/>
    <w:rsid w:val="00981913"/>
    <w:rsid w:val="0098198B"/>
    <w:rsid w:val="00981CC8"/>
    <w:rsid w:val="00981DF1"/>
    <w:rsid w:val="00981F26"/>
    <w:rsid w:val="00981F44"/>
    <w:rsid w:val="00981F7C"/>
    <w:rsid w:val="00982024"/>
    <w:rsid w:val="009820F7"/>
    <w:rsid w:val="00982290"/>
    <w:rsid w:val="0098242A"/>
    <w:rsid w:val="00982443"/>
    <w:rsid w:val="009824BE"/>
    <w:rsid w:val="00982595"/>
    <w:rsid w:val="009827F3"/>
    <w:rsid w:val="00982809"/>
    <w:rsid w:val="00982C7F"/>
    <w:rsid w:val="00982ED2"/>
    <w:rsid w:val="00983082"/>
    <w:rsid w:val="0098328F"/>
    <w:rsid w:val="0098330B"/>
    <w:rsid w:val="009833E1"/>
    <w:rsid w:val="0098366A"/>
    <w:rsid w:val="00983680"/>
    <w:rsid w:val="009837F9"/>
    <w:rsid w:val="00983890"/>
    <w:rsid w:val="009838EA"/>
    <w:rsid w:val="00983C66"/>
    <w:rsid w:val="00983D33"/>
    <w:rsid w:val="00983E53"/>
    <w:rsid w:val="00983E83"/>
    <w:rsid w:val="00983FE9"/>
    <w:rsid w:val="009840BC"/>
    <w:rsid w:val="009840FA"/>
    <w:rsid w:val="0098438A"/>
    <w:rsid w:val="0098451D"/>
    <w:rsid w:val="0098452E"/>
    <w:rsid w:val="00984CFC"/>
    <w:rsid w:val="00984E07"/>
    <w:rsid w:val="009850DD"/>
    <w:rsid w:val="00985566"/>
    <w:rsid w:val="00985738"/>
    <w:rsid w:val="00985797"/>
    <w:rsid w:val="009858E5"/>
    <w:rsid w:val="00985DD6"/>
    <w:rsid w:val="00985F41"/>
    <w:rsid w:val="00985F7E"/>
    <w:rsid w:val="00986289"/>
    <w:rsid w:val="00986347"/>
    <w:rsid w:val="00986485"/>
    <w:rsid w:val="009865A2"/>
    <w:rsid w:val="00986835"/>
    <w:rsid w:val="00986921"/>
    <w:rsid w:val="009869E7"/>
    <w:rsid w:val="00986AF8"/>
    <w:rsid w:val="00986B22"/>
    <w:rsid w:val="00986CC6"/>
    <w:rsid w:val="00986D34"/>
    <w:rsid w:val="00986ED8"/>
    <w:rsid w:val="0098709E"/>
    <w:rsid w:val="00987190"/>
    <w:rsid w:val="009871AF"/>
    <w:rsid w:val="009871C5"/>
    <w:rsid w:val="00987286"/>
    <w:rsid w:val="009872E6"/>
    <w:rsid w:val="00987500"/>
    <w:rsid w:val="00987609"/>
    <w:rsid w:val="009876AF"/>
    <w:rsid w:val="0098775D"/>
    <w:rsid w:val="0098797E"/>
    <w:rsid w:val="00987A56"/>
    <w:rsid w:val="00987B16"/>
    <w:rsid w:val="00987B56"/>
    <w:rsid w:val="00987D16"/>
    <w:rsid w:val="00987D32"/>
    <w:rsid w:val="00987D4C"/>
    <w:rsid w:val="00987D72"/>
    <w:rsid w:val="00987E67"/>
    <w:rsid w:val="0099033B"/>
    <w:rsid w:val="00990451"/>
    <w:rsid w:val="00990712"/>
    <w:rsid w:val="00990901"/>
    <w:rsid w:val="009909C6"/>
    <w:rsid w:val="00990A46"/>
    <w:rsid w:val="00990DA3"/>
    <w:rsid w:val="00990F3D"/>
    <w:rsid w:val="00990F76"/>
    <w:rsid w:val="00990FE6"/>
    <w:rsid w:val="0099102E"/>
    <w:rsid w:val="00991055"/>
    <w:rsid w:val="009910C6"/>
    <w:rsid w:val="00991181"/>
    <w:rsid w:val="00991375"/>
    <w:rsid w:val="00991403"/>
    <w:rsid w:val="0099162C"/>
    <w:rsid w:val="009916DC"/>
    <w:rsid w:val="00991813"/>
    <w:rsid w:val="009919B1"/>
    <w:rsid w:val="00991A89"/>
    <w:rsid w:val="00991CA0"/>
    <w:rsid w:val="00991D9C"/>
    <w:rsid w:val="00991EAF"/>
    <w:rsid w:val="00991FA5"/>
    <w:rsid w:val="0099202F"/>
    <w:rsid w:val="0099210E"/>
    <w:rsid w:val="009921A4"/>
    <w:rsid w:val="009921B0"/>
    <w:rsid w:val="009922CC"/>
    <w:rsid w:val="00992399"/>
    <w:rsid w:val="009923C0"/>
    <w:rsid w:val="00992506"/>
    <w:rsid w:val="00992728"/>
    <w:rsid w:val="00992752"/>
    <w:rsid w:val="009927EC"/>
    <w:rsid w:val="00992807"/>
    <w:rsid w:val="009928ED"/>
    <w:rsid w:val="0099297B"/>
    <w:rsid w:val="00992AE2"/>
    <w:rsid w:val="00992C03"/>
    <w:rsid w:val="00992C24"/>
    <w:rsid w:val="00992D83"/>
    <w:rsid w:val="00992DA2"/>
    <w:rsid w:val="00992EAA"/>
    <w:rsid w:val="00992F55"/>
    <w:rsid w:val="00992F61"/>
    <w:rsid w:val="00993090"/>
    <w:rsid w:val="0099318C"/>
    <w:rsid w:val="00993431"/>
    <w:rsid w:val="0099346F"/>
    <w:rsid w:val="0099348F"/>
    <w:rsid w:val="009934F6"/>
    <w:rsid w:val="009935B3"/>
    <w:rsid w:val="00993704"/>
    <w:rsid w:val="00993995"/>
    <w:rsid w:val="009939D1"/>
    <w:rsid w:val="00993A15"/>
    <w:rsid w:val="00993A79"/>
    <w:rsid w:val="00993AE0"/>
    <w:rsid w:val="00993CC3"/>
    <w:rsid w:val="00993DC2"/>
    <w:rsid w:val="00993FA8"/>
    <w:rsid w:val="00993FF9"/>
    <w:rsid w:val="00994166"/>
    <w:rsid w:val="009941A9"/>
    <w:rsid w:val="009941E1"/>
    <w:rsid w:val="0099437B"/>
    <w:rsid w:val="009945BA"/>
    <w:rsid w:val="009945F4"/>
    <w:rsid w:val="00994663"/>
    <w:rsid w:val="0099479B"/>
    <w:rsid w:val="009947BC"/>
    <w:rsid w:val="0099483E"/>
    <w:rsid w:val="00994971"/>
    <w:rsid w:val="0099499E"/>
    <w:rsid w:val="00994AA8"/>
    <w:rsid w:val="00994AFE"/>
    <w:rsid w:val="00994B11"/>
    <w:rsid w:val="00994B39"/>
    <w:rsid w:val="00994EF6"/>
    <w:rsid w:val="00994FB7"/>
    <w:rsid w:val="00995084"/>
    <w:rsid w:val="009950EE"/>
    <w:rsid w:val="00995276"/>
    <w:rsid w:val="009952D0"/>
    <w:rsid w:val="00995417"/>
    <w:rsid w:val="009954FE"/>
    <w:rsid w:val="00995599"/>
    <w:rsid w:val="00995889"/>
    <w:rsid w:val="0099588A"/>
    <w:rsid w:val="00995931"/>
    <w:rsid w:val="00995BFC"/>
    <w:rsid w:val="00995C4A"/>
    <w:rsid w:val="00995CBB"/>
    <w:rsid w:val="00995FF1"/>
    <w:rsid w:val="00996009"/>
    <w:rsid w:val="009960A9"/>
    <w:rsid w:val="0099674A"/>
    <w:rsid w:val="00996772"/>
    <w:rsid w:val="00996880"/>
    <w:rsid w:val="0099694C"/>
    <w:rsid w:val="009969C9"/>
    <w:rsid w:val="00996B09"/>
    <w:rsid w:val="00996BB8"/>
    <w:rsid w:val="00997003"/>
    <w:rsid w:val="00997123"/>
    <w:rsid w:val="009971D8"/>
    <w:rsid w:val="00997525"/>
    <w:rsid w:val="00997536"/>
    <w:rsid w:val="009975A8"/>
    <w:rsid w:val="009975B8"/>
    <w:rsid w:val="00997737"/>
    <w:rsid w:val="009977EA"/>
    <w:rsid w:val="0099782C"/>
    <w:rsid w:val="00997831"/>
    <w:rsid w:val="0099787A"/>
    <w:rsid w:val="00997B7E"/>
    <w:rsid w:val="00997E31"/>
    <w:rsid w:val="009A008C"/>
    <w:rsid w:val="009A01F8"/>
    <w:rsid w:val="009A0327"/>
    <w:rsid w:val="009A04F9"/>
    <w:rsid w:val="009A05A3"/>
    <w:rsid w:val="009A08D2"/>
    <w:rsid w:val="009A0912"/>
    <w:rsid w:val="009A0985"/>
    <w:rsid w:val="009A0B7B"/>
    <w:rsid w:val="009A0CB2"/>
    <w:rsid w:val="009A0E0F"/>
    <w:rsid w:val="009A0FBE"/>
    <w:rsid w:val="009A110D"/>
    <w:rsid w:val="009A12F7"/>
    <w:rsid w:val="009A14E2"/>
    <w:rsid w:val="009A1642"/>
    <w:rsid w:val="009A173E"/>
    <w:rsid w:val="009A1975"/>
    <w:rsid w:val="009A197E"/>
    <w:rsid w:val="009A1C51"/>
    <w:rsid w:val="009A1EE4"/>
    <w:rsid w:val="009A1F50"/>
    <w:rsid w:val="009A202A"/>
    <w:rsid w:val="009A2040"/>
    <w:rsid w:val="009A206C"/>
    <w:rsid w:val="009A2358"/>
    <w:rsid w:val="009A23F3"/>
    <w:rsid w:val="009A24F0"/>
    <w:rsid w:val="009A2680"/>
    <w:rsid w:val="009A2713"/>
    <w:rsid w:val="009A27F4"/>
    <w:rsid w:val="009A2B58"/>
    <w:rsid w:val="009A2C3E"/>
    <w:rsid w:val="009A2C55"/>
    <w:rsid w:val="009A2D99"/>
    <w:rsid w:val="009A2E22"/>
    <w:rsid w:val="009A2FCB"/>
    <w:rsid w:val="009A2FE8"/>
    <w:rsid w:val="009A3298"/>
    <w:rsid w:val="009A33EB"/>
    <w:rsid w:val="009A33EC"/>
    <w:rsid w:val="009A341D"/>
    <w:rsid w:val="009A344E"/>
    <w:rsid w:val="009A35A6"/>
    <w:rsid w:val="009A3652"/>
    <w:rsid w:val="009A3659"/>
    <w:rsid w:val="009A3886"/>
    <w:rsid w:val="009A3901"/>
    <w:rsid w:val="009A3AE6"/>
    <w:rsid w:val="009A3D1B"/>
    <w:rsid w:val="009A3E17"/>
    <w:rsid w:val="009A4092"/>
    <w:rsid w:val="009A40CC"/>
    <w:rsid w:val="009A4228"/>
    <w:rsid w:val="009A4242"/>
    <w:rsid w:val="009A427B"/>
    <w:rsid w:val="009A42F5"/>
    <w:rsid w:val="009A43B0"/>
    <w:rsid w:val="009A4472"/>
    <w:rsid w:val="009A4543"/>
    <w:rsid w:val="009A45D4"/>
    <w:rsid w:val="009A4696"/>
    <w:rsid w:val="009A46C4"/>
    <w:rsid w:val="009A46FF"/>
    <w:rsid w:val="009A475B"/>
    <w:rsid w:val="009A4A59"/>
    <w:rsid w:val="009A4CFB"/>
    <w:rsid w:val="009A4DB4"/>
    <w:rsid w:val="009A4E8B"/>
    <w:rsid w:val="009A5092"/>
    <w:rsid w:val="009A5152"/>
    <w:rsid w:val="009A51A4"/>
    <w:rsid w:val="009A51B7"/>
    <w:rsid w:val="009A53FF"/>
    <w:rsid w:val="009A5474"/>
    <w:rsid w:val="009A5548"/>
    <w:rsid w:val="009A5573"/>
    <w:rsid w:val="009A57AF"/>
    <w:rsid w:val="009A5827"/>
    <w:rsid w:val="009A58D2"/>
    <w:rsid w:val="009A596E"/>
    <w:rsid w:val="009A59CB"/>
    <w:rsid w:val="009A5A7C"/>
    <w:rsid w:val="009A5B0B"/>
    <w:rsid w:val="009A5B28"/>
    <w:rsid w:val="009A5C83"/>
    <w:rsid w:val="009A5E35"/>
    <w:rsid w:val="009A5E65"/>
    <w:rsid w:val="009A5F56"/>
    <w:rsid w:val="009A5F60"/>
    <w:rsid w:val="009A6025"/>
    <w:rsid w:val="009A615E"/>
    <w:rsid w:val="009A617F"/>
    <w:rsid w:val="009A61E3"/>
    <w:rsid w:val="009A62A8"/>
    <w:rsid w:val="009A638A"/>
    <w:rsid w:val="009A63BA"/>
    <w:rsid w:val="009A63FC"/>
    <w:rsid w:val="009A645B"/>
    <w:rsid w:val="009A64AE"/>
    <w:rsid w:val="009A6689"/>
    <w:rsid w:val="009A66B8"/>
    <w:rsid w:val="009A66F7"/>
    <w:rsid w:val="009A679D"/>
    <w:rsid w:val="009A690C"/>
    <w:rsid w:val="009A6EE2"/>
    <w:rsid w:val="009A70ED"/>
    <w:rsid w:val="009A7155"/>
    <w:rsid w:val="009A7172"/>
    <w:rsid w:val="009A7255"/>
    <w:rsid w:val="009A7287"/>
    <w:rsid w:val="009A729D"/>
    <w:rsid w:val="009A73F6"/>
    <w:rsid w:val="009A7427"/>
    <w:rsid w:val="009A742D"/>
    <w:rsid w:val="009A7477"/>
    <w:rsid w:val="009A7564"/>
    <w:rsid w:val="009A76EA"/>
    <w:rsid w:val="009A782D"/>
    <w:rsid w:val="009A786C"/>
    <w:rsid w:val="009A795A"/>
    <w:rsid w:val="009A79C2"/>
    <w:rsid w:val="009A7D31"/>
    <w:rsid w:val="009A7DF1"/>
    <w:rsid w:val="009A7E81"/>
    <w:rsid w:val="009A7EC9"/>
    <w:rsid w:val="009B029E"/>
    <w:rsid w:val="009B0347"/>
    <w:rsid w:val="009B037A"/>
    <w:rsid w:val="009B041F"/>
    <w:rsid w:val="009B04F9"/>
    <w:rsid w:val="009B05C3"/>
    <w:rsid w:val="009B05F6"/>
    <w:rsid w:val="009B06D9"/>
    <w:rsid w:val="009B0FE9"/>
    <w:rsid w:val="009B10A3"/>
    <w:rsid w:val="009B11C6"/>
    <w:rsid w:val="009B1298"/>
    <w:rsid w:val="009B1313"/>
    <w:rsid w:val="009B13B5"/>
    <w:rsid w:val="009B1427"/>
    <w:rsid w:val="009B1605"/>
    <w:rsid w:val="009B17AA"/>
    <w:rsid w:val="009B17C2"/>
    <w:rsid w:val="009B1837"/>
    <w:rsid w:val="009B1945"/>
    <w:rsid w:val="009B1C0E"/>
    <w:rsid w:val="009B1C39"/>
    <w:rsid w:val="009B1CD4"/>
    <w:rsid w:val="009B1CFC"/>
    <w:rsid w:val="009B21F6"/>
    <w:rsid w:val="009B2361"/>
    <w:rsid w:val="009B23A5"/>
    <w:rsid w:val="009B2415"/>
    <w:rsid w:val="009B2442"/>
    <w:rsid w:val="009B24D5"/>
    <w:rsid w:val="009B2714"/>
    <w:rsid w:val="009B272B"/>
    <w:rsid w:val="009B28F1"/>
    <w:rsid w:val="009B2911"/>
    <w:rsid w:val="009B2968"/>
    <w:rsid w:val="009B2988"/>
    <w:rsid w:val="009B29BA"/>
    <w:rsid w:val="009B2A8C"/>
    <w:rsid w:val="009B2B2F"/>
    <w:rsid w:val="009B2B7C"/>
    <w:rsid w:val="009B2BDE"/>
    <w:rsid w:val="009B2BED"/>
    <w:rsid w:val="009B2CE6"/>
    <w:rsid w:val="009B2D67"/>
    <w:rsid w:val="009B303E"/>
    <w:rsid w:val="009B30B1"/>
    <w:rsid w:val="009B314C"/>
    <w:rsid w:val="009B326A"/>
    <w:rsid w:val="009B34C7"/>
    <w:rsid w:val="009B37DA"/>
    <w:rsid w:val="009B3890"/>
    <w:rsid w:val="009B3B96"/>
    <w:rsid w:val="009B3C20"/>
    <w:rsid w:val="009B3FD6"/>
    <w:rsid w:val="009B41BE"/>
    <w:rsid w:val="009B41DF"/>
    <w:rsid w:val="009B433F"/>
    <w:rsid w:val="009B437F"/>
    <w:rsid w:val="009B4584"/>
    <w:rsid w:val="009B46C4"/>
    <w:rsid w:val="009B4797"/>
    <w:rsid w:val="009B4846"/>
    <w:rsid w:val="009B4B5E"/>
    <w:rsid w:val="009B4F1C"/>
    <w:rsid w:val="009B53A6"/>
    <w:rsid w:val="009B53A8"/>
    <w:rsid w:val="009B5423"/>
    <w:rsid w:val="009B5617"/>
    <w:rsid w:val="009B565F"/>
    <w:rsid w:val="009B58F5"/>
    <w:rsid w:val="009B596A"/>
    <w:rsid w:val="009B5989"/>
    <w:rsid w:val="009B5B1D"/>
    <w:rsid w:val="009B5F2E"/>
    <w:rsid w:val="009B6530"/>
    <w:rsid w:val="009B655E"/>
    <w:rsid w:val="009B65C6"/>
    <w:rsid w:val="009B65E8"/>
    <w:rsid w:val="009B65F1"/>
    <w:rsid w:val="009B6708"/>
    <w:rsid w:val="009B6712"/>
    <w:rsid w:val="009B6A2A"/>
    <w:rsid w:val="009B6A61"/>
    <w:rsid w:val="009B6B0C"/>
    <w:rsid w:val="009B6C32"/>
    <w:rsid w:val="009B6D5D"/>
    <w:rsid w:val="009B6D90"/>
    <w:rsid w:val="009B6DBD"/>
    <w:rsid w:val="009B6DC6"/>
    <w:rsid w:val="009B719C"/>
    <w:rsid w:val="009B7227"/>
    <w:rsid w:val="009B72AB"/>
    <w:rsid w:val="009B74A9"/>
    <w:rsid w:val="009B7578"/>
    <w:rsid w:val="009B7699"/>
    <w:rsid w:val="009B781D"/>
    <w:rsid w:val="009B78AA"/>
    <w:rsid w:val="009B79F8"/>
    <w:rsid w:val="009B7A99"/>
    <w:rsid w:val="009B7CA7"/>
    <w:rsid w:val="009B7D69"/>
    <w:rsid w:val="009B7DAA"/>
    <w:rsid w:val="009B7DCE"/>
    <w:rsid w:val="009B7E27"/>
    <w:rsid w:val="009B7E2D"/>
    <w:rsid w:val="009B7E5E"/>
    <w:rsid w:val="009C00DE"/>
    <w:rsid w:val="009C0101"/>
    <w:rsid w:val="009C018B"/>
    <w:rsid w:val="009C02ED"/>
    <w:rsid w:val="009C07D1"/>
    <w:rsid w:val="009C08C0"/>
    <w:rsid w:val="009C0BF4"/>
    <w:rsid w:val="009C0C0C"/>
    <w:rsid w:val="009C0D13"/>
    <w:rsid w:val="009C0E1C"/>
    <w:rsid w:val="009C0F67"/>
    <w:rsid w:val="009C1215"/>
    <w:rsid w:val="009C1323"/>
    <w:rsid w:val="009C13C8"/>
    <w:rsid w:val="009C14F7"/>
    <w:rsid w:val="009C150E"/>
    <w:rsid w:val="009C16A1"/>
    <w:rsid w:val="009C16AB"/>
    <w:rsid w:val="009C17C0"/>
    <w:rsid w:val="009C198D"/>
    <w:rsid w:val="009C1AA6"/>
    <w:rsid w:val="009C1C2F"/>
    <w:rsid w:val="009C1CCF"/>
    <w:rsid w:val="009C1E11"/>
    <w:rsid w:val="009C1EB6"/>
    <w:rsid w:val="009C1F2A"/>
    <w:rsid w:val="009C20C1"/>
    <w:rsid w:val="009C212A"/>
    <w:rsid w:val="009C214F"/>
    <w:rsid w:val="009C2150"/>
    <w:rsid w:val="009C2174"/>
    <w:rsid w:val="009C2194"/>
    <w:rsid w:val="009C2223"/>
    <w:rsid w:val="009C2505"/>
    <w:rsid w:val="009C278F"/>
    <w:rsid w:val="009C28D3"/>
    <w:rsid w:val="009C2A31"/>
    <w:rsid w:val="009C2AD8"/>
    <w:rsid w:val="009C2EB9"/>
    <w:rsid w:val="009C30CD"/>
    <w:rsid w:val="009C3306"/>
    <w:rsid w:val="009C34B3"/>
    <w:rsid w:val="009C34C9"/>
    <w:rsid w:val="009C3572"/>
    <w:rsid w:val="009C36D7"/>
    <w:rsid w:val="009C3725"/>
    <w:rsid w:val="009C37FF"/>
    <w:rsid w:val="009C38A9"/>
    <w:rsid w:val="009C38DB"/>
    <w:rsid w:val="009C3915"/>
    <w:rsid w:val="009C3999"/>
    <w:rsid w:val="009C39B8"/>
    <w:rsid w:val="009C3D86"/>
    <w:rsid w:val="009C3EB8"/>
    <w:rsid w:val="009C420F"/>
    <w:rsid w:val="009C42AA"/>
    <w:rsid w:val="009C45FC"/>
    <w:rsid w:val="009C4610"/>
    <w:rsid w:val="009C46B6"/>
    <w:rsid w:val="009C4780"/>
    <w:rsid w:val="009C4851"/>
    <w:rsid w:val="009C4904"/>
    <w:rsid w:val="009C4927"/>
    <w:rsid w:val="009C495D"/>
    <w:rsid w:val="009C4A06"/>
    <w:rsid w:val="009C4A7C"/>
    <w:rsid w:val="009C4B2A"/>
    <w:rsid w:val="009C4CFD"/>
    <w:rsid w:val="009C4D54"/>
    <w:rsid w:val="009C50B0"/>
    <w:rsid w:val="009C51BF"/>
    <w:rsid w:val="009C540A"/>
    <w:rsid w:val="009C540B"/>
    <w:rsid w:val="009C5493"/>
    <w:rsid w:val="009C557A"/>
    <w:rsid w:val="009C560F"/>
    <w:rsid w:val="009C56D4"/>
    <w:rsid w:val="009C5882"/>
    <w:rsid w:val="009C58EF"/>
    <w:rsid w:val="009C5911"/>
    <w:rsid w:val="009C59AA"/>
    <w:rsid w:val="009C5C1D"/>
    <w:rsid w:val="009C5C9F"/>
    <w:rsid w:val="009C5D6A"/>
    <w:rsid w:val="009C5EEA"/>
    <w:rsid w:val="009C5F53"/>
    <w:rsid w:val="009C625C"/>
    <w:rsid w:val="009C62FB"/>
    <w:rsid w:val="009C6386"/>
    <w:rsid w:val="009C6401"/>
    <w:rsid w:val="009C6A0A"/>
    <w:rsid w:val="009C6A0B"/>
    <w:rsid w:val="009C6A3B"/>
    <w:rsid w:val="009C6D09"/>
    <w:rsid w:val="009C6D5D"/>
    <w:rsid w:val="009C6DD9"/>
    <w:rsid w:val="009C6DE5"/>
    <w:rsid w:val="009C6DF1"/>
    <w:rsid w:val="009C70E8"/>
    <w:rsid w:val="009C7209"/>
    <w:rsid w:val="009C75A9"/>
    <w:rsid w:val="009C762C"/>
    <w:rsid w:val="009C7670"/>
    <w:rsid w:val="009C7766"/>
    <w:rsid w:val="009C78BB"/>
    <w:rsid w:val="009C7B24"/>
    <w:rsid w:val="009C7BA6"/>
    <w:rsid w:val="009C7CB5"/>
    <w:rsid w:val="009C7D55"/>
    <w:rsid w:val="009C7E1F"/>
    <w:rsid w:val="009C7EA2"/>
    <w:rsid w:val="009C7FD3"/>
    <w:rsid w:val="009D0119"/>
    <w:rsid w:val="009D01A7"/>
    <w:rsid w:val="009D0257"/>
    <w:rsid w:val="009D027A"/>
    <w:rsid w:val="009D032B"/>
    <w:rsid w:val="009D03B5"/>
    <w:rsid w:val="009D03EE"/>
    <w:rsid w:val="009D0480"/>
    <w:rsid w:val="009D04A7"/>
    <w:rsid w:val="009D051E"/>
    <w:rsid w:val="009D07A0"/>
    <w:rsid w:val="009D07A5"/>
    <w:rsid w:val="009D0877"/>
    <w:rsid w:val="009D0A56"/>
    <w:rsid w:val="009D0E67"/>
    <w:rsid w:val="009D0E6C"/>
    <w:rsid w:val="009D1172"/>
    <w:rsid w:val="009D11AA"/>
    <w:rsid w:val="009D13F8"/>
    <w:rsid w:val="009D145D"/>
    <w:rsid w:val="009D14BC"/>
    <w:rsid w:val="009D14DC"/>
    <w:rsid w:val="009D1648"/>
    <w:rsid w:val="009D1676"/>
    <w:rsid w:val="009D1776"/>
    <w:rsid w:val="009D1791"/>
    <w:rsid w:val="009D185A"/>
    <w:rsid w:val="009D194D"/>
    <w:rsid w:val="009D1966"/>
    <w:rsid w:val="009D19EE"/>
    <w:rsid w:val="009D1A31"/>
    <w:rsid w:val="009D1ADB"/>
    <w:rsid w:val="009D1BB5"/>
    <w:rsid w:val="009D1E4A"/>
    <w:rsid w:val="009D1E61"/>
    <w:rsid w:val="009D1F14"/>
    <w:rsid w:val="009D1F1D"/>
    <w:rsid w:val="009D1FDC"/>
    <w:rsid w:val="009D2260"/>
    <w:rsid w:val="009D2526"/>
    <w:rsid w:val="009D254F"/>
    <w:rsid w:val="009D258C"/>
    <w:rsid w:val="009D2739"/>
    <w:rsid w:val="009D27D7"/>
    <w:rsid w:val="009D2882"/>
    <w:rsid w:val="009D2BEE"/>
    <w:rsid w:val="009D2DB6"/>
    <w:rsid w:val="009D2E0E"/>
    <w:rsid w:val="009D2FBB"/>
    <w:rsid w:val="009D3037"/>
    <w:rsid w:val="009D310E"/>
    <w:rsid w:val="009D3190"/>
    <w:rsid w:val="009D321E"/>
    <w:rsid w:val="009D3225"/>
    <w:rsid w:val="009D3233"/>
    <w:rsid w:val="009D3378"/>
    <w:rsid w:val="009D3501"/>
    <w:rsid w:val="009D3622"/>
    <w:rsid w:val="009D37F1"/>
    <w:rsid w:val="009D3D2A"/>
    <w:rsid w:val="009D3DAC"/>
    <w:rsid w:val="009D40F0"/>
    <w:rsid w:val="009D416F"/>
    <w:rsid w:val="009D41DE"/>
    <w:rsid w:val="009D42A1"/>
    <w:rsid w:val="009D42DD"/>
    <w:rsid w:val="009D4332"/>
    <w:rsid w:val="009D46E8"/>
    <w:rsid w:val="009D4747"/>
    <w:rsid w:val="009D487A"/>
    <w:rsid w:val="009D48E5"/>
    <w:rsid w:val="009D4B32"/>
    <w:rsid w:val="009D50B7"/>
    <w:rsid w:val="009D515E"/>
    <w:rsid w:val="009D5369"/>
    <w:rsid w:val="009D5499"/>
    <w:rsid w:val="009D551B"/>
    <w:rsid w:val="009D5835"/>
    <w:rsid w:val="009D594E"/>
    <w:rsid w:val="009D59FB"/>
    <w:rsid w:val="009D5A50"/>
    <w:rsid w:val="009D5A84"/>
    <w:rsid w:val="009D5CAA"/>
    <w:rsid w:val="009D5D64"/>
    <w:rsid w:val="009D5E7D"/>
    <w:rsid w:val="009D5FB7"/>
    <w:rsid w:val="009D6052"/>
    <w:rsid w:val="009D60EA"/>
    <w:rsid w:val="009D60FA"/>
    <w:rsid w:val="009D6190"/>
    <w:rsid w:val="009D6290"/>
    <w:rsid w:val="009D62F5"/>
    <w:rsid w:val="009D63EF"/>
    <w:rsid w:val="009D66D6"/>
    <w:rsid w:val="009D69BC"/>
    <w:rsid w:val="009D6BC0"/>
    <w:rsid w:val="009D6DD8"/>
    <w:rsid w:val="009D6DE6"/>
    <w:rsid w:val="009D6F09"/>
    <w:rsid w:val="009D7069"/>
    <w:rsid w:val="009D7346"/>
    <w:rsid w:val="009D734F"/>
    <w:rsid w:val="009D75D3"/>
    <w:rsid w:val="009D784C"/>
    <w:rsid w:val="009D7914"/>
    <w:rsid w:val="009D7BC1"/>
    <w:rsid w:val="009D7C6D"/>
    <w:rsid w:val="009D7E98"/>
    <w:rsid w:val="009D7EDE"/>
    <w:rsid w:val="009E0124"/>
    <w:rsid w:val="009E013B"/>
    <w:rsid w:val="009E030E"/>
    <w:rsid w:val="009E039D"/>
    <w:rsid w:val="009E0626"/>
    <w:rsid w:val="009E06D0"/>
    <w:rsid w:val="009E06FA"/>
    <w:rsid w:val="009E073E"/>
    <w:rsid w:val="009E07A8"/>
    <w:rsid w:val="009E0A58"/>
    <w:rsid w:val="009E0C01"/>
    <w:rsid w:val="009E100C"/>
    <w:rsid w:val="009E1272"/>
    <w:rsid w:val="009E1282"/>
    <w:rsid w:val="009E12AE"/>
    <w:rsid w:val="009E14EC"/>
    <w:rsid w:val="009E1686"/>
    <w:rsid w:val="009E18ED"/>
    <w:rsid w:val="009E1902"/>
    <w:rsid w:val="009E196A"/>
    <w:rsid w:val="009E1A2D"/>
    <w:rsid w:val="009E1A88"/>
    <w:rsid w:val="009E1BF7"/>
    <w:rsid w:val="009E1DA2"/>
    <w:rsid w:val="009E1E60"/>
    <w:rsid w:val="009E1FBC"/>
    <w:rsid w:val="009E200C"/>
    <w:rsid w:val="009E2123"/>
    <w:rsid w:val="009E2524"/>
    <w:rsid w:val="009E26A5"/>
    <w:rsid w:val="009E27D8"/>
    <w:rsid w:val="009E2815"/>
    <w:rsid w:val="009E2833"/>
    <w:rsid w:val="009E29BB"/>
    <w:rsid w:val="009E2A1C"/>
    <w:rsid w:val="009E2C6D"/>
    <w:rsid w:val="009E2D15"/>
    <w:rsid w:val="009E2D59"/>
    <w:rsid w:val="009E2DAC"/>
    <w:rsid w:val="009E2DF8"/>
    <w:rsid w:val="009E30A7"/>
    <w:rsid w:val="009E32CE"/>
    <w:rsid w:val="009E3395"/>
    <w:rsid w:val="009E3475"/>
    <w:rsid w:val="009E350B"/>
    <w:rsid w:val="009E37EA"/>
    <w:rsid w:val="009E38E1"/>
    <w:rsid w:val="009E38E7"/>
    <w:rsid w:val="009E398A"/>
    <w:rsid w:val="009E3A84"/>
    <w:rsid w:val="009E3B60"/>
    <w:rsid w:val="009E3B9D"/>
    <w:rsid w:val="009E3BE4"/>
    <w:rsid w:val="009E3C1B"/>
    <w:rsid w:val="009E3C60"/>
    <w:rsid w:val="009E3EEE"/>
    <w:rsid w:val="009E3F82"/>
    <w:rsid w:val="009E3FC2"/>
    <w:rsid w:val="009E3FCE"/>
    <w:rsid w:val="009E406C"/>
    <w:rsid w:val="009E409B"/>
    <w:rsid w:val="009E40F6"/>
    <w:rsid w:val="009E4336"/>
    <w:rsid w:val="009E4390"/>
    <w:rsid w:val="009E43D2"/>
    <w:rsid w:val="009E4612"/>
    <w:rsid w:val="009E4734"/>
    <w:rsid w:val="009E478B"/>
    <w:rsid w:val="009E478C"/>
    <w:rsid w:val="009E47E6"/>
    <w:rsid w:val="009E4BE9"/>
    <w:rsid w:val="009E4C4A"/>
    <w:rsid w:val="009E4D90"/>
    <w:rsid w:val="009E4E14"/>
    <w:rsid w:val="009E5021"/>
    <w:rsid w:val="009E5035"/>
    <w:rsid w:val="009E5154"/>
    <w:rsid w:val="009E5246"/>
    <w:rsid w:val="009E5312"/>
    <w:rsid w:val="009E54AC"/>
    <w:rsid w:val="009E54D2"/>
    <w:rsid w:val="009E56D9"/>
    <w:rsid w:val="009E5709"/>
    <w:rsid w:val="009E57BF"/>
    <w:rsid w:val="009E5A91"/>
    <w:rsid w:val="009E5AF4"/>
    <w:rsid w:val="009E5D28"/>
    <w:rsid w:val="009E5E83"/>
    <w:rsid w:val="009E5EF3"/>
    <w:rsid w:val="009E6022"/>
    <w:rsid w:val="009E61F7"/>
    <w:rsid w:val="009E6202"/>
    <w:rsid w:val="009E6321"/>
    <w:rsid w:val="009E6470"/>
    <w:rsid w:val="009E64BB"/>
    <w:rsid w:val="009E655C"/>
    <w:rsid w:val="009E682D"/>
    <w:rsid w:val="009E68C2"/>
    <w:rsid w:val="009E6926"/>
    <w:rsid w:val="009E6ADE"/>
    <w:rsid w:val="009E6BF6"/>
    <w:rsid w:val="009E6E7A"/>
    <w:rsid w:val="009E6F9C"/>
    <w:rsid w:val="009E7253"/>
    <w:rsid w:val="009E738E"/>
    <w:rsid w:val="009E73FD"/>
    <w:rsid w:val="009E76B1"/>
    <w:rsid w:val="009E7C96"/>
    <w:rsid w:val="009F00DB"/>
    <w:rsid w:val="009F01EA"/>
    <w:rsid w:val="009F0381"/>
    <w:rsid w:val="009F057D"/>
    <w:rsid w:val="009F074B"/>
    <w:rsid w:val="009F0A3D"/>
    <w:rsid w:val="009F0A4F"/>
    <w:rsid w:val="009F0AB9"/>
    <w:rsid w:val="009F0B0B"/>
    <w:rsid w:val="009F0B43"/>
    <w:rsid w:val="009F0B54"/>
    <w:rsid w:val="009F0B57"/>
    <w:rsid w:val="009F0D8C"/>
    <w:rsid w:val="009F10A7"/>
    <w:rsid w:val="009F118B"/>
    <w:rsid w:val="009F1203"/>
    <w:rsid w:val="009F127F"/>
    <w:rsid w:val="009F148B"/>
    <w:rsid w:val="009F148D"/>
    <w:rsid w:val="009F149B"/>
    <w:rsid w:val="009F15DC"/>
    <w:rsid w:val="009F1687"/>
    <w:rsid w:val="009F170C"/>
    <w:rsid w:val="009F17C2"/>
    <w:rsid w:val="009F17F8"/>
    <w:rsid w:val="009F1848"/>
    <w:rsid w:val="009F185B"/>
    <w:rsid w:val="009F1899"/>
    <w:rsid w:val="009F18E3"/>
    <w:rsid w:val="009F1998"/>
    <w:rsid w:val="009F19B9"/>
    <w:rsid w:val="009F1A2C"/>
    <w:rsid w:val="009F1A5D"/>
    <w:rsid w:val="009F1A99"/>
    <w:rsid w:val="009F1C7B"/>
    <w:rsid w:val="009F1E72"/>
    <w:rsid w:val="009F1F42"/>
    <w:rsid w:val="009F2177"/>
    <w:rsid w:val="009F2183"/>
    <w:rsid w:val="009F2187"/>
    <w:rsid w:val="009F21C9"/>
    <w:rsid w:val="009F21D1"/>
    <w:rsid w:val="009F2412"/>
    <w:rsid w:val="009F255E"/>
    <w:rsid w:val="009F2686"/>
    <w:rsid w:val="009F2832"/>
    <w:rsid w:val="009F28CF"/>
    <w:rsid w:val="009F2B02"/>
    <w:rsid w:val="009F2E86"/>
    <w:rsid w:val="009F3074"/>
    <w:rsid w:val="009F3082"/>
    <w:rsid w:val="009F3086"/>
    <w:rsid w:val="009F3095"/>
    <w:rsid w:val="009F30A8"/>
    <w:rsid w:val="009F322F"/>
    <w:rsid w:val="009F33E4"/>
    <w:rsid w:val="009F35E7"/>
    <w:rsid w:val="009F3659"/>
    <w:rsid w:val="009F36D5"/>
    <w:rsid w:val="009F39DC"/>
    <w:rsid w:val="009F3B30"/>
    <w:rsid w:val="009F3FC9"/>
    <w:rsid w:val="009F4154"/>
    <w:rsid w:val="009F4243"/>
    <w:rsid w:val="009F4352"/>
    <w:rsid w:val="009F4652"/>
    <w:rsid w:val="009F4692"/>
    <w:rsid w:val="009F481A"/>
    <w:rsid w:val="009F4C68"/>
    <w:rsid w:val="009F4CB4"/>
    <w:rsid w:val="009F4D8D"/>
    <w:rsid w:val="009F4DE0"/>
    <w:rsid w:val="009F4DE6"/>
    <w:rsid w:val="009F4F75"/>
    <w:rsid w:val="009F4FC0"/>
    <w:rsid w:val="009F510F"/>
    <w:rsid w:val="009F53A4"/>
    <w:rsid w:val="009F54F7"/>
    <w:rsid w:val="009F55D1"/>
    <w:rsid w:val="009F56C7"/>
    <w:rsid w:val="009F56F0"/>
    <w:rsid w:val="009F57C8"/>
    <w:rsid w:val="009F5809"/>
    <w:rsid w:val="009F5A5C"/>
    <w:rsid w:val="009F5BCA"/>
    <w:rsid w:val="009F5C96"/>
    <w:rsid w:val="009F6122"/>
    <w:rsid w:val="009F6168"/>
    <w:rsid w:val="009F61B9"/>
    <w:rsid w:val="009F629B"/>
    <w:rsid w:val="009F6367"/>
    <w:rsid w:val="009F6398"/>
    <w:rsid w:val="009F65BB"/>
    <w:rsid w:val="009F6681"/>
    <w:rsid w:val="009F68FA"/>
    <w:rsid w:val="009F6A7D"/>
    <w:rsid w:val="009F6E97"/>
    <w:rsid w:val="009F6EFA"/>
    <w:rsid w:val="009F6F1F"/>
    <w:rsid w:val="009F6F90"/>
    <w:rsid w:val="009F70E3"/>
    <w:rsid w:val="009F71CA"/>
    <w:rsid w:val="009F7217"/>
    <w:rsid w:val="009F72F6"/>
    <w:rsid w:val="009F733E"/>
    <w:rsid w:val="009F7455"/>
    <w:rsid w:val="009F758C"/>
    <w:rsid w:val="009F7758"/>
    <w:rsid w:val="009F79D5"/>
    <w:rsid w:val="009F7B8C"/>
    <w:rsid w:val="009F7CAE"/>
    <w:rsid w:val="009F7E33"/>
    <w:rsid w:val="009F7FD2"/>
    <w:rsid w:val="00A0006B"/>
    <w:rsid w:val="00A00320"/>
    <w:rsid w:val="00A00534"/>
    <w:rsid w:val="00A006D9"/>
    <w:rsid w:val="00A00ADF"/>
    <w:rsid w:val="00A00C5C"/>
    <w:rsid w:val="00A00DF8"/>
    <w:rsid w:val="00A01132"/>
    <w:rsid w:val="00A0123F"/>
    <w:rsid w:val="00A012F5"/>
    <w:rsid w:val="00A01313"/>
    <w:rsid w:val="00A01349"/>
    <w:rsid w:val="00A014A0"/>
    <w:rsid w:val="00A0151E"/>
    <w:rsid w:val="00A0158D"/>
    <w:rsid w:val="00A01608"/>
    <w:rsid w:val="00A0168F"/>
    <w:rsid w:val="00A0178B"/>
    <w:rsid w:val="00A019FC"/>
    <w:rsid w:val="00A01B7D"/>
    <w:rsid w:val="00A01D26"/>
    <w:rsid w:val="00A01D76"/>
    <w:rsid w:val="00A01E3C"/>
    <w:rsid w:val="00A01FAE"/>
    <w:rsid w:val="00A020B4"/>
    <w:rsid w:val="00A021D2"/>
    <w:rsid w:val="00A02364"/>
    <w:rsid w:val="00A024E3"/>
    <w:rsid w:val="00A02692"/>
    <w:rsid w:val="00A0271F"/>
    <w:rsid w:val="00A0285D"/>
    <w:rsid w:val="00A028AF"/>
    <w:rsid w:val="00A0290A"/>
    <w:rsid w:val="00A02F2B"/>
    <w:rsid w:val="00A030D8"/>
    <w:rsid w:val="00A0353F"/>
    <w:rsid w:val="00A03639"/>
    <w:rsid w:val="00A0370D"/>
    <w:rsid w:val="00A0386C"/>
    <w:rsid w:val="00A038AC"/>
    <w:rsid w:val="00A03B97"/>
    <w:rsid w:val="00A03C19"/>
    <w:rsid w:val="00A03D16"/>
    <w:rsid w:val="00A040E4"/>
    <w:rsid w:val="00A040FF"/>
    <w:rsid w:val="00A0430D"/>
    <w:rsid w:val="00A04320"/>
    <w:rsid w:val="00A043D4"/>
    <w:rsid w:val="00A045B6"/>
    <w:rsid w:val="00A04780"/>
    <w:rsid w:val="00A04794"/>
    <w:rsid w:val="00A04CDB"/>
    <w:rsid w:val="00A04D5A"/>
    <w:rsid w:val="00A050D7"/>
    <w:rsid w:val="00A05130"/>
    <w:rsid w:val="00A0535B"/>
    <w:rsid w:val="00A05386"/>
    <w:rsid w:val="00A053E5"/>
    <w:rsid w:val="00A05413"/>
    <w:rsid w:val="00A0542B"/>
    <w:rsid w:val="00A05479"/>
    <w:rsid w:val="00A0585E"/>
    <w:rsid w:val="00A058CB"/>
    <w:rsid w:val="00A05B71"/>
    <w:rsid w:val="00A05C12"/>
    <w:rsid w:val="00A05CBA"/>
    <w:rsid w:val="00A05DC1"/>
    <w:rsid w:val="00A05DCB"/>
    <w:rsid w:val="00A05EA1"/>
    <w:rsid w:val="00A05FA4"/>
    <w:rsid w:val="00A06050"/>
    <w:rsid w:val="00A06235"/>
    <w:rsid w:val="00A06258"/>
    <w:rsid w:val="00A062F7"/>
    <w:rsid w:val="00A063F6"/>
    <w:rsid w:val="00A06404"/>
    <w:rsid w:val="00A06463"/>
    <w:rsid w:val="00A064F5"/>
    <w:rsid w:val="00A067F5"/>
    <w:rsid w:val="00A0695B"/>
    <w:rsid w:val="00A069B7"/>
    <w:rsid w:val="00A06A5B"/>
    <w:rsid w:val="00A06AA2"/>
    <w:rsid w:val="00A06C4C"/>
    <w:rsid w:val="00A06D25"/>
    <w:rsid w:val="00A06EB0"/>
    <w:rsid w:val="00A06F6F"/>
    <w:rsid w:val="00A070D4"/>
    <w:rsid w:val="00A0727E"/>
    <w:rsid w:val="00A074DF"/>
    <w:rsid w:val="00A07616"/>
    <w:rsid w:val="00A07895"/>
    <w:rsid w:val="00A079E2"/>
    <w:rsid w:val="00A07A85"/>
    <w:rsid w:val="00A07ABF"/>
    <w:rsid w:val="00A07BAF"/>
    <w:rsid w:val="00A07CA2"/>
    <w:rsid w:val="00A07EF6"/>
    <w:rsid w:val="00A100B5"/>
    <w:rsid w:val="00A1010A"/>
    <w:rsid w:val="00A103E0"/>
    <w:rsid w:val="00A1053A"/>
    <w:rsid w:val="00A106B8"/>
    <w:rsid w:val="00A10713"/>
    <w:rsid w:val="00A109B5"/>
    <w:rsid w:val="00A10AD1"/>
    <w:rsid w:val="00A10AF1"/>
    <w:rsid w:val="00A10B24"/>
    <w:rsid w:val="00A10CFA"/>
    <w:rsid w:val="00A10D1B"/>
    <w:rsid w:val="00A10E55"/>
    <w:rsid w:val="00A11007"/>
    <w:rsid w:val="00A1108A"/>
    <w:rsid w:val="00A110C3"/>
    <w:rsid w:val="00A11122"/>
    <w:rsid w:val="00A112ED"/>
    <w:rsid w:val="00A114DB"/>
    <w:rsid w:val="00A1174E"/>
    <w:rsid w:val="00A11848"/>
    <w:rsid w:val="00A118C9"/>
    <w:rsid w:val="00A119AF"/>
    <w:rsid w:val="00A11B78"/>
    <w:rsid w:val="00A11BF7"/>
    <w:rsid w:val="00A11D11"/>
    <w:rsid w:val="00A11DD2"/>
    <w:rsid w:val="00A11E07"/>
    <w:rsid w:val="00A11E27"/>
    <w:rsid w:val="00A11F22"/>
    <w:rsid w:val="00A121CA"/>
    <w:rsid w:val="00A1222F"/>
    <w:rsid w:val="00A1223C"/>
    <w:rsid w:val="00A12379"/>
    <w:rsid w:val="00A123F9"/>
    <w:rsid w:val="00A12614"/>
    <w:rsid w:val="00A1275B"/>
    <w:rsid w:val="00A12AF9"/>
    <w:rsid w:val="00A12B7F"/>
    <w:rsid w:val="00A12DFE"/>
    <w:rsid w:val="00A12E7E"/>
    <w:rsid w:val="00A12EA1"/>
    <w:rsid w:val="00A13017"/>
    <w:rsid w:val="00A132A0"/>
    <w:rsid w:val="00A13330"/>
    <w:rsid w:val="00A13783"/>
    <w:rsid w:val="00A138CD"/>
    <w:rsid w:val="00A13AA3"/>
    <w:rsid w:val="00A13C32"/>
    <w:rsid w:val="00A13E3C"/>
    <w:rsid w:val="00A13F43"/>
    <w:rsid w:val="00A141F9"/>
    <w:rsid w:val="00A141FF"/>
    <w:rsid w:val="00A14214"/>
    <w:rsid w:val="00A14376"/>
    <w:rsid w:val="00A14878"/>
    <w:rsid w:val="00A14934"/>
    <w:rsid w:val="00A14AAD"/>
    <w:rsid w:val="00A14AB2"/>
    <w:rsid w:val="00A14B6C"/>
    <w:rsid w:val="00A14BBC"/>
    <w:rsid w:val="00A14CDE"/>
    <w:rsid w:val="00A14F9D"/>
    <w:rsid w:val="00A150ED"/>
    <w:rsid w:val="00A153DA"/>
    <w:rsid w:val="00A1541F"/>
    <w:rsid w:val="00A15627"/>
    <w:rsid w:val="00A15631"/>
    <w:rsid w:val="00A159DC"/>
    <w:rsid w:val="00A15B17"/>
    <w:rsid w:val="00A15BEB"/>
    <w:rsid w:val="00A15E97"/>
    <w:rsid w:val="00A15FA4"/>
    <w:rsid w:val="00A162DE"/>
    <w:rsid w:val="00A16386"/>
    <w:rsid w:val="00A164D9"/>
    <w:rsid w:val="00A1682F"/>
    <w:rsid w:val="00A16BAE"/>
    <w:rsid w:val="00A16D7A"/>
    <w:rsid w:val="00A16E3E"/>
    <w:rsid w:val="00A16EA0"/>
    <w:rsid w:val="00A16F6A"/>
    <w:rsid w:val="00A170A8"/>
    <w:rsid w:val="00A17195"/>
    <w:rsid w:val="00A171DD"/>
    <w:rsid w:val="00A17508"/>
    <w:rsid w:val="00A17729"/>
    <w:rsid w:val="00A177C2"/>
    <w:rsid w:val="00A17922"/>
    <w:rsid w:val="00A17A4E"/>
    <w:rsid w:val="00A17AF6"/>
    <w:rsid w:val="00A17C4A"/>
    <w:rsid w:val="00A17CAD"/>
    <w:rsid w:val="00A17D6D"/>
    <w:rsid w:val="00A17F6E"/>
    <w:rsid w:val="00A200C1"/>
    <w:rsid w:val="00A202E0"/>
    <w:rsid w:val="00A20423"/>
    <w:rsid w:val="00A204D4"/>
    <w:rsid w:val="00A205C9"/>
    <w:rsid w:val="00A20620"/>
    <w:rsid w:val="00A2064B"/>
    <w:rsid w:val="00A20664"/>
    <w:rsid w:val="00A207A2"/>
    <w:rsid w:val="00A207C1"/>
    <w:rsid w:val="00A207F3"/>
    <w:rsid w:val="00A20887"/>
    <w:rsid w:val="00A208FE"/>
    <w:rsid w:val="00A209E1"/>
    <w:rsid w:val="00A20A38"/>
    <w:rsid w:val="00A20CC9"/>
    <w:rsid w:val="00A20E51"/>
    <w:rsid w:val="00A2103E"/>
    <w:rsid w:val="00A2119A"/>
    <w:rsid w:val="00A2120B"/>
    <w:rsid w:val="00A21526"/>
    <w:rsid w:val="00A2156C"/>
    <w:rsid w:val="00A216D1"/>
    <w:rsid w:val="00A21840"/>
    <w:rsid w:val="00A21899"/>
    <w:rsid w:val="00A2191B"/>
    <w:rsid w:val="00A219A5"/>
    <w:rsid w:val="00A21A16"/>
    <w:rsid w:val="00A21A6F"/>
    <w:rsid w:val="00A21C71"/>
    <w:rsid w:val="00A21E1B"/>
    <w:rsid w:val="00A21EBD"/>
    <w:rsid w:val="00A21FEA"/>
    <w:rsid w:val="00A220A6"/>
    <w:rsid w:val="00A220F5"/>
    <w:rsid w:val="00A22174"/>
    <w:rsid w:val="00A223EC"/>
    <w:rsid w:val="00A22626"/>
    <w:rsid w:val="00A2263B"/>
    <w:rsid w:val="00A22730"/>
    <w:rsid w:val="00A22737"/>
    <w:rsid w:val="00A227A3"/>
    <w:rsid w:val="00A22825"/>
    <w:rsid w:val="00A2299A"/>
    <w:rsid w:val="00A229AD"/>
    <w:rsid w:val="00A22B00"/>
    <w:rsid w:val="00A22B20"/>
    <w:rsid w:val="00A22CA4"/>
    <w:rsid w:val="00A22E01"/>
    <w:rsid w:val="00A22E30"/>
    <w:rsid w:val="00A231DE"/>
    <w:rsid w:val="00A23221"/>
    <w:rsid w:val="00A236C2"/>
    <w:rsid w:val="00A236D4"/>
    <w:rsid w:val="00A23855"/>
    <w:rsid w:val="00A2396D"/>
    <w:rsid w:val="00A23C54"/>
    <w:rsid w:val="00A23CB4"/>
    <w:rsid w:val="00A23DA3"/>
    <w:rsid w:val="00A23EE1"/>
    <w:rsid w:val="00A24312"/>
    <w:rsid w:val="00A24545"/>
    <w:rsid w:val="00A24688"/>
    <w:rsid w:val="00A246C1"/>
    <w:rsid w:val="00A24766"/>
    <w:rsid w:val="00A24773"/>
    <w:rsid w:val="00A247A0"/>
    <w:rsid w:val="00A2487B"/>
    <w:rsid w:val="00A24ADD"/>
    <w:rsid w:val="00A24AEE"/>
    <w:rsid w:val="00A24BE1"/>
    <w:rsid w:val="00A24D51"/>
    <w:rsid w:val="00A24DE1"/>
    <w:rsid w:val="00A24F04"/>
    <w:rsid w:val="00A24F52"/>
    <w:rsid w:val="00A2500E"/>
    <w:rsid w:val="00A25042"/>
    <w:rsid w:val="00A251A1"/>
    <w:rsid w:val="00A25440"/>
    <w:rsid w:val="00A2550D"/>
    <w:rsid w:val="00A2553F"/>
    <w:rsid w:val="00A257D3"/>
    <w:rsid w:val="00A2587B"/>
    <w:rsid w:val="00A258CA"/>
    <w:rsid w:val="00A25946"/>
    <w:rsid w:val="00A25D19"/>
    <w:rsid w:val="00A25F3E"/>
    <w:rsid w:val="00A2611A"/>
    <w:rsid w:val="00A26196"/>
    <w:rsid w:val="00A261E8"/>
    <w:rsid w:val="00A261EF"/>
    <w:rsid w:val="00A263C9"/>
    <w:rsid w:val="00A26421"/>
    <w:rsid w:val="00A26657"/>
    <w:rsid w:val="00A26735"/>
    <w:rsid w:val="00A26966"/>
    <w:rsid w:val="00A269CD"/>
    <w:rsid w:val="00A26AFF"/>
    <w:rsid w:val="00A26E59"/>
    <w:rsid w:val="00A26F0A"/>
    <w:rsid w:val="00A27040"/>
    <w:rsid w:val="00A27297"/>
    <w:rsid w:val="00A27355"/>
    <w:rsid w:val="00A273AC"/>
    <w:rsid w:val="00A274DF"/>
    <w:rsid w:val="00A2757E"/>
    <w:rsid w:val="00A2760A"/>
    <w:rsid w:val="00A277A7"/>
    <w:rsid w:val="00A277AD"/>
    <w:rsid w:val="00A27AB7"/>
    <w:rsid w:val="00A27C03"/>
    <w:rsid w:val="00A27CD2"/>
    <w:rsid w:val="00A300AD"/>
    <w:rsid w:val="00A30282"/>
    <w:rsid w:val="00A30291"/>
    <w:rsid w:val="00A30419"/>
    <w:rsid w:val="00A305A5"/>
    <w:rsid w:val="00A305D9"/>
    <w:rsid w:val="00A3064C"/>
    <w:rsid w:val="00A30671"/>
    <w:rsid w:val="00A3087E"/>
    <w:rsid w:val="00A3090E"/>
    <w:rsid w:val="00A30A54"/>
    <w:rsid w:val="00A30CE9"/>
    <w:rsid w:val="00A30CFF"/>
    <w:rsid w:val="00A30E09"/>
    <w:rsid w:val="00A30E56"/>
    <w:rsid w:val="00A310C5"/>
    <w:rsid w:val="00A3119D"/>
    <w:rsid w:val="00A314C4"/>
    <w:rsid w:val="00A314E8"/>
    <w:rsid w:val="00A31503"/>
    <w:rsid w:val="00A31525"/>
    <w:rsid w:val="00A3154B"/>
    <w:rsid w:val="00A31608"/>
    <w:rsid w:val="00A31BD6"/>
    <w:rsid w:val="00A31C3B"/>
    <w:rsid w:val="00A31F5F"/>
    <w:rsid w:val="00A31F6F"/>
    <w:rsid w:val="00A31FAE"/>
    <w:rsid w:val="00A31FD6"/>
    <w:rsid w:val="00A3212D"/>
    <w:rsid w:val="00A32222"/>
    <w:rsid w:val="00A3234A"/>
    <w:rsid w:val="00A323FA"/>
    <w:rsid w:val="00A3261E"/>
    <w:rsid w:val="00A32724"/>
    <w:rsid w:val="00A32783"/>
    <w:rsid w:val="00A32856"/>
    <w:rsid w:val="00A328AD"/>
    <w:rsid w:val="00A3292A"/>
    <w:rsid w:val="00A32ADB"/>
    <w:rsid w:val="00A32BDD"/>
    <w:rsid w:val="00A32C2E"/>
    <w:rsid w:val="00A32DA2"/>
    <w:rsid w:val="00A32DA3"/>
    <w:rsid w:val="00A32EFA"/>
    <w:rsid w:val="00A32F39"/>
    <w:rsid w:val="00A33018"/>
    <w:rsid w:val="00A3306D"/>
    <w:rsid w:val="00A3310D"/>
    <w:rsid w:val="00A3319F"/>
    <w:rsid w:val="00A33209"/>
    <w:rsid w:val="00A33223"/>
    <w:rsid w:val="00A332BC"/>
    <w:rsid w:val="00A33355"/>
    <w:rsid w:val="00A33396"/>
    <w:rsid w:val="00A33481"/>
    <w:rsid w:val="00A335B1"/>
    <w:rsid w:val="00A336F0"/>
    <w:rsid w:val="00A338A3"/>
    <w:rsid w:val="00A33B34"/>
    <w:rsid w:val="00A33B78"/>
    <w:rsid w:val="00A33C56"/>
    <w:rsid w:val="00A33EA0"/>
    <w:rsid w:val="00A33F97"/>
    <w:rsid w:val="00A340F4"/>
    <w:rsid w:val="00A34230"/>
    <w:rsid w:val="00A34348"/>
    <w:rsid w:val="00A3447C"/>
    <w:rsid w:val="00A34484"/>
    <w:rsid w:val="00A344F9"/>
    <w:rsid w:val="00A345B0"/>
    <w:rsid w:val="00A34749"/>
    <w:rsid w:val="00A3474D"/>
    <w:rsid w:val="00A347D3"/>
    <w:rsid w:val="00A347F3"/>
    <w:rsid w:val="00A34948"/>
    <w:rsid w:val="00A34A05"/>
    <w:rsid w:val="00A34C4C"/>
    <w:rsid w:val="00A34D4F"/>
    <w:rsid w:val="00A34DD6"/>
    <w:rsid w:val="00A34E06"/>
    <w:rsid w:val="00A34E9E"/>
    <w:rsid w:val="00A35025"/>
    <w:rsid w:val="00A35185"/>
    <w:rsid w:val="00A351CD"/>
    <w:rsid w:val="00A352DE"/>
    <w:rsid w:val="00A3532F"/>
    <w:rsid w:val="00A355A3"/>
    <w:rsid w:val="00A355B5"/>
    <w:rsid w:val="00A355D3"/>
    <w:rsid w:val="00A3563E"/>
    <w:rsid w:val="00A35675"/>
    <w:rsid w:val="00A356B7"/>
    <w:rsid w:val="00A359CF"/>
    <w:rsid w:val="00A35A05"/>
    <w:rsid w:val="00A35A53"/>
    <w:rsid w:val="00A35ABA"/>
    <w:rsid w:val="00A35AE8"/>
    <w:rsid w:val="00A35BC2"/>
    <w:rsid w:val="00A35DCF"/>
    <w:rsid w:val="00A35E91"/>
    <w:rsid w:val="00A35F25"/>
    <w:rsid w:val="00A35F36"/>
    <w:rsid w:val="00A360D4"/>
    <w:rsid w:val="00A362A3"/>
    <w:rsid w:val="00A362FB"/>
    <w:rsid w:val="00A36327"/>
    <w:rsid w:val="00A36336"/>
    <w:rsid w:val="00A3636A"/>
    <w:rsid w:val="00A36480"/>
    <w:rsid w:val="00A36538"/>
    <w:rsid w:val="00A365E5"/>
    <w:rsid w:val="00A36620"/>
    <w:rsid w:val="00A3665D"/>
    <w:rsid w:val="00A3670E"/>
    <w:rsid w:val="00A36727"/>
    <w:rsid w:val="00A36769"/>
    <w:rsid w:val="00A3684A"/>
    <w:rsid w:val="00A3690E"/>
    <w:rsid w:val="00A3695C"/>
    <w:rsid w:val="00A36990"/>
    <w:rsid w:val="00A36C12"/>
    <w:rsid w:val="00A36D12"/>
    <w:rsid w:val="00A36DBE"/>
    <w:rsid w:val="00A36ECC"/>
    <w:rsid w:val="00A37197"/>
    <w:rsid w:val="00A3723B"/>
    <w:rsid w:val="00A37250"/>
    <w:rsid w:val="00A37276"/>
    <w:rsid w:val="00A37359"/>
    <w:rsid w:val="00A37509"/>
    <w:rsid w:val="00A376BD"/>
    <w:rsid w:val="00A3770B"/>
    <w:rsid w:val="00A37783"/>
    <w:rsid w:val="00A378B2"/>
    <w:rsid w:val="00A379EC"/>
    <w:rsid w:val="00A37B25"/>
    <w:rsid w:val="00A37CD3"/>
    <w:rsid w:val="00A37DAD"/>
    <w:rsid w:val="00A37DE7"/>
    <w:rsid w:val="00A37F83"/>
    <w:rsid w:val="00A37FED"/>
    <w:rsid w:val="00A4019F"/>
    <w:rsid w:val="00A40205"/>
    <w:rsid w:val="00A40479"/>
    <w:rsid w:val="00A40545"/>
    <w:rsid w:val="00A408E7"/>
    <w:rsid w:val="00A40C62"/>
    <w:rsid w:val="00A40E70"/>
    <w:rsid w:val="00A40FFE"/>
    <w:rsid w:val="00A41132"/>
    <w:rsid w:val="00A41141"/>
    <w:rsid w:val="00A4144B"/>
    <w:rsid w:val="00A41664"/>
    <w:rsid w:val="00A41704"/>
    <w:rsid w:val="00A4170C"/>
    <w:rsid w:val="00A4173C"/>
    <w:rsid w:val="00A417A5"/>
    <w:rsid w:val="00A417C8"/>
    <w:rsid w:val="00A41B08"/>
    <w:rsid w:val="00A41B7A"/>
    <w:rsid w:val="00A41C2B"/>
    <w:rsid w:val="00A41D8B"/>
    <w:rsid w:val="00A41DBB"/>
    <w:rsid w:val="00A41EFD"/>
    <w:rsid w:val="00A41FF0"/>
    <w:rsid w:val="00A42257"/>
    <w:rsid w:val="00A424D6"/>
    <w:rsid w:val="00A42695"/>
    <w:rsid w:val="00A427A5"/>
    <w:rsid w:val="00A427FA"/>
    <w:rsid w:val="00A428B8"/>
    <w:rsid w:val="00A42B60"/>
    <w:rsid w:val="00A42CA1"/>
    <w:rsid w:val="00A42CC5"/>
    <w:rsid w:val="00A42E98"/>
    <w:rsid w:val="00A43077"/>
    <w:rsid w:val="00A431B1"/>
    <w:rsid w:val="00A431ED"/>
    <w:rsid w:val="00A43481"/>
    <w:rsid w:val="00A435F6"/>
    <w:rsid w:val="00A43617"/>
    <w:rsid w:val="00A43674"/>
    <w:rsid w:val="00A4372F"/>
    <w:rsid w:val="00A43746"/>
    <w:rsid w:val="00A43769"/>
    <w:rsid w:val="00A43829"/>
    <w:rsid w:val="00A43947"/>
    <w:rsid w:val="00A43B01"/>
    <w:rsid w:val="00A43ED6"/>
    <w:rsid w:val="00A440A9"/>
    <w:rsid w:val="00A4417D"/>
    <w:rsid w:val="00A441B8"/>
    <w:rsid w:val="00A44588"/>
    <w:rsid w:val="00A446C8"/>
    <w:rsid w:val="00A44A7C"/>
    <w:rsid w:val="00A44ABD"/>
    <w:rsid w:val="00A44B3D"/>
    <w:rsid w:val="00A44DD5"/>
    <w:rsid w:val="00A44E4A"/>
    <w:rsid w:val="00A45076"/>
    <w:rsid w:val="00A4517B"/>
    <w:rsid w:val="00A452D5"/>
    <w:rsid w:val="00A453DF"/>
    <w:rsid w:val="00A45448"/>
    <w:rsid w:val="00A45451"/>
    <w:rsid w:val="00A4552D"/>
    <w:rsid w:val="00A45555"/>
    <w:rsid w:val="00A4558B"/>
    <w:rsid w:val="00A455B4"/>
    <w:rsid w:val="00A45811"/>
    <w:rsid w:val="00A45853"/>
    <w:rsid w:val="00A45869"/>
    <w:rsid w:val="00A45985"/>
    <w:rsid w:val="00A45A0D"/>
    <w:rsid w:val="00A45C21"/>
    <w:rsid w:val="00A45CC2"/>
    <w:rsid w:val="00A45DA9"/>
    <w:rsid w:val="00A46060"/>
    <w:rsid w:val="00A46068"/>
    <w:rsid w:val="00A461C1"/>
    <w:rsid w:val="00A4647C"/>
    <w:rsid w:val="00A4655D"/>
    <w:rsid w:val="00A46975"/>
    <w:rsid w:val="00A46AA7"/>
    <w:rsid w:val="00A46ADC"/>
    <w:rsid w:val="00A46E14"/>
    <w:rsid w:val="00A46ECA"/>
    <w:rsid w:val="00A470F9"/>
    <w:rsid w:val="00A471CA"/>
    <w:rsid w:val="00A473ED"/>
    <w:rsid w:val="00A47561"/>
    <w:rsid w:val="00A4764D"/>
    <w:rsid w:val="00A477F6"/>
    <w:rsid w:val="00A478A0"/>
    <w:rsid w:val="00A47932"/>
    <w:rsid w:val="00A47983"/>
    <w:rsid w:val="00A47B64"/>
    <w:rsid w:val="00A47C45"/>
    <w:rsid w:val="00A47C5A"/>
    <w:rsid w:val="00A47D59"/>
    <w:rsid w:val="00A47D9B"/>
    <w:rsid w:val="00A47E6A"/>
    <w:rsid w:val="00A47F2C"/>
    <w:rsid w:val="00A47FA8"/>
    <w:rsid w:val="00A5008D"/>
    <w:rsid w:val="00A501D4"/>
    <w:rsid w:val="00A5050E"/>
    <w:rsid w:val="00A50577"/>
    <w:rsid w:val="00A5057E"/>
    <w:rsid w:val="00A50622"/>
    <w:rsid w:val="00A50793"/>
    <w:rsid w:val="00A50856"/>
    <w:rsid w:val="00A50866"/>
    <w:rsid w:val="00A508A1"/>
    <w:rsid w:val="00A50B87"/>
    <w:rsid w:val="00A50C1F"/>
    <w:rsid w:val="00A50CA9"/>
    <w:rsid w:val="00A50D5D"/>
    <w:rsid w:val="00A50D78"/>
    <w:rsid w:val="00A50ED7"/>
    <w:rsid w:val="00A50F46"/>
    <w:rsid w:val="00A50FFA"/>
    <w:rsid w:val="00A510C1"/>
    <w:rsid w:val="00A510F2"/>
    <w:rsid w:val="00A51227"/>
    <w:rsid w:val="00A512B5"/>
    <w:rsid w:val="00A512EB"/>
    <w:rsid w:val="00A512EF"/>
    <w:rsid w:val="00A51742"/>
    <w:rsid w:val="00A51C11"/>
    <w:rsid w:val="00A51C53"/>
    <w:rsid w:val="00A51C83"/>
    <w:rsid w:val="00A51CAB"/>
    <w:rsid w:val="00A51E38"/>
    <w:rsid w:val="00A51FFD"/>
    <w:rsid w:val="00A52103"/>
    <w:rsid w:val="00A5214C"/>
    <w:rsid w:val="00A5228B"/>
    <w:rsid w:val="00A522C9"/>
    <w:rsid w:val="00A523BB"/>
    <w:rsid w:val="00A524D2"/>
    <w:rsid w:val="00A5253F"/>
    <w:rsid w:val="00A52613"/>
    <w:rsid w:val="00A526BD"/>
    <w:rsid w:val="00A52934"/>
    <w:rsid w:val="00A529A7"/>
    <w:rsid w:val="00A52BF5"/>
    <w:rsid w:val="00A52EF9"/>
    <w:rsid w:val="00A52EFB"/>
    <w:rsid w:val="00A530F9"/>
    <w:rsid w:val="00A5324D"/>
    <w:rsid w:val="00A534A0"/>
    <w:rsid w:val="00A53A83"/>
    <w:rsid w:val="00A53DBF"/>
    <w:rsid w:val="00A53E52"/>
    <w:rsid w:val="00A53FDB"/>
    <w:rsid w:val="00A540E1"/>
    <w:rsid w:val="00A5422B"/>
    <w:rsid w:val="00A544D9"/>
    <w:rsid w:val="00A544E7"/>
    <w:rsid w:val="00A549FB"/>
    <w:rsid w:val="00A54CD9"/>
    <w:rsid w:val="00A54CDD"/>
    <w:rsid w:val="00A54CF7"/>
    <w:rsid w:val="00A54EB0"/>
    <w:rsid w:val="00A550C2"/>
    <w:rsid w:val="00A55239"/>
    <w:rsid w:val="00A55266"/>
    <w:rsid w:val="00A55463"/>
    <w:rsid w:val="00A55545"/>
    <w:rsid w:val="00A5560F"/>
    <w:rsid w:val="00A55611"/>
    <w:rsid w:val="00A556AA"/>
    <w:rsid w:val="00A556BC"/>
    <w:rsid w:val="00A557B7"/>
    <w:rsid w:val="00A557FF"/>
    <w:rsid w:val="00A55842"/>
    <w:rsid w:val="00A55878"/>
    <w:rsid w:val="00A55A85"/>
    <w:rsid w:val="00A55A89"/>
    <w:rsid w:val="00A55B10"/>
    <w:rsid w:val="00A55B91"/>
    <w:rsid w:val="00A55DA4"/>
    <w:rsid w:val="00A55FD9"/>
    <w:rsid w:val="00A560E1"/>
    <w:rsid w:val="00A563E3"/>
    <w:rsid w:val="00A5642B"/>
    <w:rsid w:val="00A568C9"/>
    <w:rsid w:val="00A56AE9"/>
    <w:rsid w:val="00A56E02"/>
    <w:rsid w:val="00A56E8F"/>
    <w:rsid w:val="00A56EC7"/>
    <w:rsid w:val="00A5700D"/>
    <w:rsid w:val="00A57222"/>
    <w:rsid w:val="00A57326"/>
    <w:rsid w:val="00A574AB"/>
    <w:rsid w:val="00A57750"/>
    <w:rsid w:val="00A57966"/>
    <w:rsid w:val="00A57C43"/>
    <w:rsid w:val="00A57C4B"/>
    <w:rsid w:val="00A57EAA"/>
    <w:rsid w:val="00A60042"/>
    <w:rsid w:val="00A600AA"/>
    <w:rsid w:val="00A6040A"/>
    <w:rsid w:val="00A60611"/>
    <w:rsid w:val="00A60834"/>
    <w:rsid w:val="00A60990"/>
    <w:rsid w:val="00A609A7"/>
    <w:rsid w:val="00A60A9B"/>
    <w:rsid w:val="00A60CEA"/>
    <w:rsid w:val="00A60D11"/>
    <w:rsid w:val="00A60D59"/>
    <w:rsid w:val="00A60D79"/>
    <w:rsid w:val="00A60D99"/>
    <w:rsid w:val="00A60E23"/>
    <w:rsid w:val="00A60F4B"/>
    <w:rsid w:val="00A61030"/>
    <w:rsid w:val="00A6103D"/>
    <w:rsid w:val="00A611DD"/>
    <w:rsid w:val="00A61276"/>
    <w:rsid w:val="00A61305"/>
    <w:rsid w:val="00A61380"/>
    <w:rsid w:val="00A613E9"/>
    <w:rsid w:val="00A615D3"/>
    <w:rsid w:val="00A61968"/>
    <w:rsid w:val="00A619D4"/>
    <w:rsid w:val="00A619D8"/>
    <w:rsid w:val="00A61AD8"/>
    <w:rsid w:val="00A61CEF"/>
    <w:rsid w:val="00A61DA8"/>
    <w:rsid w:val="00A61E4F"/>
    <w:rsid w:val="00A61EFA"/>
    <w:rsid w:val="00A620F7"/>
    <w:rsid w:val="00A62194"/>
    <w:rsid w:val="00A621D7"/>
    <w:rsid w:val="00A62342"/>
    <w:rsid w:val="00A625D7"/>
    <w:rsid w:val="00A627DB"/>
    <w:rsid w:val="00A62813"/>
    <w:rsid w:val="00A62848"/>
    <w:rsid w:val="00A62A7C"/>
    <w:rsid w:val="00A62CAE"/>
    <w:rsid w:val="00A62D79"/>
    <w:rsid w:val="00A62D82"/>
    <w:rsid w:val="00A62D8C"/>
    <w:rsid w:val="00A62E3F"/>
    <w:rsid w:val="00A62E63"/>
    <w:rsid w:val="00A62E9F"/>
    <w:rsid w:val="00A63483"/>
    <w:rsid w:val="00A6357E"/>
    <w:rsid w:val="00A6362B"/>
    <w:rsid w:val="00A6379A"/>
    <w:rsid w:val="00A638D5"/>
    <w:rsid w:val="00A63988"/>
    <w:rsid w:val="00A63A75"/>
    <w:rsid w:val="00A63AB1"/>
    <w:rsid w:val="00A63DDE"/>
    <w:rsid w:val="00A63E2B"/>
    <w:rsid w:val="00A63EA2"/>
    <w:rsid w:val="00A63EF2"/>
    <w:rsid w:val="00A63FAF"/>
    <w:rsid w:val="00A6415F"/>
    <w:rsid w:val="00A643CF"/>
    <w:rsid w:val="00A64431"/>
    <w:rsid w:val="00A64464"/>
    <w:rsid w:val="00A64475"/>
    <w:rsid w:val="00A646F3"/>
    <w:rsid w:val="00A64959"/>
    <w:rsid w:val="00A64B66"/>
    <w:rsid w:val="00A64DB3"/>
    <w:rsid w:val="00A64DD6"/>
    <w:rsid w:val="00A65186"/>
    <w:rsid w:val="00A65244"/>
    <w:rsid w:val="00A65371"/>
    <w:rsid w:val="00A655AB"/>
    <w:rsid w:val="00A65AA5"/>
    <w:rsid w:val="00A65CBE"/>
    <w:rsid w:val="00A65CE5"/>
    <w:rsid w:val="00A66108"/>
    <w:rsid w:val="00A661BB"/>
    <w:rsid w:val="00A66513"/>
    <w:rsid w:val="00A665A8"/>
    <w:rsid w:val="00A66709"/>
    <w:rsid w:val="00A66745"/>
    <w:rsid w:val="00A66899"/>
    <w:rsid w:val="00A66AD5"/>
    <w:rsid w:val="00A66AD6"/>
    <w:rsid w:val="00A66B33"/>
    <w:rsid w:val="00A66C68"/>
    <w:rsid w:val="00A66D08"/>
    <w:rsid w:val="00A66D16"/>
    <w:rsid w:val="00A66DB8"/>
    <w:rsid w:val="00A66E1E"/>
    <w:rsid w:val="00A66E73"/>
    <w:rsid w:val="00A6713F"/>
    <w:rsid w:val="00A671DA"/>
    <w:rsid w:val="00A67369"/>
    <w:rsid w:val="00A6743D"/>
    <w:rsid w:val="00A67542"/>
    <w:rsid w:val="00A6771F"/>
    <w:rsid w:val="00A67937"/>
    <w:rsid w:val="00A67A66"/>
    <w:rsid w:val="00A67AA7"/>
    <w:rsid w:val="00A67B3D"/>
    <w:rsid w:val="00A67C4A"/>
    <w:rsid w:val="00A67C5E"/>
    <w:rsid w:val="00A67D55"/>
    <w:rsid w:val="00A703C2"/>
    <w:rsid w:val="00A705C7"/>
    <w:rsid w:val="00A70867"/>
    <w:rsid w:val="00A70A74"/>
    <w:rsid w:val="00A70BCC"/>
    <w:rsid w:val="00A70CF2"/>
    <w:rsid w:val="00A70DF3"/>
    <w:rsid w:val="00A70E0E"/>
    <w:rsid w:val="00A71038"/>
    <w:rsid w:val="00A719DC"/>
    <w:rsid w:val="00A71D50"/>
    <w:rsid w:val="00A71DE2"/>
    <w:rsid w:val="00A71F9A"/>
    <w:rsid w:val="00A7203B"/>
    <w:rsid w:val="00A722A1"/>
    <w:rsid w:val="00A723FC"/>
    <w:rsid w:val="00A72535"/>
    <w:rsid w:val="00A72552"/>
    <w:rsid w:val="00A72937"/>
    <w:rsid w:val="00A72986"/>
    <w:rsid w:val="00A72A60"/>
    <w:rsid w:val="00A72AA8"/>
    <w:rsid w:val="00A72B7B"/>
    <w:rsid w:val="00A72BFB"/>
    <w:rsid w:val="00A72C5E"/>
    <w:rsid w:val="00A72D12"/>
    <w:rsid w:val="00A72E77"/>
    <w:rsid w:val="00A72F07"/>
    <w:rsid w:val="00A730B0"/>
    <w:rsid w:val="00A73158"/>
    <w:rsid w:val="00A73267"/>
    <w:rsid w:val="00A732AD"/>
    <w:rsid w:val="00A7330A"/>
    <w:rsid w:val="00A7334D"/>
    <w:rsid w:val="00A7339A"/>
    <w:rsid w:val="00A7340A"/>
    <w:rsid w:val="00A7341C"/>
    <w:rsid w:val="00A73496"/>
    <w:rsid w:val="00A73525"/>
    <w:rsid w:val="00A7354C"/>
    <w:rsid w:val="00A73559"/>
    <w:rsid w:val="00A7364B"/>
    <w:rsid w:val="00A73C02"/>
    <w:rsid w:val="00A73F45"/>
    <w:rsid w:val="00A73F50"/>
    <w:rsid w:val="00A73F79"/>
    <w:rsid w:val="00A74377"/>
    <w:rsid w:val="00A743A3"/>
    <w:rsid w:val="00A74449"/>
    <w:rsid w:val="00A744A8"/>
    <w:rsid w:val="00A7459A"/>
    <w:rsid w:val="00A74602"/>
    <w:rsid w:val="00A74668"/>
    <w:rsid w:val="00A7466F"/>
    <w:rsid w:val="00A74691"/>
    <w:rsid w:val="00A74769"/>
    <w:rsid w:val="00A74AC4"/>
    <w:rsid w:val="00A74C9D"/>
    <w:rsid w:val="00A74D76"/>
    <w:rsid w:val="00A74D98"/>
    <w:rsid w:val="00A74DE0"/>
    <w:rsid w:val="00A750B9"/>
    <w:rsid w:val="00A75144"/>
    <w:rsid w:val="00A7515D"/>
    <w:rsid w:val="00A7533A"/>
    <w:rsid w:val="00A755B3"/>
    <w:rsid w:val="00A75601"/>
    <w:rsid w:val="00A75844"/>
    <w:rsid w:val="00A75902"/>
    <w:rsid w:val="00A75CD3"/>
    <w:rsid w:val="00A75F0E"/>
    <w:rsid w:val="00A76283"/>
    <w:rsid w:val="00A76373"/>
    <w:rsid w:val="00A76423"/>
    <w:rsid w:val="00A7644D"/>
    <w:rsid w:val="00A764F0"/>
    <w:rsid w:val="00A76707"/>
    <w:rsid w:val="00A76A7B"/>
    <w:rsid w:val="00A76B6A"/>
    <w:rsid w:val="00A76C2B"/>
    <w:rsid w:val="00A76F3F"/>
    <w:rsid w:val="00A7721E"/>
    <w:rsid w:val="00A773ED"/>
    <w:rsid w:val="00A77536"/>
    <w:rsid w:val="00A77581"/>
    <w:rsid w:val="00A77644"/>
    <w:rsid w:val="00A77882"/>
    <w:rsid w:val="00A77A92"/>
    <w:rsid w:val="00A77ADD"/>
    <w:rsid w:val="00A77B37"/>
    <w:rsid w:val="00A77B57"/>
    <w:rsid w:val="00A77E42"/>
    <w:rsid w:val="00A77F5E"/>
    <w:rsid w:val="00A80006"/>
    <w:rsid w:val="00A802D9"/>
    <w:rsid w:val="00A80464"/>
    <w:rsid w:val="00A804DD"/>
    <w:rsid w:val="00A8072D"/>
    <w:rsid w:val="00A80858"/>
    <w:rsid w:val="00A8088B"/>
    <w:rsid w:val="00A808FD"/>
    <w:rsid w:val="00A8096D"/>
    <w:rsid w:val="00A80D60"/>
    <w:rsid w:val="00A81104"/>
    <w:rsid w:val="00A811D0"/>
    <w:rsid w:val="00A8132C"/>
    <w:rsid w:val="00A81394"/>
    <w:rsid w:val="00A81450"/>
    <w:rsid w:val="00A814A1"/>
    <w:rsid w:val="00A81566"/>
    <w:rsid w:val="00A81570"/>
    <w:rsid w:val="00A8158B"/>
    <w:rsid w:val="00A8171D"/>
    <w:rsid w:val="00A8183D"/>
    <w:rsid w:val="00A81997"/>
    <w:rsid w:val="00A81B14"/>
    <w:rsid w:val="00A81CF4"/>
    <w:rsid w:val="00A81CF8"/>
    <w:rsid w:val="00A81D19"/>
    <w:rsid w:val="00A81E0A"/>
    <w:rsid w:val="00A82002"/>
    <w:rsid w:val="00A82081"/>
    <w:rsid w:val="00A823E6"/>
    <w:rsid w:val="00A824E4"/>
    <w:rsid w:val="00A825FB"/>
    <w:rsid w:val="00A82617"/>
    <w:rsid w:val="00A82701"/>
    <w:rsid w:val="00A8293C"/>
    <w:rsid w:val="00A829DF"/>
    <w:rsid w:val="00A82AC4"/>
    <w:rsid w:val="00A82B3D"/>
    <w:rsid w:val="00A82C03"/>
    <w:rsid w:val="00A82CCE"/>
    <w:rsid w:val="00A82D07"/>
    <w:rsid w:val="00A82DAB"/>
    <w:rsid w:val="00A82FDD"/>
    <w:rsid w:val="00A830C7"/>
    <w:rsid w:val="00A830FE"/>
    <w:rsid w:val="00A83162"/>
    <w:rsid w:val="00A83346"/>
    <w:rsid w:val="00A834C6"/>
    <w:rsid w:val="00A83546"/>
    <w:rsid w:val="00A835B8"/>
    <w:rsid w:val="00A83646"/>
    <w:rsid w:val="00A836C4"/>
    <w:rsid w:val="00A8378C"/>
    <w:rsid w:val="00A83862"/>
    <w:rsid w:val="00A83987"/>
    <w:rsid w:val="00A83C71"/>
    <w:rsid w:val="00A83CD5"/>
    <w:rsid w:val="00A83CF4"/>
    <w:rsid w:val="00A83F7F"/>
    <w:rsid w:val="00A841DE"/>
    <w:rsid w:val="00A841EC"/>
    <w:rsid w:val="00A843B1"/>
    <w:rsid w:val="00A84592"/>
    <w:rsid w:val="00A8462C"/>
    <w:rsid w:val="00A84889"/>
    <w:rsid w:val="00A8494F"/>
    <w:rsid w:val="00A849A5"/>
    <w:rsid w:val="00A84A50"/>
    <w:rsid w:val="00A84AC0"/>
    <w:rsid w:val="00A84B9E"/>
    <w:rsid w:val="00A84C42"/>
    <w:rsid w:val="00A84E1C"/>
    <w:rsid w:val="00A84E4A"/>
    <w:rsid w:val="00A8500E"/>
    <w:rsid w:val="00A85136"/>
    <w:rsid w:val="00A851FB"/>
    <w:rsid w:val="00A85209"/>
    <w:rsid w:val="00A852A3"/>
    <w:rsid w:val="00A852D1"/>
    <w:rsid w:val="00A85330"/>
    <w:rsid w:val="00A853BD"/>
    <w:rsid w:val="00A8542D"/>
    <w:rsid w:val="00A85448"/>
    <w:rsid w:val="00A8549C"/>
    <w:rsid w:val="00A8565A"/>
    <w:rsid w:val="00A8576C"/>
    <w:rsid w:val="00A857FA"/>
    <w:rsid w:val="00A8591A"/>
    <w:rsid w:val="00A85953"/>
    <w:rsid w:val="00A8599A"/>
    <w:rsid w:val="00A85C19"/>
    <w:rsid w:val="00A85C95"/>
    <w:rsid w:val="00A85DB0"/>
    <w:rsid w:val="00A85FE7"/>
    <w:rsid w:val="00A8601C"/>
    <w:rsid w:val="00A8617A"/>
    <w:rsid w:val="00A861B0"/>
    <w:rsid w:val="00A861D3"/>
    <w:rsid w:val="00A86245"/>
    <w:rsid w:val="00A865CE"/>
    <w:rsid w:val="00A865D9"/>
    <w:rsid w:val="00A8666E"/>
    <w:rsid w:val="00A86D2B"/>
    <w:rsid w:val="00A86D51"/>
    <w:rsid w:val="00A86E0D"/>
    <w:rsid w:val="00A86EAC"/>
    <w:rsid w:val="00A86EF7"/>
    <w:rsid w:val="00A870B9"/>
    <w:rsid w:val="00A8744F"/>
    <w:rsid w:val="00A875A2"/>
    <w:rsid w:val="00A8762E"/>
    <w:rsid w:val="00A87654"/>
    <w:rsid w:val="00A87891"/>
    <w:rsid w:val="00A87A66"/>
    <w:rsid w:val="00A87A99"/>
    <w:rsid w:val="00A87D2F"/>
    <w:rsid w:val="00A87DAE"/>
    <w:rsid w:val="00A87F62"/>
    <w:rsid w:val="00A87FBD"/>
    <w:rsid w:val="00A900B9"/>
    <w:rsid w:val="00A90531"/>
    <w:rsid w:val="00A90543"/>
    <w:rsid w:val="00A90571"/>
    <w:rsid w:val="00A90586"/>
    <w:rsid w:val="00A90610"/>
    <w:rsid w:val="00A906C1"/>
    <w:rsid w:val="00A90837"/>
    <w:rsid w:val="00A90840"/>
    <w:rsid w:val="00A90A4B"/>
    <w:rsid w:val="00A90B0C"/>
    <w:rsid w:val="00A90B53"/>
    <w:rsid w:val="00A90D6B"/>
    <w:rsid w:val="00A90DAB"/>
    <w:rsid w:val="00A90ECA"/>
    <w:rsid w:val="00A90F24"/>
    <w:rsid w:val="00A910AF"/>
    <w:rsid w:val="00A9132E"/>
    <w:rsid w:val="00A9163E"/>
    <w:rsid w:val="00A916A6"/>
    <w:rsid w:val="00A91707"/>
    <w:rsid w:val="00A91A46"/>
    <w:rsid w:val="00A91DD3"/>
    <w:rsid w:val="00A91E58"/>
    <w:rsid w:val="00A91EC5"/>
    <w:rsid w:val="00A92057"/>
    <w:rsid w:val="00A922D9"/>
    <w:rsid w:val="00A922E7"/>
    <w:rsid w:val="00A923A3"/>
    <w:rsid w:val="00A925A6"/>
    <w:rsid w:val="00A92889"/>
    <w:rsid w:val="00A92A20"/>
    <w:rsid w:val="00A92BFC"/>
    <w:rsid w:val="00A92E76"/>
    <w:rsid w:val="00A93090"/>
    <w:rsid w:val="00A93279"/>
    <w:rsid w:val="00A93373"/>
    <w:rsid w:val="00A9349D"/>
    <w:rsid w:val="00A935E6"/>
    <w:rsid w:val="00A935F0"/>
    <w:rsid w:val="00A9362F"/>
    <w:rsid w:val="00A93649"/>
    <w:rsid w:val="00A93685"/>
    <w:rsid w:val="00A93C29"/>
    <w:rsid w:val="00A93CD7"/>
    <w:rsid w:val="00A93D09"/>
    <w:rsid w:val="00A93D15"/>
    <w:rsid w:val="00A93EB6"/>
    <w:rsid w:val="00A9434A"/>
    <w:rsid w:val="00A945B3"/>
    <w:rsid w:val="00A9467B"/>
    <w:rsid w:val="00A946D4"/>
    <w:rsid w:val="00A94763"/>
    <w:rsid w:val="00A9476C"/>
    <w:rsid w:val="00A94821"/>
    <w:rsid w:val="00A94A2E"/>
    <w:rsid w:val="00A94BAD"/>
    <w:rsid w:val="00A94C5A"/>
    <w:rsid w:val="00A952F8"/>
    <w:rsid w:val="00A95304"/>
    <w:rsid w:val="00A95314"/>
    <w:rsid w:val="00A9534E"/>
    <w:rsid w:val="00A9537B"/>
    <w:rsid w:val="00A9540E"/>
    <w:rsid w:val="00A9548C"/>
    <w:rsid w:val="00A954C4"/>
    <w:rsid w:val="00A95598"/>
    <w:rsid w:val="00A95619"/>
    <w:rsid w:val="00A95770"/>
    <w:rsid w:val="00A957F5"/>
    <w:rsid w:val="00A95AB0"/>
    <w:rsid w:val="00A95B37"/>
    <w:rsid w:val="00A95BE7"/>
    <w:rsid w:val="00A95CFA"/>
    <w:rsid w:val="00A95D03"/>
    <w:rsid w:val="00A95DF3"/>
    <w:rsid w:val="00A95E7F"/>
    <w:rsid w:val="00A95F69"/>
    <w:rsid w:val="00A96527"/>
    <w:rsid w:val="00A9669B"/>
    <w:rsid w:val="00A967BB"/>
    <w:rsid w:val="00A967CD"/>
    <w:rsid w:val="00A96DF8"/>
    <w:rsid w:val="00A96E36"/>
    <w:rsid w:val="00A96ED5"/>
    <w:rsid w:val="00A96F0B"/>
    <w:rsid w:val="00A96FED"/>
    <w:rsid w:val="00A9713B"/>
    <w:rsid w:val="00A97187"/>
    <w:rsid w:val="00A9747C"/>
    <w:rsid w:val="00A9756E"/>
    <w:rsid w:val="00A975B8"/>
    <w:rsid w:val="00A9762A"/>
    <w:rsid w:val="00A976EF"/>
    <w:rsid w:val="00A977BE"/>
    <w:rsid w:val="00A9786C"/>
    <w:rsid w:val="00A978DB"/>
    <w:rsid w:val="00A97980"/>
    <w:rsid w:val="00A97B13"/>
    <w:rsid w:val="00A97B71"/>
    <w:rsid w:val="00A97ED3"/>
    <w:rsid w:val="00A97EF3"/>
    <w:rsid w:val="00A97F05"/>
    <w:rsid w:val="00A97F73"/>
    <w:rsid w:val="00A97F81"/>
    <w:rsid w:val="00AA012A"/>
    <w:rsid w:val="00AA0249"/>
    <w:rsid w:val="00AA0273"/>
    <w:rsid w:val="00AA03BB"/>
    <w:rsid w:val="00AA03E3"/>
    <w:rsid w:val="00AA0512"/>
    <w:rsid w:val="00AA0CDB"/>
    <w:rsid w:val="00AA0D79"/>
    <w:rsid w:val="00AA0E43"/>
    <w:rsid w:val="00AA0E5A"/>
    <w:rsid w:val="00AA0F2D"/>
    <w:rsid w:val="00AA0F4F"/>
    <w:rsid w:val="00AA0F7D"/>
    <w:rsid w:val="00AA1173"/>
    <w:rsid w:val="00AA11D6"/>
    <w:rsid w:val="00AA1314"/>
    <w:rsid w:val="00AA1364"/>
    <w:rsid w:val="00AA13D3"/>
    <w:rsid w:val="00AA14CF"/>
    <w:rsid w:val="00AA14E5"/>
    <w:rsid w:val="00AA153B"/>
    <w:rsid w:val="00AA1619"/>
    <w:rsid w:val="00AA1857"/>
    <w:rsid w:val="00AA197D"/>
    <w:rsid w:val="00AA1B53"/>
    <w:rsid w:val="00AA1C55"/>
    <w:rsid w:val="00AA1E2E"/>
    <w:rsid w:val="00AA1E4F"/>
    <w:rsid w:val="00AA21C3"/>
    <w:rsid w:val="00AA2270"/>
    <w:rsid w:val="00AA231C"/>
    <w:rsid w:val="00AA258E"/>
    <w:rsid w:val="00AA2872"/>
    <w:rsid w:val="00AA287A"/>
    <w:rsid w:val="00AA28E0"/>
    <w:rsid w:val="00AA291E"/>
    <w:rsid w:val="00AA29D9"/>
    <w:rsid w:val="00AA2A85"/>
    <w:rsid w:val="00AA2B80"/>
    <w:rsid w:val="00AA2BD5"/>
    <w:rsid w:val="00AA30B8"/>
    <w:rsid w:val="00AA3205"/>
    <w:rsid w:val="00AA3297"/>
    <w:rsid w:val="00AA335A"/>
    <w:rsid w:val="00AA35FA"/>
    <w:rsid w:val="00AA36E8"/>
    <w:rsid w:val="00AA37A8"/>
    <w:rsid w:val="00AA39D3"/>
    <w:rsid w:val="00AA3A2D"/>
    <w:rsid w:val="00AA3A42"/>
    <w:rsid w:val="00AA3D12"/>
    <w:rsid w:val="00AA3F82"/>
    <w:rsid w:val="00AA3FA6"/>
    <w:rsid w:val="00AA4404"/>
    <w:rsid w:val="00AA4650"/>
    <w:rsid w:val="00AA47EA"/>
    <w:rsid w:val="00AA4D39"/>
    <w:rsid w:val="00AA4D54"/>
    <w:rsid w:val="00AA4F44"/>
    <w:rsid w:val="00AA4FE8"/>
    <w:rsid w:val="00AA4FEE"/>
    <w:rsid w:val="00AA5026"/>
    <w:rsid w:val="00AA5132"/>
    <w:rsid w:val="00AA54F2"/>
    <w:rsid w:val="00AA5515"/>
    <w:rsid w:val="00AA5576"/>
    <w:rsid w:val="00AA575E"/>
    <w:rsid w:val="00AA584C"/>
    <w:rsid w:val="00AA5984"/>
    <w:rsid w:val="00AA59A9"/>
    <w:rsid w:val="00AA5A43"/>
    <w:rsid w:val="00AA5A9D"/>
    <w:rsid w:val="00AA5ACE"/>
    <w:rsid w:val="00AA5BA3"/>
    <w:rsid w:val="00AA5C57"/>
    <w:rsid w:val="00AA5DD2"/>
    <w:rsid w:val="00AA5EAF"/>
    <w:rsid w:val="00AA6044"/>
    <w:rsid w:val="00AA613B"/>
    <w:rsid w:val="00AA61B0"/>
    <w:rsid w:val="00AA6376"/>
    <w:rsid w:val="00AA6411"/>
    <w:rsid w:val="00AA641D"/>
    <w:rsid w:val="00AA6640"/>
    <w:rsid w:val="00AA6BC8"/>
    <w:rsid w:val="00AA6C08"/>
    <w:rsid w:val="00AA6C8E"/>
    <w:rsid w:val="00AA6D3E"/>
    <w:rsid w:val="00AA6D54"/>
    <w:rsid w:val="00AA7170"/>
    <w:rsid w:val="00AA7351"/>
    <w:rsid w:val="00AA739F"/>
    <w:rsid w:val="00AA73DF"/>
    <w:rsid w:val="00AA74D7"/>
    <w:rsid w:val="00AA7558"/>
    <w:rsid w:val="00AA76A2"/>
    <w:rsid w:val="00AA77E0"/>
    <w:rsid w:val="00AA793C"/>
    <w:rsid w:val="00AA7D30"/>
    <w:rsid w:val="00AA7D7C"/>
    <w:rsid w:val="00AA7DE2"/>
    <w:rsid w:val="00AA7EE1"/>
    <w:rsid w:val="00AB0BBA"/>
    <w:rsid w:val="00AB0CA0"/>
    <w:rsid w:val="00AB0E84"/>
    <w:rsid w:val="00AB0F50"/>
    <w:rsid w:val="00AB0F96"/>
    <w:rsid w:val="00AB1046"/>
    <w:rsid w:val="00AB10AC"/>
    <w:rsid w:val="00AB1130"/>
    <w:rsid w:val="00AB14C4"/>
    <w:rsid w:val="00AB15AE"/>
    <w:rsid w:val="00AB183A"/>
    <w:rsid w:val="00AB1918"/>
    <w:rsid w:val="00AB1B08"/>
    <w:rsid w:val="00AB1C10"/>
    <w:rsid w:val="00AB1D16"/>
    <w:rsid w:val="00AB1D76"/>
    <w:rsid w:val="00AB1DC6"/>
    <w:rsid w:val="00AB1FE9"/>
    <w:rsid w:val="00AB1FEC"/>
    <w:rsid w:val="00AB2052"/>
    <w:rsid w:val="00AB22D7"/>
    <w:rsid w:val="00AB22EB"/>
    <w:rsid w:val="00AB230B"/>
    <w:rsid w:val="00AB2540"/>
    <w:rsid w:val="00AB2D6E"/>
    <w:rsid w:val="00AB2D87"/>
    <w:rsid w:val="00AB2ED7"/>
    <w:rsid w:val="00AB2F5E"/>
    <w:rsid w:val="00AB2F72"/>
    <w:rsid w:val="00AB309B"/>
    <w:rsid w:val="00AB314A"/>
    <w:rsid w:val="00AB3545"/>
    <w:rsid w:val="00AB3618"/>
    <w:rsid w:val="00AB372B"/>
    <w:rsid w:val="00AB39A3"/>
    <w:rsid w:val="00AB3CE4"/>
    <w:rsid w:val="00AB3D1F"/>
    <w:rsid w:val="00AB3E5F"/>
    <w:rsid w:val="00AB3E82"/>
    <w:rsid w:val="00AB4093"/>
    <w:rsid w:val="00AB4097"/>
    <w:rsid w:val="00AB4255"/>
    <w:rsid w:val="00AB4437"/>
    <w:rsid w:val="00AB451E"/>
    <w:rsid w:val="00AB4549"/>
    <w:rsid w:val="00AB47B1"/>
    <w:rsid w:val="00AB4885"/>
    <w:rsid w:val="00AB49CD"/>
    <w:rsid w:val="00AB4C38"/>
    <w:rsid w:val="00AB4CAC"/>
    <w:rsid w:val="00AB4D00"/>
    <w:rsid w:val="00AB4E19"/>
    <w:rsid w:val="00AB4E20"/>
    <w:rsid w:val="00AB4E39"/>
    <w:rsid w:val="00AB4E76"/>
    <w:rsid w:val="00AB4EEB"/>
    <w:rsid w:val="00AB4F09"/>
    <w:rsid w:val="00AB50A9"/>
    <w:rsid w:val="00AB51B0"/>
    <w:rsid w:val="00AB5425"/>
    <w:rsid w:val="00AB55F3"/>
    <w:rsid w:val="00AB5826"/>
    <w:rsid w:val="00AB5C1C"/>
    <w:rsid w:val="00AB5C45"/>
    <w:rsid w:val="00AB5C77"/>
    <w:rsid w:val="00AB5FE8"/>
    <w:rsid w:val="00AB6076"/>
    <w:rsid w:val="00AB6191"/>
    <w:rsid w:val="00AB66DB"/>
    <w:rsid w:val="00AB6AE3"/>
    <w:rsid w:val="00AB6C31"/>
    <w:rsid w:val="00AB6CC7"/>
    <w:rsid w:val="00AB6DA9"/>
    <w:rsid w:val="00AB71CB"/>
    <w:rsid w:val="00AB7254"/>
    <w:rsid w:val="00AB7281"/>
    <w:rsid w:val="00AB7513"/>
    <w:rsid w:val="00AB7793"/>
    <w:rsid w:val="00AB7926"/>
    <w:rsid w:val="00AB7927"/>
    <w:rsid w:val="00AB795E"/>
    <w:rsid w:val="00AB79FE"/>
    <w:rsid w:val="00AB7A3C"/>
    <w:rsid w:val="00AB7AEF"/>
    <w:rsid w:val="00AB7B03"/>
    <w:rsid w:val="00AB7B70"/>
    <w:rsid w:val="00AB7D4C"/>
    <w:rsid w:val="00AB7F52"/>
    <w:rsid w:val="00AC03CC"/>
    <w:rsid w:val="00AC04BE"/>
    <w:rsid w:val="00AC059D"/>
    <w:rsid w:val="00AC07AC"/>
    <w:rsid w:val="00AC08A8"/>
    <w:rsid w:val="00AC09A6"/>
    <w:rsid w:val="00AC0B28"/>
    <w:rsid w:val="00AC0C51"/>
    <w:rsid w:val="00AC0D53"/>
    <w:rsid w:val="00AC0EBC"/>
    <w:rsid w:val="00AC0EFA"/>
    <w:rsid w:val="00AC0F5B"/>
    <w:rsid w:val="00AC1257"/>
    <w:rsid w:val="00AC125C"/>
    <w:rsid w:val="00AC1341"/>
    <w:rsid w:val="00AC134D"/>
    <w:rsid w:val="00AC139C"/>
    <w:rsid w:val="00AC1495"/>
    <w:rsid w:val="00AC161D"/>
    <w:rsid w:val="00AC1690"/>
    <w:rsid w:val="00AC16E9"/>
    <w:rsid w:val="00AC183B"/>
    <w:rsid w:val="00AC18B8"/>
    <w:rsid w:val="00AC18C1"/>
    <w:rsid w:val="00AC18FD"/>
    <w:rsid w:val="00AC192A"/>
    <w:rsid w:val="00AC19A3"/>
    <w:rsid w:val="00AC1A95"/>
    <w:rsid w:val="00AC1C62"/>
    <w:rsid w:val="00AC1CD3"/>
    <w:rsid w:val="00AC1D76"/>
    <w:rsid w:val="00AC1E3F"/>
    <w:rsid w:val="00AC1EA3"/>
    <w:rsid w:val="00AC1EBA"/>
    <w:rsid w:val="00AC21BD"/>
    <w:rsid w:val="00AC2228"/>
    <w:rsid w:val="00AC229D"/>
    <w:rsid w:val="00AC25FD"/>
    <w:rsid w:val="00AC27F2"/>
    <w:rsid w:val="00AC286D"/>
    <w:rsid w:val="00AC28E4"/>
    <w:rsid w:val="00AC28F6"/>
    <w:rsid w:val="00AC29C3"/>
    <w:rsid w:val="00AC2A3A"/>
    <w:rsid w:val="00AC2D2D"/>
    <w:rsid w:val="00AC2D51"/>
    <w:rsid w:val="00AC2DF0"/>
    <w:rsid w:val="00AC2E29"/>
    <w:rsid w:val="00AC2F5E"/>
    <w:rsid w:val="00AC2F8E"/>
    <w:rsid w:val="00AC304A"/>
    <w:rsid w:val="00AC3065"/>
    <w:rsid w:val="00AC31F0"/>
    <w:rsid w:val="00AC3226"/>
    <w:rsid w:val="00AC35EA"/>
    <w:rsid w:val="00AC3650"/>
    <w:rsid w:val="00AC381D"/>
    <w:rsid w:val="00AC38EA"/>
    <w:rsid w:val="00AC3AF6"/>
    <w:rsid w:val="00AC3D4B"/>
    <w:rsid w:val="00AC3E37"/>
    <w:rsid w:val="00AC3E69"/>
    <w:rsid w:val="00AC3F17"/>
    <w:rsid w:val="00AC40BD"/>
    <w:rsid w:val="00AC41D2"/>
    <w:rsid w:val="00AC41F6"/>
    <w:rsid w:val="00AC42D1"/>
    <w:rsid w:val="00AC4470"/>
    <w:rsid w:val="00AC44D9"/>
    <w:rsid w:val="00AC44FA"/>
    <w:rsid w:val="00AC464C"/>
    <w:rsid w:val="00AC4964"/>
    <w:rsid w:val="00AC4C4E"/>
    <w:rsid w:val="00AC4C9B"/>
    <w:rsid w:val="00AC4D72"/>
    <w:rsid w:val="00AC4E4F"/>
    <w:rsid w:val="00AC4EB3"/>
    <w:rsid w:val="00AC4EC8"/>
    <w:rsid w:val="00AC4F07"/>
    <w:rsid w:val="00AC4FD6"/>
    <w:rsid w:val="00AC50F1"/>
    <w:rsid w:val="00AC5170"/>
    <w:rsid w:val="00AC51B1"/>
    <w:rsid w:val="00AC51CF"/>
    <w:rsid w:val="00AC5277"/>
    <w:rsid w:val="00AC52BB"/>
    <w:rsid w:val="00AC52F9"/>
    <w:rsid w:val="00AC52FD"/>
    <w:rsid w:val="00AC538F"/>
    <w:rsid w:val="00AC56BD"/>
    <w:rsid w:val="00AC5959"/>
    <w:rsid w:val="00AC5B6D"/>
    <w:rsid w:val="00AC5CFE"/>
    <w:rsid w:val="00AC5D6D"/>
    <w:rsid w:val="00AC5DD0"/>
    <w:rsid w:val="00AC5F1D"/>
    <w:rsid w:val="00AC5FBF"/>
    <w:rsid w:val="00AC608D"/>
    <w:rsid w:val="00AC60A4"/>
    <w:rsid w:val="00AC61A4"/>
    <w:rsid w:val="00AC61AF"/>
    <w:rsid w:val="00AC6307"/>
    <w:rsid w:val="00AC637C"/>
    <w:rsid w:val="00AC63CA"/>
    <w:rsid w:val="00AC6404"/>
    <w:rsid w:val="00AC6668"/>
    <w:rsid w:val="00AC66B8"/>
    <w:rsid w:val="00AC672C"/>
    <w:rsid w:val="00AC68E1"/>
    <w:rsid w:val="00AC6A27"/>
    <w:rsid w:val="00AC6A46"/>
    <w:rsid w:val="00AC6A69"/>
    <w:rsid w:val="00AC6BD3"/>
    <w:rsid w:val="00AC6CB3"/>
    <w:rsid w:val="00AC6E0F"/>
    <w:rsid w:val="00AC70DB"/>
    <w:rsid w:val="00AC7293"/>
    <w:rsid w:val="00AC72E6"/>
    <w:rsid w:val="00AC7334"/>
    <w:rsid w:val="00AC73A3"/>
    <w:rsid w:val="00AC751E"/>
    <w:rsid w:val="00AC77B4"/>
    <w:rsid w:val="00AC7864"/>
    <w:rsid w:val="00AC7A1C"/>
    <w:rsid w:val="00AC7B97"/>
    <w:rsid w:val="00AC7C3E"/>
    <w:rsid w:val="00AC7E83"/>
    <w:rsid w:val="00AC7EBF"/>
    <w:rsid w:val="00AC7F80"/>
    <w:rsid w:val="00AD0021"/>
    <w:rsid w:val="00AD0074"/>
    <w:rsid w:val="00AD011E"/>
    <w:rsid w:val="00AD0338"/>
    <w:rsid w:val="00AD063A"/>
    <w:rsid w:val="00AD073F"/>
    <w:rsid w:val="00AD07AB"/>
    <w:rsid w:val="00AD07BF"/>
    <w:rsid w:val="00AD08FD"/>
    <w:rsid w:val="00AD0E94"/>
    <w:rsid w:val="00AD1486"/>
    <w:rsid w:val="00AD1550"/>
    <w:rsid w:val="00AD159D"/>
    <w:rsid w:val="00AD162A"/>
    <w:rsid w:val="00AD16B1"/>
    <w:rsid w:val="00AD18FA"/>
    <w:rsid w:val="00AD19D7"/>
    <w:rsid w:val="00AD19EB"/>
    <w:rsid w:val="00AD1C26"/>
    <w:rsid w:val="00AD1C34"/>
    <w:rsid w:val="00AD1C7A"/>
    <w:rsid w:val="00AD1C8E"/>
    <w:rsid w:val="00AD1D33"/>
    <w:rsid w:val="00AD1DB5"/>
    <w:rsid w:val="00AD205C"/>
    <w:rsid w:val="00AD21B2"/>
    <w:rsid w:val="00AD2205"/>
    <w:rsid w:val="00AD270C"/>
    <w:rsid w:val="00AD272D"/>
    <w:rsid w:val="00AD27CF"/>
    <w:rsid w:val="00AD2BF8"/>
    <w:rsid w:val="00AD2C5C"/>
    <w:rsid w:val="00AD2D63"/>
    <w:rsid w:val="00AD2F8B"/>
    <w:rsid w:val="00AD30F6"/>
    <w:rsid w:val="00AD33D6"/>
    <w:rsid w:val="00AD33F8"/>
    <w:rsid w:val="00AD3565"/>
    <w:rsid w:val="00AD3575"/>
    <w:rsid w:val="00AD36B1"/>
    <w:rsid w:val="00AD36D8"/>
    <w:rsid w:val="00AD371E"/>
    <w:rsid w:val="00AD372B"/>
    <w:rsid w:val="00AD37E5"/>
    <w:rsid w:val="00AD391F"/>
    <w:rsid w:val="00AD39F1"/>
    <w:rsid w:val="00AD3AC4"/>
    <w:rsid w:val="00AD3D1B"/>
    <w:rsid w:val="00AD3E29"/>
    <w:rsid w:val="00AD3E79"/>
    <w:rsid w:val="00AD3F23"/>
    <w:rsid w:val="00AD3FB8"/>
    <w:rsid w:val="00AD40AE"/>
    <w:rsid w:val="00AD40FC"/>
    <w:rsid w:val="00AD4158"/>
    <w:rsid w:val="00AD416E"/>
    <w:rsid w:val="00AD4223"/>
    <w:rsid w:val="00AD42C9"/>
    <w:rsid w:val="00AD4504"/>
    <w:rsid w:val="00AD4679"/>
    <w:rsid w:val="00AD46A1"/>
    <w:rsid w:val="00AD4AAF"/>
    <w:rsid w:val="00AD4AC7"/>
    <w:rsid w:val="00AD4CF7"/>
    <w:rsid w:val="00AD4D56"/>
    <w:rsid w:val="00AD4FA1"/>
    <w:rsid w:val="00AD50AD"/>
    <w:rsid w:val="00AD5305"/>
    <w:rsid w:val="00AD5382"/>
    <w:rsid w:val="00AD53CA"/>
    <w:rsid w:val="00AD5A4A"/>
    <w:rsid w:val="00AD5A9C"/>
    <w:rsid w:val="00AD5AA8"/>
    <w:rsid w:val="00AD5E82"/>
    <w:rsid w:val="00AD5E85"/>
    <w:rsid w:val="00AD5EE0"/>
    <w:rsid w:val="00AD6264"/>
    <w:rsid w:val="00AD63C1"/>
    <w:rsid w:val="00AD64B6"/>
    <w:rsid w:val="00AD64C9"/>
    <w:rsid w:val="00AD65C5"/>
    <w:rsid w:val="00AD67F0"/>
    <w:rsid w:val="00AD68A7"/>
    <w:rsid w:val="00AD6911"/>
    <w:rsid w:val="00AD6981"/>
    <w:rsid w:val="00AD6ABD"/>
    <w:rsid w:val="00AD6BAD"/>
    <w:rsid w:val="00AD6BB1"/>
    <w:rsid w:val="00AD6C63"/>
    <w:rsid w:val="00AD6C85"/>
    <w:rsid w:val="00AD6CA8"/>
    <w:rsid w:val="00AD6D91"/>
    <w:rsid w:val="00AD6E33"/>
    <w:rsid w:val="00AD700A"/>
    <w:rsid w:val="00AD7181"/>
    <w:rsid w:val="00AD718F"/>
    <w:rsid w:val="00AD73E3"/>
    <w:rsid w:val="00AD743E"/>
    <w:rsid w:val="00AD7797"/>
    <w:rsid w:val="00AD7823"/>
    <w:rsid w:val="00AD7873"/>
    <w:rsid w:val="00AD78B8"/>
    <w:rsid w:val="00AD7A10"/>
    <w:rsid w:val="00AD7A4F"/>
    <w:rsid w:val="00AD7B3E"/>
    <w:rsid w:val="00AD7CB5"/>
    <w:rsid w:val="00AD7DD7"/>
    <w:rsid w:val="00AD7E83"/>
    <w:rsid w:val="00AD7F48"/>
    <w:rsid w:val="00AE0030"/>
    <w:rsid w:val="00AE0039"/>
    <w:rsid w:val="00AE00D0"/>
    <w:rsid w:val="00AE0272"/>
    <w:rsid w:val="00AE046D"/>
    <w:rsid w:val="00AE0586"/>
    <w:rsid w:val="00AE0647"/>
    <w:rsid w:val="00AE08FE"/>
    <w:rsid w:val="00AE0A83"/>
    <w:rsid w:val="00AE0D47"/>
    <w:rsid w:val="00AE0D7E"/>
    <w:rsid w:val="00AE0F74"/>
    <w:rsid w:val="00AE116D"/>
    <w:rsid w:val="00AE1207"/>
    <w:rsid w:val="00AE1217"/>
    <w:rsid w:val="00AE12E1"/>
    <w:rsid w:val="00AE1318"/>
    <w:rsid w:val="00AE139A"/>
    <w:rsid w:val="00AE1445"/>
    <w:rsid w:val="00AE1686"/>
    <w:rsid w:val="00AE1866"/>
    <w:rsid w:val="00AE187A"/>
    <w:rsid w:val="00AE189F"/>
    <w:rsid w:val="00AE198E"/>
    <w:rsid w:val="00AE1DA3"/>
    <w:rsid w:val="00AE1DD2"/>
    <w:rsid w:val="00AE1E98"/>
    <w:rsid w:val="00AE1F0C"/>
    <w:rsid w:val="00AE1F41"/>
    <w:rsid w:val="00AE1FE1"/>
    <w:rsid w:val="00AE2282"/>
    <w:rsid w:val="00AE2289"/>
    <w:rsid w:val="00AE2308"/>
    <w:rsid w:val="00AE239C"/>
    <w:rsid w:val="00AE2513"/>
    <w:rsid w:val="00AE25E3"/>
    <w:rsid w:val="00AE2685"/>
    <w:rsid w:val="00AE27C7"/>
    <w:rsid w:val="00AE2892"/>
    <w:rsid w:val="00AE2905"/>
    <w:rsid w:val="00AE297F"/>
    <w:rsid w:val="00AE29FC"/>
    <w:rsid w:val="00AE2B0C"/>
    <w:rsid w:val="00AE2C5C"/>
    <w:rsid w:val="00AE2D7B"/>
    <w:rsid w:val="00AE3161"/>
    <w:rsid w:val="00AE31AF"/>
    <w:rsid w:val="00AE31D8"/>
    <w:rsid w:val="00AE3288"/>
    <w:rsid w:val="00AE339B"/>
    <w:rsid w:val="00AE346F"/>
    <w:rsid w:val="00AE3490"/>
    <w:rsid w:val="00AE34DE"/>
    <w:rsid w:val="00AE3500"/>
    <w:rsid w:val="00AE3641"/>
    <w:rsid w:val="00AE368E"/>
    <w:rsid w:val="00AE3713"/>
    <w:rsid w:val="00AE37E6"/>
    <w:rsid w:val="00AE395D"/>
    <w:rsid w:val="00AE3C35"/>
    <w:rsid w:val="00AE3C39"/>
    <w:rsid w:val="00AE3DD6"/>
    <w:rsid w:val="00AE3F71"/>
    <w:rsid w:val="00AE3F9F"/>
    <w:rsid w:val="00AE409C"/>
    <w:rsid w:val="00AE40EE"/>
    <w:rsid w:val="00AE412F"/>
    <w:rsid w:val="00AE4278"/>
    <w:rsid w:val="00AE4306"/>
    <w:rsid w:val="00AE4377"/>
    <w:rsid w:val="00AE44AC"/>
    <w:rsid w:val="00AE454F"/>
    <w:rsid w:val="00AE4647"/>
    <w:rsid w:val="00AE46BA"/>
    <w:rsid w:val="00AE476B"/>
    <w:rsid w:val="00AE4791"/>
    <w:rsid w:val="00AE49CD"/>
    <w:rsid w:val="00AE4B2A"/>
    <w:rsid w:val="00AE4C22"/>
    <w:rsid w:val="00AE4D06"/>
    <w:rsid w:val="00AE4DA7"/>
    <w:rsid w:val="00AE4E85"/>
    <w:rsid w:val="00AE4E8C"/>
    <w:rsid w:val="00AE4EB9"/>
    <w:rsid w:val="00AE51A3"/>
    <w:rsid w:val="00AE5245"/>
    <w:rsid w:val="00AE5252"/>
    <w:rsid w:val="00AE52EB"/>
    <w:rsid w:val="00AE5408"/>
    <w:rsid w:val="00AE586E"/>
    <w:rsid w:val="00AE5962"/>
    <w:rsid w:val="00AE5B55"/>
    <w:rsid w:val="00AE5B60"/>
    <w:rsid w:val="00AE5FEE"/>
    <w:rsid w:val="00AE6315"/>
    <w:rsid w:val="00AE64C2"/>
    <w:rsid w:val="00AE64F1"/>
    <w:rsid w:val="00AE65DB"/>
    <w:rsid w:val="00AE69CA"/>
    <w:rsid w:val="00AE6AA1"/>
    <w:rsid w:val="00AE6F50"/>
    <w:rsid w:val="00AE6FB2"/>
    <w:rsid w:val="00AE7003"/>
    <w:rsid w:val="00AE71E7"/>
    <w:rsid w:val="00AE72E5"/>
    <w:rsid w:val="00AE7794"/>
    <w:rsid w:val="00AE79C0"/>
    <w:rsid w:val="00AE7AEE"/>
    <w:rsid w:val="00AE7C4C"/>
    <w:rsid w:val="00AE7C74"/>
    <w:rsid w:val="00AE7DDA"/>
    <w:rsid w:val="00AE7E87"/>
    <w:rsid w:val="00AE7F90"/>
    <w:rsid w:val="00AF0031"/>
    <w:rsid w:val="00AF0050"/>
    <w:rsid w:val="00AF008B"/>
    <w:rsid w:val="00AF011B"/>
    <w:rsid w:val="00AF03C6"/>
    <w:rsid w:val="00AF0466"/>
    <w:rsid w:val="00AF05D4"/>
    <w:rsid w:val="00AF06E2"/>
    <w:rsid w:val="00AF0724"/>
    <w:rsid w:val="00AF074E"/>
    <w:rsid w:val="00AF0A33"/>
    <w:rsid w:val="00AF0AB6"/>
    <w:rsid w:val="00AF0B3D"/>
    <w:rsid w:val="00AF0D17"/>
    <w:rsid w:val="00AF1027"/>
    <w:rsid w:val="00AF11BF"/>
    <w:rsid w:val="00AF121A"/>
    <w:rsid w:val="00AF12DC"/>
    <w:rsid w:val="00AF150A"/>
    <w:rsid w:val="00AF1562"/>
    <w:rsid w:val="00AF15F6"/>
    <w:rsid w:val="00AF1650"/>
    <w:rsid w:val="00AF16C9"/>
    <w:rsid w:val="00AF172C"/>
    <w:rsid w:val="00AF18D2"/>
    <w:rsid w:val="00AF1B4D"/>
    <w:rsid w:val="00AF1E37"/>
    <w:rsid w:val="00AF206A"/>
    <w:rsid w:val="00AF20CE"/>
    <w:rsid w:val="00AF226E"/>
    <w:rsid w:val="00AF23D5"/>
    <w:rsid w:val="00AF247D"/>
    <w:rsid w:val="00AF2592"/>
    <w:rsid w:val="00AF2938"/>
    <w:rsid w:val="00AF2A91"/>
    <w:rsid w:val="00AF2B95"/>
    <w:rsid w:val="00AF2C21"/>
    <w:rsid w:val="00AF2CA2"/>
    <w:rsid w:val="00AF2E27"/>
    <w:rsid w:val="00AF3020"/>
    <w:rsid w:val="00AF3036"/>
    <w:rsid w:val="00AF30B1"/>
    <w:rsid w:val="00AF3238"/>
    <w:rsid w:val="00AF327D"/>
    <w:rsid w:val="00AF3382"/>
    <w:rsid w:val="00AF355A"/>
    <w:rsid w:val="00AF36BE"/>
    <w:rsid w:val="00AF3B66"/>
    <w:rsid w:val="00AF3D79"/>
    <w:rsid w:val="00AF3D81"/>
    <w:rsid w:val="00AF3EB8"/>
    <w:rsid w:val="00AF3FAC"/>
    <w:rsid w:val="00AF405B"/>
    <w:rsid w:val="00AF4305"/>
    <w:rsid w:val="00AF4682"/>
    <w:rsid w:val="00AF471F"/>
    <w:rsid w:val="00AF4750"/>
    <w:rsid w:val="00AF4B03"/>
    <w:rsid w:val="00AF4B8C"/>
    <w:rsid w:val="00AF4BAF"/>
    <w:rsid w:val="00AF4C5B"/>
    <w:rsid w:val="00AF4CD2"/>
    <w:rsid w:val="00AF4D3B"/>
    <w:rsid w:val="00AF4DCB"/>
    <w:rsid w:val="00AF4E7B"/>
    <w:rsid w:val="00AF4F06"/>
    <w:rsid w:val="00AF4F44"/>
    <w:rsid w:val="00AF4F89"/>
    <w:rsid w:val="00AF5332"/>
    <w:rsid w:val="00AF5550"/>
    <w:rsid w:val="00AF57A8"/>
    <w:rsid w:val="00AF5970"/>
    <w:rsid w:val="00AF59EC"/>
    <w:rsid w:val="00AF5A88"/>
    <w:rsid w:val="00AF5D4E"/>
    <w:rsid w:val="00AF5F91"/>
    <w:rsid w:val="00AF5FB7"/>
    <w:rsid w:val="00AF6020"/>
    <w:rsid w:val="00AF628E"/>
    <w:rsid w:val="00AF62D9"/>
    <w:rsid w:val="00AF6501"/>
    <w:rsid w:val="00AF654E"/>
    <w:rsid w:val="00AF6648"/>
    <w:rsid w:val="00AF6792"/>
    <w:rsid w:val="00AF68EB"/>
    <w:rsid w:val="00AF6A43"/>
    <w:rsid w:val="00AF6A58"/>
    <w:rsid w:val="00AF6CCB"/>
    <w:rsid w:val="00AF6CF8"/>
    <w:rsid w:val="00AF6D16"/>
    <w:rsid w:val="00AF6D62"/>
    <w:rsid w:val="00AF6D75"/>
    <w:rsid w:val="00AF6E0A"/>
    <w:rsid w:val="00AF6E2C"/>
    <w:rsid w:val="00AF7096"/>
    <w:rsid w:val="00AF72FA"/>
    <w:rsid w:val="00AF73EB"/>
    <w:rsid w:val="00AF748A"/>
    <w:rsid w:val="00AF77A1"/>
    <w:rsid w:val="00AF7861"/>
    <w:rsid w:val="00AF7960"/>
    <w:rsid w:val="00AF7991"/>
    <w:rsid w:val="00AF79E9"/>
    <w:rsid w:val="00AF7A79"/>
    <w:rsid w:val="00AF7B62"/>
    <w:rsid w:val="00AF7BFE"/>
    <w:rsid w:val="00AF7C7C"/>
    <w:rsid w:val="00AF7C80"/>
    <w:rsid w:val="00AF7CA4"/>
    <w:rsid w:val="00AF7CE3"/>
    <w:rsid w:val="00AF7D4E"/>
    <w:rsid w:val="00AF7DB8"/>
    <w:rsid w:val="00B0006E"/>
    <w:rsid w:val="00B0008A"/>
    <w:rsid w:val="00B000D2"/>
    <w:rsid w:val="00B00114"/>
    <w:rsid w:val="00B00191"/>
    <w:rsid w:val="00B0032F"/>
    <w:rsid w:val="00B00538"/>
    <w:rsid w:val="00B00780"/>
    <w:rsid w:val="00B00786"/>
    <w:rsid w:val="00B007C3"/>
    <w:rsid w:val="00B008B4"/>
    <w:rsid w:val="00B009A6"/>
    <w:rsid w:val="00B009A8"/>
    <w:rsid w:val="00B00A84"/>
    <w:rsid w:val="00B00B5C"/>
    <w:rsid w:val="00B00E37"/>
    <w:rsid w:val="00B00E3B"/>
    <w:rsid w:val="00B00F4F"/>
    <w:rsid w:val="00B010E8"/>
    <w:rsid w:val="00B011C2"/>
    <w:rsid w:val="00B01204"/>
    <w:rsid w:val="00B0133B"/>
    <w:rsid w:val="00B013C2"/>
    <w:rsid w:val="00B01482"/>
    <w:rsid w:val="00B0152D"/>
    <w:rsid w:val="00B015D2"/>
    <w:rsid w:val="00B01617"/>
    <w:rsid w:val="00B0161A"/>
    <w:rsid w:val="00B01705"/>
    <w:rsid w:val="00B0179C"/>
    <w:rsid w:val="00B01894"/>
    <w:rsid w:val="00B01B30"/>
    <w:rsid w:val="00B01C2D"/>
    <w:rsid w:val="00B01DB1"/>
    <w:rsid w:val="00B01FE4"/>
    <w:rsid w:val="00B02097"/>
    <w:rsid w:val="00B021C6"/>
    <w:rsid w:val="00B02451"/>
    <w:rsid w:val="00B02499"/>
    <w:rsid w:val="00B02502"/>
    <w:rsid w:val="00B025AE"/>
    <w:rsid w:val="00B0279E"/>
    <w:rsid w:val="00B028CB"/>
    <w:rsid w:val="00B028D1"/>
    <w:rsid w:val="00B02BED"/>
    <w:rsid w:val="00B02D9A"/>
    <w:rsid w:val="00B02DB7"/>
    <w:rsid w:val="00B02E22"/>
    <w:rsid w:val="00B02E3A"/>
    <w:rsid w:val="00B02E6A"/>
    <w:rsid w:val="00B02EDD"/>
    <w:rsid w:val="00B02FD1"/>
    <w:rsid w:val="00B03076"/>
    <w:rsid w:val="00B030B9"/>
    <w:rsid w:val="00B03246"/>
    <w:rsid w:val="00B0327D"/>
    <w:rsid w:val="00B037E2"/>
    <w:rsid w:val="00B03A1E"/>
    <w:rsid w:val="00B03AC4"/>
    <w:rsid w:val="00B03C34"/>
    <w:rsid w:val="00B03DC2"/>
    <w:rsid w:val="00B04208"/>
    <w:rsid w:val="00B04317"/>
    <w:rsid w:val="00B04656"/>
    <w:rsid w:val="00B0479A"/>
    <w:rsid w:val="00B048D1"/>
    <w:rsid w:val="00B0497B"/>
    <w:rsid w:val="00B04993"/>
    <w:rsid w:val="00B04A86"/>
    <w:rsid w:val="00B04CF2"/>
    <w:rsid w:val="00B04D11"/>
    <w:rsid w:val="00B04DE3"/>
    <w:rsid w:val="00B04E8D"/>
    <w:rsid w:val="00B04FCB"/>
    <w:rsid w:val="00B05182"/>
    <w:rsid w:val="00B052B6"/>
    <w:rsid w:val="00B05364"/>
    <w:rsid w:val="00B054EF"/>
    <w:rsid w:val="00B0576A"/>
    <w:rsid w:val="00B05774"/>
    <w:rsid w:val="00B057E6"/>
    <w:rsid w:val="00B0597B"/>
    <w:rsid w:val="00B05B23"/>
    <w:rsid w:val="00B05BDE"/>
    <w:rsid w:val="00B05C77"/>
    <w:rsid w:val="00B05D17"/>
    <w:rsid w:val="00B05EB0"/>
    <w:rsid w:val="00B05FD2"/>
    <w:rsid w:val="00B06079"/>
    <w:rsid w:val="00B0629C"/>
    <w:rsid w:val="00B06365"/>
    <w:rsid w:val="00B06532"/>
    <w:rsid w:val="00B06571"/>
    <w:rsid w:val="00B06598"/>
    <w:rsid w:val="00B06698"/>
    <w:rsid w:val="00B06867"/>
    <w:rsid w:val="00B068AB"/>
    <w:rsid w:val="00B06BAF"/>
    <w:rsid w:val="00B06D92"/>
    <w:rsid w:val="00B06FDF"/>
    <w:rsid w:val="00B07105"/>
    <w:rsid w:val="00B07366"/>
    <w:rsid w:val="00B073CF"/>
    <w:rsid w:val="00B0768E"/>
    <w:rsid w:val="00B07815"/>
    <w:rsid w:val="00B079E6"/>
    <w:rsid w:val="00B07A85"/>
    <w:rsid w:val="00B07B6A"/>
    <w:rsid w:val="00B07C62"/>
    <w:rsid w:val="00B07EAC"/>
    <w:rsid w:val="00B10014"/>
    <w:rsid w:val="00B100F0"/>
    <w:rsid w:val="00B10113"/>
    <w:rsid w:val="00B10150"/>
    <w:rsid w:val="00B1018C"/>
    <w:rsid w:val="00B103D5"/>
    <w:rsid w:val="00B1053E"/>
    <w:rsid w:val="00B10695"/>
    <w:rsid w:val="00B10739"/>
    <w:rsid w:val="00B10885"/>
    <w:rsid w:val="00B108BD"/>
    <w:rsid w:val="00B1091A"/>
    <w:rsid w:val="00B10DAB"/>
    <w:rsid w:val="00B10F5B"/>
    <w:rsid w:val="00B10F5D"/>
    <w:rsid w:val="00B110A2"/>
    <w:rsid w:val="00B1118F"/>
    <w:rsid w:val="00B111C9"/>
    <w:rsid w:val="00B111D8"/>
    <w:rsid w:val="00B111FB"/>
    <w:rsid w:val="00B112CC"/>
    <w:rsid w:val="00B11561"/>
    <w:rsid w:val="00B11B04"/>
    <w:rsid w:val="00B11C88"/>
    <w:rsid w:val="00B11C92"/>
    <w:rsid w:val="00B11D79"/>
    <w:rsid w:val="00B11E0A"/>
    <w:rsid w:val="00B12063"/>
    <w:rsid w:val="00B120F2"/>
    <w:rsid w:val="00B1223E"/>
    <w:rsid w:val="00B124DD"/>
    <w:rsid w:val="00B124EA"/>
    <w:rsid w:val="00B1259F"/>
    <w:rsid w:val="00B1265D"/>
    <w:rsid w:val="00B126FC"/>
    <w:rsid w:val="00B127F6"/>
    <w:rsid w:val="00B12842"/>
    <w:rsid w:val="00B12A7F"/>
    <w:rsid w:val="00B12F70"/>
    <w:rsid w:val="00B12F90"/>
    <w:rsid w:val="00B13069"/>
    <w:rsid w:val="00B13151"/>
    <w:rsid w:val="00B1315D"/>
    <w:rsid w:val="00B131EF"/>
    <w:rsid w:val="00B13355"/>
    <w:rsid w:val="00B1343A"/>
    <w:rsid w:val="00B1343D"/>
    <w:rsid w:val="00B1346A"/>
    <w:rsid w:val="00B13910"/>
    <w:rsid w:val="00B13A95"/>
    <w:rsid w:val="00B13A9F"/>
    <w:rsid w:val="00B13C33"/>
    <w:rsid w:val="00B13D26"/>
    <w:rsid w:val="00B13E80"/>
    <w:rsid w:val="00B1411E"/>
    <w:rsid w:val="00B141DA"/>
    <w:rsid w:val="00B14386"/>
    <w:rsid w:val="00B143EC"/>
    <w:rsid w:val="00B14416"/>
    <w:rsid w:val="00B14592"/>
    <w:rsid w:val="00B147D0"/>
    <w:rsid w:val="00B14823"/>
    <w:rsid w:val="00B1489C"/>
    <w:rsid w:val="00B148EE"/>
    <w:rsid w:val="00B14907"/>
    <w:rsid w:val="00B14938"/>
    <w:rsid w:val="00B149B0"/>
    <w:rsid w:val="00B14D74"/>
    <w:rsid w:val="00B14EF1"/>
    <w:rsid w:val="00B15035"/>
    <w:rsid w:val="00B15112"/>
    <w:rsid w:val="00B1513C"/>
    <w:rsid w:val="00B153F2"/>
    <w:rsid w:val="00B15410"/>
    <w:rsid w:val="00B15482"/>
    <w:rsid w:val="00B15569"/>
    <w:rsid w:val="00B1556A"/>
    <w:rsid w:val="00B155F3"/>
    <w:rsid w:val="00B15641"/>
    <w:rsid w:val="00B156C4"/>
    <w:rsid w:val="00B15850"/>
    <w:rsid w:val="00B1589A"/>
    <w:rsid w:val="00B158CE"/>
    <w:rsid w:val="00B15A4E"/>
    <w:rsid w:val="00B15CCC"/>
    <w:rsid w:val="00B15DDA"/>
    <w:rsid w:val="00B15DFE"/>
    <w:rsid w:val="00B15EA9"/>
    <w:rsid w:val="00B15ECE"/>
    <w:rsid w:val="00B1612F"/>
    <w:rsid w:val="00B1616E"/>
    <w:rsid w:val="00B16220"/>
    <w:rsid w:val="00B16526"/>
    <w:rsid w:val="00B166F5"/>
    <w:rsid w:val="00B16B42"/>
    <w:rsid w:val="00B16B5A"/>
    <w:rsid w:val="00B16C76"/>
    <w:rsid w:val="00B16CC0"/>
    <w:rsid w:val="00B16D5D"/>
    <w:rsid w:val="00B16DDF"/>
    <w:rsid w:val="00B1711A"/>
    <w:rsid w:val="00B1731A"/>
    <w:rsid w:val="00B17437"/>
    <w:rsid w:val="00B175BC"/>
    <w:rsid w:val="00B175CF"/>
    <w:rsid w:val="00B176FD"/>
    <w:rsid w:val="00B177D2"/>
    <w:rsid w:val="00B1793A"/>
    <w:rsid w:val="00B17A89"/>
    <w:rsid w:val="00B17D4F"/>
    <w:rsid w:val="00B17DD9"/>
    <w:rsid w:val="00B17F30"/>
    <w:rsid w:val="00B20069"/>
    <w:rsid w:val="00B20141"/>
    <w:rsid w:val="00B20436"/>
    <w:rsid w:val="00B206D0"/>
    <w:rsid w:val="00B20715"/>
    <w:rsid w:val="00B2085F"/>
    <w:rsid w:val="00B208E6"/>
    <w:rsid w:val="00B20AE7"/>
    <w:rsid w:val="00B20E31"/>
    <w:rsid w:val="00B20E5C"/>
    <w:rsid w:val="00B20F72"/>
    <w:rsid w:val="00B20F78"/>
    <w:rsid w:val="00B2109B"/>
    <w:rsid w:val="00B21281"/>
    <w:rsid w:val="00B21298"/>
    <w:rsid w:val="00B212D7"/>
    <w:rsid w:val="00B2139F"/>
    <w:rsid w:val="00B215E6"/>
    <w:rsid w:val="00B21812"/>
    <w:rsid w:val="00B21822"/>
    <w:rsid w:val="00B2182D"/>
    <w:rsid w:val="00B21882"/>
    <w:rsid w:val="00B21A48"/>
    <w:rsid w:val="00B21BE1"/>
    <w:rsid w:val="00B21CC7"/>
    <w:rsid w:val="00B21CC9"/>
    <w:rsid w:val="00B21DAA"/>
    <w:rsid w:val="00B21E52"/>
    <w:rsid w:val="00B21F06"/>
    <w:rsid w:val="00B21FD0"/>
    <w:rsid w:val="00B22144"/>
    <w:rsid w:val="00B2220F"/>
    <w:rsid w:val="00B22504"/>
    <w:rsid w:val="00B225DC"/>
    <w:rsid w:val="00B226BD"/>
    <w:rsid w:val="00B2287E"/>
    <w:rsid w:val="00B228E1"/>
    <w:rsid w:val="00B22939"/>
    <w:rsid w:val="00B229A6"/>
    <w:rsid w:val="00B229E9"/>
    <w:rsid w:val="00B22A45"/>
    <w:rsid w:val="00B22C0F"/>
    <w:rsid w:val="00B22F06"/>
    <w:rsid w:val="00B22F10"/>
    <w:rsid w:val="00B22F20"/>
    <w:rsid w:val="00B22FB1"/>
    <w:rsid w:val="00B23176"/>
    <w:rsid w:val="00B232AB"/>
    <w:rsid w:val="00B233BE"/>
    <w:rsid w:val="00B233D7"/>
    <w:rsid w:val="00B235EC"/>
    <w:rsid w:val="00B23645"/>
    <w:rsid w:val="00B23679"/>
    <w:rsid w:val="00B237FB"/>
    <w:rsid w:val="00B2396F"/>
    <w:rsid w:val="00B23B0C"/>
    <w:rsid w:val="00B23BE1"/>
    <w:rsid w:val="00B23C3E"/>
    <w:rsid w:val="00B23CA2"/>
    <w:rsid w:val="00B242B5"/>
    <w:rsid w:val="00B24301"/>
    <w:rsid w:val="00B246AB"/>
    <w:rsid w:val="00B246D1"/>
    <w:rsid w:val="00B247D2"/>
    <w:rsid w:val="00B24829"/>
    <w:rsid w:val="00B24853"/>
    <w:rsid w:val="00B248C0"/>
    <w:rsid w:val="00B2490C"/>
    <w:rsid w:val="00B24B06"/>
    <w:rsid w:val="00B24B96"/>
    <w:rsid w:val="00B24C02"/>
    <w:rsid w:val="00B24E0A"/>
    <w:rsid w:val="00B24E64"/>
    <w:rsid w:val="00B24EEE"/>
    <w:rsid w:val="00B2511F"/>
    <w:rsid w:val="00B25174"/>
    <w:rsid w:val="00B252DE"/>
    <w:rsid w:val="00B252F4"/>
    <w:rsid w:val="00B25317"/>
    <w:rsid w:val="00B254B7"/>
    <w:rsid w:val="00B2555E"/>
    <w:rsid w:val="00B25593"/>
    <w:rsid w:val="00B255E3"/>
    <w:rsid w:val="00B259A5"/>
    <w:rsid w:val="00B25AFB"/>
    <w:rsid w:val="00B25F34"/>
    <w:rsid w:val="00B25FF1"/>
    <w:rsid w:val="00B26043"/>
    <w:rsid w:val="00B260B5"/>
    <w:rsid w:val="00B260C3"/>
    <w:rsid w:val="00B261EA"/>
    <w:rsid w:val="00B26382"/>
    <w:rsid w:val="00B264BD"/>
    <w:rsid w:val="00B26607"/>
    <w:rsid w:val="00B26690"/>
    <w:rsid w:val="00B2673B"/>
    <w:rsid w:val="00B26A15"/>
    <w:rsid w:val="00B26BEB"/>
    <w:rsid w:val="00B26D86"/>
    <w:rsid w:val="00B26DB0"/>
    <w:rsid w:val="00B27109"/>
    <w:rsid w:val="00B27121"/>
    <w:rsid w:val="00B2730B"/>
    <w:rsid w:val="00B277B9"/>
    <w:rsid w:val="00B278A6"/>
    <w:rsid w:val="00B279A3"/>
    <w:rsid w:val="00B27F70"/>
    <w:rsid w:val="00B27FC1"/>
    <w:rsid w:val="00B3001D"/>
    <w:rsid w:val="00B300C8"/>
    <w:rsid w:val="00B30101"/>
    <w:rsid w:val="00B30102"/>
    <w:rsid w:val="00B30134"/>
    <w:rsid w:val="00B3016E"/>
    <w:rsid w:val="00B301D6"/>
    <w:rsid w:val="00B30297"/>
    <w:rsid w:val="00B307DD"/>
    <w:rsid w:val="00B309C5"/>
    <w:rsid w:val="00B30A88"/>
    <w:rsid w:val="00B30AFB"/>
    <w:rsid w:val="00B30D3B"/>
    <w:rsid w:val="00B30E4F"/>
    <w:rsid w:val="00B31120"/>
    <w:rsid w:val="00B31140"/>
    <w:rsid w:val="00B31384"/>
    <w:rsid w:val="00B3149D"/>
    <w:rsid w:val="00B3164B"/>
    <w:rsid w:val="00B3185E"/>
    <w:rsid w:val="00B31A2C"/>
    <w:rsid w:val="00B31B1F"/>
    <w:rsid w:val="00B31B44"/>
    <w:rsid w:val="00B31DBD"/>
    <w:rsid w:val="00B31F70"/>
    <w:rsid w:val="00B32499"/>
    <w:rsid w:val="00B325E6"/>
    <w:rsid w:val="00B329FA"/>
    <w:rsid w:val="00B32C6A"/>
    <w:rsid w:val="00B32CE2"/>
    <w:rsid w:val="00B32D75"/>
    <w:rsid w:val="00B32DA1"/>
    <w:rsid w:val="00B32DF8"/>
    <w:rsid w:val="00B32E57"/>
    <w:rsid w:val="00B33063"/>
    <w:rsid w:val="00B33367"/>
    <w:rsid w:val="00B33618"/>
    <w:rsid w:val="00B33A0E"/>
    <w:rsid w:val="00B33BA2"/>
    <w:rsid w:val="00B33C2D"/>
    <w:rsid w:val="00B33D53"/>
    <w:rsid w:val="00B33F2E"/>
    <w:rsid w:val="00B340A7"/>
    <w:rsid w:val="00B34118"/>
    <w:rsid w:val="00B3418D"/>
    <w:rsid w:val="00B34203"/>
    <w:rsid w:val="00B34298"/>
    <w:rsid w:val="00B34328"/>
    <w:rsid w:val="00B3440D"/>
    <w:rsid w:val="00B34CDC"/>
    <w:rsid w:val="00B34FA6"/>
    <w:rsid w:val="00B3503A"/>
    <w:rsid w:val="00B35181"/>
    <w:rsid w:val="00B351E4"/>
    <w:rsid w:val="00B3525C"/>
    <w:rsid w:val="00B3538B"/>
    <w:rsid w:val="00B3548A"/>
    <w:rsid w:val="00B35709"/>
    <w:rsid w:val="00B35733"/>
    <w:rsid w:val="00B35E1B"/>
    <w:rsid w:val="00B35E51"/>
    <w:rsid w:val="00B35E79"/>
    <w:rsid w:val="00B35E8D"/>
    <w:rsid w:val="00B35EB8"/>
    <w:rsid w:val="00B35F02"/>
    <w:rsid w:val="00B35F93"/>
    <w:rsid w:val="00B36246"/>
    <w:rsid w:val="00B362DB"/>
    <w:rsid w:val="00B3637D"/>
    <w:rsid w:val="00B36617"/>
    <w:rsid w:val="00B36831"/>
    <w:rsid w:val="00B3684F"/>
    <w:rsid w:val="00B3697F"/>
    <w:rsid w:val="00B36B03"/>
    <w:rsid w:val="00B36BAA"/>
    <w:rsid w:val="00B372EC"/>
    <w:rsid w:val="00B37303"/>
    <w:rsid w:val="00B37310"/>
    <w:rsid w:val="00B37438"/>
    <w:rsid w:val="00B37560"/>
    <w:rsid w:val="00B37599"/>
    <w:rsid w:val="00B37611"/>
    <w:rsid w:val="00B376B4"/>
    <w:rsid w:val="00B377F1"/>
    <w:rsid w:val="00B37855"/>
    <w:rsid w:val="00B378CA"/>
    <w:rsid w:val="00B37A41"/>
    <w:rsid w:val="00B37BDF"/>
    <w:rsid w:val="00B37D0E"/>
    <w:rsid w:val="00B37F36"/>
    <w:rsid w:val="00B37F98"/>
    <w:rsid w:val="00B37FA5"/>
    <w:rsid w:val="00B401FD"/>
    <w:rsid w:val="00B403E4"/>
    <w:rsid w:val="00B40404"/>
    <w:rsid w:val="00B4043E"/>
    <w:rsid w:val="00B407FC"/>
    <w:rsid w:val="00B40BC5"/>
    <w:rsid w:val="00B40D5D"/>
    <w:rsid w:val="00B40F36"/>
    <w:rsid w:val="00B41198"/>
    <w:rsid w:val="00B412DF"/>
    <w:rsid w:val="00B414E5"/>
    <w:rsid w:val="00B41501"/>
    <w:rsid w:val="00B4155B"/>
    <w:rsid w:val="00B415A6"/>
    <w:rsid w:val="00B4161F"/>
    <w:rsid w:val="00B4166D"/>
    <w:rsid w:val="00B41789"/>
    <w:rsid w:val="00B418E1"/>
    <w:rsid w:val="00B41922"/>
    <w:rsid w:val="00B419C3"/>
    <w:rsid w:val="00B41A28"/>
    <w:rsid w:val="00B41A5F"/>
    <w:rsid w:val="00B41D5C"/>
    <w:rsid w:val="00B41D5E"/>
    <w:rsid w:val="00B41EA3"/>
    <w:rsid w:val="00B420AA"/>
    <w:rsid w:val="00B4220C"/>
    <w:rsid w:val="00B424BA"/>
    <w:rsid w:val="00B42640"/>
    <w:rsid w:val="00B42669"/>
    <w:rsid w:val="00B426F0"/>
    <w:rsid w:val="00B427AA"/>
    <w:rsid w:val="00B4281A"/>
    <w:rsid w:val="00B42909"/>
    <w:rsid w:val="00B429F6"/>
    <w:rsid w:val="00B42EDF"/>
    <w:rsid w:val="00B42EEE"/>
    <w:rsid w:val="00B42F9A"/>
    <w:rsid w:val="00B432BB"/>
    <w:rsid w:val="00B43381"/>
    <w:rsid w:val="00B4377D"/>
    <w:rsid w:val="00B43937"/>
    <w:rsid w:val="00B43A5A"/>
    <w:rsid w:val="00B43C05"/>
    <w:rsid w:val="00B43D6B"/>
    <w:rsid w:val="00B43DCE"/>
    <w:rsid w:val="00B43F19"/>
    <w:rsid w:val="00B43F22"/>
    <w:rsid w:val="00B44007"/>
    <w:rsid w:val="00B44177"/>
    <w:rsid w:val="00B441B1"/>
    <w:rsid w:val="00B4440A"/>
    <w:rsid w:val="00B44414"/>
    <w:rsid w:val="00B4447A"/>
    <w:rsid w:val="00B444A2"/>
    <w:rsid w:val="00B44563"/>
    <w:rsid w:val="00B445A9"/>
    <w:rsid w:val="00B44635"/>
    <w:rsid w:val="00B44713"/>
    <w:rsid w:val="00B448A6"/>
    <w:rsid w:val="00B448E4"/>
    <w:rsid w:val="00B44903"/>
    <w:rsid w:val="00B44C1C"/>
    <w:rsid w:val="00B44D7E"/>
    <w:rsid w:val="00B44E22"/>
    <w:rsid w:val="00B44E2C"/>
    <w:rsid w:val="00B44F0E"/>
    <w:rsid w:val="00B4506B"/>
    <w:rsid w:val="00B4518E"/>
    <w:rsid w:val="00B45337"/>
    <w:rsid w:val="00B453BA"/>
    <w:rsid w:val="00B45A9E"/>
    <w:rsid w:val="00B45C33"/>
    <w:rsid w:val="00B45D50"/>
    <w:rsid w:val="00B45E49"/>
    <w:rsid w:val="00B45EE5"/>
    <w:rsid w:val="00B45F31"/>
    <w:rsid w:val="00B45F5D"/>
    <w:rsid w:val="00B4614F"/>
    <w:rsid w:val="00B4639D"/>
    <w:rsid w:val="00B463FA"/>
    <w:rsid w:val="00B46478"/>
    <w:rsid w:val="00B46563"/>
    <w:rsid w:val="00B465CE"/>
    <w:rsid w:val="00B4699F"/>
    <w:rsid w:val="00B46B13"/>
    <w:rsid w:val="00B46B79"/>
    <w:rsid w:val="00B46D14"/>
    <w:rsid w:val="00B46D3D"/>
    <w:rsid w:val="00B46DF8"/>
    <w:rsid w:val="00B46FD5"/>
    <w:rsid w:val="00B47015"/>
    <w:rsid w:val="00B47079"/>
    <w:rsid w:val="00B47462"/>
    <w:rsid w:val="00B47560"/>
    <w:rsid w:val="00B476B9"/>
    <w:rsid w:val="00B477A0"/>
    <w:rsid w:val="00B477AA"/>
    <w:rsid w:val="00B47839"/>
    <w:rsid w:val="00B4798B"/>
    <w:rsid w:val="00B479AE"/>
    <w:rsid w:val="00B47A07"/>
    <w:rsid w:val="00B47AFB"/>
    <w:rsid w:val="00B47BA2"/>
    <w:rsid w:val="00B47D38"/>
    <w:rsid w:val="00B47E29"/>
    <w:rsid w:val="00B47EFC"/>
    <w:rsid w:val="00B47FF0"/>
    <w:rsid w:val="00B501A7"/>
    <w:rsid w:val="00B501D1"/>
    <w:rsid w:val="00B50395"/>
    <w:rsid w:val="00B503AD"/>
    <w:rsid w:val="00B5041E"/>
    <w:rsid w:val="00B504ED"/>
    <w:rsid w:val="00B505C6"/>
    <w:rsid w:val="00B5068B"/>
    <w:rsid w:val="00B507A6"/>
    <w:rsid w:val="00B5099F"/>
    <w:rsid w:val="00B50B47"/>
    <w:rsid w:val="00B50E74"/>
    <w:rsid w:val="00B51225"/>
    <w:rsid w:val="00B512A2"/>
    <w:rsid w:val="00B514A2"/>
    <w:rsid w:val="00B5150D"/>
    <w:rsid w:val="00B518E6"/>
    <w:rsid w:val="00B519CD"/>
    <w:rsid w:val="00B51C86"/>
    <w:rsid w:val="00B51E19"/>
    <w:rsid w:val="00B51FE9"/>
    <w:rsid w:val="00B52148"/>
    <w:rsid w:val="00B52234"/>
    <w:rsid w:val="00B523EB"/>
    <w:rsid w:val="00B5247E"/>
    <w:rsid w:val="00B524AD"/>
    <w:rsid w:val="00B524E4"/>
    <w:rsid w:val="00B526FA"/>
    <w:rsid w:val="00B528F9"/>
    <w:rsid w:val="00B529E2"/>
    <w:rsid w:val="00B52AD5"/>
    <w:rsid w:val="00B52C15"/>
    <w:rsid w:val="00B52CF6"/>
    <w:rsid w:val="00B52DB7"/>
    <w:rsid w:val="00B52EB3"/>
    <w:rsid w:val="00B52F02"/>
    <w:rsid w:val="00B52F3C"/>
    <w:rsid w:val="00B53140"/>
    <w:rsid w:val="00B532B9"/>
    <w:rsid w:val="00B5333C"/>
    <w:rsid w:val="00B537E6"/>
    <w:rsid w:val="00B53ABA"/>
    <w:rsid w:val="00B53D1A"/>
    <w:rsid w:val="00B53E6C"/>
    <w:rsid w:val="00B53F1B"/>
    <w:rsid w:val="00B541DE"/>
    <w:rsid w:val="00B54283"/>
    <w:rsid w:val="00B543D6"/>
    <w:rsid w:val="00B54412"/>
    <w:rsid w:val="00B544BB"/>
    <w:rsid w:val="00B545F9"/>
    <w:rsid w:val="00B54710"/>
    <w:rsid w:val="00B547B4"/>
    <w:rsid w:val="00B547EF"/>
    <w:rsid w:val="00B54841"/>
    <w:rsid w:val="00B54957"/>
    <w:rsid w:val="00B54AE8"/>
    <w:rsid w:val="00B54B6A"/>
    <w:rsid w:val="00B54BBC"/>
    <w:rsid w:val="00B54D8F"/>
    <w:rsid w:val="00B54F4D"/>
    <w:rsid w:val="00B5515E"/>
    <w:rsid w:val="00B551F5"/>
    <w:rsid w:val="00B55342"/>
    <w:rsid w:val="00B55374"/>
    <w:rsid w:val="00B553C2"/>
    <w:rsid w:val="00B554DC"/>
    <w:rsid w:val="00B5561B"/>
    <w:rsid w:val="00B55701"/>
    <w:rsid w:val="00B55B9A"/>
    <w:rsid w:val="00B55BBF"/>
    <w:rsid w:val="00B55BD7"/>
    <w:rsid w:val="00B55C04"/>
    <w:rsid w:val="00B55F46"/>
    <w:rsid w:val="00B56129"/>
    <w:rsid w:val="00B56303"/>
    <w:rsid w:val="00B564AB"/>
    <w:rsid w:val="00B565BA"/>
    <w:rsid w:val="00B5660C"/>
    <w:rsid w:val="00B56610"/>
    <w:rsid w:val="00B566A3"/>
    <w:rsid w:val="00B567EE"/>
    <w:rsid w:val="00B568FD"/>
    <w:rsid w:val="00B56AD5"/>
    <w:rsid w:val="00B56AF3"/>
    <w:rsid w:val="00B56CBF"/>
    <w:rsid w:val="00B56DF1"/>
    <w:rsid w:val="00B56E02"/>
    <w:rsid w:val="00B57303"/>
    <w:rsid w:val="00B57404"/>
    <w:rsid w:val="00B57431"/>
    <w:rsid w:val="00B57635"/>
    <w:rsid w:val="00B576C0"/>
    <w:rsid w:val="00B5775A"/>
    <w:rsid w:val="00B57844"/>
    <w:rsid w:val="00B57886"/>
    <w:rsid w:val="00B57A2B"/>
    <w:rsid w:val="00B57BD4"/>
    <w:rsid w:val="00B57C1E"/>
    <w:rsid w:val="00B57D25"/>
    <w:rsid w:val="00B57E62"/>
    <w:rsid w:val="00B600D5"/>
    <w:rsid w:val="00B604BF"/>
    <w:rsid w:val="00B604DE"/>
    <w:rsid w:val="00B605D2"/>
    <w:rsid w:val="00B6078F"/>
    <w:rsid w:val="00B60891"/>
    <w:rsid w:val="00B60A05"/>
    <w:rsid w:val="00B60E70"/>
    <w:rsid w:val="00B60F59"/>
    <w:rsid w:val="00B6121A"/>
    <w:rsid w:val="00B61389"/>
    <w:rsid w:val="00B614FF"/>
    <w:rsid w:val="00B61563"/>
    <w:rsid w:val="00B6161C"/>
    <w:rsid w:val="00B61722"/>
    <w:rsid w:val="00B617EE"/>
    <w:rsid w:val="00B61B03"/>
    <w:rsid w:val="00B61B25"/>
    <w:rsid w:val="00B61F46"/>
    <w:rsid w:val="00B61F65"/>
    <w:rsid w:val="00B62080"/>
    <w:rsid w:val="00B624C8"/>
    <w:rsid w:val="00B62749"/>
    <w:rsid w:val="00B6280B"/>
    <w:rsid w:val="00B6287D"/>
    <w:rsid w:val="00B62887"/>
    <w:rsid w:val="00B62947"/>
    <w:rsid w:val="00B629E3"/>
    <w:rsid w:val="00B62D29"/>
    <w:rsid w:val="00B62D32"/>
    <w:rsid w:val="00B62E66"/>
    <w:rsid w:val="00B62F23"/>
    <w:rsid w:val="00B631D9"/>
    <w:rsid w:val="00B632AF"/>
    <w:rsid w:val="00B63437"/>
    <w:rsid w:val="00B63516"/>
    <w:rsid w:val="00B63521"/>
    <w:rsid w:val="00B63573"/>
    <w:rsid w:val="00B63755"/>
    <w:rsid w:val="00B6378F"/>
    <w:rsid w:val="00B6393E"/>
    <w:rsid w:val="00B63952"/>
    <w:rsid w:val="00B639A3"/>
    <w:rsid w:val="00B63B26"/>
    <w:rsid w:val="00B63B50"/>
    <w:rsid w:val="00B63E37"/>
    <w:rsid w:val="00B63E61"/>
    <w:rsid w:val="00B63F95"/>
    <w:rsid w:val="00B640A4"/>
    <w:rsid w:val="00B6442B"/>
    <w:rsid w:val="00B64507"/>
    <w:rsid w:val="00B64589"/>
    <w:rsid w:val="00B646E6"/>
    <w:rsid w:val="00B6483B"/>
    <w:rsid w:val="00B648C1"/>
    <w:rsid w:val="00B6496B"/>
    <w:rsid w:val="00B64A22"/>
    <w:rsid w:val="00B64A74"/>
    <w:rsid w:val="00B64ADB"/>
    <w:rsid w:val="00B64DD4"/>
    <w:rsid w:val="00B64F15"/>
    <w:rsid w:val="00B64FDF"/>
    <w:rsid w:val="00B65026"/>
    <w:rsid w:val="00B653DB"/>
    <w:rsid w:val="00B65491"/>
    <w:rsid w:val="00B65573"/>
    <w:rsid w:val="00B659EC"/>
    <w:rsid w:val="00B65A0E"/>
    <w:rsid w:val="00B65B6F"/>
    <w:rsid w:val="00B65C08"/>
    <w:rsid w:val="00B65EEC"/>
    <w:rsid w:val="00B65FC7"/>
    <w:rsid w:val="00B661D8"/>
    <w:rsid w:val="00B663A5"/>
    <w:rsid w:val="00B663F2"/>
    <w:rsid w:val="00B66473"/>
    <w:rsid w:val="00B665BE"/>
    <w:rsid w:val="00B66996"/>
    <w:rsid w:val="00B66A7D"/>
    <w:rsid w:val="00B66B29"/>
    <w:rsid w:val="00B66B3A"/>
    <w:rsid w:val="00B66BC5"/>
    <w:rsid w:val="00B66E4A"/>
    <w:rsid w:val="00B66EB3"/>
    <w:rsid w:val="00B6718C"/>
    <w:rsid w:val="00B671BB"/>
    <w:rsid w:val="00B6737A"/>
    <w:rsid w:val="00B673AC"/>
    <w:rsid w:val="00B673EE"/>
    <w:rsid w:val="00B67534"/>
    <w:rsid w:val="00B6758D"/>
    <w:rsid w:val="00B676B4"/>
    <w:rsid w:val="00B6786C"/>
    <w:rsid w:val="00B678A5"/>
    <w:rsid w:val="00B679F5"/>
    <w:rsid w:val="00B67B86"/>
    <w:rsid w:val="00B67BAC"/>
    <w:rsid w:val="00B67BCC"/>
    <w:rsid w:val="00B67D46"/>
    <w:rsid w:val="00B70121"/>
    <w:rsid w:val="00B70165"/>
    <w:rsid w:val="00B70191"/>
    <w:rsid w:val="00B70388"/>
    <w:rsid w:val="00B7042E"/>
    <w:rsid w:val="00B709B7"/>
    <w:rsid w:val="00B70B8F"/>
    <w:rsid w:val="00B70BF3"/>
    <w:rsid w:val="00B70CCE"/>
    <w:rsid w:val="00B70F0E"/>
    <w:rsid w:val="00B710A6"/>
    <w:rsid w:val="00B710C2"/>
    <w:rsid w:val="00B7137B"/>
    <w:rsid w:val="00B7148D"/>
    <w:rsid w:val="00B71612"/>
    <w:rsid w:val="00B7166F"/>
    <w:rsid w:val="00B716A8"/>
    <w:rsid w:val="00B718AD"/>
    <w:rsid w:val="00B71B3D"/>
    <w:rsid w:val="00B71BB7"/>
    <w:rsid w:val="00B71CEC"/>
    <w:rsid w:val="00B71D48"/>
    <w:rsid w:val="00B71F27"/>
    <w:rsid w:val="00B7215A"/>
    <w:rsid w:val="00B721A7"/>
    <w:rsid w:val="00B723B7"/>
    <w:rsid w:val="00B72493"/>
    <w:rsid w:val="00B7265D"/>
    <w:rsid w:val="00B726E7"/>
    <w:rsid w:val="00B7273F"/>
    <w:rsid w:val="00B72799"/>
    <w:rsid w:val="00B72836"/>
    <w:rsid w:val="00B72A7C"/>
    <w:rsid w:val="00B72BB1"/>
    <w:rsid w:val="00B72CD0"/>
    <w:rsid w:val="00B72FA7"/>
    <w:rsid w:val="00B72FD6"/>
    <w:rsid w:val="00B7305F"/>
    <w:rsid w:val="00B7328F"/>
    <w:rsid w:val="00B734FA"/>
    <w:rsid w:val="00B73589"/>
    <w:rsid w:val="00B735B8"/>
    <w:rsid w:val="00B7372B"/>
    <w:rsid w:val="00B7378A"/>
    <w:rsid w:val="00B73929"/>
    <w:rsid w:val="00B73A08"/>
    <w:rsid w:val="00B73A0E"/>
    <w:rsid w:val="00B73A66"/>
    <w:rsid w:val="00B73B6B"/>
    <w:rsid w:val="00B73C5F"/>
    <w:rsid w:val="00B73F93"/>
    <w:rsid w:val="00B74043"/>
    <w:rsid w:val="00B74131"/>
    <w:rsid w:val="00B741AA"/>
    <w:rsid w:val="00B7443F"/>
    <w:rsid w:val="00B747E6"/>
    <w:rsid w:val="00B74812"/>
    <w:rsid w:val="00B7496B"/>
    <w:rsid w:val="00B749CC"/>
    <w:rsid w:val="00B74A46"/>
    <w:rsid w:val="00B74B2D"/>
    <w:rsid w:val="00B74C22"/>
    <w:rsid w:val="00B74C8D"/>
    <w:rsid w:val="00B74E63"/>
    <w:rsid w:val="00B74F48"/>
    <w:rsid w:val="00B75304"/>
    <w:rsid w:val="00B75405"/>
    <w:rsid w:val="00B75641"/>
    <w:rsid w:val="00B75716"/>
    <w:rsid w:val="00B75745"/>
    <w:rsid w:val="00B75851"/>
    <w:rsid w:val="00B7585A"/>
    <w:rsid w:val="00B75B27"/>
    <w:rsid w:val="00B75B35"/>
    <w:rsid w:val="00B75B57"/>
    <w:rsid w:val="00B75B76"/>
    <w:rsid w:val="00B75C29"/>
    <w:rsid w:val="00B75EDA"/>
    <w:rsid w:val="00B7609A"/>
    <w:rsid w:val="00B760B2"/>
    <w:rsid w:val="00B762B1"/>
    <w:rsid w:val="00B76331"/>
    <w:rsid w:val="00B76451"/>
    <w:rsid w:val="00B76723"/>
    <w:rsid w:val="00B7686D"/>
    <w:rsid w:val="00B7693D"/>
    <w:rsid w:val="00B76C98"/>
    <w:rsid w:val="00B76E17"/>
    <w:rsid w:val="00B77027"/>
    <w:rsid w:val="00B77141"/>
    <w:rsid w:val="00B7725D"/>
    <w:rsid w:val="00B772FE"/>
    <w:rsid w:val="00B77556"/>
    <w:rsid w:val="00B77673"/>
    <w:rsid w:val="00B77C0E"/>
    <w:rsid w:val="00B77CD0"/>
    <w:rsid w:val="00B77CD3"/>
    <w:rsid w:val="00B77EAF"/>
    <w:rsid w:val="00B80000"/>
    <w:rsid w:val="00B801EB"/>
    <w:rsid w:val="00B80420"/>
    <w:rsid w:val="00B80463"/>
    <w:rsid w:val="00B80539"/>
    <w:rsid w:val="00B805A4"/>
    <w:rsid w:val="00B806DD"/>
    <w:rsid w:val="00B8076D"/>
    <w:rsid w:val="00B809D1"/>
    <w:rsid w:val="00B80ABD"/>
    <w:rsid w:val="00B80B5D"/>
    <w:rsid w:val="00B80BBE"/>
    <w:rsid w:val="00B80C11"/>
    <w:rsid w:val="00B80CA6"/>
    <w:rsid w:val="00B80E06"/>
    <w:rsid w:val="00B81125"/>
    <w:rsid w:val="00B812B0"/>
    <w:rsid w:val="00B8157A"/>
    <w:rsid w:val="00B81747"/>
    <w:rsid w:val="00B81766"/>
    <w:rsid w:val="00B819A3"/>
    <w:rsid w:val="00B81AC1"/>
    <w:rsid w:val="00B81FAF"/>
    <w:rsid w:val="00B81FCB"/>
    <w:rsid w:val="00B821DF"/>
    <w:rsid w:val="00B82200"/>
    <w:rsid w:val="00B8235B"/>
    <w:rsid w:val="00B82487"/>
    <w:rsid w:val="00B824B4"/>
    <w:rsid w:val="00B8257A"/>
    <w:rsid w:val="00B8280A"/>
    <w:rsid w:val="00B828AC"/>
    <w:rsid w:val="00B82A60"/>
    <w:rsid w:val="00B82A64"/>
    <w:rsid w:val="00B82C43"/>
    <w:rsid w:val="00B82DD7"/>
    <w:rsid w:val="00B82E15"/>
    <w:rsid w:val="00B82E48"/>
    <w:rsid w:val="00B83002"/>
    <w:rsid w:val="00B83056"/>
    <w:rsid w:val="00B83086"/>
    <w:rsid w:val="00B8317C"/>
    <w:rsid w:val="00B831AF"/>
    <w:rsid w:val="00B833F7"/>
    <w:rsid w:val="00B83426"/>
    <w:rsid w:val="00B83441"/>
    <w:rsid w:val="00B83477"/>
    <w:rsid w:val="00B8350F"/>
    <w:rsid w:val="00B8374A"/>
    <w:rsid w:val="00B837B4"/>
    <w:rsid w:val="00B83A62"/>
    <w:rsid w:val="00B83CA3"/>
    <w:rsid w:val="00B83CD7"/>
    <w:rsid w:val="00B83E60"/>
    <w:rsid w:val="00B83E6A"/>
    <w:rsid w:val="00B83F75"/>
    <w:rsid w:val="00B83FB8"/>
    <w:rsid w:val="00B84217"/>
    <w:rsid w:val="00B844B6"/>
    <w:rsid w:val="00B848DB"/>
    <w:rsid w:val="00B84981"/>
    <w:rsid w:val="00B84C0D"/>
    <w:rsid w:val="00B84C4D"/>
    <w:rsid w:val="00B84CDB"/>
    <w:rsid w:val="00B84CF9"/>
    <w:rsid w:val="00B85025"/>
    <w:rsid w:val="00B8511F"/>
    <w:rsid w:val="00B851B7"/>
    <w:rsid w:val="00B855A2"/>
    <w:rsid w:val="00B855FA"/>
    <w:rsid w:val="00B85628"/>
    <w:rsid w:val="00B85772"/>
    <w:rsid w:val="00B8585E"/>
    <w:rsid w:val="00B85B18"/>
    <w:rsid w:val="00B85C5A"/>
    <w:rsid w:val="00B85E65"/>
    <w:rsid w:val="00B86070"/>
    <w:rsid w:val="00B861EF"/>
    <w:rsid w:val="00B86331"/>
    <w:rsid w:val="00B86633"/>
    <w:rsid w:val="00B8668F"/>
    <w:rsid w:val="00B86881"/>
    <w:rsid w:val="00B869C9"/>
    <w:rsid w:val="00B86BDF"/>
    <w:rsid w:val="00B86C40"/>
    <w:rsid w:val="00B87159"/>
    <w:rsid w:val="00B87657"/>
    <w:rsid w:val="00B8767B"/>
    <w:rsid w:val="00B878EB"/>
    <w:rsid w:val="00B87AC5"/>
    <w:rsid w:val="00B87C57"/>
    <w:rsid w:val="00B87EC3"/>
    <w:rsid w:val="00B87F3A"/>
    <w:rsid w:val="00B87F92"/>
    <w:rsid w:val="00B87FAA"/>
    <w:rsid w:val="00B90201"/>
    <w:rsid w:val="00B90229"/>
    <w:rsid w:val="00B904CF"/>
    <w:rsid w:val="00B904F2"/>
    <w:rsid w:val="00B90558"/>
    <w:rsid w:val="00B905F8"/>
    <w:rsid w:val="00B90604"/>
    <w:rsid w:val="00B9071E"/>
    <w:rsid w:val="00B9086F"/>
    <w:rsid w:val="00B90BC4"/>
    <w:rsid w:val="00B90D61"/>
    <w:rsid w:val="00B90DF5"/>
    <w:rsid w:val="00B90F49"/>
    <w:rsid w:val="00B90F68"/>
    <w:rsid w:val="00B911D5"/>
    <w:rsid w:val="00B91234"/>
    <w:rsid w:val="00B91287"/>
    <w:rsid w:val="00B913E2"/>
    <w:rsid w:val="00B91492"/>
    <w:rsid w:val="00B91495"/>
    <w:rsid w:val="00B9157E"/>
    <w:rsid w:val="00B916B7"/>
    <w:rsid w:val="00B91B76"/>
    <w:rsid w:val="00B91C1E"/>
    <w:rsid w:val="00B91E95"/>
    <w:rsid w:val="00B921C6"/>
    <w:rsid w:val="00B921D8"/>
    <w:rsid w:val="00B9238F"/>
    <w:rsid w:val="00B92427"/>
    <w:rsid w:val="00B92444"/>
    <w:rsid w:val="00B9248B"/>
    <w:rsid w:val="00B92710"/>
    <w:rsid w:val="00B92752"/>
    <w:rsid w:val="00B9276D"/>
    <w:rsid w:val="00B927D1"/>
    <w:rsid w:val="00B9285D"/>
    <w:rsid w:val="00B92879"/>
    <w:rsid w:val="00B9289E"/>
    <w:rsid w:val="00B92B20"/>
    <w:rsid w:val="00B92DA4"/>
    <w:rsid w:val="00B92E2D"/>
    <w:rsid w:val="00B92E9B"/>
    <w:rsid w:val="00B92FD7"/>
    <w:rsid w:val="00B93062"/>
    <w:rsid w:val="00B930C9"/>
    <w:rsid w:val="00B931B1"/>
    <w:rsid w:val="00B9327F"/>
    <w:rsid w:val="00B932C0"/>
    <w:rsid w:val="00B934D7"/>
    <w:rsid w:val="00B934E2"/>
    <w:rsid w:val="00B935A1"/>
    <w:rsid w:val="00B9383D"/>
    <w:rsid w:val="00B9384C"/>
    <w:rsid w:val="00B93B26"/>
    <w:rsid w:val="00B93B47"/>
    <w:rsid w:val="00B93D12"/>
    <w:rsid w:val="00B93D81"/>
    <w:rsid w:val="00B93FF0"/>
    <w:rsid w:val="00B94212"/>
    <w:rsid w:val="00B942F6"/>
    <w:rsid w:val="00B94474"/>
    <w:rsid w:val="00B9450F"/>
    <w:rsid w:val="00B9456C"/>
    <w:rsid w:val="00B945FD"/>
    <w:rsid w:val="00B94617"/>
    <w:rsid w:val="00B946AA"/>
    <w:rsid w:val="00B9471B"/>
    <w:rsid w:val="00B948FD"/>
    <w:rsid w:val="00B94923"/>
    <w:rsid w:val="00B949F3"/>
    <w:rsid w:val="00B94DA7"/>
    <w:rsid w:val="00B94E68"/>
    <w:rsid w:val="00B94E84"/>
    <w:rsid w:val="00B95158"/>
    <w:rsid w:val="00B9519F"/>
    <w:rsid w:val="00B951F8"/>
    <w:rsid w:val="00B95258"/>
    <w:rsid w:val="00B95447"/>
    <w:rsid w:val="00B95551"/>
    <w:rsid w:val="00B955D3"/>
    <w:rsid w:val="00B9561E"/>
    <w:rsid w:val="00B95820"/>
    <w:rsid w:val="00B95926"/>
    <w:rsid w:val="00B959C2"/>
    <w:rsid w:val="00B95AD6"/>
    <w:rsid w:val="00B95CA1"/>
    <w:rsid w:val="00B95FF3"/>
    <w:rsid w:val="00B95FF9"/>
    <w:rsid w:val="00B9601A"/>
    <w:rsid w:val="00B960A3"/>
    <w:rsid w:val="00B96130"/>
    <w:rsid w:val="00B96247"/>
    <w:rsid w:val="00B96262"/>
    <w:rsid w:val="00B9635E"/>
    <w:rsid w:val="00B963C6"/>
    <w:rsid w:val="00B964B9"/>
    <w:rsid w:val="00B9663D"/>
    <w:rsid w:val="00B96724"/>
    <w:rsid w:val="00B96818"/>
    <w:rsid w:val="00B96948"/>
    <w:rsid w:val="00B96D33"/>
    <w:rsid w:val="00B96D3F"/>
    <w:rsid w:val="00B96E6E"/>
    <w:rsid w:val="00B97191"/>
    <w:rsid w:val="00B9724D"/>
    <w:rsid w:val="00B97325"/>
    <w:rsid w:val="00B9755C"/>
    <w:rsid w:val="00B97585"/>
    <w:rsid w:val="00B975AC"/>
    <w:rsid w:val="00B97660"/>
    <w:rsid w:val="00B977E6"/>
    <w:rsid w:val="00B97970"/>
    <w:rsid w:val="00B979A6"/>
    <w:rsid w:val="00B979EC"/>
    <w:rsid w:val="00B97B8E"/>
    <w:rsid w:val="00B97C23"/>
    <w:rsid w:val="00B97C61"/>
    <w:rsid w:val="00B97D8C"/>
    <w:rsid w:val="00B97EBF"/>
    <w:rsid w:val="00B97F37"/>
    <w:rsid w:val="00B97F57"/>
    <w:rsid w:val="00BA013C"/>
    <w:rsid w:val="00BA0557"/>
    <w:rsid w:val="00BA0E5B"/>
    <w:rsid w:val="00BA0E8C"/>
    <w:rsid w:val="00BA1010"/>
    <w:rsid w:val="00BA1067"/>
    <w:rsid w:val="00BA1259"/>
    <w:rsid w:val="00BA129E"/>
    <w:rsid w:val="00BA14B2"/>
    <w:rsid w:val="00BA14F9"/>
    <w:rsid w:val="00BA16EF"/>
    <w:rsid w:val="00BA199F"/>
    <w:rsid w:val="00BA1BF9"/>
    <w:rsid w:val="00BA1C75"/>
    <w:rsid w:val="00BA1D5E"/>
    <w:rsid w:val="00BA238F"/>
    <w:rsid w:val="00BA23D5"/>
    <w:rsid w:val="00BA2460"/>
    <w:rsid w:val="00BA260C"/>
    <w:rsid w:val="00BA2800"/>
    <w:rsid w:val="00BA28A5"/>
    <w:rsid w:val="00BA2ABB"/>
    <w:rsid w:val="00BA2EF1"/>
    <w:rsid w:val="00BA3428"/>
    <w:rsid w:val="00BA342B"/>
    <w:rsid w:val="00BA366E"/>
    <w:rsid w:val="00BA36FB"/>
    <w:rsid w:val="00BA3735"/>
    <w:rsid w:val="00BA3756"/>
    <w:rsid w:val="00BA394D"/>
    <w:rsid w:val="00BA3997"/>
    <w:rsid w:val="00BA3B3D"/>
    <w:rsid w:val="00BA3F52"/>
    <w:rsid w:val="00BA3FBC"/>
    <w:rsid w:val="00BA3FFE"/>
    <w:rsid w:val="00BA44E9"/>
    <w:rsid w:val="00BA460C"/>
    <w:rsid w:val="00BA46BB"/>
    <w:rsid w:val="00BA486E"/>
    <w:rsid w:val="00BA4875"/>
    <w:rsid w:val="00BA4A7A"/>
    <w:rsid w:val="00BA4B8F"/>
    <w:rsid w:val="00BA4C4B"/>
    <w:rsid w:val="00BA4C9B"/>
    <w:rsid w:val="00BA4EF7"/>
    <w:rsid w:val="00BA500A"/>
    <w:rsid w:val="00BA5155"/>
    <w:rsid w:val="00BA5250"/>
    <w:rsid w:val="00BA526C"/>
    <w:rsid w:val="00BA529F"/>
    <w:rsid w:val="00BA52C4"/>
    <w:rsid w:val="00BA5349"/>
    <w:rsid w:val="00BA54DA"/>
    <w:rsid w:val="00BA5689"/>
    <w:rsid w:val="00BA5730"/>
    <w:rsid w:val="00BA576C"/>
    <w:rsid w:val="00BA57D6"/>
    <w:rsid w:val="00BA59AF"/>
    <w:rsid w:val="00BA5A3B"/>
    <w:rsid w:val="00BA5BEA"/>
    <w:rsid w:val="00BA5CD8"/>
    <w:rsid w:val="00BA5E98"/>
    <w:rsid w:val="00BA5F87"/>
    <w:rsid w:val="00BA6031"/>
    <w:rsid w:val="00BA63E5"/>
    <w:rsid w:val="00BA64F7"/>
    <w:rsid w:val="00BA6567"/>
    <w:rsid w:val="00BA68F4"/>
    <w:rsid w:val="00BA6A30"/>
    <w:rsid w:val="00BA6CB1"/>
    <w:rsid w:val="00BA6D07"/>
    <w:rsid w:val="00BA6F5A"/>
    <w:rsid w:val="00BA6FBB"/>
    <w:rsid w:val="00BA6FF5"/>
    <w:rsid w:val="00BA72C7"/>
    <w:rsid w:val="00BA7315"/>
    <w:rsid w:val="00BA743D"/>
    <w:rsid w:val="00BA754E"/>
    <w:rsid w:val="00BA75BD"/>
    <w:rsid w:val="00BA76AE"/>
    <w:rsid w:val="00BA7912"/>
    <w:rsid w:val="00BA7A89"/>
    <w:rsid w:val="00BA7AC4"/>
    <w:rsid w:val="00BA7B29"/>
    <w:rsid w:val="00BA7D0A"/>
    <w:rsid w:val="00BA7D54"/>
    <w:rsid w:val="00BA7DBC"/>
    <w:rsid w:val="00BA7EA0"/>
    <w:rsid w:val="00BB001F"/>
    <w:rsid w:val="00BB034F"/>
    <w:rsid w:val="00BB0472"/>
    <w:rsid w:val="00BB04AE"/>
    <w:rsid w:val="00BB0532"/>
    <w:rsid w:val="00BB0588"/>
    <w:rsid w:val="00BB059D"/>
    <w:rsid w:val="00BB05D5"/>
    <w:rsid w:val="00BB0880"/>
    <w:rsid w:val="00BB098D"/>
    <w:rsid w:val="00BB0B91"/>
    <w:rsid w:val="00BB0E19"/>
    <w:rsid w:val="00BB1149"/>
    <w:rsid w:val="00BB137A"/>
    <w:rsid w:val="00BB175A"/>
    <w:rsid w:val="00BB187F"/>
    <w:rsid w:val="00BB1A4B"/>
    <w:rsid w:val="00BB1ACC"/>
    <w:rsid w:val="00BB1B11"/>
    <w:rsid w:val="00BB1BA6"/>
    <w:rsid w:val="00BB1C00"/>
    <w:rsid w:val="00BB1D76"/>
    <w:rsid w:val="00BB1DC8"/>
    <w:rsid w:val="00BB1EA3"/>
    <w:rsid w:val="00BB1EBB"/>
    <w:rsid w:val="00BB1F0B"/>
    <w:rsid w:val="00BB20E9"/>
    <w:rsid w:val="00BB2210"/>
    <w:rsid w:val="00BB22D1"/>
    <w:rsid w:val="00BB2788"/>
    <w:rsid w:val="00BB2867"/>
    <w:rsid w:val="00BB289D"/>
    <w:rsid w:val="00BB2A96"/>
    <w:rsid w:val="00BB2AC3"/>
    <w:rsid w:val="00BB2E85"/>
    <w:rsid w:val="00BB2FA5"/>
    <w:rsid w:val="00BB31B5"/>
    <w:rsid w:val="00BB32DF"/>
    <w:rsid w:val="00BB336E"/>
    <w:rsid w:val="00BB33B4"/>
    <w:rsid w:val="00BB33E8"/>
    <w:rsid w:val="00BB34C0"/>
    <w:rsid w:val="00BB360B"/>
    <w:rsid w:val="00BB37D7"/>
    <w:rsid w:val="00BB397C"/>
    <w:rsid w:val="00BB3AA7"/>
    <w:rsid w:val="00BB3AEC"/>
    <w:rsid w:val="00BB3B39"/>
    <w:rsid w:val="00BB3B5C"/>
    <w:rsid w:val="00BB3BDA"/>
    <w:rsid w:val="00BB3E13"/>
    <w:rsid w:val="00BB3EDD"/>
    <w:rsid w:val="00BB3EE2"/>
    <w:rsid w:val="00BB406B"/>
    <w:rsid w:val="00BB4182"/>
    <w:rsid w:val="00BB4249"/>
    <w:rsid w:val="00BB43AA"/>
    <w:rsid w:val="00BB4458"/>
    <w:rsid w:val="00BB446E"/>
    <w:rsid w:val="00BB44FA"/>
    <w:rsid w:val="00BB45AB"/>
    <w:rsid w:val="00BB46C0"/>
    <w:rsid w:val="00BB46CA"/>
    <w:rsid w:val="00BB46DE"/>
    <w:rsid w:val="00BB4799"/>
    <w:rsid w:val="00BB47D3"/>
    <w:rsid w:val="00BB49A8"/>
    <w:rsid w:val="00BB4AA8"/>
    <w:rsid w:val="00BB4DB9"/>
    <w:rsid w:val="00BB4FED"/>
    <w:rsid w:val="00BB5091"/>
    <w:rsid w:val="00BB5092"/>
    <w:rsid w:val="00BB50D6"/>
    <w:rsid w:val="00BB51E3"/>
    <w:rsid w:val="00BB5208"/>
    <w:rsid w:val="00BB5619"/>
    <w:rsid w:val="00BB5A48"/>
    <w:rsid w:val="00BB5C02"/>
    <w:rsid w:val="00BB5FE2"/>
    <w:rsid w:val="00BB6234"/>
    <w:rsid w:val="00BB6333"/>
    <w:rsid w:val="00BB670C"/>
    <w:rsid w:val="00BB68D8"/>
    <w:rsid w:val="00BB68DB"/>
    <w:rsid w:val="00BB692B"/>
    <w:rsid w:val="00BB69A0"/>
    <w:rsid w:val="00BB6A4E"/>
    <w:rsid w:val="00BB6A54"/>
    <w:rsid w:val="00BB6ABF"/>
    <w:rsid w:val="00BB6BDB"/>
    <w:rsid w:val="00BB6C3B"/>
    <w:rsid w:val="00BB6C8C"/>
    <w:rsid w:val="00BB6E8B"/>
    <w:rsid w:val="00BB6FBD"/>
    <w:rsid w:val="00BB7091"/>
    <w:rsid w:val="00BB7219"/>
    <w:rsid w:val="00BB7385"/>
    <w:rsid w:val="00BB7404"/>
    <w:rsid w:val="00BB74DB"/>
    <w:rsid w:val="00BB76B9"/>
    <w:rsid w:val="00BB76DE"/>
    <w:rsid w:val="00BB76F5"/>
    <w:rsid w:val="00BB76F9"/>
    <w:rsid w:val="00BB785D"/>
    <w:rsid w:val="00BB791E"/>
    <w:rsid w:val="00BB79B0"/>
    <w:rsid w:val="00BB7A12"/>
    <w:rsid w:val="00BB7C59"/>
    <w:rsid w:val="00BB7CEF"/>
    <w:rsid w:val="00BB7D63"/>
    <w:rsid w:val="00BB7E49"/>
    <w:rsid w:val="00BB7EFB"/>
    <w:rsid w:val="00BC005B"/>
    <w:rsid w:val="00BC012B"/>
    <w:rsid w:val="00BC0184"/>
    <w:rsid w:val="00BC01E5"/>
    <w:rsid w:val="00BC037F"/>
    <w:rsid w:val="00BC044A"/>
    <w:rsid w:val="00BC04C8"/>
    <w:rsid w:val="00BC0539"/>
    <w:rsid w:val="00BC0567"/>
    <w:rsid w:val="00BC069F"/>
    <w:rsid w:val="00BC06ED"/>
    <w:rsid w:val="00BC077F"/>
    <w:rsid w:val="00BC09AD"/>
    <w:rsid w:val="00BC0B1F"/>
    <w:rsid w:val="00BC0B58"/>
    <w:rsid w:val="00BC0BAF"/>
    <w:rsid w:val="00BC0E00"/>
    <w:rsid w:val="00BC0FE4"/>
    <w:rsid w:val="00BC1012"/>
    <w:rsid w:val="00BC1020"/>
    <w:rsid w:val="00BC12B6"/>
    <w:rsid w:val="00BC14F2"/>
    <w:rsid w:val="00BC163A"/>
    <w:rsid w:val="00BC169F"/>
    <w:rsid w:val="00BC1A62"/>
    <w:rsid w:val="00BC1AC6"/>
    <w:rsid w:val="00BC1AE3"/>
    <w:rsid w:val="00BC1CAD"/>
    <w:rsid w:val="00BC1D1F"/>
    <w:rsid w:val="00BC1D93"/>
    <w:rsid w:val="00BC2064"/>
    <w:rsid w:val="00BC2151"/>
    <w:rsid w:val="00BC21CE"/>
    <w:rsid w:val="00BC2242"/>
    <w:rsid w:val="00BC23ED"/>
    <w:rsid w:val="00BC240F"/>
    <w:rsid w:val="00BC2419"/>
    <w:rsid w:val="00BC256D"/>
    <w:rsid w:val="00BC25B9"/>
    <w:rsid w:val="00BC2711"/>
    <w:rsid w:val="00BC2947"/>
    <w:rsid w:val="00BC2EDB"/>
    <w:rsid w:val="00BC2EE1"/>
    <w:rsid w:val="00BC310D"/>
    <w:rsid w:val="00BC31CB"/>
    <w:rsid w:val="00BC31D0"/>
    <w:rsid w:val="00BC3311"/>
    <w:rsid w:val="00BC3323"/>
    <w:rsid w:val="00BC339B"/>
    <w:rsid w:val="00BC33E1"/>
    <w:rsid w:val="00BC34F7"/>
    <w:rsid w:val="00BC3563"/>
    <w:rsid w:val="00BC3668"/>
    <w:rsid w:val="00BC37FD"/>
    <w:rsid w:val="00BC384D"/>
    <w:rsid w:val="00BC387E"/>
    <w:rsid w:val="00BC3883"/>
    <w:rsid w:val="00BC38AD"/>
    <w:rsid w:val="00BC3AC2"/>
    <w:rsid w:val="00BC3CFA"/>
    <w:rsid w:val="00BC3D14"/>
    <w:rsid w:val="00BC3E7F"/>
    <w:rsid w:val="00BC3EA0"/>
    <w:rsid w:val="00BC3EF0"/>
    <w:rsid w:val="00BC4174"/>
    <w:rsid w:val="00BC41EE"/>
    <w:rsid w:val="00BC4328"/>
    <w:rsid w:val="00BC446C"/>
    <w:rsid w:val="00BC449E"/>
    <w:rsid w:val="00BC44C7"/>
    <w:rsid w:val="00BC456A"/>
    <w:rsid w:val="00BC46D3"/>
    <w:rsid w:val="00BC47AF"/>
    <w:rsid w:val="00BC488F"/>
    <w:rsid w:val="00BC49CD"/>
    <w:rsid w:val="00BC4A4F"/>
    <w:rsid w:val="00BC4AB4"/>
    <w:rsid w:val="00BC4ACF"/>
    <w:rsid w:val="00BC4DBD"/>
    <w:rsid w:val="00BC4F72"/>
    <w:rsid w:val="00BC4F7C"/>
    <w:rsid w:val="00BC50CA"/>
    <w:rsid w:val="00BC529C"/>
    <w:rsid w:val="00BC546E"/>
    <w:rsid w:val="00BC54FB"/>
    <w:rsid w:val="00BC54FE"/>
    <w:rsid w:val="00BC569C"/>
    <w:rsid w:val="00BC571D"/>
    <w:rsid w:val="00BC579C"/>
    <w:rsid w:val="00BC59E9"/>
    <w:rsid w:val="00BC5AD4"/>
    <w:rsid w:val="00BC5EF2"/>
    <w:rsid w:val="00BC5F3D"/>
    <w:rsid w:val="00BC5F71"/>
    <w:rsid w:val="00BC60E3"/>
    <w:rsid w:val="00BC60F5"/>
    <w:rsid w:val="00BC612C"/>
    <w:rsid w:val="00BC655A"/>
    <w:rsid w:val="00BC6808"/>
    <w:rsid w:val="00BC68A4"/>
    <w:rsid w:val="00BC6970"/>
    <w:rsid w:val="00BC69BD"/>
    <w:rsid w:val="00BC6B3E"/>
    <w:rsid w:val="00BC6BF8"/>
    <w:rsid w:val="00BC6C7A"/>
    <w:rsid w:val="00BC6D25"/>
    <w:rsid w:val="00BC6E68"/>
    <w:rsid w:val="00BC6EA6"/>
    <w:rsid w:val="00BC7041"/>
    <w:rsid w:val="00BC7162"/>
    <w:rsid w:val="00BC7D53"/>
    <w:rsid w:val="00BC7DF0"/>
    <w:rsid w:val="00BC7E06"/>
    <w:rsid w:val="00BD006C"/>
    <w:rsid w:val="00BD0295"/>
    <w:rsid w:val="00BD04F5"/>
    <w:rsid w:val="00BD04F6"/>
    <w:rsid w:val="00BD05A4"/>
    <w:rsid w:val="00BD05C9"/>
    <w:rsid w:val="00BD08B8"/>
    <w:rsid w:val="00BD08F3"/>
    <w:rsid w:val="00BD0928"/>
    <w:rsid w:val="00BD0B42"/>
    <w:rsid w:val="00BD0B61"/>
    <w:rsid w:val="00BD0EBA"/>
    <w:rsid w:val="00BD0F4C"/>
    <w:rsid w:val="00BD11FD"/>
    <w:rsid w:val="00BD1236"/>
    <w:rsid w:val="00BD14CC"/>
    <w:rsid w:val="00BD15F1"/>
    <w:rsid w:val="00BD16CB"/>
    <w:rsid w:val="00BD1A72"/>
    <w:rsid w:val="00BD1B99"/>
    <w:rsid w:val="00BD1DD5"/>
    <w:rsid w:val="00BD1ED7"/>
    <w:rsid w:val="00BD1F30"/>
    <w:rsid w:val="00BD1FC9"/>
    <w:rsid w:val="00BD205A"/>
    <w:rsid w:val="00BD2083"/>
    <w:rsid w:val="00BD219D"/>
    <w:rsid w:val="00BD2203"/>
    <w:rsid w:val="00BD2230"/>
    <w:rsid w:val="00BD22B7"/>
    <w:rsid w:val="00BD22DE"/>
    <w:rsid w:val="00BD2378"/>
    <w:rsid w:val="00BD26B2"/>
    <w:rsid w:val="00BD2745"/>
    <w:rsid w:val="00BD2767"/>
    <w:rsid w:val="00BD2842"/>
    <w:rsid w:val="00BD28F4"/>
    <w:rsid w:val="00BD2A19"/>
    <w:rsid w:val="00BD2A1A"/>
    <w:rsid w:val="00BD2AD3"/>
    <w:rsid w:val="00BD2B2C"/>
    <w:rsid w:val="00BD2CE0"/>
    <w:rsid w:val="00BD2D76"/>
    <w:rsid w:val="00BD2E42"/>
    <w:rsid w:val="00BD2E4F"/>
    <w:rsid w:val="00BD30C8"/>
    <w:rsid w:val="00BD3131"/>
    <w:rsid w:val="00BD3155"/>
    <w:rsid w:val="00BD3476"/>
    <w:rsid w:val="00BD3792"/>
    <w:rsid w:val="00BD3806"/>
    <w:rsid w:val="00BD3B5F"/>
    <w:rsid w:val="00BD3E6F"/>
    <w:rsid w:val="00BD3FF3"/>
    <w:rsid w:val="00BD4012"/>
    <w:rsid w:val="00BD450D"/>
    <w:rsid w:val="00BD45F0"/>
    <w:rsid w:val="00BD46AB"/>
    <w:rsid w:val="00BD4919"/>
    <w:rsid w:val="00BD4986"/>
    <w:rsid w:val="00BD4A00"/>
    <w:rsid w:val="00BD4A26"/>
    <w:rsid w:val="00BD4AE5"/>
    <w:rsid w:val="00BD4BB6"/>
    <w:rsid w:val="00BD4C69"/>
    <w:rsid w:val="00BD4CA6"/>
    <w:rsid w:val="00BD4D3F"/>
    <w:rsid w:val="00BD4DBC"/>
    <w:rsid w:val="00BD4E76"/>
    <w:rsid w:val="00BD50E4"/>
    <w:rsid w:val="00BD5246"/>
    <w:rsid w:val="00BD5653"/>
    <w:rsid w:val="00BD565B"/>
    <w:rsid w:val="00BD572B"/>
    <w:rsid w:val="00BD58CB"/>
    <w:rsid w:val="00BD5EB5"/>
    <w:rsid w:val="00BD5EFF"/>
    <w:rsid w:val="00BD60D1"/>
    <w:rsid w:val="00BD621C"/>
    <w:rsid w:val="00BD62D1"/>
    <w:rsid w:val="00BD6512"/>
    <w:rsid w:val="00BD67A1"/>
    <w:rsid w:val="00BD68B1"/>
    <w:rsid w:val="00BD6A27"/>
    <w:rsid w:val="00BD6B11"/>
    <w:rsid w:val="00BD6C93"/>
    <w:rsid w:val="00BD6D0B"/>
    <w:rsid w:val="00BD6DF2"/>
    <w:rsid w:val="00BD6E2F"/>
    <w:rsid w:val="00BD722C"/>
    <w:rsid w:val="00BD72B4"/>
    <w:rsid w:val="00BD7315"/>
    <w:rsid w:val="00BD74A6"/>
    <w:rsid w:val="00BD772C"/>
    <w:rsid w:val="00BD785E"/>
    <w:rsid w:val="00BD792B"/>
    <w:rsid w:val="00BD7984"/>
    <w:rsid w:val="00BD7DDD"/>
    <w:rsid w:val="00BD7F14"/>
    <w:rsid w:val="00BD7F65"/>
    <w:rsid w:val="00BD7F9C"/>
    <w:rsid w:val="00BE01B9"/>
    <w:rsid w:val="00BE01FE"/>
    <w:rsid w:val="00BE0405"/>
    <w:rsid w:val="00BE04AD"/>
    <w:rsid w:val="00BE05FE"/>
    <w:rsid w:val="00BE0770"/>
    <w:rsid w:val="00BE08A6"/>
    <w:rsid w:val="00BE0B2F"/>
    <w:rsid w:val="00BE0CC1"/>
    <w:rsid w:val="00BE0D81"/>
    <w:rsid w:val="00BE0ED6"/>
    <w:rsid w:val="00BE0F37"/>
    <w:rsid w:val="00BE0FBC"/>
    <w:rsid w:val="00BE10C2"/>
    <w:rsid w:val="00BE10DA"/>
    <w:rsid w:val="00BE1440"/>
    <w:rsid w:val="00BE1611"/>
    <w:rsid w:val="00BE169E"/>
    <w:rsid w:val="00BE17C0"/>
    <w:rsid w:val="00BE18C5"/>
    <w:rsid w:val="00BE18EC"/>
    <w:rsid w:val="00BE19DC"/>
    <w:rsid w:val="00BE1B22"/>
    <w:rsid w:val="00BE1D62"/>
    <w:rsid w:val="00BE1FFA"/>
    <w:rsid w:val="00BE23B4"/>
    <w:rsid w:val="00BE244E"/>
    <w:rsid w:val="00BE2644"/>
    <w:rsid w:val="00BE26BF"/>
    <w:rsid w:val="00BE279C"/>
    <w:rsid w:val="00BE2862"/>
    <w:rsid w:val="00BE2961"/>
    <w:rsid w:val="00BE2AA4"/>
    <w:rsid w:val="00BE2ACA"/>
    <w:rsid w:val="00BE2AFD"/>
    <w:rsid w:val="00BE2B21"/>
    <w:rsid w:val="00BE2B44"/>
    <w:rsid w:val="00BE2B47"/>
    <w:rsid w:val="00BE2BAC"/>
    <w:rsid w:val="00BE2D09"/>
    <w:rsid w:val="00BE2D25"/>
    <w:rsid w:val="00BE2DAD"/>
    <w:rsid w:val="00BE2E69"/>
    <w:rsid w:val="00BE3119"/>
    <w:rsid w:val="00BE317F"/>
    <w:rsid w:val="00BE320E"/>
    <w:rsid w:val="00BE3227"/>
    <w:rsid w:val="00BE33A7"/>
    <w:rsid w:val="00BE34C0"/>
    <w:rsid w:val="00BE3545"/>
    <w:rsid w:val="00BE397D"/>
    <w:rsid w:val="00BE3AF8"/>
    <w:rsid w:val="00BE3C31"/>
    <w:rsid w:val="00BE3D57"/>
    <w:rsid w:val="00BE3E07"/>
    <w:rsid w:val="00BE3E15"/>
    <w:rsid w:val="00BE3EE1"/>
    <w:rsid w:val="00BE4002"/>
    <w:rsid w:val="00BE4089"/>
    <w:rsid w:val="00BE4140"/>
    <w:rsid w:val="00BE41D8"/>
    <w:rsid w:val="00BE43AB"/>
    <w:rsid w:val="00BE456B"/>
    <w:rsid w:val="00BE4683"/>
    <w:rsid w:val="00BE46AC"/>
    <w:rsid w:val="00BE46E4"/>
    <w:rsid w:val="00BE4798"/>
    <w:rsid w:val="00BE4CDB"/>
    <w:rsid w:val="00BE4CE0"/>
    <w:rsid w:val="00BE4EFF"/>
    <w:rsid w:val="00BE4F3B"/>
    <w:rsid w:val="00BE4FA4"/>
    <w:rsid w:val="00BE507C"/>
    <w:rsid w:val="00BE529A"/>
    <w:rsid w:val="00BE53A1"/>
    <w:rsid w:val="00BE5484"/>
    <w:rsid w:val="00BE54B0"/>
    <w:rsid w:val="00BE5526"/>
    <w:rsid w:val="00BE57E2"/>
    <w:rsid w:val="00BE57F7"/>
    <w:rsid w:val="00BE58E2"/>
    <w:rsid w:val="00BE5904"/>
    <w:rsid w:val="00BE598F"/>
    <w:rsid w:val="00BE5BC3"/>
    <w:rsid w:val="00BE5EDE"/>
    <w:rsid w:val="00BE5F7E"/>
    <w:rsid w:val="00BE6231"/>
    <w:rsid w:val="00BE6284"/>
    <w:rsid w:val="00BE632C"/>
    <w:rsid w:val="00BE6371"/>
    <w:rsid w:val="00BE6544"/>
    <w:rsid w:val="00BE66AD"/>
    <w:rsid w:val="00BE68B9"/>
    <w:rsid w:val="00BE68D3"/>
    <w:rsid w:val="00BE691F"/>
    <w:rsid w:val="00BE6C88"/>
    <w:rsid w:val="00BE6EC4"/>
    <w:rsid w:val="00BE6F22"/>
    <w:rsid w:val="00BE7058"/>
    <w:rsid w:val="00BE7575"/>
    <w:rsid w:val="00BE75B3"/>
    <w:rsid w:val="00BE767E"/>
    <w:rsid w:val="00BE7902"/>
    <w:rsid w:val="00BE7C67"/>
    <w:rsid w:val="00BF01CF"/>
    <w:rsid w:val="00BF0456"/>
    <w:rsid w:val="00BF0658"/>
    <w:rsid w:val="00BF0704"/>
    <w:rsid w:val="00BF0752"/>
    <w:rsid w:val="00BF0782"/>
    <w:rsid w:val="00BF079D"/>
    <w:rsid w:val="00BF0A61"/>
    <w:rsid w:val="00BF0AC2"/>
    <w:rsid w:val="00BF0DEF"/>
    <w:rsid w:val="00BF1148"/>
    <w:rsid w:val="00BF134E"/>
    <w:rsid w:val="00BF14D0"/>
    <w:rsid w:val="00BF1538"/>
    <w:rsid w:val="00BF1545"/>
    <w:rsid w:val="00BF1998"/>
    <w:rsid w:val="00BF1A73"/>
    <w:rsid w:val="00BF1D6F"/>
    <w:rsid w:val="00BF1DFF"/>
    <w:rsid w:val="00BF1E1E"/>
    <w:rsid w:val="00BF1F98"/>
    <w:rsid w:val="00BF20A0"/>
    <w:rsid w:val="00BF21AF"/>
    <w:rsid w:val="00BF2218"/>
    <w:rsid w:val="00BF2414"/>
    <w:rsid w:val="00BF24A7"/>
    <w:rsid w:val="00BF2591"/>
    <w:rsid w:val="00BF2598"/>
    <w:rsid w:val="00BF2622"/>
    <w:rsid w:val="00BF27BB"/>
    <w:rsid w:val="00BF28D7"/>
    <w:rsid w:val="00BF2AB0"/>
    <w:rsid w:val="00BF2B3D"/>
    <w:rsid w:val="00BF2B6E"/>
    <w:rsid w:val="00BF2BE6"/>
    <w:rsid w:val="00BF2CDC"/>
    <w:rsid w:val="00BF2CFC"/>
    <w:rsid w:val="00BF2D91"/>
    <w:rsid w:val="00BF2FF7"/>
    <w:rsid w:val="00BF3187"/>
    <w:rsid w:val="00BF3337"/>
    <w:rsid w:val="00BF36D1"/>
    <w:rsid w:val="00BF38C5"/>
    <w:rsid w:val="00BF3C84"/>
    <w:rsid w:val="00BF3D7B"/>
    <w:rsid w:val="00BF3E4E"/>
    <w:rsid w:val="00BF3E5A"/>
    <w:rsid w:val="00BF3E9B"/>
    <w:rsid w:val="00BF4398"/>
    <w:rsid w:val="00BF439D"/>
    <w:rsid w:val="00BF4441"/>
    <w:rsid w:val="00BF44D4"/>
    <w:rsid w:val="00BF467B"/>
    <w:rsid w:val="00BF47B0"/>
    <w:rsid w:val="00BF4842"/>
    <w:rsid w:val="00BF4B44"/>
    <w:rsid w:val="00BF4C19"/>
    <w:rsid w:val="00BF4CD3"/>
    <w:rsid w:val="00BF4F80"/>
    <w:rsid w:val="00BF4FA2"/>
    <w:rsid w:val="00BF4FD1"/>
    <w:rsid w:val="00BF5114"/>
    <w:rsid w:val="00BF519E"/>
    <w:rsid w:val="00BF522E"/>
    <w:rsid w:val="00BF53EE"/>
    <w:rsid w:val="00BF5519"/>
    <w:rsid w:val="00BF5686"/>
    <w:rsid w:val="00BF5725"/>
    <w:rsid w:val="00BF58A9"/>
    <w:rsid w:val="00BF5939"/>
    <w:rsid w:val="00BF59FC"/>
    <w:rsid w:val="00BF5A3D"/>
    <w:rsid w:val="00BF5AF2"/>
    <w:rsid w:val="00BF5BCE"/>
    <w:rsid w:val="00BF5C9E"/>
    <w:rsid w:val="00BF6145"/>
    <w:rsid w:val="00BF62CC"/>
    <w:rsid w:val="00BF62EB"/>
    <w:rsid w:val="00BF64EA"/>
    <w:rsid w:val="00BF6542"/>
    <w:rsid w:val="00BF682E"/>
    <w:rsid w:val="00BF6980"/>
    <w:rsid w:val="00BF699E"/>
    <w:rsid w:val="00BF6D50"/>
    <w:rsid w:val="00BF6DB1"/>
    <w:rsid w:val="00BF6EF3"/>
    <w:rsid w:val="00BF6FB4"/>
    <w:rsid w:val="00BF71BE"/>
    <w:rsid w:val="00BF71C4"/>
    <w:rsid w:val="00BF72D7"/>
    <w:rsid w:val="00BF749B"/>
    <w:rsid w:val="00BF7712"/>
    <w:rsid w:val="00BF777E"/>
    <w:rsid w:val="00BF7943"/>
    <w:rsid w:val="00BF799F"/>
    <w:rsid w:val="00BF7C53"/>
    <w:rsid w:val="00BF7CC7"/>
    <w:rsid w:val="00C00193"/>
    <w:rsid w:val="00C00324"/>
    <w:rsid w:val="00C00365"/>
    <w:rsid w:val="00C0046B"/>
    <w:rsid w:val="00C004D1"/>
    <w:rsid w:val="00C00B1E"/>
    <w:rsid w:val="00C00B75"/>
    <w:rsid w:val="00C00B8A"/>
    <w:rsid w:val="00C00CFF"/>
    <w:rsid w:val="00C00DE5"/>
    <w:rsid w:val="00C01106"/>
    <w:rsid w:val="00C0113C"/>
    <w:rsid w:val="00C011C4"/>
    <w:rsid w:val="00C011FF"/>
    <w:rsid w:val="00C014EC"/>
    <w:rsid w:val="00C01583"/>
    <w:rsid w:val="00C01835"/>
    <w:rsid w:val="00C01840"/>
    <w:rsid w:val="00C01A57"/>
    <w:rsid w:val="00C01A89"/>
    <w:rsid w:val="00C01BB7"/>
    <w:rsid w:val="00C01BEF"/>
    <w:rsid w:val="00C01E31"/>
    <w:rsid w:val="00C01E3C"/>
    <w:rsid w:val="00C01E75"/>
    <w:rsid w:val="00C01E98"/>
    <w:rsid w:val="00C01EEB"/>
    <w:rsid w:val="00C02078"/>
    <w:rsid w:val="00C0209E"/>
    <w:rsid w:val="00C021F7"/>
    <w:rsid w:val="00C0221B"/>
    <w:rsid w:val="00C0224F"/>
    <w:rsid w:val="00C02491"/>
    <w:rsid w:val="00C02681"/>
    <w:rsid w:val="00C02842"/>
    <w:rsid w:val="00C029BF"/>
    <w:rsid w:val="00C02A07"/>
    <w:rsid w:val="00C02A7F"/>
    <w:rsid w:val="00C02B62"/>
    <w:rsid w:val="00C02B7E"/>
    <w:rsid w:val="00C02B89"/>
    <w:rsid w:val="00C02C7E"/>
    <w:rsid w:val="00C02D15"/>
    <w:rsid w:val="00C02DF1"/>
    <w:rsid w:val="00C02EC2"/>
    <w:rsid w:val="00C02ECB"/>
    <w:rsid w:val="00C02F05"/>
    <w:rsid w:val="00C02F6F"/>
    <w:rsid w:val="00C030BD"/>
    <w:rsid w:val="00C031EA"/>
    <w:rsid w:val="00C0327A"/>
    <w:rsid w:val="00C032C4"/>
    <w:rsid w:val="00C03311"/>
    <w:rsid w:val="00C033E2"/>
    <w:rsid w:val="00C03401"/>
    <w:rsid w:val="00C03887"/>
    <w:rsid w:val="00C03BC1"/>
    <w:rsid w:val="00C03CAC"/>
    <w:rsid w:val="00C03E8D"/>
    <w:rsid w:val="00C03EFD"/>
    <w:rsid w:val="00C0400B"/>
    <w:rsid w:val="00C0403D"/>
    <w:rsid w:val="00C0454B"/>
    <w:rsid w:val="00C045A2"/>
    <w:rsid w:val="00C045C5"/>
    <w:rsid w:val="00C04ABB"/>
    <w:rsid w:val="00C04CB1"/>
    <w:rsid w:val="00C04DBF"/>
    <w:rsid w:val="00C04F14"/>
    <w:rsid w:val="00C051D9"/>
    <w:rsid w:val="00C05533"/>
    <w:rsid w:val="00C05581"/>
    <w:rsid w:val="00C055D1"/>
    <w:rsid w:val="00C056DE"/>
    <w:rsid w:val="00C057F4"/>
    <w:rsid w:val="00C059CD"/>
    <w:rsid w:val="00C05D56"/>
    <w:rsid w:val="00C05E34"/>
    <w:rsid w:val="00C05F1D"/>
    <w:rsid w:val="00C05F72"/>
    <w:rsid w:val="00C06072"/>
    <w:rsid w:val="00C0622C"/>
    <w:rsid w:val="00C0629D"/>
    <w:rsid w:val="00C062D1"/>
    <w:rsid w:val="00C062FA"/>
    <w:rsid w:val="00C062FC"/>
    <w:rsid w:val="00C06370"/>
    <w:rsid w:val="00C06682"/>
    <w:rsid w:val="00C066C5"/>
    <w:rsid w:val="00C06712"/>
    <w:rsid w:val="00C06720"/>
    <w:rsid w:val="00C068A6"/>
    <w:rsid w:val="00C068B7"/>
    <w:rsid w:val="00C068D1"/>
    <w:rsid w:val="00C0693A"/>
    <w:rsid w:val="00C06973"/>
    <w:rsid w:val="00C069AB"/>
    <w:rsid w:val="00C06AB5"/>
    <w:rsid w:val="00C06B51"/>
    <w:rsid w:val="00C06C08"/>
    <w:rsid w:val="00C06CA9"/>
    <w:rsid w:val="00C06D09"/>
    <w:rsid w:val="00C06DA6"/>
    <w:rsid w:val="00C072E5"/>
    <w:rsid w:val="00C073FD"/>
    <w:rsid w:val="00C07456"/>
    <w:rsid w:val="00C07879"/>
    <w:rsid w:val="00C078DD"/>
    <w:rsid w:val="00C079AB"/>
    <w:rsid w:val="00C079B3"/>
    <w:rsid w:val="00C07B2C"/>
    <w:rsid w:val="00C07B3E"/>
    <w:rsid w:val="00C07D00"/>
    <w:rsid w:val="00C07D38"/>
    <w:rsid w:val="00C07E5B"/>
    <w:rsid w:val="00C102A0"/>
    <w:rsid w:val="00C103E6"/>
    <w:rsid w:val="00C10472"/>
    <w:rsid w:val="00C1077D"/>
    <w:rsid w:val="00C1090D"/>
    <w:rsid w:val="00C109A9"/>
    <w:rsid w:val="00C109CB"/>
    <w:rsid w:val="00C10B30"/>
    <w:rsid w:val="00C10B82"/>
    <w:rsid w:val="00C10DFE"/>
    <w:rsid w:val="00C11098"/>
    <w:rsid w:val="00C110AD"/>
    <w:rsid w:val="00C1112D"/>
    <w:rsid w:val="00C11160"/>
    <w:rsid w:val="00C11542"/>
    <w:rsid w:val="00C115B0"/>
    <w:rsid w:val="00C1162B"/>
    <w:rsid w:val="00C116A0"/>
    <w:rsid w:val="00C11712"/>
    <w:rsid w:val="00C11775"/>
    <w:rsid w:val="00C117EC"/>
    <w:rsid w:val="00C11A10"/>
    <w:rsid w:val="00C11B7A"/>
    <w:rsid w:val="00C11BFE"/>
    <w:rsid w:val="00C11C42"/>
    <w:rsid w:val="00C11CE6"/>
    <w:rsid w:val="00C11F43"/>
    <w:rsid w:val="00C11FAD"/>
    <w:rsid w:val="00C1209E"/>
    <w:rsid w:val="00C12139"/>
    <w:rsid w:val="00C121E7"/>
    <w:rsid w:val="00C121F0"/>
    <w:rsid w:val="00C125CA"/>
    <w:rsid w:val="00C1262C"/>
    <w:rsid w:val="00C12925"/>
    <w:rsid w:val="00C1292C"/>
    <w:rsid w:val="00C12C41"/>
    <w:rsid w:val="00C12C8A"/>
    <w:rsid w:val="00C12CB5"/>
    <w:rsid w:val="00C12DC4"/>
    <w:rsid w:val="00C12ECA"/>
    <w:rsid w:val="00C130E4"/>
    <w:rsid w:val="00C1347F"/>
    <w:rsid w:val="00C134DE"/>
    <w:rsid w:val="00C13687"/>
    <w:rsid w:val="00C1384D"/>
    <w:rsid w:val="00C138EA"/>
    <w:rsid w:val="00C1390B"/>
    <w:rsid w:val="00C13A32"/>
    <w:rsid w:val="00C13A5F"/>
    <w:rsid w:val="00C13BCF"/>
    <w:rsid w:val="00C13C40"/>
    <w:rsid w:val="00C1404F"/>
    <w:rsid w:val="00C1409C"/>
    <w:rsid w:val="00C14264"/>
    <w:rsid w:val="00C1436D"/>
    <w:rsid w:val="00C14573"/>
    <w:rsid w:val="00C1462E"/>
    <w:rsid w:val="00C14678"/>
    <w:rsid w:val="00C14705"/>
    <w:rsid w:val="00C149C1"/>
    <w:rsid w:val="00C149D4"/>
    <w:rsid w:val="00C14C42"/>
    <w:rsid w:val="00C14CD2"/>
    <w:rsid w:val="00C14D66"/>
    <w:rsid w:val="00C14FDD"/>
    <w:rsid w:val="00C15174"/>
    <w:rsid w:val="00C15260"/>
    <w:rsid w:val="00C15269"/>
    <w:rsid w:val="00C15338"/>
    <w:rsid w:val="00C15367"/>
    <w:rsid w:val="00C1545B"/>
    <w:rsid w:val="00C1551D"/>
    <w:rsid w:val="00C15593"/>
    <w:rsid w:val="00C15A62"/>
    <w:rsid w:val="00C15C04"/>
    <w:rsid w:val="00C15C2C"/>
    <w:rsid w:val="00C15CB6"/>
    <w:rsid w:val="00C15ED9"/>
    <w:rsid w:val="00C15FE5"/>
    <w:rsid w:val="00C16015"/>
    <w:rsid w:val="00C1606D"/>
    <w:rsid w:val="00C160DC"/>
    <w:rsid w:val="00C162E3"/>
    <w:rsid w:val="00C1630D"/>
    <w:rsid w:val="00C168F4"/>
    <w:rsid w:val="00C1698D"/>
    <w:rsid w:val="00C169FF"/>
    <w:rsid w:val="00C16AAA"/>
    <w:rsid w:val="00C16AE3"/>
    <w:rsid w:val="00C16C02"/>
    <w:rsid w:val="00C16DF4"/>
    <w:rsid w:val="00C16E4E"/>
    <w:rsid w:val="00C16E50"/>
    <w:rsid w:val="00C16F02"/>
    <w:rsid w:val="00C17014"/>
    <w:rsid w:val="00C1718B"/>
    <w:rsid w:val="00C171E6"/>
    <w:rsid w:val="00C17359"/>
    <w:rsid w:val="00C1761C"/>
    <w:rsid w:val="00C176A2"/>
    <w:rsid w:val="00C176B9"/>
    <w:rsid w:val="00C177D8"/>
    <w:rsid w:val="00C1782A"/>
    <w:rsid w:val="00C17A80"/>
    <w:rsid w:val="00C17ACE"/>
    <w:rsid w:val="00C17B66"/>
    <w:rsid w:val="00C17BBD"/>
    <w:rsid w:val="00C17E5B"/>
    <w:rsid w:val="00C17FB1"/>
    <w:rsid w:val="00C20056"/>
    <w:rsid w:val="00C201D2"/>
    <w:rsid w:val="00C20277"/>
    <w:rsid w:val="00C20283"/>
    <w:rsid w:val="00C20434"/>
    <w:rsid w:val="00C204DB"/>
    <w:rsid w:val="00C20916"/>
    <w:rsid w:val="00C2096C"/>
    <w:rsid w:val="00C20AEB"/>
    <w:rsid w:val="00C20D39"/>
    <w:rsid w:val="00C20E01"/>
    <w:rsid w:val="00C20E84"/>
    <w:rsid w:val="00C21195"/>
    <w:rsid w:val="00C2136D"/>
    <w:rsid w:val="00C21860"/>
    <w:rsid w:val="00C21862"/>
    <w:rsid w:val="00C21A5F"/>
    <w:rsid w:val="00C21C2C"/>
    <w:rsid w:val="00C21DEC"/>
    <w:rsid w:val="00C2230D"/>
    <w:rsid w:val="00C22445"/>
    <w:rsid w:val="00C22595"/>
    <w:rsid w:val="00C22660"/>
    <w:rsid w:val="00C22733"/>
    <w:rsid w:val="00C22814"/>
    <w:rsid w:val="00C22867"/>
    <w:rsid w:val="00C22A17"/>
    <w:rsid w:val="00C22C94"/>
    <w:rsid w:val="00C22CF6"/>
    <w:rsid w:val="00C22D43"/>
    <w:rsid w:val="00C22D62"/>
    <w:rsid w:val="00C22DCF"/>
    <w:rsid w:val="00C22E44"/>
    <w:rsid w:val="00C22F48"/>
    <w:rsid w:val="00C23276"/>
    <w:rsid w:val="00C2336F"/>
    <w:rsid w:val="00C2356E"/>
    <w:rsid w:val="00C23722"/>
    <w:rsid w:val="00C23740"/>
    <w:rsid w:val="00C23814"/>
    <w:rsid w:val="00C2385B"/>
    <w:rsid w:val="00C238AD"/>
    <w:rsid w:val="00C23A25"/>
    <w:rsid w:val="00C23C0C"/>
    <w:rsid w:val="00C23C63"/>
    <w:rsid w:val="00C23D59"/>
    <w:rsid w:val="00C23EA7"/>
    <w:rsid w:val="00C242D9"/>
    <w:rsid w:val="00C24327"/>
    <w:rsid w:val="00C244E6"/>
    <w:rsid w:val="00C2479D"/>
    <w:rsid w:val="00C24A3B"/>
    <w:rsid w:val="00C24ACF"/>
    <w:rsid w:val="00C24ADB"/>
    <w:rsid w:val="00C24B43"/>
    <w:rsid w:val="00C24C7E"/>
    <w:rsid w:val="00C24D59"/>
    <w:rsid w:val="00C24D70"/>
    <w:rsid w:val="00C24EE1"/>
    <w:rsid w:val="00C24F4D"/>
    <w:rsid w:val="00C2511B"/>
    <w:rsid w:val="00C251B2"/>
    <w:rsid w:val="00C253F7"/>
    <w:rsid w:val="00C25416"/>
    <w:rsid w:val="00C25657"/>
    <w:rsid w:val="00C25C63"/>
    <w:rsid w:val="00C25EC1"/>
    <w:rsid w:val="00C26049"/>
    <w:rsid w:val="00C2627A"/>
    <w:rsid w:val="00C263D3"/>
    <w:rsid w:val="00C265F3"/>
    <w:rsid w:val="00C26854"/>
    <w:rsid w:val="00C26A4E"/>
    <w:rsid w:val="00C26A59"/>
    <w:rsid w:val="00C26B52"/>
    <w:rsid w:val="00C26D85"/>
    <w:rsid w:val="00C26E99"/>
    <w:rsid w:val="00C26EE5"/>
    <w:rsid w:val="00C26F81"/>
    <w:rsid w:val="00C2700C"/>
    <w:rsid w:val="00C27013"/>
    <w:rsid w:val="00C270EE"/>
    <w:rsid w:val="00C27147"/>
    <w:rsid w:val="00C271F5"/>
    <w:rsid w:val="00C27251"/>
    <w:rsid w:val="00C2733F"/>
    <w:rsid w:val="00C27538"/>
    <w:rsid w:val="00C275D3"/>
    <w:rsid w:val="00C275F2"/>
    <w:rsid w:val="00C276C8"/>
    <w:rsid w:val="00C2777C"/>
    <w:rsid w:val="00C2788A"/>
    <w:rsid w:val="00C278AC"/>
    <w:rsid w:val="00C27937"/>
    <w:rsid w:val="00C279B5"/>
    <w:rsid w:val="00C27AC5"/>
    <w:rsid w:val="00C27B63"/>
    <w:rsid w:val="00C27B7D"/>
    <w:rsid w:val="00C27D38"/>
    <w:rsid w:val="00C27F91"/>
    <w:rsid w:val="00C3007D"/>
    <w:rsid w:val="00C3013D"/>
    <w:rsid w:val="00C302D3"/>
    <w:rsid w:val="00C30383"/>
    <w:rsid w:val="00C303A7"/>
    <w:rsid w:val="00C305C0"/>
    <w:rsid w:val="00C307D9"/>
    <w:rsid w:val="00C30825"/>
    <w:rsid w:val="00C3086C"/>
    <w:rsid w:val="00C30915"/>
    <w:rsid w:val="00C30B42"/>
    <w:rsid w:val="00C30ED8"/>
    <w:rsid w:val="00C311B3"/>
    <w:rsid w:val="00C312E3"/>
    <w:rsid w:val="00C312ED"/>
    <w:rsid w:val="00C3130A"/>
    <w:rsid w:val="00C313C5"/>
    <w:rsid w:val="00C3160E"/>
    <w:rsid w:val="00C3174D"/>
    <w:rsid w:val="00C31763"/>
    <w:rsid w:val="00C317AC"/>
    <w:rsid w:val="00C31937"/>
    <w:rsid w:val="00C31AEE"/>
    <w:rsid w:val="00C31C34"/>
    <w:rsid w:val="00C31D5E"/>
    <w:rsid w:val="00C320ED"/>
    <w:rsid w:val="00C32243"/>
    <w:rsid w:val="00C32380"/>
    <w:rsid w:val="00C32976"/>
    <w:rsid w:val="00C329EB"/>
    <w:rsid w:val="00C32AC0"/>
    <w:rsid w:val="00C33086"/>
    <w:rsid w:val="00C330F1"/>
    <w:rsid w:val="00C33135"/>
    <w:rsid w:val="00C3333A"/>
    <w:rsid w:val="00C33382"/>
    <w:rsid w:val="00C33399"/>
    <w:rsid w:val="00C3375C"/>
    <w:rsid w:val="00C337E2"/>
    <w:rsid w:val="00C338A5"/>
    <w:rsid w:val="00C3391D"/>
    <w:rsid w:val="00C339D9"/>
    <w:rsid w:val="00C33F02"/>
    <w:rsid w:val="00C34119"/>
    <w:rsid w:val="00C34399"/>
    <w:rsid w:val="00C343F9"/>
    <w:rsid w:val="00C344F0"/>
    <w:rsid w:val="00C3481D"/>
    <w:rsid w:val="00C348FB"/>
    <w:rsid w:val="00C34D2A"/>
    <w:rsid w:val="00C34F03"/>
    <w:rsid w:val="00C3506E"/>
    <w:rsid w:val="00C351AB"/>
    <w:rsid w:val="00C35420"/>
    <w:rsid w:val="00C3545E"/>
    <w:rsid w:val="00C3570A"/>
    <w:rsid w:val="00C35775"/>
    <w:rsid w:val="00C357FE"/>
    <w:rsid w:val="00C358A8"/>
    <w:rsid w:val="00C3594A"/>
    <w:rsid w:val="00C35C1B"/>
    <w:rsid w:val="00C35C2A"/>
    <w:rsid w:val="00C35EAB"/>
    <w:rsid w:val="00C36107"/>
    <w:rsid w:val="00C36462"/>
    <w:rsid w:val="00C364A7"/>
    <w:rsid w:val="00C36701"/>
    <w:rsid w:val="00C36774"/>
    <w:rsid w:val="00C3692E"/>
    <w:rsid w:val="00C36CC5"/>
    <w:rsid w:val="00C36CEB"/>
    <w:rsid w:val="00C36F35"/>
    <w:rsid w:val="00C37139"/>
    <w:rsid w:val="00C37159"/>
    <w:rsid w:val="00C3728D"/>
    <w:rsid w:val="00C373AB"/>
    <w:rsid w:val="00C3796B"/>
    <w:rsid w:val="00C379C8"/>
    <w:rsid w:val="00C37A35"/>
    <w:rsid w:val="00C37A83"/>
    <w:rsid w:val="00C37D40"/>
    <w:rsid w:val="00C37DA9"/>
    <w:rsid w:val="00C37DB6"/>
    <w:rsid w:val="00C37FA7"/>
    <w:rsid w:val="00C401A3"/>
    <w:rsid w:val="00C40301"/>
    <w:rsid w:val="00C4031C"/>
    <w:rsid w:val="00C40466"/>
    <w:rsid w:val="00C404B7"/>
    <w:rsid w:val="00C406B3"/>
    <w:rsid w:val="00C407D1"/>
    <w:rsid w:val="00C4088B"/>
    <w:rsid w:val="00C4094D"/>
    <w:rsid w:val="00C40A67"/>
    <w:rsid w:val="00C40BDC"/>
    <w:rsid w:val="00C40E1A"/>
    <w:rsid w:val="00C40E99"/>
    <w:rsid w:val="00C40EC7"/>
    <w:rsid w:val="00C40FE4"/>
    <w:rsid w:val="00C4159D"/>
    <w:rsid w:val="00C4168A"/>
    <w:rsid w:val="00C41696"/>
    <w:rsid w:val="00C41697"/>
    <w:rsid w:val="00C4170E"/>
    <w:rsid w:val="00C41823"/>
    <w:rsid w:val="00C41906"/>
    <w:rsid w:val="00C41954"/>
    <w:rsid w:val="00C41C42"/>
    <w:rsid w:val="00C41CB3"/>
    <w:rsid w:val="00C42236"/>
    <w:rsid w:val="00C42449"/>
    <w:rsid w:val="00C425F8"/>
    <w:rsid w:val="00C4261B"/>
    <w:rsid w:val="00C426A0"/>
    <w:rsid w:val="00C429C1"/>
    <w:rsid w:val="00C42A07"/>
    <w:rsid w:val="00C42B55"/>
    <w:rsid w:val="00C42B65"/>
    <w:rsid w:val="00C42C22"/>
    <w:rsid w:val="00C42DE6"/>
    <w:rsid w:val="00C42DEF"/>
    <w:rsid w:val="00C42E43"/>
    <w:rsid w:val="00C42F01"/>
    <w:rsid w:val="00C42F8D"/>
    <w:rsid w:val="00C43030"/>
    <w:rsid w:val="00C4313F"/>
    <w:rsid w:val="00C432D8"/>
    <w:rsid w:val="00C4345F"/>
    <w:rsid w:val="00C43593"/>
    <w:rsid w:val="00C43787"/>
    <w:rsid w:val="00C43812"/>
    <w:rsid w:val="00C43872"/>
    <w:rsid w:val="00C43991"/>
    <w:rsid w:val="00C43B77"/>
    <w:rsid w:val="00C43BD0"/>
    <w:rsid w:val="00C43E75"/>
    <w:rsid w:val="00C43F98"/>
    <w:rsid w:val="00C44086"/>
    <w:rsid w:val="00C4410A"/>
    <w:rsid w:val="00C4419F"/>
    <w:rsid w:val="00C441E2"/>
    <w:rsid w:val="00C44219"/>
    <w:rsid w:val="00C4425D"/>
    <w:rsid w:val="00C4426F"/>
    <w:rsid w:val="00C4428B"/>
    <w:rsid w:val="00C442BC"/>
    <w:rsid w:val="00C4436C"/>
    <w:rsid w:val="00C445F4"/>
    <w:rsid w:val="00C447B5"/>
    <w:rsid w:val="00C449F7"/>
    <w:rsid w:val="00C44A33"/>
    <w:rsid w:val="00C44B9A"/>
    <w:rsid w:val="00C44D4E"/>
    <w:rsid w:val="00C44DA6"/>
    <w:rsid w:val="00C44DCB"/>
    <w:rsid w:val="00C45043"/>
    <w:rsid w:val="00C450B7"/>
    <w:rsid w:val="00C4522A"/>
    <w:rsid w:val="00C453E4"/>
    <w:rsid w:val="00C45412"/>
    <w:rsid w:val="00C45433"/>
    <w:rsid w:val="00C454A5"/>
    <w:rsid w:val="00C45755"/>
    <w:rsid w:val="00C45758"/>
    <w:rsid w:val="00C45768"/>
    <w:rsid w:val="00C45831"/>
    <w:rsid w:val="00C458CD"/>
    <w:rsid w:val="00C45A86"/>
    <w:rsid w:val="00C45B5E"/>
    <w:rsid w:val="00C45ECE"/>
    <w:rsid w:val="00C45F55"/>
    <w:rsid w:val="00C460B5"/>
    <w:rsid w:val="00C462E0"/>
    <w:rsid w:val="00C463A2"/>
    <w:rsid w:val="00C4656F"/>
    <w:rsid w:val="00C466E1"/>
    <w:rsid w:val="00C4679E"/>
    <w:rsid w:val="00C46BB2"/>
    <w:rsid w:val="00C46C99"/>
    <w:rsid w:val="00C46DFA"/>
    <w:rsid w:val="00C46E5B"/>
    <w:rsid w:val="00C4703E"/>
    <w:rsid w:val="00C47103"/>
    <w:rsid w:val="00C47149"/>
    <w:rsid w:val="00C4714F"/>
    <w:rsid w:val="00C472DE"/>
    <w:rsid w:val="00C472FB"/>
    <w:rsid w:val="00C473AD"/>
    <w:rsid w:val="00C473FF"/>
    <w:rsid w:val="00C4749C"/>
    <w:rsid w:val="00C47533"/>
    <w:rsid w:val="00C47685"/>
    <w:rsid w:val="00C47827"/>
    <w:rsid w:val="00C4782F"/>
    <w:rsid w:val="00C47BB5"/>
    <w:rsid w:val="00C47C1D"/>
    <w:rsid w:val="00C47D7A"/>
    <w:rsid w:val="00C47E87"/>
    <w:rsid w:val="00C47F49"/>
    <w:rsid w:val="00C47F79"/>
    <w:rsid w:val="00C47F80"/>
    <w:rsid w:val="00C47F97"/>
    <w:rsid w:val="00C47FA7"/>
    <w:rsid w:val="00C5009F"/>
    <w:rsid w:val="00C50102"/>
    <w:rsid w:val="00C50116"/>
    <w:rsid w:val="00C502F9"/>
    <w:rsid w:val="00C50433"/>
    <w:rsid w:val="00C50464"/>
    <w:rsid w:val="00C50561"/>
    <w:rsid w:val="00C506E4"/>
    <w:rsid w:val="00C508A6"/>
    <w:rsid w:val="00C50AE2"/>
    <w:rsid w:val="00C50B2E"/>
    <w:rsid w:val="00C50C6F"/>
    <w:rsid w:val="00C50D28"/>
    <w:rsid w:val="00C50F33"/>
    <w:rsid w:val="00C50F7A"/>
    <w:rsid w:val="00C51193"/>
    <w:rsid w:val="00C5129B"/>
    <w:rsid w:val="00C5145E"/>
    <w:rsid w:val="00C51A28"/>
    <w:rsid w:val="00C51A3A"/>
    <w:rsid w:val="00C51CC5"/>
    <w:rsid w:val="00C51CDD"/>
    <w:rsid w:val="00C51D2D"/>
    <w:rsid w:val="00C51D46"/>
    <w:rsid w:val="00C51F1D"/>
    <w:rsid w:val="00C51F7F"/>
    <w:rsid w:val="00C5204A"/>
    <w:rsid w:val="00C52353"/>
    <w:rsid w:val="00C523F5"/>
    <w:rsid w:val="00C52594"/>
    <w:rsid w:val="00C5259D"/>
    <w:rsid w:val="00C5268C"/>
    <w:rsid w:val="00C527DB"/>
    <w:rsid w:val="00C528C8"/>
    <w:rsid w:val="00C529E0"/>
    <w:rsid w:val="00C52AA9"/>
    <w:rsid w:val="00C52AF0"/>
    <w:rsid w:val="00C52B88"/>
    <w:rsid w:val="00C52BD3"/>
    <w:rsid w:val="00C530BB"/>
    <w:rsid w:val="00C5313C"/>
    <w:rsid w:val="00C53226"/>
    <w:rsid w:val="00C53436"/>
    <w:rsid w:val="00C5344C"/>
    <w:rsid w:val="00C5360B"/>
    <w:rsid w:val="00C537BD"/>
    <w:rsid w:val="00C53A8C"/>
    <w:rsid w:val="00C53B0B"/>
    <w:rsid w:val="00C53D12"/>
    <w:rsid w:val="00C53D1B"/>
    <w:rsid w:val="00C53E4D"/>
    <w:rsid w:val="00C53F50"/>
    <w:rsid w:val="00C53FF7"/>
    <w:rsid w:val="00C5405E"/>
    <w:rsid w:val="00C540FF"/>
    <w:rsid w:val="00C54243"/>
    <w:rsid w:val="00C5426C"/>
    <w:rsid w:val="00C543A6"/>
    <w:rsid w:val="00C54540"/>
    <w:rsid w:val="00C54604"/>
    <w:rsid w:val="00C54857"/>
    <w:rsid w:val="00C549AD"/>
    <w:rsid w:val="00C54A65"/>
    <w:rsid w:val="00C54A86"/>
    <w:rsid w:val="00C54A98"/>
    <w:rsid w:val="00C54B04"/>
    <w:rsid w:val="00C54E76"/>
    <w:rsid w:val="00C54E7F"/>
    <w:rsid w:val="00C55018"/>
    <w:rsid w:val="00C550B1"/>
    <w:rsid w:val="00C5517F"/>
    <w:rsid w:val="00C5532B"/>
    <w:rsid w:val="00C5534C"/>
    <w:rsid w:val="00C55656"/>
    <w:rsid w:val="00C55819"/>
    <w:rsid w:val="00C55903"/>
    <w:rsid w:val="00C55938"/>
    <w:rsid w:val="00C55958"/>
    <w:rsid w:val="00C55A40"/>
    <w:rsid w:val="00C55B91"/>
    <w:rsid w:val="00C55BF4"/>
    <w:rsid w:val="00C55CD2"/>
    <w:rsid w:val="00C55F77"/>
    <w:rsid w:val="00C55FBD"/>
    <w:rsid w:val="00C56043"/>
    <w:rsid w:val="00C560DD"/>
    <w:rsid w:val="00C56167"/>
    <w:rsid w:val="00C56171"/>
    <w:rsid w:val="00C562C1"/>
    <w:rsid w:val="00C567BB"/>
    <w:rsid w:val="00C5681A"/>
    <w:rsid w:val="00C56C2C"/>
    <w:rsid w:val="00C56C57"/>
    <w:rsid w:val="00C56D6B"/>
    <w:rsid w:val="00C56DC3"/>
    <w:rsid w:val="00C56F6D"/>
    <w:rsid w:val="00C57194"/>
    <w:rsid w:val="00C572E9"/>
    <w:rsid w:val="00C57618"/>
    <w:rsid w:val="00C57723"/>
    <w:rsid w:val="00C577AB"/>
    <w:rsid w:val="00C57ABB"/>
    <w:rsid w:val="00C57B81"/>
    <w:rsid w:val="00C57D6F"/>
    <w:rsid w:val="00C57ED9"/>
    <w:rsid w:val="00C57FC1"/>
    <w:rsid w:val="00C60248"/>
    <w:rsid w:val="00C60552"/>
    <w:rsid w:val="00C60562"/>
    <w:rsid w:val="00C608DF"/>
    <w:rsid w:val="00C60A08"/>
    <w:rsid w:val="00C60ACA"/>
    <w:rsid w:val="00C60CC8"/>
    <w:rsid w:val="00C60E9F"/>
    <w:rsid w:val="00C60ED2"/>
    <w:rsid w:val="00C60F50"/>
    <w:rsid w:val="00C61154"/>
    <w:rsid w:val="00C6122B"/>
    <w:rsid w:val="00C612BC"/>
    <w:rsid w:val="00C613EA"/>
    <w:rsid w:val="00C6146E"/>
    <w:rsid w:val="00C615F4"/>
    <w:rsid w:val="00C616A6"/>
    <w:rsid w:val="00C616B0"/>
    <w:rsid w:val="00C61771"/>
    <w:rsid w:val="00C618DB"/>
    <w:rsid w:val="00C61AE2"/>
    <w:rsid w:val="00C61B8E"/>
    <w:rsid w:val="00C61DB8"/>
    <w:rsid w:val="00C61F4A"/>
    <w:rsid w:val="00C61F82"/>
    <w:rsid w:val="00C61FD7"/>
    <w:rsid w:val="00C6201B"/>
    <w:rsid w:val="00C6218E"/>
    <w:rsid w:val="00C621A5"/>
    <w:rsid w:val="00C621C4"/>
    <w:rsid w:val="00C62275"/>
    <w:rsid w:val="00C622E9"/>
    <w:rsid w:val="00C623E5"/>
    <w:rsid w:val="00C6240E"/>
    <w:rsid w:val="00C626A4"/>
    <w:rsid w:val="00C626B1"/>
    <w:rsid w:val="00C62708"/>
    <w:rsid w:val="00C62817"/>
    <w:rsid w:val="00C628F2"/>
    <w:rsid w:val="00C62996"/>
    <w:rsid w:val="00C62BB3"/>
    <w:rsid w:val="00C62BFD"/>
    <w:rsid w:val="00C62E52"/>
    <w:rsid w:val="00C62F7A"/>
    <w:rsid w:val="00C62FAC"/>
    <w:rsid w:val="00C63398"/>
    <w:rsid w:val="00C63421"/>
    <w:rsid w:val="00C63424"/>
    <w:rsid w:val="00C634C2"/>
    <w:rsid w:val="00C6354F"/>
    <w:rsid w:val="00C6357E"/>
    <w:rsid w:val="00C635CC"/>
    <w:rsid w:val="00C635DF"/>
    <w:rsid w:val="00C63B89"/>
    <w:rsid w:val="00C63CE9"/>
    <w:rsid w:val="00C63DFA"/>
    <w:rsid w:val="00C63EC1"/>
    <w:rsid w:val="00C63F7B"/>
    <w:rsid w:val="00C63FA8"/>
    <w:rsid w:val="00C6412A"/>
    <w:rsid w:val="00C64163"/>
    <w:rsid w:val="00C6428A"/>
    <w:rsid w:val="00C6430C"/>
    <w:rsid w:val="00C6440D"/>
    <w:rsid w:val="00C644E0"/>
    <w:rsid w:val="00C64512"/>
    <w:rsid w:val="00C6463E"/>
    <w:rsid w:val="00C646FF"/>
    <w:rsid w:val="00C647CA"/>
    <w:rsid w:val="00C64889"/>
    <w:rsid w:val="00C64997"/>
    <w:rsid w:val="00C64A8B"/>
    <w:rsid w:val="00C64AC3"/>
    <w:rsid w:val="00C64BE8"/>
    <w:rsid w:val="00C64C3B"/>
    <w:rsid w:val="00C64C73"/>
    <w:rsid w:val="00C64DA2"/>
    <w:rsid w:val="00C65218"/>
    <w:rsid w:val="00C65326"/>
    <w:rsid w:val="00C65331"/>
    <w:rsid w:val="00C6575B"/>
    <w:rsid w:val="00C6576F"/>
    <w:rsid w:val="00C6596B"/>
    <w:rsid w:val="00C659D6"/>
    <w:rsid w:val="00C65B94"/>
    <w:rsid w:val="00C65CF3"/>
    <w:rsid w:val="00C65F28"/>
    <w:rsid w:val="00C65F58"/>
    <w:rsid w:val="00C6638B"/>
    <w:rsid w:val="00C6656B"/>
    <w:rsid w:val="00C66846"/>
    <w:rsid w:val="00C668F7"/>
    <w:rsid w:val="00C66922"/>
    <w:rsid w:val="00C66AE8"/>
    <w:rsid w:val="00C66B58"/>
    <w:rsid w:val="00C66B9E"/>
    <w:rsid w:val="00C66C65"/>
    <w:rsid w:val="00C66CF8"/>
    <w:rsid w:val="00C66E20"/>
    <w:rsid w:val="00C66EB4"/>
    <w:rsid w:val="00C66ECA"/>
    <w:rsid w:val="00C67083"/>
    <w:rsid w:val="00C671FA"/>
    <w:rsid w:val="00C67278"/>
    <w:rsid w:val="00C672D3"/>
    <w:rsid w:val="00C673A6"/>
    <w:rsid w:val="00C674DA"/>
    <w:rsid w:val="00C67645"/>
    <w:rsid w:val="00C676C6"/>
    <w:rsid w:val="00C67746"/>
    <w:rsid w:val="00C6791E"/>
    <w:rsid w:val="00C67A3E"/>
    <w:rsid w:val="00C67AA1"/>
    <w:rsid w:val="00C67C38"/>
    <w:rsid w:val="00C67DC8"/>
    <w:rsid w:val="00C67EF6"/>
    <w:rsid w:val="00C67F0A"/>
    <w:rsid w:val="00C70152"/>
    <w:rsid w:val="00C701BF"/>
    <w:rsid w:val="00C7040D"/>
    <w:rsid w:val="00C7047B"/>
    <w:rsid w:val="00C704D8"/>
    <w:rsid w:val="00C70779"/>
    <w:rsid w:val="00C70898"/>
    <w:rsid w:val="00C708E8"/>
    <w:rsid w:val="00C70903"/>
    <w:rsid w:val="00C70BEA"/>
    <w:rsid w:val="00C70DC6"/>
    <w:rsid w:val="00C70DD7"/>
    <w:rsid w:val="00C70DE2"/>
    <w:rsid w:val="00C70E95"/>
    <w:rsid w:val="00C710BC"/>
    <w:rsid w:val="00C71227"/>
    <w:rsid w:val="00C713CC"/>
    <w:rsid w:val="00C71474"/>
    <w:rsid w:val="00C714C0"/>
    <w:rsid w:val="00C714D7"/>
    <w:rsid w:val="00C71BCA"/>
    <w:rsid w:val="00C71C6B"/>
    <w:rsid w:val="00C72169"/>
    <w:rsid w:val="00C7234D"/>
    <w:rsid w:val="00C723DE"/>
    <w:rsid w:val="00C72487"/>
    <w:rsid w:val="00C726AA"/>
    <w:rsid w:val="00C726D2"/>
    <w:rsid w:val="00C727A5"/>
    <w:rsid w:val="00C7288B"/>
    <w:rsid w:val="00C72960"/>
    <w:rsid w:val="00C7298A"/>
    <w:rsid w:val="00C72AA4"/>
    <w:rsid w:val="00C72B5E"/>
    <w:rsid w:val="00C72BEF"/>
    <w:rsid w:val="00C72C3D"/>
    <w:rsid w:val="00C72C96"/>
    <w:rsid w:val="00C72F02"/>
    <w:rsid w:val="00C72F4E"/>
    <w:rsid w:val="00C73043"/>
    <w:rsid w:val="00C73064"/>
    <w:rsid w:val="00C7317A"/>
    <w:rsid w:val="00C7339E"/>
    <w:rsid w:val="00C733F9"/>
    <w:rsid w:val="00C73657"/>
    <w:rsid w:val="00C736A6"/>
    <w:rsid w:val="00C736E7"/>
    <w:rsid w:val="00C738BA"/>
    <w:rsid w:val="00C7397A"/>
    <w:rsid w:val="00C73BAD"/>
    <w:rsid w:val="00C73C4A"/>
    <w:rsid w:val="00C73C6B"/>
    <w:rsid w:val="00C73D5F"/>
    <w:rsid w:val="00C73D7C"/>
    <w:rsid w:val="00C73D95"/>
    <w:rsid w:val="00C73FB5"/>
    <w:rsid w:val="00C7408B"/>
    <w:rsid w:val="00C7412B"/>
    <w:rsid w:val="00C74251"/>
    <w:rsid w:val="00C743A2"/>
    <w:rsid w:val="00C7444E"/>
    <w:rsid w:val="00C7456B"/>
    <w:rsid w:val="00C7463E"/>
    <w:rsid w:val="00C74777"/>
    <w:rsid w:val="00C74778"/>
    <w:rsid w:val="00C747FB"/>
    <w:rsid w:val="00C7480D"/>
    <w:rsid w:val="00C74829"/>
    <w:rsid w:val="00C749F8"/>
    <w:rsid w:val="00C74BF6"/>
    <w:rsid w:val="00C74D61"/>
    <w:rsid w:val="00C74DB2"/>
    <w:rsid w:val="00C74E62"/>
    <w:rsid w:val="00C74FE7"/>
    <w:rsid w:val="00C75306"/>
    <w:rsid w:val="00C755A7"/>
    <w:rsid w:val="00C75689"/>
    <w:rsid w:val="00C75696"/>
    <w:rsid w:val="00C756B2"/>
    <w:rsid w:val="00C7570E"/>
    <w:rsid w:val="00C7585F"/>
    <w:rsid w:val="00C759E6"/>
    <w:rsid w:val="00C75BF7"/>
    <w:rsid w:val="00C75EA2"/>
    <w:rsid w:val="00C75F01"/>
    <w:rsid w:val="00C75F6D"/>
    <w:rsid w:val="00C75F88"/>
    <w:rsid w:val="00C76360"/>
    <w:rsid w:val="00C763B3"/>
    <w:rsid w:val="00C76488"/>
    <w:rsid w:val="00C764E2"/>
    <w:rsid w:val="00C76723"/>
    <w:rsid w:val="00C76785"/>
    <w:rsid w:val="00C767D5"/>
    <w:rsid w:val="00C7689E"/>
    <w:rsid w:val="00C76A0D"/>
    <w:rsid w:val="00C76ADE"/>
    <w:rsid w:val="00C76C11"/>
    <w:rsid w:val="00C76F75"/>
    <w:rsid w:val="00C77034"/>
    <w:rsid w:val="00C7719F"/>
    <w:rsid w:val="00C77253"/>
    <w:rsid w:val="00C7725E"/>
    <w:rsid w:val="00C7762C"/>
    <w:rsid w:val="00C778E4"/>
    <w:rsid w:val="00C77975"/>
    <w:rsid w:val="00C77A08"/>
    <w:rsid w:val="00C77A47"/>
    <w:rsid w:val="00C77A5E"/>
    <w:rsid w:val="00C77A61"/>
    <w:rsid w:val="00C77C5A"/>
    <w:rsid w:val="00C77E0D"/>
    <w:rsid w:val="00C77F67"/>
    <w:rsid w:val="00C80094"/>
    <w:rsid w:val="00C800B6"/>
    <w:rsid w:val="00C80213"/>
    <w:rsid w:val="00C8026B"/>
    <w:rsid w:val="00C80392"/>
    <w:rsid w:val="00C80650"/>
    <w:rsid w:val="00C80837"/>
    <w:rsid w:val="00C80CCE"/>
    <w:rsid w:val="00C80DED"/>
    <w:rsid w:val="00C8101C"/>
    <w:rsid w:val="00C8114E"/>
    <w:rsid w:val="00C8144A"/>
    <w:rsid w:val="00C81715"/>
    <w:rsid w:val="00C8183A"/>
    <w:rsid w:val="00C8184E"/>
    <w:rsid w:val="00C81970"/>
    <w:rsid w:val="00C81A53"/>
    <w:rsid w:val="00C81BF1"/>
    <w:rsid w:val="00C81CA5"/>
    <w:rsid w:val="00C81D89"/>
    <w:rsid w:val="00C81EE3"/>
    <w:rsid w:val="00C81F5E"/>
    <w:rsid w:val="00C81FBB"/>
    <w:rsid w:val="00C82018"/>
    <w:rsid w:val="00C82421"/>
    <w:rsid w:val="00C825CA"/>
    <w:rsid w:val="00C82917"/>
    <w:rsid w:val="00C829BF"/>
    <w:rsid w:val="00C82A6D"/>
    <w:rsid w:val="00C82B51"/>
    <w:rsid w:val="00C82C27"/>
    <w:rsid w:val="00C82D6A"/>
    <w:rsid w:val="00C82DC4"/>
    <w:rsid w:val="00C82EB0"/>
    <w:rsid w:val="00C82F44"/>
    <w:rsid w:val="00C82FD1"/>
    <w:rsid w:val="00C8307E"/>
    <w:rsid w:val="00C831E4"/>
    <w:rsid w:val="00C834F1"/>
    <w:rsid w:val="00C835F1"/>
    <w:rsid w:val="00C8390D"/>
    <w:rsid w:val="00C83A30"/>
    <w:rsid w:val="00C83B05"/>
    <w:rsid w:val="00C83B3A"/>
    <w:rsid w:val="00C83BDC"/>
    <w:rsid w:val="00C83C09"/>
    <w:rsid w:val="00C83C3F"/>
    <w:rsid w:val="00C83C91"/>
    <w:rsid w:val="00C83D0D"/>
    <w:rsid w:val="00C83D7C"/>
    <w:rsid w:val="00C83EB4"/>
    <w:rsid w:val="00C83ECD"/>
    <w:rsid w:val="00C8411E"/>
    <w:rsid w:val="00C841AA"/>
    <w:rsid w:val="00C84398"/>
    <w:rsid w:val="00C84663"/>
    <w:rsid w:val="00C84703"/>
    <w:rsid w:val="00C848A1"/>
    <w:rsid w:val="00C848ED"/>
    <w:rsid w:val="00C84ACD"/>
    <w:rsid w:val="00C84B47"/>
    <w:rsid w:val="00C84D20"/>
    <w:rsid w:val="00C84DB2"/>
    <w:rsid w:val="00C85069"/>
    <w:rsid w:val="00C8507C"/>
    <w:rsid w:val="00C85146"/>
    <w:rsid w:val="00C8518F"/>
    <w:rsid w:val="00C85231"/>
    <w:rsid w:val="00C8524A"/>
    <w:rsid w:val="00C853F0"/>
    <w:rsid w:val="00C8544F"/>
    <w:rsid w:val="00C85562"/>
    <w:rsid w:val="00C856EC"/>
    <w:rsid w:val="00C85795"/>
    <w:rsid w:val="00C858DC"/>
    <w:rsid w:val="00C85930"/>
    <w:rsid w:val="00C85BB1"/>
    <w:rsid w:val="00C85BCE"/>
    <w:rsid w:val="00C85C46"/>
    <w:rsid w:val="00C85C7D"/>
    <w:rsid w:val="00C85CC0"/>
    <w:rsid w:val="00C85CED"/>
    <w:rsid w:val="00C85D2D"/>
    <w:rsid w:val="00C85DBC"/>
    <w:rsid w:val="00C85DDC"/>
    <w:rsid w:val="00C85F4E"/>
    <w:rsid w:val="00C85FAC"/>
    <w:rsid w:val="00C860EB"/>
    <w:rsid w:val="00C86114"/>
    <w:rsid w:val="00C86162"/>
    <w:rsid w:val="00C861E2"/>
    <w:rsid w:val="00C8637D"/>
    <w:rsid w:val="00C86434"/>
    <w:rsid w:val="00C865BC"/>
    <w:rsid w:val="00C865FD"/>
    <w:rsid w:val="00C86651"/>
    <w:rsid w:val="00C868EF"/>
    <w:rsid w:val="00C86CCF"/>
    <w:rsid w:val="00C86E1A"/>
    <w:rsid w:val="00C86E29"/>
    <w:rsid w:val="00C870AA"/>
    <w:rsid w:val="00C87409"/>
    <w:rsid w:val="00C87451"/>
    <w:rsid w:val="00C876AF"/>
    <w:rsid w:val="00C876E1"/>
    <w:rsid w:val="00C876EA"/>
    <w:rsid w:val="00C87771"/>
    <w:rsid w:val="00C87868"/>
    <w:rsid w:val="00C87A72"/>
    <w:rsid w:val="00C87D2F"/>
    <w:rsid w:val="00C87D59"/>
    <w:rsid w:val="00C87DFC"/>
    <w:rsid w:val="00C87E6F"/>
    <w:rsid w:val="00C87F92"/>
    <w:rsid w:val="00C90055"/>
    <w:rsid w:val="00C90123"/>
    <w:rsid w:val="00C90246"/>
    <w:rsid w:val="00C9035C"/>
    <w:rsid w:val="00C9060F"/>
    <w:rsid w:val="00C90656"/>
    <w:rsid w:val="00C907D3"/>
    <w:rsid w:val="00C908B9"/>
    <w:rsid w:val="00C909BF"/>
    <w:rsid w:val="00C90ACE"/>
    <w:rsid w:val="00C90AE2"/>
    <w:rsid w:val="00C90C5D"/>
    <w:rsid w:val="00C90D1E"/>
    <w:rsid w:val="00C90DBF"/>
    <w:rsid w:val="00C91031"/>
    <w:rsid w:val="00C91098"/>
    <w:rsid w:val="00C91304"/>
    <w:rsid w:val="00C913F5"/>
    <w:rsid w:val="00C914C8"/>
    <w:rsid w:val="00C915A4"/>
    <w:rsid w:val="00C91619"/>
    <w:rsid w:val="00C9164F"/>
    <w:rsid w:val="00C917B3"/>
    <w:rsid w:val="00C919C6"/>
    <w:rsid w:val="00C91D07"/>
    <w:rsid w:val="00C91D6F"/>
    <w:rsid w:val="00C91D95"/>
    <w:rsid w:val="00C91DD9"/>
    <w:rsid w:val="00C921DD"/>
    <w:rsid w:val="00C92651"/>
    <w:rsid w:val="00C9293D"/>
    <w:rsid w:val="00C929F6"/>
    <w:rsid w:val="00C92B35"/>
    <w:rsid w:val="00C92C3D"/>
    <w:rsid w:val="00C92CD6"/>
    <w:rsid w:val="00C92CDC"/>
    <w:rsid w:val="00C92D3B"/>
    <w:rsid w:val="00C92EB9"/>
    <w:rsid w:val="00C92F91"/>
    <w:rsid w:val="00C930BC"/>
    <w:rsid w:val="00C930C5"/>
    <w:rsid w:val="00C9313F"/>
    <w:rsid w:val="00C9324D"/>
    <w:rsid w:val="00C93305"/>
    <w:rsid w:val="00C93352"/>
    <w:rsid w:val="00C933A2"/>
    <w:rsid w:val="00C93570"/>
    <w:rsid w:val="00C935AA"/>
    <w:rsid w:val="00C93747"/>
    <w:rsid w:val="00C9379E"/>
    <w:rsid w:val="00C93825"/>
    <w:rsid w:val="00C9397F"/>
    <w:rsid w:val="00C93A04"/>
    <w:rsid w:val="00C93A6D"/>
    <w:rsid w:val="00C93B29"/>
    <w:rsid w:val="00C93B9A"/>
    <w:rsid w:val="00C93C6F"/>
    <w:rsid w:val="00C93D82"/>
    <w:rsid w:val="00C93E93"/>
    <w:rsid w:val="00C93F68"/>
    <w:rsid w:val="00C94719"/>
    <w:rsid w:val="00C94759"/>
    <w:rsid w:val="00C947BD"/>
    <w:rsid w:val="00C947EA"/>
    <w:rsid w:val="00C94980"/>
    <w:rsid w:val="00C94EC3"/>
    <w:rsid w:val="00C94F59"/>
    <w:rsid w:val="00C95124"/>
    <w:rsid w:val="00C951BB"/>
    <w:rsid w:val="00C9532A"/>
    <w:rsid w:val="00C95358"/>
    <w:rsid w:val="00C95433"/>
    <w:rsid w:val="00C9545C"/>
    <w:rsid w:val="00C956E6"/>
    <w:rsid w:val="00C959BF"/>
    <w:rsid w:val="00C959F8"/>
    <w:rsid w:val="00C95A17"/>
    <w:rsid w:val="00C95C42"/>
    <w:rsid w:val="00C95C9B"/>
    <w:rsid w:val="00C95E53"/>
    <w:rsid w:val="00C95E58"/>
    <w:rsid w:val="00C95F4D"/>
    <w:rsid w:val="00C95FB6"/>
    <w:rsid w:val="00C962E6"/>
    <w:rsid w:val="00C9638C"/>
    <w:rsid w:val="00C964C8"/>
    <w:rsid w:val="00C9686B"/>
    <w:rsid w:val="00C96983"/>
    <w:rsid w:val="00C9698B"/>
    <w:rsid w:val="00C969D5"/>
    <w:rsid w:val="00C96A0B"/>
    <w:rsid w:val="00C96A78"/>
    <w:rsid w:val="00C96AFF"/>
    <w:rsid w:val="00C96C43"/>
    <w:rsid w:val="00C96EB9"/>
    <w:rsid w:val="00C96FEF"/>
    <w:rsid w:val="00C9718F"/>
    <w:rsid w:val="00C971A0"/>
    <w:rsid w:val="00C971DD"/>
    <w:rsid w:val="00C97268"/>
    <w:rsid w:val="00C9733F"/>
    <w:rsid w:val="00C9749A"/>
    <w:rsid w:val="00C97560"/>
    <w:rsid w:val="00C9760E"/>
    <w:rsid w:val="00C977A4"/>
    <w:rsid w:val="00C9796D"/>
    <w:rsid w:val="00C97B2F"/>
    <w:rsid w:val="00C97B34"/>
    <w:rsid w:val="00C97B39"/>
    <w:rsid w:val="00C97BA4"/>
    <w:rsid w:val="00C97D5E"/>
    <w:rsid w:val="00C97DDD"/>
    <w:rsid w:val="00C97E70"/>
    <w:rsid w:val="00C97EBD"/>
    <w:rsid w:val="00CA0006"/>
    <w:rsid w:val="00CA0015"/>
    <w:rsid w:val="00CA005A"/>
    <w:rsid w:val="00CA00F4"/>
    <w:rsid w:val="00CA0190"/>
    <w:rsid w:val="00CA023B"/>
    <w:rsid w:val="00CA0341"/>
    <w:rsid w:val="00CA03A1"/>
    <w:rsid w:val="00CA0454"/>
    <w:rsid w:val="00CA04E6"/>
    <w:rsid w:val="00CA07C4"/>
    <w:rsid w:val="00CA0950"/>
    <w:rsid w:val="00CA0B80"/>
    <w:rsid w:val="00CA0CAB"/>
    <w:rsid w:val="00CA0D10"/>
    <w:rsid w:val="00CA0F10"/>
    <w:rsid w:val="00CA0F5F"/>
    <w:rsid w:val="00CA10CB"/>
    <w:rsid w:val="00CA1170"/>
    <w:rsid w:val="00CA126A"/>
    <w:rsid w:val="00CA14C3"/>
    <w:rsid w:val="00CA153D"/>
    <w:rsid w:val="00CA15E6"/>
    <w:rsid w:val="00CA171A"/>
    <w:rsid w:val="00CA1A31"/>
    <w:rsid w:val="00CA1A9B"/>
    <w:rsid w:val="00CA1AAA"/>
    <w:rsid w:val="00CA1B39"/>
    <w:rsid w:val="00CA1C39"/>
    <w:rsid w:val="00CA1C84"/>
    <w:rsid w:val="00CA1D7E"/>
    <w:rsid w:val="00CA1F6B"/>
    <w:rsid w:val="00CA1FC8"/>
    <w:rsid w:val="00CA1FE5"/>
    <w:rsid w:val="00CA21B2"/>
    <w:rsid w:val="00CA21B4"/>
    <w:rsid w:val="00CA250C"/>
    <w:rsid w:val="00CA2705"/>
    <w:rsid w:val="00CA2B45"/>
    <w:rsid w:val="00CA2C69"/>
    <w:rsid w:val="00CA2EEF"/>
    <w:rsid w:val="00CA3109"/>
    <w:rsid w:val="00CA31A4"/>
    <w:rsid w:val="00CA35F8"/>
    <w:rsid w:val="00CA36C6"/>
    <w:rsid w:val="00CA36F6"/>
    <w:rsid w:val="00CA3827"/>
    <w:rsid w:val="00CA3890"/>
    <w:rsid w:val="00CA3902"/>
    <w:rsid w:val="00CA3996"/>
    <w:rsid w:val="00CA399F"/>
    <w:rsid w:val="00CA39CF"/>
    <w:rsid w:val="00CA3A69"/>
    <w:rsid w:val="00CA3AAC"/>
    <w:rsid w:val="00CA3B18"/>
    <w:rsid w:val="00CA3BDD"/>
    <w:rsid w:val="00CA3C0A"/>
    <w:rsid w:val="00CA3D56"/>
    <w:rsid w:val="00CA3F5F"/>
    <w:rsid w:val="00CA4032"/>
    <w:rsid w:val="00CA4067"/>
    <w:rsid w:val="00CA4151"/>
    <w:rsid w:val="00CA43FD"/>
    <w:rsid w:val="00CA4776"/>
    <w:rsid w:val="00CA4888"/>
    <w:rsid w:val="00CA48CB"/>
    <w:rsid w:val="00CA4944"/>
    <w:rsid w:val="00CA4A80"/>
    <w:rsid w:val="00CA4ADA"/>
    <w:rsid w:val="00CA4BB6"/>
    <w:rsid w:val="00CA4E1A"/>
    <w:rsid w:val="00CA4EAB"/>
    <w:rsid w:val="00CA4F1A"/>
    <w:rsid w:val="00CA4FC4"/>
    <w:rsid w:val="00CA507D"/>
    <w:rsid w:val="00CA5209"/>
    <w:rsid w:val="00CA529C"/>
    <w:rsid w:val="00CA5316"/>
    <w:rsid w:val="00CA538F"/>
    <w:rsid w:val="00CA53A2"/>
    <w:rsid w:val="00CA5A95"/>
    <w:rsid w:val="00CA5ADD"/>
    <w:rsid w:val="00CA5AFC"/>
    <w:rsid w:val="00CA5B51"/>
    <w:rsid w:val="00CA5CC2"/>
    <w:rsid w:val="00CA5FBA"/>
    <w:rsid w:val="00CA62DC"/>
    <w:rsid w:val="00CA66B5"/>
    <w:rsid w:val="00CA6748"/>
    <w:rsid w:val="00CA6762"/>
    <w:rsid w:val="00CA685F"/>
    <w:rsid w:val="00CA6AAD"/>
    <w:rsid w:val="00CA6ACD"/>
    <w:rsid w:val="00CA6AE8"/>
    <w:rsid w:val="00CA6B4F"/>
    <w:rsid w:val="00CA6C9E"/>
    <w:rsid w:val="00CA7275"/>
    <w:rsid w:val="00CA7400"/>
    <w:rsid w:val="00CA7423"/>
    <w:rsid w:val="00CA74E3"/>
    <w:rsid w:val="00CA7682"/>
    <w:rsid w:val="00CA7732"/>
    <w:rsid w:val="00CA777F"/>
    <w:rsid w:val="00CA792E"/>
    <w:rsid w:val="00CA797B"/>
    <w:rsid w:val="00CB01A0"/>
    <w:rsid w:val="00CB0283"/>
    <w:rsid w:val="00CB02ED"/>
    <w:rsid w:val="00CB0359"/>
    <w:rsid w:val="00CB068F"/>
    <w:rsid w:val="00CB0741"/>
    <w:rsid w:val="00CB0B14"/>
    <w:rsid w:val="00CB0DD3"/>
    <w:rsid w:val="00CB0ED5"/>
    <w:rsid w:val="00CB0F7C"/>
    <w:rsid w:val="00CB0F87"/>
    <w:rsid w:val="00CB11B7"/>
    <w:rsid w:val="00CB11DD"/>
    <w:rsid w:val="00CB1226"/>
    <w:rsid w:val="00CB1236"/>
    <w:rsid w:val="00CB14DE"/>
    <w:rsid w:val="00CB193F"/>
    <w:rsid w:val="00CB1951"/>
    <w:rsid w:val="00CB1CE0"/>
    <w:rsid w:val="00CB1DEC"/>
    <w:rsid w:val="00CB1F72"/>
    <w:rsid w:val="00CB2039"/>
    <w:rsid w:val="00CB21B1"/>
    <w:rsid w:val="00CB2276"/>
    <w:rsid w:val="00CB2334"/>
    <w:rsid w:val="00CB255F"/>
    <w:rsid w:val="00CB26B1"/>
    <w:rsid w:val="00CB26FE"/>
    <w:rsid w:val="00CB27CD"/>
    <w:rsid w:val="00CB2975"/>
    <w:rsid w:val="00CB2AB8"/>
    <w:rsid w:val="00CB2B28"/>
    <w:rsid w:val="00CB2B99"/>
    <w:rsid w:val="00CB2D25"/>
    <w:rsid w:val="00CB3106"/>
    <w:rsid w:val="00CB3117"/>
    <w:rsid w:val="00CB367B"/>
    <w:rsid w:val="00CB3749"/>
    <w:rsid w:val="00CB3885"/>
    <w:rsid w:val="00CB38BC"/>
    <w:rsid w:val="00CB391D"/>
    <w:rsid w:val="00CB3974"/>
    <w:rsid w:val="00CB39D0"/>
    <w:rsid w:val="00CB39E5"/>
    <w:rsid w:val="00CB3A39"/>
    <w:rsid w:val="00CB3B28"/>
    <w:rsid w:val="00CB3D94"/>
    <w:rsid w:val="00CB3F87"/>
    <w:rsid w:val="00CB4182"/>
    <w:rsid w:val="00CB4487"/>
    <w:rsid w:val="00CB4494"/>
    <w:rsid w:val="00CB454D"/>
    <w:rsid w:val="00CB45B2"/>
    <w:rsid w:val="00CB465E"/>
    <w:rsid w:val="00CB47AA"/>
    <w:rsid w:val="00CB47C5"/>
    <w:rsid w:val="00CB47EB"/>
    <w:rsid w:val="00CB48E2"/>
    <w:rsid w:val="00CB4ADE"/>
    <w:rsid w:val="00CB4B78"/>
    <w:rsid w:val="00CB4C01"/>
    <w:rsid w:val="00CB5061"/>
    <w:rsid w:val="00CB5348"/>
    <w:rsid w:val="00CB53E6"/>
    <w:rsid w:val="00CB54E7"/>
    <w:rsid w:val="00CB5596"/>
    <w:rsid w:val="00CB578A"/>
    <w:rsid w:val="00CB57EF"/>
    <w:rsid w:val="00CB5841"/>
    <w:rsid w:val="00CB58B6"/>
    <w:rsid w:val="00CB5998"/>
    <w:rsid w:val="00CB599A"/>
    <w:rsid w:val="00CB5C87"/>
    <w:rsid w:val="00CB5D25"/>
    <w:rsid w:val="00CB5DF4"/>
    <w:rsid w:val="00CB5DFF"/>
    <w:rsid w:val="00CB5F26"/>
    <w:rsid w:val="00CB5F62"/>
    <w:rsid w:val="00CB6042"/>
    <w:rsid w:val="00CB640A"/>
    <w:rsid w:val="00CB65A9"/>
    <w:rsid w:val="00CB662F"/>
    <w:rsid w:val="00CB6693"/>
    <w:rsid w:val="00CB67A3"/>
    <w:rsid w:val="00CB6954"/>
    <w:rsid w:val="00CB6BD4"/>
    <w:rsid w:val="00CB6BE1"/>
    <w:rsid w:val="00CB6C0D"/>
    <w:rsid w:val="00CB6DFE"/>
    <w:rsid w:val="00CB7132"/>
    <w:rsid w:val="00CB721B"/>
    <w:rsid w:val="00CB729F"/>
    <w:rsid w:val="00CB72BB"/>
    <w:rsid w:val="00CB731F"/>
    <w:rsid w:val="00CB7335"/>
    <w:rsid w:val="00CB76A6"/>
    <w:rsid w:val="00CB77C6"/>
    <w:rsid w:val="00CB797D"/>
    <w:rsid w:val="00CB7A5F"/>
    <w:rsid w:val="00CB7ABA"/>
    <w:rsid w:val="00CB7B73"/>
    <w:rsid w:val="00CB7B84"/>
    <w:rsid w:val="00CB7C7F"/>
    <w:rsid w:val="00CB7E5F"/>
    <w:rsid w:val="00CB7F57"/>
    <w:rsid w:val="00CC018D"/>
    <w:rsid w:val="00CC01B6"/>
    <w:rsid w:val="00CC01CC"/>
    <w:rsid w:val="00CC04C8"/>
    <w:rsid w:val="00CC0606"/>
    <w:rsid w:val="00CC09B9"/>
    <w:rsid w:val="00CC0A38"/>
    <w:rsid w:val="00CC0B98"/>
    <w:rsid w:val="00CC0DFD"/>
    <w:rsid w:val="00CC0E59"/>
    <w:rsid w:val="00CC0E9F"/>
    <w:rsid w:val="00CC1072"/>
    <w:rsid w:val="00CC13CE"/>
    <w:rsid w:val="00CC1473"/>
    <w:rsid w:val="00CC1475"/>
    <w:rsid w:val="00CC1514"/>
    <w:rsid w:val="00CC155B"/>
    <w:rsid w:val="00CC1573"/>
    <w:rsid w:val="00CC170E"/>
    <w:rsid w:val="00CC17C0"/>
    <w:rsid w:val="00CC18DF"/>
    <w:rsid w:val="00CC1907"/>
    <w:rsid w:val="00CC1A17"/>
    <w:rsid w:val="00CC1AB9"/>
    <w:rsid w:val="00CC1C4D"/>
    <w:rsid w:val="00CC1CE1"/>
    <w:rsid w:val="00CC1DF9"/>
    <w:rsid w:val="00CC2092"/>
    <w:rsid w:val="00CC2181"/>
    <w:rsid w:val="00CC21A5"/>
    <w:rsid w:val="00CC21DD"/>
    <w:rsid w:val="00CC2279"/>
    <w:rsid w:val="00CC233A"/>
    <w:rsid w:val="00CC2430"/>
    <w:rsid w:val="00CC2433"/>
    <w:rsid w:val="00CC244A"/>
    <w:rsid w:val="00CC2509"/>
    <w:rsid w:val="00CC2883"/>
    <w:rsid w:val="00CC28C6"/>
    <w:rsid w:val="00CC2921"/>
    <w:rsid w:val="00CC2990"/>
    <w:rsid w:val="00CC29E1"/>
    <w:rsid w:val="00CC2ACF"/>
    <w:rsid w:val="00CC2B51"/>
    <w:rsid w:val="00CC2D9A"/>
    <w:rsid w:val="00CC2EFD"/>
    <w:rsid w:val="00CC3069"/>
    <w:rsid w:val="00CC315F"/>
    <w:rsid w:val="00CC3247"/>
    <w:rsid w:val="00CC33F7"/>
    <w:rsid w:val="00CC3937"/>
    <w:rsid w:val="00CC3A42"/>
    <w:rsid w:val="00CC3A5E"/>
    <w:rsid w:val="00CC3BEF"/>
    <w:rsid w:val="00CC3CE6"/>
    <w:rsid w:val="00CC3DE1"/>
    <w:rsid w:val="00CC4149"/>
    <w:rsid w:val="00CC41C5"/>
    <w:rsid w:val="00CC41FE"/>
    <w:rsid w:val="00CC4306"/>
    <w:rsid w:val="00CC4521"/>
    <w:rsid w:val="00CC452E"/>
    <w:rsid w:val="00CC45A1"/>
    <w:rsid w:val="00CC471F"/>
    <w:rsid w:val="00CC4A38"/>
    <w:rsid w:val="00CC4A8E"/>
    <w:rsid w:val="00CC4AF1"/>
    <w:rsid w:val="00CC4B26"/>
    <w:rsid w:val="00CC4C5C"/>
    <w:rsid w:val="00CC4EAB"/>
    <w:rsid w:val="00CC4EC8"/>
    <w:rsid w:val="00CC4F48"/>
    <w:rsid w:val="00CC519D"/>
    <w:rsid w:val="00CC51EF"/>
    <w:rsid w:val="00CC525A"/>
    <w:rsid w:val="00CC5285"/>
    <w:rsid w:val="00CC54A9"/>
    <w:rsid w:val="00CC5559"/>
    <w:rsid w:val="00CC56D7"/>
    <w:rsid w:val="00CC590C"/>
    <w:rsid w:val="00CC5A59"/>
    <w:rsid w:val="00CC5B34"/>
    <w:rsid w:val="00CC5BD5"/>
    <w:rsid w:val="00CC5DCD"/>
    <w:rsid w:val="00CC5E4A"/>
    <w:rsid w:val="00CC5E8B"/>
    <w:rsid w:val="00CC6123"/>
    <w:rsid w:val="00CC617F"/>
    <w:rsid w:val="00CC6199"/>
    <w:rsid w:val="00CC628A"/>
    <w:rsid w:val="00CC6324"/>
    <w:rsid w:val="00CC637C"/>
    <w:rsid w:val="00CC638C"/>
    <w:rsid w:val="00CC6390"/>
    <w:rsid w:val="00CC63E8"/>
    <w:rsid w:val="00CC63F9"/>
    <w:rsid w:val="00CC6574"/>
    <w:rsid w:val="00CC6589"/>
    <w:rsid w:val="00CC65DF"/>
    <w:rsid w:val="00CC6629"/>
    <w:rsid w:val="00CC69CF"/>
    <w:rsid w:val="00CC6A5A"/>
    <w:rsid w:val="00CC6DB6"/>
    <w:rsid w:val="00CC6EF3"/>
    <w:rsid w:val="00CC70E9"/>
    <w:rsid w:val="00CC712D"/>
    <w:rsid w:val="00CC7148"/>
    <w:rsid w:val="00CC72C6"/>
    <w:rsid w:val="00CC74F9"/>
    <w:rsid w:val="00CC75B3"/>
    <w:rsid w:val="00CC76E9"/>
    <w:rsid w:val="00CC7784"/>
    <w:rsid w:val="00CC79F9"/>
    <w:rsid w:val="00CC7B0C"/>
    <w:rsid w:val="00CC7DB3"/>
    <w:rsid w:val="00CD013B"/>
    <w:rsid w:val="00CD0264"/>
    <w:rsid w:val="00CD0631"/>
    <w:rsid w:val="00CD0912"/>
    <w:rsid w:val="00CD0981"/>
    <w:rsid w:val="00CD09ED"/>
    <w:rsid w:val="00CD0A3E"/>
    <w:rsid w:val="00CD0AC7"/>
    <w:rsid w:val="00CD0B27"/>
    <w:rsid w:val="00CD0CBC"/>
    <w:rsid w:val="00CD0D79"/>
    <w:rsid w:val="00CD0E36"/>
    <w:rsid w:val="00CD0EEA"/>
    <w:rsid w:val="00CD0FCA"/>
    <w:rsid w:val="00CD1003"/>
    <w:rsid w:val="00CD130F"/>
    <w:rsid w:val="00CD1440"/>
    <w:rsid w:val="00CD171F"/>
    <w:rsid w:val="00CD1992"/>
    <w:rsid w:val="00CD1C1D"/>
    <w:rsid w:val="00CD1C9B"/>
    <w:rsid w:val="00CD1D6D"/>
    <w:rsid w:val="00CD1DC6"/>
    <w:rsid w:val="00CD1E0B"/>
    <w:rsid w:val="00CD1E29"/>
    <w:rsid w:val="00CD1E85"/>
    <w:rsid w:val="00CD1E8D"/>
    <w:rsid w:val="00CD1EFF"/>
    <w:rsid w:val="00CD2118"/>
    <w:rsid w:val="00CD2348"/>
    <w:rsid w:val="00CD241A"/>
    <w:rsid w:val="00CD24DA"/>
    <w:rsid w:val="00CD25BE"/>
    <w:rsid w:val="00CD2741"/>
    <w:rsid w:val="00CD27EB"/>
    <w:rsid w:val="00CD2873"/>
    <w:rsid w:val="00CD28C3"/>
    <w:rsid w:val="00CD28D5"/>
    <w:rsid w:val="00CD28DB"/>
    <w:rsid w:val="00CD2921"/>
    <w:rsid w:val="00CD2A4D"/>
    <w:rsid w:val="00CD2A66"/>
    <w:rsid w:val="00CD2A6D"/>
    <w:rsid w:val="00CD2B13"/>
    <w:rsid w:val="00CD2B5F"/>
    <w:rsid w:val="00CD2BE5"/>
    <w:rsid w:val="00CD2C81"/>
    <w:rsid w:val="00CD2D6A"/>
    <w:rsid w:val="00CD2DD8"/>
    <w:rsid w:val="00CD2E8D"/>
    <w:rsid w:val="00CD2F6E"/>
    <w:rsid w:val="00CD300F"/>
    <w:rsid w:val="00CD31D8"/>
    <w:rsid w:val="00CD322A"/>
    <w:rsid w:val="00CD322C"/>
    <w:rsid w:val="00CD32D1"/>
    <w:rsid w:val="00CD3346"/>
    <w:rsid w:val="00CD37CE"/>
    <w:rsid w:val="00CD3843"/>
    <w:rsid w:val="00CD3A33"/>
    <w:rsid w:val="00CD3B50"/>
    <w:rsid w:val="00CD3C13"/>
    <w:rsid w:val="00CD3D66"/>
    <w:rsid w:val="00CD3E76"/>
    <w:rsid w:val="00CD3E80"/>
    <w:rsid w:val="00CD3EC6"/>
    <w:rsid w:val="00CD3F06"/>
    <w:rsid w:val="00CD4238"/>
    <w:rsid w:val="00CD43E2"/>
    <w:rsid w:val="00CD460C"/>
    <w:rsid w:val="00CD464D"/>
    <w:rsid w:val="00CD46A7"/>
    <w:rsid w:val="00CD474A"/>
    <w:rsid w:val="00CD475B"/>
    <w:rsid w:val="00CD49EF"/>
    <w:rsid w:val="00CD4A87"/>
    <w:rsid w:val="00CD4B72"/>
    <w:rsid w:val="00CD4B75"/>
    <w:rsid w:val="00CD4BC7"/>
    <w:rsid w:val="00CD4D82"/>
    <w:rsid w:val="00CD4EFA"/>
    <w:rsid w:val="00CD4F96"/>
    <w:rsid w:val="00CD4FA3"/>
    <w:rsid w:val="00CD50CE"/>
    <w:rsid w:val="00CD5291"/>
    <w:rsid w:val="00CD54DA"/>
    <w:rsid w:val="00CD5500"/>
    <w:rsid w:val="00CD568B"/>
    <w:rsid w:val="00CD572C"/>
    <w:rsid w:val="00CD59F3"/>
    <w:rsid w:val="00CD5C1D"/>
    <w:rsid w:val="00CD5D53"/>
    <w:rsid w:val="00CD5F53"/>
    <w:rsid w:val="00CD5FBC"/>
    <w:rsid w:val="00CD601B"/>
    <w:rsid w:val="00CD60E0"/>
    <w:rsid w:val="00CD6148"/>
    <w:rsid w:val="00CD6196"/>
    <w:rsid w:val="00CD61B7"/>
    <w:rsid w:val="00CD62B9"/>
    <w:rsid w:val="00CD632C"/>
    <w:rsid w:val="00CD6457"/>
    <w:rsid w:val="00CD65B9"/>
    <w:rsid w:val="00CD66BA"/>
    <w:rsid w:val="00CD67BC"/>
    <w:rsid w:val="00CD6B9F"/>
    <w:rsid w:val="00CD6BE7"/>
    <w:rsid w:val="00CD6D9B"/>
    <w:rsid w:val="00CD6F6B"/>
    <w:rsid w:val="00CD70C8"/>
    <w:rsid w:val="00CD7255"/>
    <w:rsid w:val="00CD728F"/>
    <w:rsid w:val="00CD72FB"/>
    <w:rsid w:val="00CD73B2"/>
    <w:rsid w:val="00CD7497"/>
    <w:rsid w:val="00CD7570"/>
    <w:rsid w:val="00CD75A9"/>
    <w:rsid w:val="00CD77E4"/>
    <w:rsid w:val="00CD78B5"/>
    <w:rsid w:val="00CD78E1"/>
    <w:rsid w:val="00CD79CD"/>
    <w:rsid w:val="00CD7B78"/>
    <w:rsid w:val="00CD7D81"/>
    <w:rsid w:val="00CD7DBE"/>
    <w:rsid w:val="00CD7E7D"/>
    <w:rsid w:val="00CD7ECB"/>
    <w:rsid w:val="00CE004C"/>
    <w:rsid w:val="00CE0092"/>
    <w:rsid w:val="00CE0094"/>
    <w:rsid w:val="00CE00BE"/>
    <w:rsid w:val="00CE0267"/>
    <w:rsid w:val="00CE0308"/>
    <w:rsid w:val="00CE030F"/>
    <w:rsid w:val="00CE0382"/>
    <w:rsid w:val="00CE0453"/>
    <w:rsid w:val="00CE0564"/>
    <w:rsid w:val="00CE058E"/>
    <w:rsid w:val="00CE05FF"/>
    <w:rsid w:val="00CE0658"/>
    <w:rsid w:val="00CE067A"/>
    <w:rsid w:val="00CE080B"/>
    <w:rsid w:val="00CE0816"/>
    <w:rsid w:val="00CE088F"/>
    <w:rsid w:val="00CE0AEB"/>
    <w:rsid w:val="00CE0C13"/>
    <w:rsid w:val="00CE0C3D"/>
    <w:rsid w:val="00CE0E6E"/>
    <w:rsid w:val="00CE1139"/>
    <w:rsid w:val="00CE13CF"/>
    <w:rsid w:val="00CE1482"/>
    <w:rsid w:val="00CE15F9"/>
    <w:rsid w:val="00CE187C"/>
    <w:rsid w:val="00CE1A8C"/>
    <w:rsid w:val="00CE1BEE"/>
    <w:rsid w:val="00CE1C64"/>
    <w:rsid w:val="00CE1CC9"/>
    <w:rsid w:val="00CE1D8F"/>
    <w:rsid w:val="00CE1DD2"/>
    <w:rsid w:val="00CE1E9C"/>
    <w:rsid w:val="00CE1FAF"/>
    <w:rsid w:val="00CE1FE1"/>
    <w:rsid w:val="00CE206E"/>
    <w:rsid w:val="00CE20ED"/>
    <w:rsid w:val="00CE21AE"/>
    <w:rsid w:val="00CE22E8"/>
    <w:rsid w:val="00CE23BA"/>
    <w:rsid w:val="00CE242F"/>
    <w:rsid w:val="00CE252B"/>
    <w:rsid w:val="00CE2568"/>
    <w:rsid w:val="00CE28DE"/>
    <w:rsid w:val="00CE2A52"/>
    <w:rsid w:val="00CE2AD4"/>
    <w:rsid w:val="00CE2AF8"/>
    <w:rsid w:val="00CE2BB1"/>
    <w:rsid w:val="00CE2CB0"/>
    <w:rsid w:val="00CE2D01"/>
    <w:rsid w:val="00CE2D35"/>
    <w:rsid w:val="00CE2E12"/>
    <w:rsid w:val="00CE2ED5"/>
    <w:rsid w:val="00CE2F7F"/>
    <w:rsid w:val="00CE3280"/>
    <w:rsid w:val="00CE32F2"/>
    <w:rsid w:val="00CE32FE"/>
    <w:rsid w:val="00CE3340"/>
    <w:rsid w:val="00CE36C0"/>
    <w:rsid w:val="00CE3832"/>
    <w:rsid w:val="00CE393C"/>
    <w:rsid w:val="00CE3AF7"/>
    <w:rsid w:val="00CE3BD7"/>
    <w:rsid w:val="00CE3CE8"/>
    <w:rsid w:val="00CE3E60"/>
    <w:rsid w:val="00CE3EB4"/>
    <w:rsid w:val="00CE3EFF"/>
    <w:rsid w:val="00CE3FD0"/>
    <w:rsid w:val="00CE43E7"/>
    <w:rsid w:val="00CE442C"/>
    <w:rsid w:val="00CE44E7"/>
    <w:rsid w:val="00CE4744"/>
    <w:rsid w:val="00CE4782"/>
    <w:rsid w:val="00CE4A3D"/>
    <w:rsid w:val="00CE4BED"/>
    <w:rsid w:val="00CE4EFC"/>
    <w:rsid w:val="00CE4FDB"/>
    <w:rsid w:val="00CE4FF2"/>
    <w:rsid w:val="00CE523C"/>
    <w:rsid w:val="00CE538E"/>
    <w:rsid w:val="00CE56B1"/>
    <w:rsid w:val="00CE56E5"/>
    <w:rsid w:val="00CE576A"/>
    <w:rsid w:val="00CE5A73"/>
    <w:rsid w:val="00CE5AAD"/>
    <w:rsid w:val="00CE5B6F"/>
    <w:rsid w:val="00CE5C7A"/>
    <w:rsid w:val="00CE5DA4"/>
    <w:rsid w:val="00CE5E64"/>
    <w:rsid w:val="00CE5F32"/>
    <w:rsid w:val="00CE6051"/>
    <w:rsid w:val="00CE60EE"/>
    <w:rsid w:val="00CE63CE"/>
    <w:rsid w:val="00CE653F"/>
    <w:rsid w:val="00CE6610"/>
    <w:rsid w:val="00CE68B4"/>
    <w:rsid w:val="00CE6907"/>
    <w:rsid w:val="00CE6CEF"/>
    <w:rsid w:val="00CE6D53"/>
    <w:rsid w:val="00CE6F13"/>
    <w:rsid w:val="00CE70BE"/>
    <w:rsid w:val="00CE7171"/>
    <w:rsid w:val="00CE7390"/>
    <w:rsid w:val="00CE7440"/>
    <w:rsid w:val="00CE75E5"/>
    <w:rsid w:val="00CE76C5"/>
    <w:rsid w:val="00CE7A4B"/>
    <w:rsid w:val="00CE7B65"/>
    <w:rsid w:val="00CE7BF5"/>
    <w:rsid w:val="00CE7CCF"/>
    <w:rsid w:val="00CE7DC9"/>
    <w:rsid w:val="00CE7E2E"/>
    <w:rsid w:val="00CE7E62"/>
    <w:rsid w:val="00CE7FCD"/>
    <w:rsid w:val="00CF028E"/>
    <w:rsid w:val="00CF02A1"/>
    <w:rsid w:val="00CF0361"/>
    <w:rsid w:val="00CF0373"/>
    <w:rsid w:val="00CF0381"/>
    <w:rsid w:val="00CF0426"/>
    <w:rsid w:val="00CF04D4"/>
    <w:rsid w:val="00CF05D2"/>
    <w:rsid w:val="00CF0681"/>
    <w:rsid w:val="00CF06B7"/>
    <w:rsid w:val="00CF075F"/>
    <w:rsid w:val="00CF07AD"/>
    <w:rsid w:val="00CF0854"/>
    <w:rsid w:val="00CF0862"/>
    <w:rsid w:val="00CF08D2"/>
    <w:rsid w:val="00CF0A82"/>
    <w:rsid w:val="00CF0B6A"/>
    <w:rsid w:val="00CF0DC6"/>
    <w:rsid w:val="00CF0DCC"/>
    <w:rsid w:val="00CF0E90"/>
    <w:rsid w:val="00CF0EDE"/>
    <w:rsid w:val="00CF1017"/>
    <w:rsid w:val="00CF1088"/>
    <w:rsid w:val="00CF108D"/>
    <w:rsid w:val="00CF10EB"/>
    <w:rsid w:val="00CF1103"/>
    <w:rsid w:val="00CF1117"/>
    <w:rsid w:val="00CF117B"/>
    <w:rsid w:val="00CF12C2"/>
    <w:rsid w:val="00CF1358"/>
    <w:rsid w:val="00CF137D"/>
    <w:rsid w:val="00CF16EC"/>
    <w:rsid w:val="00CF171E"/>
    <w:rsid w:val="00CF1769"/>
    <w:rsid w:val="00CF1872"/>
    <w:rsid w:val="00CF19FC"/>
    <w:rsid w:val="00CF1A16"/>
    <w:rsid w:val="00CF1B5D"/>
    <w:rsid w:val="00CF1BC4"/>
    <w:rsid w:val="00CF1C43"/>
    <w:rsid w:val="00CF1DD9"/>
    <w:rsid w:val="00CF1E27"/>
    <w:rsid w:val="00CF1F11"/>
    <w:rsid w:val="00CF1FA0"/>
    <w:rsid w:val="00CF1FA6"/>
    <w:rsid w:val="00CF207D"/>
    <w:rsid w:val="00CF21C7"/>
    <w:rsid w:val="00CF2209"/>
    <w:rsid w:val="00CF2224"/>
    <w:rsid w:val="00CF2668"/>
    <w:rsid w:val="00CF2676"/>
    <w:rsid w:val="00CF2953"/>
    <w:rsid w:val="00CF2AB7"/>
    <w:rsid w:val="00CF2C30"/>
    <w:rsid w:val="00CF2C73"/>
    <w:rsid w:val="00CF2CD0"/>
    <w:rsid w:val="00CF2D29"/>
    <w:rsid w:val="00CF2F76"/>
    <w:rsid w:val="00CF2FA1"/>
    <w:rsid w:val="00CF335B"/>
    <w:rsid w:val="00CF336A"/>
    <w:rsid w:val="00CF3388"/>
    <w:rsid w:val="00CF3432"/>
    <w:rsid w:val="00CF3551"/>
    <w:rsid w:val="00CF37CD"/>
    <w:rsid w:val="00CF397E"/>
    <w:rsid w:val="00CF39A0"/>
    <w:rsid w:val="00CF39AE"/>
    <w:rsid w:val="00CF3A3C"/>
    <w:rsid w:val="00CF3B1D"/>
    <w:rsid w:val="00CF3B3D"/>
    <w:rsid w:val="00CF3B9E"/>
    <w:rsid w:val="00CF3C68"/>
    <w:rsid w:val="00CF3C75"/>
    <w:rsid w:val="00CF3D76"/>
    <w:rsid w:val="00CF3FAF"/>
    <w:rsid w:val="00CF4134"/>
    <w:rsid w:val="00CF4138"/>
    <w:rsid w:val="00CF4254"/>
    <w:rsid w:val="00CF42B2"/>
    <w:rsid w:val="00CF42CE"/>
    <w:rsid w:val="00CF43D5"/>
    <w:rsid w:val="00CF45A9"/>
    <w:rsid w:val="00CF47E0"/>
    <w:rsid w:val="00CF4842"/>
    <w:rsid w:val="00CF48AB"/>
    <w:rsid w:val="00CF494A"/>
    <w:rsid w:val="00CF49D1"/>
    <w:rsid w:val="00CF4A57"/>
    <w:rsid w:val="00CF4A7B"/>
    <w:rsid w:val="00CF4AD9"/>
    <w:rsid w:val="00CF4C6A"/>
    <w:rsid w:val="00CF4D59"/>
    <w:rsid w:val="00CF4DC1"/>
    <w:rsid w:val="00CF4E8D"/>
    <w:rsid w:val="00CF5264"/>
    <w:rsid w:val="00CF53D2"/>
    <w:rsid w:val="00CF54F2"/>
    <w:rsid w:val="00CF5521"/>
    <w:rsid w:val="00CF5584"/>
    <w:rsid w:val="00CF562B"/>
    <w:rsid w:val="00CF5B83"/>
    <w:rsid w:val="00CF5BC3"/>
    <w:rsid w:val="00CF5EE5"/>
    <w:rsid w:val="00CF648A"/>
    <w:rsid w:val="00CF659F"/>
    <w:rsid w:val="00CF683F"/>
    <w:rsid w:val="00CF6842"/>
    <w:rsid w:val="00CF6878"/>
    <w:rsid w:val="00CF69CD"/>
    <w:rsid w:val="00CF6AC8"/>
    <w:rsid w:val="00CF6AF6"/>
    <w:rsid w:val="00CF6BE3"/>
    <w:rsid w:val="00CF6BFC"/>
    <w:rsid w:val="00CF6C0F"/>
    <w:rsid w:val="00CF6DF3"/>
    <w:rsid w:val="00CF70A5"/>
    <w:rsid w:val="00CF71BB"/>
    <w:rsid w:val="00CF7221"/>
    <w:rsid w:val="00CF727C"/>
    <w:rsid w:val="00CF727F"/>
    <w:rsid w:val="00CF7359"/>
    <w:rsid w:val="00CF741E"/>
    <w:rsid w:val="00CF74F7"/>
    <w:rsid w:val="00CF7566"/>
    <w:rsid w:val="00CF7586"/>
    <w:rsid w:val="00CF75AC"/>
    <w:rsid w:val="00CF75EE"/>
    <w:rsid w:val="00CF773B"/>
    <w:rsid w:val="00CF77AE"/>
    <w:rsid w:val="00CF78ED"/>
    <w:rsid w:val="00CF79EF"/>
    <w:rsid w:val="00CF7CCD"/>
    <w:rsid w:val="00CF7D11"/>
    <w:rsid w:val="00CF7D75"/>
    <w:rsid w:val="00CF7DDD"/>
    <w:rsid w:val="00D001CF"/>
    <w:rsid w:val="00D002AA"/>
    <w:rsid w:val="00D002DA"/>
    <w:rsid w:val="00D00646"/>
    <w:rsid w:val="00D0070F"/>
    <w:rsid w:val="00D00954"/>
    <w:rsid w:val="00D00A18"/>
    <w:rsid w:val="00D00B32"/>
    <w:rsid w:val="00D00CA6"/>
    <w:rsid w:val="00D00DDB"/>
    <w:rsid w:val="00D00DFC"/>
    <w:rsid w:val="00D010C6"/>
    <w:rsid w:val="00D011EA"/>
    <w:rsid w:val="00D011EF"/>
    <w:rsid w:val="00D01236"/>
    <w:rsid w:val="00D01250"/>
    <w:rsid w:val="00D01259"/>
    <w:rsid w:val="00D0134B"/>
    <w:rsid w:val="00D014E1"/>
    <w:rsid w:val="00D015B7"/>
    <w:rsid w:val="00D0189F"/>
    <w:rsid w:val="00D018D2"/>
    <w:rsid w:val="00D0196A"/>
    <w:rsid w:val="00D01AF9"/>
    <w:rsid w:val="00D01F38"/>
    <w:rsid w:val="00D01F3F"/>
    <w:rsid w:val="00D020B9"/>
    <w:rsid w:val="00D0213C"/>
    <w:rsid w:val="00D0272C"/>
    <w:rsid w:val="00D0282F"/>
    <w:rsid w:val="00D028C5"/>
    <w:rsid w:val="00D028CF"/>
    <w:rsid w:val="00D029CB"/>
    <w:rsid w:val="00D02A7E"/>
    <w:rsid w:val="00D02C2F"/>
    <w:rsid w:val="00D02C4F"/>
    <w:rsid w:val="00D02D1A"/>
    <w:rsid w:val="00D02DA0"/>
    <w:rsid w:val="00D02F86"/>
    <w:rsid w:val="00D02FD9"/>
    <w:rsid w:val="00D02FEF"/>
    <w:rsid w:val="00D03001"/>
    <w:rsid w:val="00D0300A"/>
    <w:rsid w:val="00D031E1"/>
    <w:rsid w:val="00D03225"/>
    <w:rsid w:val="00D03226"/>
    <w:rsid w:val="00D03231"/>
    <w:rsid w:val="00D03309"/>
    <w:rsid w:val="00D0332E"/>
    <w:rsid w:val="00D03334"/>
    <w:rsid w:val="00D0343A"/>
    <w:rsid w:val="00D03453"/>
    <w:rsid w:val="00D0371B"/>
    <w:rsid w:val="00D03728"/>
    <w:rsid w:val="00D03782"/>
    <w:rsid w:val="00D03A5C"/>
    <w:rsid w:val="00D03A91"/>
    <w:rsid w:val="00D03C23"/>
    <w:rsid w:val="00D03DEC"/>
    <w:rsid w:val="00D03E9D"/>
    <w:rsid w:val="00D0402F"/>
    <w:rsid w:val="00D04236"/>
    <w:rsid w:val="00D04238"/>
    <w:rsid w:val="00D042D0"/>
    <w:rsid w:val="00D0436B"/>
    <w:rsid w:val="00D0448D"/>
    <w:rsid w:val="00D044C4"/>
    <w:rsid w:val="00D04B70"/>
    <w:rsid w:val="00D04CF4"/>
    <w:rsid w:val="00D04FC5"/>
    <w:rsid w:val="00D05038"/>
    <w:rsid w:val="00D0518E"/>
    <w:rsid w:val="00D051ED"/>
    <w:rsid w:val="00D0537F"/>
    <w:rsid w:val="00D0542C"/>
    <w:rsid w:val="00D05574"/>
    <w:rsid w:val="00D05677"/>
    <w:rsid w:val="00D05767"/>
    <w:rsid w:val="00D05898"/>
    <w:rsid w:val="00D058DD"/>
    <w:rsid w:val="00D05A71"/>
    <w:rsid w:val="00D05A9F"/>
    <w:rsid w:val="00D05D3C"/>
    <w:rsid w:val="00D06367"/>
    <w:rsid w:val="00D06421"/>
    <w:rsid w:val="00D06508"/>
    <w:rsid w:val="00D065A1"/>
    <w:rsid w:val="00D065B6"/>
    <w:rsid w:val="00D0698A"/>
    <w:rsid w:val="00D069EC"/>
    <w:rsid w:val="00D06A4E"/>
    <w:rsid w:val="00D06C71"/>
    <w:rsid w:val="00D06CA4"/>
    <w:rsid w:val="00D06CE5"/>
    <w:rsid w:val="00D06D5E"/>
    <w:rsid w:val="00D06EB9"/>
    <w:rsid w:val="00D06F66"/>
    <w:rsid w:val="00D07461"/>
    <w:rsid w:val="00D07463"/>
    <w:rsid w:val="00D074B2"/>
    <w:rsid w:val="00D07569"/>
    <w:rsid w:val="00D0762D"/>
    <w:rsid w:val="00D07642"/>
    <w:rsid w:val="00D076B6"/>
    <w:rsid w:val="00D077E5"/>
    <w:rsid w:val="00D078CC"/>
    <w:rsid w:val="00D07971"/>
    <w:rsid w:val="00D0798D"/>
    <w:rsid w:val="00D07BBA"/>
    <w:rsid w:val="00D07C95"/>
    <w:rsid w:val="00D07D70"/>
    <w:rsid w:val="00D07DE8"/>
    <w:rsid w:val="00D07E17"/>
    <w:rsid w:val="00D07EE5"/>
    <w:rsid w:val="00D1017D"/>
    <w:rsid w:val="00D101F5"/>
    <w:rsid w:val="00D10341"/>
    <w:rsid w:val="00D103CF"/>
    <w:rsid w:val="00D10569"/>
    <w:rsid w:val="00D105D5"/>
    <w:rsid w:val="00D10674"/>
    <w:rsid w:val="00D107A9"/>
    <w:rsid w:val="00D107AA"/>
    <w:rsid w:val="00D1093A"/>
    <w:rsid w:val="00D1095C"/>
    <w:rsid w:val="00D109D9"/>
    <w:rsid w:val="00D10A46"/>
    <w:rsid w:val="00D10B0A"/>
    <w:rsid w:val="00D10B68"/>
    <w:rsid w:val="00D10F6B"/>
    <w:rsid w:val="00D10FC9"/>
    <w:rsid w:val="00D11798"/>
    <w:rsid w:val="00D1182A"/>
    <w:rsid w:val="00D11A05"/>
    <w:rsid w:val="00D11AAF"/>
    <w:rsid w:val="00D11AC7"/>
    <w:rsid w:val="00D11B5F"/>
    <w:rsid w:val="00D11E0C"/>
    <w:rsid w:val="00D11FD6"/>
    <w:rsid w:val="00D11FFC"/>
    <w:rsid w:val="00D12050"/>
    <w:rsid w:val="00D12081"/>
    <w:rsid w:val="00D120E5"/>
    <w:rsid w:val="00D121E0"/>
    <w:rsid w:val="00D123ED"/>
    <w:rsid w:val="00D12586"/>
    <w:rsid w:val="00D126A2"/>
    <w:rsid w:val="00D126C5"/>
    <w:rsid w:val="00D12703"/>
    <w:rsid w:val="00D1278A"/>
    <w:rsid w:val="00D12A00"/>
    <w:rsid w:val="00D12A3B"/>
    <w:rsid w:val="00D12ADD"/>
    <w:rsid w:val="00D12BF8"/>
    <w:rsid w:val="00D12C9E"/>
    <w:rsid w:val="00D12D26"/>
    <w:rsid w:val="00D12E35"/>
    <w:rsid w:val="00D12F25"/>
    <w:rsid w:val="00D131AD"/>
    <w:rsid w:val="00D132F1"/>
    <w:rsid w:val="00D13362"/>
    <w:rsid w:val="00D133C8"/>
    <w:rsid w:val="00D133CB"/>
    <w:rsid w:val="00D133D1"/>
    <w:rsid w:val="00D13460"/>
    <w:rsid w:val="00D13834"/>
    <w:rsid w:val="00D13B8C"/>
    <w:rsid w:val="00D13BC8"/>
    <w:rsid w:val="00D13EE6"/>
    <w:rsid w:val="00D13F75"/>
    <w:rsid w:val="00D13FB5"/>
    <w:rsid w:val="00D14112"/>
    <w:rsid w:val="00D141AB"/>
    <w:rsid w:val="00D142BF"/>
    <w:rsid w:val="00D14325"/>
    <w:rsid w:val="00D1440E"/>
    <w:rsid w:val="00D14470"/>
    <w:rsid w:val="00D144A2"/>
    <w:rsid w:val="00D1457F"/>
    <w:rsid w:val="00D146D6"/>
    <w:rsid w:val="00D148E1"/>
    <w:rsid w:val="00D14957"/>
    <w:rsid w:val="00D14986"/>
    <w:rsid w:val="00D14CC6"/>
    <w:rsid w:val="00D14EAB"/>
    <w:rsid w:val="00D14FC1"/>
    <w:rsid w:val="00D153F6"/>
    <w:rsid w:val="00D1540A"/>
    <w:rsid w:val="00D154C3"/>
    <w:rsid w:val="00D15531"/>
    <w:rsid w:val="00D155E4"/>
    <w:rsid w:val="00D157A5"/>
    <w:rsid w:val="00D158AA"/>
    <w:rsid w:val="00D159CC"/>
    <w:rsid w:val="00D15B79"/>
    <w:rsid w:val="00D15FCC"/>
    <w:rsid w:val="00D16264"/>
    <w:rsid w:val="00D16311"/>
    <w:rsid w:val="00D16812"/>
    <w:rsid w:val="00D168FA"/>
    <w:rsid w:val="00D16AAD"/>
    <w:rsid w:val="00D16D10"/>
    <w:rsid w:val="00D16DA8"/>
    <w:rsid w:val="00D16F0E"/>
    <w:rsid w:val="00D1710E"/>
    <w:rsid w:val="00D1717F"/>
    <w:rsid w:val="00D17243"/>
    <w:rsid w:val="00D172AB"/>
    <w:rsid w:val="00D172CD"/>
    <w:rsid w:val="00D17551"/>
    <w:rsid w:val="00D1794F"/>
    <w:rsid w:val="00D17976"/>
    <w:rsid w:val="00D17B66"/>
    <w:rsid w:val="00D17B7A"/>
    <w:rsid w:val="00D17D57"/>
    <w:rsid w:val="00D17E48"/>
    <w:rsid w:val="00D20009"/>
    <w:rsid w:val="00D200A9"/>
    <w:rsid w:val="00D2032D"/>
    <w:rsid w:val="00D20834"/>
    <w:rsid w:val="00D209A7"/>
    <w:rsid w:val="00D20C48"/>
    <w:rsid w:val="00D20CAF"/>
    <w:rsid w:val="00D20ED2"/>
    <w:rsid w:val="00D20F60"/>
    <w:rsid w:val="00D20FBA"/>
    <w:rsid w:val="00D210A5"/>
    <w:rsid w:val="00D211E2"/>
    <w:rsid w:val="00D214CA"/>
    <w:rsid w:val="00D2154D"/>
    <w:rsid w:val="00D215A4"/>
    <w:rsid w:val="00D215BF"/>
    <w:rsid w:val="00D216F2"/>
    <w:rsid w:val="00D21A49"/>
    <w:rsid w:val="00D21A5F"/>
    <w:rsid w:val="00D21B42"/>
    <w:rsid w:val="00D21F06"/>
    <w:rsid w:val="00D22102"/>
    <w:rsid w:val="00D22118"/>
    <w:rsid w:val="00D2217A"/>
    <w:rsid w:val="00D22183"/>
    <w:rsid w:val="00D2238B"/>
    <w:rsid w:val="00D22434"/>
    <w:rsid w:val="00D22491"/>
    <w:rsid w:val="00D225D5"/>
    <w:rsid w:val="00D2270B"/>
    <w:rsid w:val="00D22760"/>
    <w:rsid w:val="00D228D8"/>
    <w:rsid w:val="00D22990"/>
    <w:rsid w:val="00D22997"/>
    <w:rsid w:val="00D22998"/>
    <w:rsid w:val="00D2299D"/>
    <w:rsid w:val="00D229E0"/>
    <w:rsid w:val="00D22AF6"/>
    <w:rsid w:val="00D22B60"/>
    <w:rsid w:val="00D22BCB"/>
    <w:rsid w:val="00D22CE2"/>
    <w:rsid w:val="00D22D06"/>
    <w:rsid w:val="00D22DD9"/>
    <w:rsid w:val="00D22DDF"/>
    <w:rsid w:val="00D22DE5"/>
    <w:rsid w:val="00D22E36"/>
    <w:rsid w:val="00D22ED3"/>
    <w:rsid w:val="00D23170"/>
    <w:rsid w:val="00D23422"/>
    <w:rsid w:val="00D2344A"/>
    <w:rsid w:val="00D23A31"/>
    <w:rsid w:val="00D23AA4"/>
    <w:rsid w:val="00D23B08"/>
    <w:rsid w:val="00D23C0F"/>
    <w:rsid w:val="00D23C9D"/>
    <w:rsid w:val="00D23DCE"/>
    <w:rsid w:val="00D2406D"/>
    <w:rsid w:val="00D242AA"/>
    <w:rsid w:val="00D2439E"/>
    <w:rsid w:val="00D24493"/>
    <w:rsid w:val="00D24784"/>
    <w:rsid w:val="00D24A99"/>
    <w:rsid w:val="00D24C43"/>
    <w:rsid w:val="00D24CE1"/>
    <w:rsid w:val="00D24D73"/>
    <w:rsid w:val="00D24E46"/>
    <w:rsid w:val="00D24F1E"/>
    <w:rsid w:val="00D24F4D"/>
    <w:rsid w:val="00D24F7D"/>
    <w:rsid w:val="00D2500F"/>
    <w:rsid w:val="00D25045"/>
    <w:rsid w:val="00D250DF"/>
    <w:rsid w:val="00D25170"/>
    <w:rsid w:val="00D2522A"/>
    <w:rsid w:val="00D2528A"/>
    <w:rsid w:val="00D25327"/>
    <w:rsid w:val="00D25472"/>
    <w:rsid w:val="00D255B5"/>
    <w:rsid w:val="00D2571C"/>
    <w:rsid w:val="00D25764"/>
    <w:rsid w:val="00D258E8"/>
    <w:rsid w:val="00D25E13"/>
    <w:rsid w:val="00D2604D"/>
    <w:rsid w:val="00D2614D"/>
    <w:rsid w:val="00D261D0"/>
    <w:rsid w:val="00D26204"/>
    <w:rsid w:val="00D2642F"/>
    <w:rsid w:val="00D26498"/>
    <w:rsid w:val="00D26798"/>
    <w:rsid w:val="00D26877"/>
    <w:rsid w:val="00D26974"/>
    <w:rsid w:val="00D26D22"/>
    <w:rsid w:val="00D27033"/>
    <w:rsid w:val="00D270CC"/>
    <w:rsid w:val="00D271B0"/>
    <w:rsid w:val="00D27207"/>
    <w:rsid w:val="00D272CA"/>
    <w:rsid w:val="00D27366"/>
    <w:rsid w:val="00D274A7"/>
    <w:rsid w:val="00D274FD"/>
    <w:rsid w:val="00D276C2"/>
    <w:rsid w:val="00D27D2C"/>
    <w:rsid w:val="00D27E1F"/>
    <w:rsid w:val="00D27F76"/>
    <w:rsid w:val="00D300B6"/>
    <w:rsid w:val="00D300E1"/>
    <w:rsid w:val="00D3012B"/>
    <w:rsid w:val="00D3031B"/>
    <w:rsid w:val="00D30363"/>
    <w:rsid w:val="00D307F5"/>
    <w:rsid w:val="00D3091C"/>
    <w:rsid w:val="00D30A52"/>
    <w:rsid w:val="00D30BFF"/>
    <w:rsid w:val="00D30DE2"/>
    <w:rsid w:val="00D30E12"/>
    <w:rsid w:val="00D30E89"/>
    <w:rsid w:val="00D30ED0"/>
    <w:rsid w:val="00D310C4"/>
    <w:rsid w:val="00D311AB"/>
    <w:rsid w:val="00D31222"/>
    <w:rsid w:val="00D31475"/>
    <w:rsid w:val="00D315F9"/>
    <w:rsid w:val="00D3176A"/>
    <w:rsid w:val="00D3178A"/>
    <w:rsid w:val="00D319E3"/>
    <w:rsid w:val="00D31D01"/>
    <w:rsid w:val="00D31D1C"/>
    <w:rsid w:val="00D31D70"/>
    <w:rsid w:val="00D31D80"/>
    <w:rsid w:val="00D32056"/>
    <w:rsid w:val="00D3224D"/>
    <w:rsid w:val="00D3225F"/>
    <w:rsid w:val="00D324EF"/>
    <w:rsid w:val="00D3287D"/>
    <w:rsid w:val="00D32A6D"/>
    <w:rsid w:val="00D32A7F"/>
    <w:rsid w:val="00D32C23"/>
    <w:rsid w:val="00D32D6C"/>
    <w:rsid w:val="00D32F6B"/>
    <w:rsid w:val="00D32FF1"/>
    <w:rsid w:val="00D33167"/>
    <w:rsid w:val="00D3327C"/>
    <w:rsid w:val="00D333C0"/>
    <w:rsid w:val="00D336A0"/>
    <w:rsid w:val="00D3370E"/>
    <w:rsid w:val="00D338BA"/>
    <w:rsid w:val="00D339E6"/>
    <w:rsid w:val="00D33BD8"/>
    <w:rsid w:val="00D33D4C"/>
    <w:rsid w:val="00D33E20"/>
    <w:rsid w:val="00D340BC"/>
    <w:rsid w:val="00D3416D"/>
    <w:rsid w:val="00D341DA"/>
    <w:rsid w:val="00D34225"/>
    <w:rsid w:val="00D34246"/>
    <w:rsid w:val="00D34320"/>
    <w:rsid w:val="00D34504"/>
    <w:rsid w:val="00D34610"/>
    <w:rsid w:val="00D3463A"/>
    <w:rsid w:val="00D34735"/>
    <w:rsid w:val="00D34A39"/>
    <w:rsid w:val="00D34A94"/>
    <w:rsid w:val="00D34AB1"/>
    <w:rsid w:val="00D34CDA"/>
    <w:rsid w:val="00D34D66"/>
    <w:rsid w:val="00D34E78"/>
    <w:rsid w:val="00D34EDC"/>
    <w:rsid w:val="00D34FEC"/>
    <w:rsid w:val="00D34FF9"/>
    <w:rsid w:val="00D354A0"/>
    <w:rsid w:val="00D355F2"/>
    <w:rsid w:val="00D3586E"/>
    <w:rsid w:val="00D35A46"/>
    <w:rsid w:val="00D35AF6"/>
    <w:rsid w:val="00D35CED"/>
    <w:rsid w:val="00D35D30"/>
    <w:rsid w:val="00D35D9B"/>
    <w:rsid w:val="00D35E8E"/>
    <w:rsid w:val="00D35F52"/>
    <w:rsid w:val="00D3634E"/>
    <w:rsid w:val="00D36581"/>
    <w:rsid w:val="00D36A70"/>
    <w:rsid w:val="00D36BFA"/>
    <w:rsid w:val="00D36C4F"/>
    <w:rsid w:val="00D36C5B"/>
    <w:rsid w:val="00D36EC0"/>
    <w:rsid w:val="00D3705A"/>
    <w:rsid w:val="00D3724F"/>
    <w:rsid w:val="00D379F3"/>
    <w:rsid w:val="00D37B80"/>
    <w:rsid w:val="00D37C9B"/>
    <w:rsid w:val="00D37F26"/>
    <w:rsid w:val="00D400DE"/>
    <w:rsid w:val="00D4010F"/>
    <w:rsid w:val="00D40436"/>
    <w:rsid w:val="00D40463"/>
    <w:rsid w:val="00D40539"/>
    <w:rsid w:val="00D407DF"/>
    <w:rsid w:val="00D4093B"/>
    <w:rsid w:val="00D409FC"/>
    <w:rsid w:val="00D40ABD"/>
    <w:rsid w:val="00D40B25"/>
    <w:rsid w:val="00D40CCB"/>
    <w:rsid w:val="00D40E21"/>
    <w:rsid w:val="00D40E41"/>
    <w:rsid w:val="00D41050"/>
    <w:rsid w:val="00D41450"/>
    <w:rsid w:val="00D4152B"/>
    <w:rsid w:val="00D41759"/>
    <w:rsid w:val="00D417BD"/>
    <w:rsid w:val="00D417E6"/>
    <w:rsid w:val="00D41955"/>
    <w:rsid w:val="00D41C31"/>
    <w:rsid w:val="00D41EB7"/>
    <w:rsid w:val="00D41F32"/>
    <w:rsid w:val="00D41FBA"/>
    <w:rsid w:val="00D41FC0"/>
    <w:rsid w:val="00D4201E"/>
    <w:rsid w:val="00D42089"/>
    <w:rsid w:val="00D420ED"/>
    <w:rsid w:val="00D42281"/>
    <w:rsid w:val="00D422A6"/>
    <w:rsid w:val="00D4240B"/>
    <w:rsid w:val="00D4256E"/>
    <w:rsid w:val="00D4273B"/>
    <w:rsid w:val="00D42807"/>
    <w:rsid w:val="00D42BC7"/>
    <w:rsid w:val="00D42C44"/>
    <w:rsid w:val="00D42D07"/>
    <w:rsid w:val="00D4302B"/>
    <w:rsid w:val="00D4303C"/>
    <w:rsid w:val="00D43253"/>
    <w:rsid w:val="00D435DC"/>
    <w:rsid w:val="00D4360A"/>
    <w:rsid w:val="00D4365F"/>
    <w:rsid w:val="00D4389A"/>
    <w:rsid w:val="00D43BF6"/>
    <w:rsid w:val="00D43D84"/>
    <w:rsid w:val="00D43F10"/>
    <w:rsid w:val="00D44120"/>
    <w:rsid w:val="00D44236"/>
    <w:rsid w:val="00D44248"/>
    <w:rsid w:val="00D44271"/>
    <w:rsid w:val="00D442EC"/>
    <w:rsid w:val="00D44341"/>
    <w:rsid w:val="00D44347"/>
    <w:rsid w:val="00D443AA"/>
    <w:rsid w:val="00D443DF"/>
    <w:rsid w:val="00D44412"/>
    <w:rsid w:val="00D4444E"/>
    <w:rsid w:val="00D445E2"/>
    <w:rsid w:val="00D447BA"/>
    <w:rsid w:val="00D4484B"/>
    <w:rsid w:val="00D44CCA"/>
    <w:rsid w:val="00D44E95"/>
    <w:rsid w:val="00D452CA"/>
    <w:rsid w:val="00D45395"/>
    <w:rsid w:val="00D45686"/>
    <w:rsid w:val="00D4599F"/>
    <w:rsid w:val="00D45A62"/>
    <w:rsid w:val="00D45B59"/>
    <w:rsid w:val="00D45F94"/>
    <w:rsid w:val="00D45FA1"/>
    <w:rsid w:val="00D4613D"/>
    <w:rsid w:val="00D4645E"/>
    <w:rsid w:val="00D464E2"/>
    <w:rsid w:val="00D465BD"/>
    <w:rsid w:val="00D46685"/>
    <w:rsid w:val="00D46889"/>
    <w:rsid w:val="00D468FC"/>
    <w:rsid w:val="00D46933"/>
    <w:rsid w:val="00D46D78"/>
    <w:rsid w:val="00D46F5E"/>
    <w:rsid w:val="00D47089"/>
    <w:rsid w:val="00D47097"/>
    <w:rsid w:val="00D47199"/>
    <w:rsid w:val="00D47211"/>
    <w:rsid w:val="00D4729E"/>
    <w:rsid w:val="00D472A0"/>
    <w:rsid w:val="00D473D0"/>
    <w:rsid w:val="00D4747B"/>
    <w:rsid w:val="00D474BD"/>
    <w:rsid w:val="00D476A0"/>
    <w:rsid w:val="00D476D3"/>
    <w:rsid w:val="00D47739"/>
    <w:rsid w:val="00D478B7"/>
    <w:rsid w:val="00D47910"/>
    <w:rsid w:val="00D479E3"/>
    <w:rsid w:val="00D47C52"/>
    <w:rsid w:val="00D47C67"/>
    <w:rsid w:val="00D47E4B"/>
    <w:rsid w:val="00D47F18"/>
    <w:rsid w:val="00D501CD"/>
    <w:rsid w:val="00D5054F"/>
    <w:rsid w:val="00D5064C"/>
    <w:rsid w:val="00D5068F"/>
    <w:rsid w:val="00D506D3"/>
    <w:rsid w:val="00D50812"/>
    <w:rsid w:val="00D50ACE"/>
    <w:rsid w:val="00D50CAA"/>
    <w:rsid w:val="00D50CDE"/>
    <w:rsid w:val="00D50DA6"/>
    <w:rsid w:val="00D50DD0"/>
    <w:rsid w:val="00D50F1A"/>
    <w:rsid w:val="00D51056"/>
    <w:rsid w:val="00D510E9"/>
    <w:rsid w:val="00D51276"/>
    <w:rsid w:val="00D51434"/>
    <w:rsid w:val="00D51773"/>
    <w:rsid w:val="00D51851"/>
    <w:rsid w:val="00D51948"/>
    <w:rsid w:val="00D51BBD"/>
    <w:rsid w:val="00D51C01"/>
    <w:rsid w:val="00D51CC8"/>
    <w:rsid w:val="00D52123"/>
    <w:rsid w:val="00D52317"/>
    <w:rsid w:val="00D5241C"/>
    <w:rsid w:val="00D524E6"/>
    <w:rsid w:val="00D5250F"/>
    <w:rsid w:val="00D525FC"/>
    <w:rsid w:val="00D52743"/>
    <w:rsid w:val="00D52772"/>
    <w:rsid w:val="00D52816"/>
    <w:rsid w:val="00D52922"/>
    <w:rsid w:val="00D52CC5"/>
    <w:rsid w:val="00D52D09"/>
    <w:rsid w:val="00D53258"/>
    <w:rsid w:val="00D53292"/>
    <w:rsid w:val="00D5334F"/>
    <w:rsid w:val="00D533D6"/>
    <w:rsid w:val="00D537BE"/>
    <w:rsid w:val="00D53802"/>
    <w:rsid w:val="00D53809"/>
    <w:rsid w:val="00D5380C"/>
    <w:rsid w:val="00D53A50"/>
    <w:rsid w:val="00D53C67"/>
    <w:rsid w:val="00D53D09"/>
    <w:rsid w:val="00D53E78"/>
    <w:rsid w:val="00D54051"/>
    <w:rsid w:val="00D540C2"/>
    <w:rsid w:val="00D544BB"/>
    <w:rsid w:val="00D544E0"/>
    <w:rsid w:val="00D54601"/>
    <w:rsid w:val="00D5461F"/>
    <w:rsid w:val="00D54763"/>
    <w:rsid w:val="00D54792"/>
    <w:rsid w:val="00D5489F"/>
    <w:rsid w:val="00D548AC"/>
    <w:rsid w:val="00D549EF"/>
    <w:rsid w:val="00D54CD8"/>
    <w:rsid w:val="00D54DB0"/>
    <w:rsid w:val="00D551DD"/>
    <w:rsid w:val="00D551DE"/>
    <w:rsid w:val="00D55277"/>
    <w:rsid w:val="00D5529F"/>
    <w:rsid w:val="00D55310"/>
    <w:rsid w:val="00D554AA"/>
    <w:rsid w:val="00D554EE"/>
    <w:rsid w:val="00D5553D"/>
    <w:rsid w:val="00D55587"/>
    <w:rsid w:val="00D555DE"/>
    <w:rsid w:val="00D55646"/>
    <w:rsid w:val="00D5577E"/>
    <w:rsid w:val="00D55782"/>
    <w:rsid w:val="00D55A43"/>
    <w:rsid w:val="00D55A5F"/>
    <w:rsid w:val="00D55A9F"/>
    <w:rsid w:val="00D55C9D"/>
    <w:rsid w:val="00D55E86"/>
    <w:rsid w:val="00D55F7B"/>
    <w:rsid w:val="00D56311"/>
    <w:rsid w:val="00D56350"/>
    <w:rsid w:val="00D564E0"/>
    <w:rsid w:val="00D566A3"/>
    <w:rsid w:val="00D5689C"/>
    <w:rsid w:val="00D56941"/>
    <w:rsid w:val="00D56992"/>
    <w:rsid w:val="00D56BCD"/>
    <w:rsid w:val="00D56DAC"/>
    <w:rsid w:val="00D56E21"/>
    <w:rsid w:val="00D56FC9"/>
    <w:rsid w:val="00D57066"/>
    <w:rsid w:val="00D57069"/>
    <w:rsid w:val="00D571BA"/>
    <w:rsid w:val="00D574A9"/>
    <w:rsid w:val="00D574C9"/>
    <w:rsid w:val="00D57526"/>
    <w:rsid w:val="00D575AE"/>
    <w:rsid w:val="00D57961"/>
    <w:rsid w:val="00D57A2A"/>
    <w:rsid w:val="00D57A5A"/>
    <w:rsid w:val="00D57CF5"/>
    <w:rsid w:val="00D57D2B"/>
    <w:rsid w:val="00D57D8C"/>
    <w:rsid w:val="00D57E92"/>
    <w:rsid w:val="00D57F6A"/>
    <w:rsid w:val="00D57FC2"/>
    <w:rsid w:val="00D60001"/>
    <w:rsid w:val="00D602A8"/>
    <w:rsid w:val="00D60423"/>
    <w:rsid w:val="00D6055D"/>
    <w:rsid w:val="00D60A36"/>
    <w:rsid w:val="00D60B12"/>
    <w:rsid w:val="00D60C2D"/>
    <w:rsid w:val="00D60E03"/>
    <w:rsid w:val="00D6134D"/>
    <w:rsid w:val="00D6138F"/>
    <w:rsid w:val="00D61473"/>
    <w:rsid w:val="00D614C3"/>
    <w:rsid w:val="00D61685"/>
    <w:rsid w:val="00D616C2"/>
    <w:rsid w:val="00D616F7"/>
    <w:rsid w:val="00D61763"/>
    <w:rsid w:val="00D61876"/>
    <w:rsid w:val="00D619C0"/>
    <w:rsid w:val="00D61BFB"/>
    <w:rsid w:val="00D61D07"/>
    <w:rsid w:val="00D61FA4"/>
    <w:rsid w:val="00D61FF0"/>
    <w:rsid w:val="00D6206E"/>
    <w:rsid w:val="00D620FD"/>
    <w:rsid w:val="00D62196"/>
    <w:rsid w:val="00D62375"/>
    <w:rsid w:val="00D62477"/>
    <w:rsid w:val="00D6281F"/>
    <w:rsid w:val="00D62888"/>
    <w:rsid w:val="00D628C2"/>
    <w:rsid w:val="00D62948"/>
    <w:rsid w:val="00D62A71"/>
    <w:rsid w:val="00D62AD6"/>
    <w:rsid w:val="00D62C49"/>
    <w:rsid w:val="00D62D59"/>
    <w:rsid w:val="00D62D6D"/>
    <w:rsid w:val="00D62DB3"/>
    <w:rsid w:val="00D62E79"/>
    <w:rsid w:val="00D62EC9"/>
    <w:rsid w:val="00D62F67"/>
    <w:rsid w:val="00D63005"/>
    <w:rsid w:val="00D632E2"/>
    <w:rsid w:val="00D63310"/>
    <w:rsid w:val="00D634AF"/>
    <w:rsid w:val="00D6352B"/>
    <w:rsid w:val="00D63569"/>
    <w:rsid w:val="00D6363C"/>
    <w:rsid w:val="00D63746"/>
    <w:rsid w:val="00D637B2"/>
    <w:rsid w:val="00D639EA"/>
    <w:rsid w:val="00D63B9A"/>
    <w:rsid w:val="00D63BC1"/>
    <w:rsid w:val="00D63BD6"/>
    <w:rsid w:val="00D63D13"/>
    <w:rsid w:val="00D63E32"/>
    <w:rsid w:val="00D63F2C"/>
    <w:rsid w:val="00D6401E"/>
    <w:rsid w:val="00D6424D"/>
    <w:rsid w:val="00D642B1"/>
    <w:rsid w:val="00D6441F"/>
    <w:rsid w:val="00D644AB"/>
    <w:rsid w:val="00D644EE"/>
    <w:rsid w:val="00D645E8"/>
    <w:rsid w:val="00D64670"/>
    <w:rsid w:val="00D64692"/>
    <w:rsid w:val="00D64723"/>
    <w:rsid w:val="00D647EC"/>
    <w:rsid w:val="00D64933"/>
    <w:rsid w:val="00D64C69"/>
    <w:rsid w:val="00D64C98"/>
    <w:rsid w:val="00D64F23"/>
    <w:rsid w:val="00D64F43"/>
    <w:rsid w:val="00D65113"/>
    <w:rsid w:val="00D65314"/>
    <w:rsid w:val="00D653E3"/>
    <w:rsid w:val="00D654CE"/>
    <w:rsid w:val="00D6561C"/>
    <w:rsid w:val="00D6573C"/>
    <w:rsid w:val="00D65788"/>
    <w:rsid w:val="00D65A1D"/>
    <w:rsid w:val="00D65BFF"/>
    <w:rsid w:val="00D65C1E"/>
    <w:rsid w:val="00D65E52"/>
    <w:rsid w:val="00D65E86"/>
    <w:rsid w:val="00D65EB5"/>
    <w:rsid w:val="00D66108"/>
    <w:rsid w:val="00D661B2"/>
    <w:rsid w:val="00D66266"/>
    <w:rsid w:val="00D6634A"/>
    <w:rsid w:val="00D6636F"/>
    <w:rsid w:val="00D663AC"/>
    <w:rsid w:val="00D66435"/>
    <w:rsid w:val="00D6644C"/>
    <w:rsid w:val="00D6652C"/>
    <w:rsid w:val="00D667C3"/>
    <w:rsid w:val="00D6684C"/>
    <w:rsid w:val="00D6687E"/>
    <w:rsid w:val="00D669ED"/>
    <w:rsid w:val="00D66B7F"/>
    <w:rsid w:val="00D66B87"/>
    <w:rsid w:val="00D66C69"/>
    <w:rsid w:val="00D6717D"/>
    <w:rsid w:val="00D671BB"/>
    <w:rsid w:val="00D67365"/>
    <w:rsid w:val="00D674DC"/>
    <w:rsid w:val="00D6755E"/>
    <w:rsid w:val="00D675A2"/>
    <w:rsid w:val="00D676A4"/>
    <w:rsid w:val="00D676C3"/>
    <w:rsid w:val="00D67892"/>
    <w:rsid w:val="00D6791F"/>
    <w:rsid w:val="00D67B3F"/>
    <w:rsid w:val="00D67CF7"/>
    <w:rsid w:val="00D70118"/>
    <w:rsid w:val="00D701FE"/>
    <w:rsid w:val="00D70204"/>
    <w:rsid w:val="00D7081F"/>
    <w:rsid w:val="00D70914"/>
    <w:rsid w:val="00D709C6"/>
    <w:rsid w:val="00D709D2"/>
    <w:rsid w:val="00D70DD0"/>
    <w:rsid w:val="00D70EB3"/>
    <w:rsid w:val="00D7108D"/>
    <w:rsid w:val="00D710C2"/>
    <w:rsid w:val="00D71143"/>
    <w:rsid w:val="00D71260"/>
    <w:rsid w:val="00D71374"/>
    <w:rsid w:val="00D7158B"/>
    <w:rsid w:val="00D716EC"/>
    <w:rsid w:val="00D71750"/>
    <w:rsid w:val="00D717CB"/>
    <w:rsid w:val="00D717F8"/>
    <w:rsid w:val="00D71863"/>
    <w:rsid w:val="00D719C0"/>
    <w:rsid w:val="00D71A77"/>
    <w:rsid w:val="00D71D7E"/>
    <w:rsid w:val="00D71E6A"/>
    <w:rsid w:val="00D72068"/>
    <w:rsid w:val="00D721B9"/>
    <w:rsid w:val="00D72222"/>
    <w:rsid w:val="00D72311"/>
    <w:rsid w:val="00D72314"/>
    <w:rsid w:val="00D72334"/>
    <w:rsid w:val="00D72370"/>
    <w:rsid w:val="00D728B3"/>
    <w:rsid w:val="00D72B9D"/>
    <w:rsid w:val="00D72D4B"/>
    <w:rsid w:val="00D7303C"/>
    <w:rsid w:val="00D730FD"/>
    <w:rsid w:val="00D73180"/>
    <w:rsid w:val="00D734D2"/>
    <w:rsid w:val="00D73646"/>
    <w:rsid w:val="00D73677"/>
    <w:rsid w:val="00D73757"/>
    <w:rsid w:val="00D737DD"/>
    <w:rsid w:val="00D73A25"/>
    <w:rsid w:val="00D73B08"/>
    <w:rsid w:val="00D73BF8"/>
    <w:rsid w:val="00D73CA7"/>
    <w:rsid w:val="00D73CE6"/>
    <w:rsid w:val="00D73DF4"/>
    <w:rsid w:val="00D73DFE"/>
    <w:rsid w:val="00D74088"/>
    <w:rsid w:val="00D74271"/>
    <w:rsid w:val="00D7433E"/>
    <w:rsid w:val="00D743C8"/>
    <w:rsid w:val="00D74AFA"/>
    <w:rsid w:val="00D74D36"/>
    <w:rsid w:val="00D74E12"/>
    <w:rsid w:val="00D74FCD"/>
    <w:rsid w:val="00D750DB"/>
    <w:rsid w:val="00D75108"/>
    <w:rsid w:val="00D752AE"/>
    <w:rsid w:val="00D752D6"/>
    <w:rsid w:val="00D753AC"/>
    <w:rsid w:val="00D753EB"/>
    <w:rsid w:val="00D75422"/>
    <w:rsid w:val="00D7575D"/>
    <w:rsid w:val="00D75795"/>
    <w:rsid w:val="00D758FC"/>
    <w:rsid w:val="00D758FF"/>
    <w:rsid w:val="00D75988"/>
    <w:rsid w:val="00D759F5"/>
    <w:rsid w:val="00D75A1F"/>
    <w:rsid w:val="00D75A51"/>
    <w:rsid w:val="00D75C02"/>
    <w:rsid w:val="00D75C4C"/>
    <w:rsid w:val="00D75D96"/>
    <w:rsid w:val="00D75E55"/>
    <w:rsid w:val="00D75F59"/>
    <w:rsid w:val="00D7616F"/>
    <w:rsid w:val="00D76208"/>
    <w:rsid w:val="00D7623B"/>
    <w:rsid w:val="00D76316"/>
    <w:rsid w:val="00D7637E"/>
    <w:rsid w:val="00D764CE"/>
    <w:rsid w:val="00D76674"/>
    <w:rsid w:val="00D766DC"/>
    <w:rsid w:val="00D76761"/>
    <w:rsid w:val="00D767E3"/>
    <w:rsid w:val="00D768D2"/>
    <w:rsid w:val="00D76975"/>
    <w:rsid w:val="00D76A6E"/>
    <w:rsid w:val="00D76AC6"/>
    <w:rsid w:val="00D76C3C"/>
    <w:rsid w:val="00D76C5D"/>
    <w:rsid w:val="00D76C7B"/>
    <w:rsid w:val="00D76C81"/>
    <w:rsid w:val="00D76D71"/>
    <w:rsid w:val="00D76ECA"/>
    <w:rsid w:val="00D76F09"/>
    <w:rsid w:val="00D76F28"/>
    <w:rsid w:val="00D76FA8"/>
    <w:rsid w:val="00D7742D"/>
    <w:rsid w:val="00D7745B"/>
    <w:rsid w:val="00D77465"/>
    <w:rsid w:val="00D774CF"/>
    <w:rsid w:val="00D77643"/>
    <w:rsid w:val="00D7766F"/>
    <w:rsid w:val="00D776D0"/>
    <w:rsid w:val="00D7773F"/>
    <w:rsid w:val="00D77D27"/>
    <w:rsid w:val="00D77DC9"/>
    <w:rsid w:val="00D77E78"/>
    <w:rsid w:val="00D800D7"/>
    <w:rsid w:val="00D803CD"/>
    <w:rsid w:val="00D803E4"/>
    <w:rsid w:val="00D805ED"/>
    <w:rsid w:val="00D8078F"/>
    <w:rsid w:val="00D8081A"/>
    <w:rsid w:val="00D80A4D"/>
    <w:rsid w:val="00D80D5B"/>
    <w:rsid w:val="00D80DEC"/>
    <w:rsid w:val="00D814E1"/>
    <w:rsid w:val="00D815B8"/>
    <w:rsid w:val="00D81661"/>
    <w:rsid w:val="00D8184B"/>
    <w:rsid w:val="00D81977"/>
    <w:rsid w:val="00D81ADF"/>
    <w:rsid w:val="00D81D62"/>
    <w:rsid w:val="00D81E3F"/>
    <w:rsid w:val="00D81E87"/>
    <w:rsid w:val="00D81F23"/>
    <w:rsid w:val="00D82224"/>
    <w:rsid w:val="00D823BF"/>
    <w:rsid w:val="00D824DF"/>
    <w:rsid w:val="00D82568"/>
    <w:rsid w:val="00D826DE"/>
    <w:rsid w:val="00D82718"/>
    <w:rsid w:val="00D8279A"/>
    <w:rsid w:val="00D827D7"/>
    <w:rsid w:val="00D828CE"/>
    <w:rsid w:val="00D829C6"/>
    <w:rsid w:val="00D82A3C"/>
    <w:rsid w:val="00D82A53"/>
    <w:rsid w:val="00D82AB1"/>
    <w:rsid w:val="00D82AF7"/>
    <w:rsid w:val="00D82B36"/>
    <w:rsid w:val="00D82BCC"/>
    <w:rsid w:val="00D82D82"/>
    <w:rsid w:val="00D82ED2"/>
    <w:rsid w:val="00D82F7B"/>
    <w:rsid w:val="00D8304C"/>
    <w:rsid w:val="00D830A0"/>
    <w:rsid w:val="00D830C5"/>
    <w:rsid w:val="00D8337C"/>
    <w:rsid w:val="00D833E4"/>
    <w:rsid w:val="00D83436"/>
    <w:rsid w:val="00D83554"/>
    <w:rsid w:val="00D83704"/>
    <w:rsid w:val="00D8387F"/>
    <w:rsid w:val="00D838F9"/>
    <w:rsid w:val="00D83964"/>
    <w:rsid w:val="00D8398A"/>
    <w:rsid w:val="00D839D8"/>
    <w:rsid w:val="00D83A70"/>
    <w:rsid w:val="00D83D4B"/>
    <w:rsid w:val="00D83E95"/>
    <w:rsid w:val="00D84044"/>
    <w:rsid w:val="00D84217"/>
    <w:rsid w:val="00D844A0"/>
    <w:rsid w:val="00D84519"/>
    <w:rsid w:val="00D84547"/>
    <w:rsid w:val="00D845CE"/>
    <w:rsid w:val="00D845DE"/>
    <w:rsid w:val="00D847EC"/>
    <w:rsid w:val="00D84842"/>
    <w:rsid w:val="00D8484F"/>
    <w:rsid w:val="00D84B58"/>
    <w:rsid w:val="00D84C47"/>
    <w:rsid w:val="00D84DD0"/>
    <w:rsid w:val="00D84E54"/>
    <w:rsid w:val="00D850D9"/>
    <w:rsid w:val="00D8519F"/>
    <w:rsid w:val="00D85233"/>
    <w:rsid w:val="00D85372"/>
    <w:rsid w:val="00D85397"/>
    <w:rsid w:val="00D85C3D"/>
    <w:rsid w:val="00D85D5E"/>
    <w:rsid w:val="00D85DDA"/>
    <w:rsid w:val="00D85EBD"/>
    <w:rsid w:val="00D85F90"/>
    <w:rsid w:val="00D85FD5"/>
    <w:rsid w:val="00D8607F"/>
    <w:rsid w:val="00D860CD"/>
    <w:rsid w:val="00D8616A"/>
    <w:rsid w:val="00D86336"/>
    <w:rsid w:val="00D86344"/>
    <w:rsid w:val="00D863A6"/>
    <w:rsid w:val="00D86406"/>
    <w:rsid w:val="00D8644B"/>
    <w:rsid w:val="00D86600"/>
    <w:rsid w:val="00D86783"/>
    <w:rsid w:val="00D86A48"/>
    <w:rsid w:val="00D86C1E"/>
    <w:rsid w:val="00D86C42"/>
    <w:rsid w:val="00D86FA3"/>
    <w:rsid w:val="00D87000"/>
    <w:rsid w:val="00D87020"/>
    <w:rsid w:val="00D87097"/>
    <w:rsid w:val="00D870F9"/>
    <w:rsid w:val="00D871B1"/>
    <w:rsid w:val="00D87333"/>
    <w:rsid w:val="00D87408"/>
    <w:rsid w:val="00D87573"/>
    <w:rsid w:val="00D87966"/>
    <w:rsid w:val="00D87AA2"/>
    <w:rsid w:val="00D87B7C"/>
    <w:rsid w:val="00D87BD5"/>
    <w:rsid w:val="00D87D0A"/>
    <w:rsid w:val="00D87D4D"/>
    <w:rsid w:val="00D9000D"/>
    <w:rsid w:val="00D90035"/>
    <w:rsid w:val="00D90075"/>
    <w:rsid w:val="00D90467"/>
    <w:rsid w:val="00D90468"/>
    <w:rsid w:val="00D9054B"/>
    <w:rsid w:val="00D90571"/>
    <w:rsid w:val="00D9059A"/>
    <w:rsid w:val="00D906DD"/>
    <w:rsid w:val="00D9070E"/>
    <w:rsid w:val="00D90A69"/>
    <w:rsid w:val="00D90A98"/>
    <w:rsid w:val="00D90C25"/>
    <w:rsid w:val="00D90DBD"/>
    <w:rsid w:val="00D9119B"/>
    <w:rsid w:val="00D91401"/>
    <w:rsid w:val="00D91419"/>
    <w:rsid w:val="00D9157B"/>
    <w:rsid w:val="00D9188C"/>
    <w:rsid w:val="00D91925"/>
    <w:rsid w:val="00D9193A"/>
    <w:rsid w:val="00D91970"/>
    <w:rsid w:val="00D919F7"/>
    <w:rsid w:val="00D91D73"/>
    <w:rsid w:val="00D91EA9"/>
    <w:rsid w:val="00D91F04"/>
    <w:rsid w:val="00D9203D"/>
    <w:rsid w:val="00D920D8"/>
    <w:rsid w:val="00D924D5"/>
    <w:rsid w:val="00D9271A"/>
    <w:rsid w:val="00D9271C"/>
    <w:rsid w:val="00D92795"/>
    <w:rsid w:val="00D929EC"/>
    <w:rsid w:val="00D92A01"/>
    <w:rsid w:val="00D92ADD"/>
    <w:rsid w:val="00D92CD4"/>
    <w:rsid w:val="00D92D2E"/>
    <w:rsid w:val="00D92DCB"/>
    <w:rsid w:val="00D92F2F"/>
    <w:rsid w:val="00D92FBF"/>
    <w:rsid w:val="00D9307E"/>
    <w:rsid w:val="00D933AD"/>
    <w:rsid w:val="00D933C2"/>
    <w:rsid w:val="00D93434"/>
    <w:rsid w:val="00D9344C"/>
    <w:rsid w:val="00D936AD"/>
    <w:rsid w:val="00D936F3"/>
    <w:rsid w:val="00D93A56"/>
    <w:rsid w:val="00D93BC8"/>
    <w:rsid w:val="00D93D93"/>
    <w:rsid w:val="00D93E42"/>
    <w:rsid w:val="00D93E56"/>
    <w:rsid w:val="00D940B3"/>
    <w:rsid w:val="00D94129"/>
    <w:rsid w:val="00D941BB"/>
    <w:rsid w:val="00D941ED"/>
    <w:rsid w:val="00D94213"/>
    <w:rsid w:val="00D944C1"/>
    <w:rsid w:val="00D9450C"/>
    <w:rsid w:val="00D947EF"/>
    <w:rsid w:val="00D94999"/>
    <w:rsid w:val="00D94A2B"/>
    <w:rsid w:val="00D94B04"/>
    <w:rsid w:val="00D94C09"/>
    <w:rsid w:val="00D94DCB"/>
    <w:rsid w:val="00D94DD8"/>
    <w:rsid w:val="00D94F54"/>
    <w:rsid w:val="00D95033"/>
    <w:rsid w:val="00D95163"/>
    <w:rsid w:val="00D9516D"/>
    <w:rsid w:val="00D951AD"/>
    <w:rsid w:val="00D9544B"/>
    <w:rsid w:val="00D9557D"/>
    <w:rsid w:val="00D955BB"/>
    <w:rsid w:val="00D956AE"/>
    <w:rsid w:val="00D958DB"/>
    <w:rsid w:val="00D95B0F"/>
    <w:rsid w:val="00D95CAB"/>
    <w:rsid w:val="00D95E10"/>
    <w:rsid w:val="00D960F3"/>
    <w:rsid w:val="00D96299"/>
    <w:rsid w:val="00D963C0"/>
    <w:rsid w:val="00D964E3"/>
    <w:rsid w:val="00D964FB"/>
    <w:rsid w:val="00D96748"/>
    <w:rsid w:val="00D96780"/>
    <w:rsid w:val="00D9679F"/>
    <w:rsid w:val="00D96989"/>
    <w:rsid w:val="00D969AF"/>
    <w:rsid w:val="00D969BA"/>
    <w:rsid w:val="00D96A07"/>
    <w:rsid w:val="00D96A54"/>
    <w:rsid w:val="00D96ACF"/>
    <w:rsid w:val="00D96C73"/>
    <w:rsid w:val="00D96CEF"/>
    <w:rsid w:val="00D96F12"/>
    <w:rsid w:val="00D96F6B"/>
    <w:rsid w:val="00D973F1"/>
    <w:rsid w:val="00D973FF"/>
    <w:rsid w:val="00D97522"/>
    <w:rsid w:val="00D9767F"/>
    <w:rsid w:val="00D977B2"/>
    <w:rsid w:val="00D978D4"/>
    <w:rsid w:val="00D9797D"/>
    <w:rsid w:val="00D979F5"/>
    <w:rsid w:val="00D97B6E"/>
    <w:rsid w:val="00D97DBA"/>
    <w:rsid w:val="00D97DC6"/>
    <w:rsid w:val="00D97EDF"/>
    <w:rsid w:val="00DA00CA"/>
    <w:rsid w:val="00DA0138"/>
    <w:rsid w:val="00DA0276"/>
    <w:rsid w:val="00DA0342"/>
    <w:rsid w:val="00DA0374"/>
    <w:rsid w:val="00DA0512"/>
    <w:rsid w:val="00DA06C3"/>
    <w:rsid w:val="00DA0891"/>
    <w:rsid w:val="00DA09CE"/>
    <w:rsid w:val="00DA0B42"/>
    <w:rsid w:val="00DA0BBD"/>
    <w:rsid w:val="00DA0D38"/>
    <w:rsid w:val="00DA0D94"/>
    <w:rsid w:val="00DA0DA7"/>
    <w:rsid w:val="00DA0DA9"/>
    <w:rsid w:val="00DA0F38"/>
    <w:rsid w:val="00DA0FED"/>
    <w:rsid w:val="00DA10B0"/>
    <w:rsid w:val="00DA12A6"/>
    <w:rsid w:val="00DA1364"/>
    <w:rsid w:val="00DA15D8"/>
    <w:rsid w:val="00DA1696"/>
    <w:rsid w:val="00DA17A4"/>
    <w:rsid w:val="00DA198C"/>
    <w:rsid w:val="00DA1B16"/>
    <w:rsid w:val="00DA1BDE"/>
    <w:rsid w:val="00DA1CF2"/>
    <w:rsid w:val="00DA1D57"/>
    <w:rsid w:val="00DA1EC7"/>
    <w:rsid w:val="00DA1F1A"/>
    <w:rsid w:val="00DA1FDE"/>
    <w:rsid w:val="00DA20FE"/>
    <w:rsid w:val="00DA2172"/>
    <w:rsid w:val="00DA2179"/>
    <w:rsid w:val="00DA219C"/>
    <w:rsid w:val="00DA26C5"/>
    <w:rsid w:val="00DA26D2"/>
    <w:rsid w:val="00DA2747"/>
    <w:rsid w:val="00DA2777"/>
    <w:rsid w:val="00DA29C8"/>
    <w:rsid w:val="00DA2A28"/>
    <w:rsid w:val="00DA2B4E"/>
    <w:rsid w:val="00DA2BEB"/>
    <w:rsid w:val="00DA2C55"/>
    <w:rsid w:val="00DA2D6D"/>
    <w:rsid w:val="00DA2D84"/>
    <w:rsid w:val="00DA2D9F"/>
    <w:rsid w:val="00DA2E68"/>
    <w:rsid w:val="00DA32E6"/>
    <w:rsid w:val="00DA3339"/>
    <w:rsid w:val="00DA3584"/>
    <w:rsid w:val="00DA37F3"/>
    <w:rsid w:val="00DA39ED"/>
    <w:rsid w:val="00DA3B34"/>
    <w:rsid w:val="00DA3B54"/>
    <w:rsid w:val="00DA3BF5"/>
    <w:rsid w:val="00DA3C37"/>
    <w:rsid w:val="00DA3E7F"/>
    <w:rsid w:val="00DA3EBF"/>
    <w:rsid w:val="00DA4088"/>
    <w:rsid w:val="00DA41A2"/>
    <w:rsid w:val="00DA427B"/>
    <w:rsid w:val="00DA4498"/>
    <w:rsid w:val="00DA449B"/>
    <w:rsid w:val="00DA45AB"/>
    <w:rsid w:val="00DA4686"/>
    <w:rsid w:val="00DA473C"/>
    <w:rsid w:val="00DA486C"/>
    <w:rsid w:val="00DA4A9F"/>
    <w:rsid w:val="00DA4BDF"/>
    <w:rsid w:val="00DA4E8C"/>
    <w:rsid w:val="00DA4FF6"/>
    <w:rsid w:val="00DA51EC"/>
    <w:rsid w:val="00DA5233"/>
    <w:rsid w:val="00DA52B2"/>
    <w:rsid w:val="00DA5347"/>
    <w:rsid w:val="00DA54A8"/>
    <w:rsid w:val="00DA5560"/>
    <w:rsid w:val="00DA5591"/>
    <w:rsid w:val="00DA560F"/>
    <w:rsid w:val="00DA5681"/>
    <w:rsid w:val="00DA5700"/>
    <w:rsid w:val="00DA5710"/>
    <w:rsid w:val="00DA57FD"/>
    <w:rsid w:val="00DA5A8E"/>
    <w:rsid w:val="00DA5B05"/>
    <w:rsid w:val="00DA5CDB"/>
    <w:rsid w:val="00DA5D60"/>
    <w:rsid w:val="00DA60E5"/>
    <w:rsid w:val="00DA622E"/>
    <w:rsid w:val="00DA624E"/>
    <w:rsid w:val="00DA631A"/>
    <w:rsid w:val="00DA635D"/>
    <w:rsid w:val="00DA669F"/>
    <w:rsid w:val="00DA6703"/>
    <w:rsid w:val="00DA68B2"/>
    <w:rsid w:val="00DA6AAE"/>
    <w:rsid w:val="00DA6AE2"/>
    <w:rsid w:val="00DA6B9D"/>
    <w:rsid w:val="00DA6BBD"/>
    <w:rsid w:val="00DA6BF4"/>
    <w:rsid w:val="00DA6F28"/>
    <w:rsid w:val="00DA714F"/>
    <w:rsid w:val="00DA71F0"/>
    <w:rsid w:val="00DA72A8"/>
    <w:rsid w:val="00DA72F8"/>
    <w:rsid w:val="00DA7364"/>
    <w:rsid w:val="00DA759A"/>
    <w:rsid w:val="00DA75C9"/>
    <w:rsid w:val="00DA7642"/>
    <w:rsid w:val="00DA76E6"/>
    <w:rsid w:val="00DA7786"/>
    <w:rsid w:val="00DA787E"/>
    <w:rsid w:val="00DA7903"/>
    <w:rsid w:val="00DA796C"/>
    <w:rsid w:val="00DA79AA"/>
    <w:rsid w:val="00DA7AE4"/>
    <w:rsid w:val="00DA7D05"/>
    <w:rsid w:val="00DA7DB8"/>
    <w:rsid w:val="00DA7F9E"/>
    <w:rsid w:val="00DB0130"/>
    <w:rsid w:val="00DB028E"/>
    <w:rsid w:val="00DB02C9"/>
    <w:rsid w:val="00DB0453"/>
    <w:rsid w:val="00DB047A"/>
    <w:rsid w:val="00DB06F3"/>
    <w:rsid w:val="00DB0746"/>
    <w:rsid w:val="00DB0851"/>
    <w:rsid w:val="00DB0934"/>
    <w:rsid w:val="00DB0939"/>
    <w:rsid w:val="00DB09BA"/>
    <w:rsid w:val="00DB0A07"/>
    <w:rsid w:val="00DB0A14"/>
    <w:rsid w:val="00DB0B70"/>
    <w:rsid w:val="00DB0C79"/>
    <w:rsid w:val="00DB0DAB"/>
    <w:rsid w:val="00DB0FBA"/>
    <w:rsid w:val="00DB139B"/>
    <w:rsid w:val="00DB13BE"/>
    <w:rsid w:val="00DB1464"/>
    <w:rsid w:val="00DB18F8"/>
    <w:rsid w:val="00DB1CCF"/>
    <w:rsid w:val="00DB1DCE"/>
    <w:rsid w:val="00DB1FE2"/>
    <w:rsid w:val="00DB1FF8"/>
    <w:rsid w:val="00DB2284"/>
    <w:rsid w:val="00DB23F6"/>
    <w:rsid w:val="00DB243A"/>
    <w:rsid w:val="00DB2563"/>
    <w:rsid w:val="00DB2660"/>
    <w:rsid w:val="00DB26AD"/>
    <w:rsid w:val="00DB2876"/>
    <w:rsid w:val="00DB2933"/>
    <w:rsid w:val="00DB2C7C"/>
    <w:rsid w:val="00DB2E29"/>
    <w:rsid w:val="00DB2EF9"/>
    <w:rsid w:val="00DB367B"/>
    <w:rsid w:val="00DB3878"/>
    <w:rsid w:val="00DB3A28"/>
    <w:rsid w:val="00DB3AE6"/>
    <w:rsid w:val="00DB3B38"/>
    <w:rsid w:val="00DB3BA4"/>
    <w:rsid w:val="00DB3C6D"/>
    <w:rsid w:val="00DB3D7B"/>
    <w:rsid w:val="00DB3F91"/>
    <w:rsid w:val="00DB40E8"/>
    <w:rsid w:val="00DB40FB"/>
    <w:rsid w:val="00DB48F8"/>
    <w:rsid w:val="00DB4A53"/>
    <w:rsid w:val="00DB4A57"/>
    <w:rsid w:val="00DB4A95"/>
    <w:rsid w:val="00DB4B14"/>
    <w:rsid w:val="00DB4C30"/>
    <w:rsid w:val="00DB4D1B"/>
    <w:rsid w:val="00DB4E2C"/>
    <w:rsid w:val="00DB4F4A"/>
    <w:rsid w:val="00DB4FBF"/>
    <w:rsid w:val="00DB518A"/>
    <w:rsid w:val="00DB5266"/>
    <w:rsid w:val="00DB5322"/>
    <w:rsid w:val="00DB5339"/>
    <w:rsid w:val="00DB5562"/>
    <w:rsid w:val="00DB57E6"/>
    <w:rsid w:val="00DB5A3D"/>
    <w:rsid w:val="00DB5B6F"/>
    <w:rsid w:val="00DB5B76"/>
    <w:rsid w:val="00DB5BE6"/>
    <w:rsid w:val="00DB5C19"/>
    <w:rsid w:val="00DB5DCB"/>
    <w:rsid w:val="00DB5F30"/>
    <w:rsid w:val="00DB5FB9"/>
    <w:rsid w:val="00DB5FCC"/>
    <w:rsid w:val="00DB5FFC"/>
    <w:rsid w:val="00DB603B"/>
    <w:rsid w:val="00DB6153"/>
    <w:rsid w:val="00DB6240"/>
    <w:rsid w:val="00DB62DE"/>
    <w:rsid w:val="00DB69B5"/>
    <w:rsid w:val="00DB6AAA"/>
    <w:rsid w:val="00DB6B3B"/>
    <w:rsid w:val="00DB6C5D"/>
    <w:rsid w:val="00DB6C60"/>
    <w:rsid w:val="00DB6C78"/>
    <w:rsid w:val="00DB6CA4"/>
    <w:rsid w:val="00DB6CCB"/>
    <w:rsid w:val="00DB6D42"/>
    <w:rsid w:val="00DB6D80"/>
    <w:rsid w:val="00DB6DC5"/>
    <w:rsid w:val="00DB6E15"/>
    <w:rsid w:val="00DB6E45"/>
    <w:rsid w:val="00DB6F1A"/>
    <w:rsid w:val="00DB716C"/>
    <w:rsid w:val="00DB7261"/>
    <w:rsid w:val="00DB72B4"/>
    <w:rsid w:val="00DB73C1"/>
    <w:rsid w:val="00DB74F5"/>
    <w:rsid w:val="00DB751D"/>
    <w:rsid w:val="00DB75A1"/>
    <w:rsid w:val="00DB78D1"/>
    <w:rsid w:val="00DB7A44"/>
    <w:rsid w:val="00DB7BD8"/>
    <w:rsid w:val="00DB7C3C"/>
    <w:rsid w:val="00DB7C84"/>
    <w:rsid w:val="00DB7E32"/>
    <w:rsid w:val="00DB7EB7"/>
    <w:rsid w:val="00DB7F5B"/>
    <w:rsid w:val="00DB7FC7"/>
    <w:rsid w:val="00DC003B"/>
    <w:rsid w:val="00DC01AE"/>
    <w:rsid w:val="00DC0251"/>
    <w:rsid w:val="00DC0449"/>
    <w:rsid w:val="00DC04CE"/>
    <w:rsid w:val="00DC0516"/>
    <w:rsid w:val="00DC07B9"/>
    <w:rsid w:val="00DC085C"/>
    <w:rsid w:val="00DC08BE"/>
    <w:rsid w:val="00DC0A45"/>
    <w:rsid w:val="00DC0AAF"/>
    <w:rsid w:val="00DC0C03"/>
    <w:rsid w:val="00DC0D69"/>
    <w:rsid w:val="00DC0DD8"/>
    <w:rsid w:val="00DC0E20"/>
    <w:rsid w:val="00DC10B7"/>
    <w:rsid w:val="00DC12E9"/>
    <w:rsid w:val="00DC1310"/>
    <w:rsid w:val="00DC1416"/>
    <w:rsid w:val="00DC14A1"/>
    <w:rsid w:val="00DC152E"/>
    <w:rsid w:val="00DC16CF"/>
    <w:rsid w:val="00DC179C"/>
    <w:rsid w:val="00DC17E9"/>
    <w:rsid w:val="00DC188E"/>
    <w:rsid w:val="00DC18E8"/>
    <w:rsid w:val="00DC18FE"/>
    <w:rsid w:val="00DC1AFF"/>
    <w:rsid w:val="00DC218D"/>
    <w:rsid w:val="00DC21A9"/>
    <w:rsid w:val="00DC21B9"/>
    <w:rsid w:val="00DC2217"/>
    <w:rsid w:val="00DC22AF"/>
    <w:rsid w:val="00DC247F"/>
    <w:rsid w:val="00DC2501"/>
    <w:rsid w:val="00DC2704"/>
    <w:rsid w:val="00DC2728"/>
    <w:rsid w:val="00DC272E"/>
    <w:rsid w:val="00DC2731"/>
    <w:rsid w:val="00DC279A"/>
    <w:rsid w:val="00DC27CE"/>
    <w:rsid w:val="00DC2865"/>
    <w:rsid w:val="00DC2936"/>
    <w:rsid w:val="00DC297D"/>
    <w:rsid w:val="00DC29BF"/>
    <w:rsid w:val="00DC2A7B"/>
    <w:rsid w:val="00DC2AB7"/>
    <w:rsid w:val="00DC2B40"/>
    <w:rsid w:val="00DC2BC1"/>
    <w:rsid w:val="00DC2C03"/>
    <w:rsid w:val="00DC2DAF"/>
    <w:rsid w:val="00DC2F17"/>
    <w:rsid w:val="00DC3176"/>
    <w:rsid w:val="00DC328F"/>
    <w:rsid w:val="00DC3425"/>
    <w:rsid w:val="00DC347E"/>
    <w:rsid w:val="00DC36B0"/>
    <w:rsid w:val="00DC386D"/>
    <w:rsid w:val="00DC3B6B"/>
    <w:rsid w:val="00DC3BEE"/>
    <w:rsid w:val="00DC3CD3"/>
    <w:rsid w:val="00DC3D1B"/>
    <w:rsid w:val="00DC3D50"/>
    <w:rsid w:val="00DC3D70"/>
    <w:rsid w:val="00DC3EC3"/>
    <w:rsid w:val="00DC3EDF"/>
    <w:rsid w:val="00DC3F76"/>
    <w:rsid w:val="00DC400F"/>
    <w:rsid w:val="00DC40D4"/>
    <w:rsid w:val="00DC41C8"/>
    <w:rsid w:val="00DC429C"/>
    <w:rsid w:val="00DC432A"/>
    <w:rsid w:val="00DC43D7"/>
    <w:rsid w:val="00DC4479"/>
    <w:rsid w:val="00DC4481"/>
    <w:rsid w:val="00DC4745"/>
    <w:rsid w:val="00DC47B6"/>
    <w:rsid w:val="00DC48A1"/>
    <w:rsid w:val="00DC4912"/>
    <w:rsid w:val="00DC49A4"/>
    <w:rsid w:val="00DC4A8A"/>
    <w:rsid w:val="00DC4CE3"/>
    <w:rsid w:val="00DC4F47"/>
    <w:rsid w:val="00DC518D"/>
    <w:rsid w:val="00DC5391"/>
    <w:rsid w:val="00DC5628"/>
    <w:rsid w:val="00DC56A7"/>
    <w:rsid w:val="00DC571F"/>
    <w:rsid w:val="00DC5980"/>
    <w:rsid w:val="00DC59A2"/>
    <w:rsid w:val="00DC5C3D"/>
    <w:rsid w:val="00DC5E58"/>
    <w:rsid w:val="00DC5F9D"/>
    <w:rsid w:val="00DC60B4"/>
    <w:rsid w:val="00DC6313"/>
    <w:rsid w:val="00DC634A"/>
    <w:rsid w:val="00DC6589"/>
    <w:rsid w:val="00DC65E7"/>
    <w:rsid w:val="00DC65FF"/>
    <w:rsid w:val="00DC690E"/>
    <w:rsid w:val="00DC6A32"/>
    <w:rsid w:val="00DC6DD9"/>
    <w:rsid w:val="00DC6E9C"/>
    <w:rsid w:val="00DC704C"/>
    <w:rsid w:val="00DC7070"/>
    <w:rsid w:val="00DC7123"/>
    <w:rsid w:val="00DC7197"/>
    <w:rsid w:val="00DC71BB"/>
    <w:rsid w:val="00DC72DD"/>
    <w:rsid w:val="00DC7614"/>
    <w:rsid w:val="00DC7754"/>
    <w:rsid w:val="00DC7774"/>
    <w:rsid w:val="00DC797D"/>
    <w:rsid w:val="00DC7A01"/>
    <w:rsid w:val="00DC7A17"/>
    <w:rsid w:val="00DC7AF4"/>
    <w:rsid w:val="00DC7DDA"/>
    <w:rsid w:val="00DC7E0D"/>
    <w:rsid w:val="00DC7EF5"/>
    <w:rsid w:val="00DD0104"/>
    <w:rsid w:val="00DD0183"/>
    <w:rsid w:val="00DD01A8"/>
    <w:rsid w:val="00DD0273"/>
    <w:rsid w:val="00DD02FC"/>
    <w:rsid w:val="00DD0358"/>
    <w:rsid w:val="00DD035B"/>
    <w:rsid w:val="00DD0431"/>
    <w:rsid w:val="00DD0472"/>
    <w:rsid w:val="00DD05A1"/>
    <w:rsid w:val="00DD05EC"/>
    <w:rsid w:val="00DD074C"/>
    <w:rsid w:val="00DD0862"/>
    <w:rsid w:val="00DD095C"/>
    <w:rsid w:val="00DD0978"/>
    <w:rsid w:val="00DD09BA"/>
    <w:rsid w:val="00DD0A81"/>
    <w:rsid w:val="00DD0B40"/>
    <w:rsid w:val="00DD0CD9"/>
    <w:rsid w:val="00DD0E7F"/>
    <w:rsid w:val="00DD0EBB"/>
    <w:rsid w:val="00DD0F1E"/>
    <w:rsid w:val="00DD1271"/>
    <w:rsid w:val="00DD15D0"/>
    <w:rsid w:val="00DD163D"/>
    <w:rsid w:val="00DD18A4"/>
    <w:rsid w:val="00DD1955"/>
    <w:rsid w:val="00DD19B5"/>
    <w:rsid w:val="00DD1AA3"/>
    <w:rsid w:val="00DD1C72"/>
    <w:rsid w:val="00DD1C9D"/>
    <w:rsid w:val="00DD1F90"/>
    <w:rsid w:val="00DD2194"/>
    <w:rsid w:val="00DD21AF"/>
    <w:rsid w:val="00DD23F5"/>
    <w:rsid w:val="00DD25F9"/>
    <w:rsid w:val="00DD271D"/>
    <w:rsid w:val="00DD2B91"/>
    <w:rsid w:val="00DD2BBC"/>
    <w:rsid w:val="00DD2CCA"/>
    <w:rsid w:val="00DD2EDF"/>
    <w:rsid w:val="00DD2FBB"/>
    <w:rsid w:val="00DD3287"/>
    <w:rsid w:val="00DD3482"/>
    <w:rsid w:val="00DD36C7"/>
    <w:rsid w:val="00DD3735"/>
    <w:rsid w:val="00DD3811"/>
    <w:rsid w:val="00DD3832"/>
    <w:rsid w:val="00DD38D4"/>
    <w:rsid w:val="00DD38F9"/>
    <w:rsid w:val="00DD39A2"/>
    <w:rsid w:val="00DD3A3D"/>
    <w:rsid w:val="00DD3ADE"/>
    <w:rsid w:val="00DD3DD6"/>
    <w:rsid w:val="00DD3E43"/>
    <w:rsid w:val="00DD3E8F"/>
    <w:rsid w:val="00DD40C4"/>
    <w:rsid w:val="00DD4273"/>
    <w:rsid w:val="00DD435C"/>
    <w:rsid w:val="00DD46C8"/>
    <w:rsid w:val="00DD4C31"/>
    <w:rsid w:val="00DD4C7D"/>
    <w:rsid w:val="00DD4D4B"/>
    <w:rsid w:val="00DD4E28"/>
    <w:rsid w:val="00DD4F28"/>
    <w:rsid w:val="00DD4F35"/>
    <w:rsid w:val="00DD4FCA"/>
    <w:rsid w:val="00DD4FFB"/>
    <w:rsid w:val="00DD506C"/>
    <w:rsid w:val="00DD5071"/>
    <w:rsid w:val="00DD537F"/>
    <w:rsid w:val="00DD5550"/>
    <w:rsid w:val="00DD564D"/>
    <w:rsid w:val="00DD5ADB"/>
    <w:rsid w:val="00DD5AFD"/>
    <w:rsid w:val="00DD5DAC"/>
    <w:rsid w:val="00DD5DAF"/>
    <w:rsid w:val="00DD5EB2"/>
    <w:rsid w:val="00DD5EF1"/>
    <w:rsid w:val="00DD5F02"/>
    <w:rsid w:val="00DD5F61"/>
    <w:rsid w:val="00DD6167"/>
    <w:rsid w:val="00DD61AC"/>
    <w:rsid w:val="00DD6400"/>
    <w:rsid w:val="00DD6595"/>
    <w:rsid w:val="00DD65F7"/>
    <w:rsid w:val="00DD660D"/>
    <w:rsid w:val="00DD6766"/>
    <w:rsid w:val="00DD68F9"/>
    <w:rsid w:val="00DD691C"/>
    <w:rsid w:val="00DD6999"/>
    <w:rsid w:val="00DD6AC1"/>
    <w:rsid w:val="00DD6AEC"/>
    <w:rsid w:val="00DD6B1D"/>
    <w:rsid w:val="00DD6C30"/>
    <w:rsid w:val="00DD6CE5"/>
    <w:rsid w:val="00DD6D3D"/>
    <w:rsid w:val="00DD70A5"/>
    <w:rsid w:val="00DD72C3"/>
    <w:rsid w:val="00DD74F5"/>
    <w:rsid w:val="00DD751C"/>
    <w:rsid w:val="00DD762F"/>
    <w:rsid w:val="00DD76B0"/>
    <w:rsid w:val="00DD76EF"/>
    <w:rsid w:val="00DD777E"/>
    <w:rsid w:val="00DD791B"/>
    <w:rsid w:val="00DD79EA"/>
    <w:rsid w:val="00DD7C4D"/>
    <w:rsid w:val="00DD7D10"/>
    <w:rsid w:val="00DD7D5B"/>
    <w:rsid w:val="00DD7DF4"/>
    <w:rsid w:val="00DE01E3"/>
    <w:rsid w:val="00DE01F3"/>
    <w:rsid w:val="00DE047C"/>
    <w:rsid w:val="00DE04AD"/>
    <w:rsid w:val="00DE0534"/>
    <w:rsid w:val="00DE0536"/>
    <w:rsid w:val="00DE056C"/>
    <w:rsid w:val="00DE08A4"/>
    <w:rsid w:val="00DE09D6"/>
    <w:rsid w:val="00DE0AEB"/>
    <w:rsid w:val="00DE0BD3"/>
    <w:rsid w:val="00DE0C14"/>
    <w:rsid w:val="00DE0D93"/>
    <w:rsid w:val="00DE0DBA"/>
    <w:rsid w:val="00DE0DE1"/>
    <w:rsid w:val="00DE0EB5"/>
    <w:rsid w:val="00DE0EDD"/>
    <w:rsid w:val="00DE140D"/>
    <w:rsid w:val="00DE148A"/>
    <w:rsid w:val="00DE14DE"/>
    <w:rsid w:val="00DE175D"/>
    <w:rsid w:val="00DE17A3"/>
    <w:rsid w:val="00DE1CAD"/>
    <w:rsid w:val="00DE1CF2"/>
    <w:rsid w:val="00DE1DB8"/>
    <w:rsid w:val="00DE1EFF"/>
    <w:rsid w:val="00DE1FBF"/>
    <w:rsid w:val="00DE2001"/>
    <w:rsid w:val="00DE2097"/>
    <w:rsid w:val="00DE20D1"/>
    <w:rsid w:val="00DE22B3"/>
    <w:rsid w:val="00DE24C6"/>
    <w:rsid w:val="00DE25B4"/>
    <w:rsid w:val="00DE2660"/>
    <w:rsid w:val="00DE2867"/>
    <w:rsid w:val="00DE29A0"/>
    <w:rsid w:val="00DE2A7C"/>
    <w:rsid w:val="00DE2C6F"/>
    <w:rsid w:val="00DE2EF1"/>
    <w:rsid w:val="00DE31B7"/>
    <w:rsid w:val="00DE327E"/>
    <w:rsid w:val="00DE32B2"/>
    <w:rsid w:val="00DE339B"/>
    <w:rsid w:val="00DE3504"/>
    <w:rsid w:val="00DE3878"/>
    <w:rsid w:val="00DE3B59"/>
    <w:rsid w:val="00DE3C35"/>
    <w:rsid w:val="00DE3C83"/>
    <w:rsid w:val="00DE3CA6"/>
    <w:rsid w:val="00DE3D48"/>
    <w:rsid w:val="00DE3D59"/>
    <w:rsid w:val="00DE3D67"/>
    <w:rsid w:val="00DE3EED"/>
    <w:rsid w:val="00DE3EF3"/>
    <w:rsid w:val="00DE41DA"/>
    <w:rsid w:val="00DE42E6"/>
    <w:rsid w:val="00DE438E"/>
    <w:rsid w:val="00DE43BD"/>
    <w:rsid w:val="00DE4402"/>
    <w:rsid w:val="00DE44CA"/>
    <w:rsid w:val="00DE45BB"/>
    <w:rsid w:val="00DE464A"/>
    <w:rsid w:val="00DE464D"/>
    <w:rsid w:val="00DE46FA"/>
    <w:rsid w:val="00DE4753"/>
    <w:rsid w:val="00DE47DE"/>
    <w:rsid w:val="00DE485D"/>
    <w:rsid w:val="00DE49B2"/>
    <w:rsid w:val="00DE4B85"/>
    <w:rsid w:val="00DE4BA7"/>
    <w:rsid w:val="00DE4D45"/>
    <w:rsid w:val="00DE4E95"/>
    <w:rsid w:val="00DE4F72"/>
    <w:rsid w:val="00DE51F0"/>
    <w:rsid w:val="00DE5408"/>
    <w:rsid w:val="00DE5598"/>
    <w:rsid w:val="00DE5823"/>
    <w:rsid w:val="00DE59B5"/>
    <w:rsid w:val="00DE5A3A"/>
    <w:rsid w:val="00DE5BCC"/>
    <w:rsid w:val="00DE5EA4"/>
    <w:rsid w:val="00DE5EBE"/>
    <w:rsid w:val="00DE5F63"/>
    <w:rsid w:val="00DE6098"/>
    <w:rsid w:val="00DE6111"/>
    <w:rsid w:val="00DE6121"/>
    <w:rsid w:val="00DE613C"/>
    <w:rsid w:val="00DE6164"/>
    <w:rsid w:val="00DE61B8"/>
    <w:rsid w:val="00DE61D1"/>
    <w:rsid w:val="00DE66F1"/>
    <w:rsid w:val="00DE68A1"/>
    <w:rsid w:val="00DE694F"/>
    <w:rsid w:val="00DE6B1D"/>
    <w:rsid w:val="00DE6CED"/>
    <w:rsid w:val="00DE6D3F"/>
    <w:rsid w:val="00DE6E43"/>
    <w:rsid w:val="00DE6E8D"/>
    <w:rsid w:val="00DE6F68"/>
    <w:rsid w:val="00DE7144"/>
    <w:rsid w:val="00DE714B"/>
    <w:rsid w:val="00DE71AE"/>
    <w:rsid w:val="00DE73FD"/>
    <w:rsid w:val="00DE7476"/>
    <w:rsid w:val="00DE751B"/>
    <w:rsid w:val="00DE770E"/>
    <w:rsid w:val="00DE7742"/>
    <w:rsid w:val="00DE77F8"/>
    <w:rsid w:val="00DE7856"/>
    <w:rsid w:val="00DE7B00"/>
    <w:rsid w:val="00DE7B1E"/>
    <w:rsid w:val="00DE7B1F"/>
    <w:rsid w:val="00DE7BE9"/>
    <w:rsid w:val="00DE7DE5"/>
    <w:rsid w:val="00DE7FA1"/>
    <w:rsid w:val="00DF00A3"/>
    <w:rsid w:val="00DF023D"/>
    <w:rsid w:val="00DF02D4"/>
    <w:rsid w:val="00DF033D"/>
    <w:rsid w:val="00DF051C"/>
    <w:rsid w:val="00DF0560"/>
    <w:rsid w:val="00DF0583"/>
    <w:rsid w:val="00DF05B7"/>
    <w:rsid w:val="00DF06D6"/>
    <w:rsid w:val="00DF0922"/>
    <w:rsid w:val="00DF0A2B"/>
    <w:rsid w:val="00DF0A3E"/>
    <w:rsid w:val="00DF0CEF"/>
    <w:rsid w:val="00DF0E57"/>
    <w:rsid w:val="00DF0F6A"/>
    <w:rsid w:val="00DF130D"/>
    <w:rsid w:val="00DF1483"/>
    <w:rsid w:val="00DF14A6"/>
    <w:rsid w:val="00DF1584"/>
    <w:rsid w:val="00DF15A2"/>
    <w:rsid w:val="00DF178B"/>
    <w:rsid w:val="00DF17FA"/>
    <w:rsid w:val="00DF1AAB"/>
    <w:rsid w:val="00DF1C4E"/>
    <w:rsid w:val="00DF1D60"/>
    <w:rsid w:val="00DF1DA6"/>
    <w:rsid w:val="00DF1EFE"/>
    <w:rsid w:val="00DF2639"/>
    <w:rsid w:val="00DF2826"/>
    <w:rsid w:val="00DF2874"/>
    <w:rsid w:val="00DF2946"/>
    <w:rsid w:val="00DF29D9"/>
    <w:rsid w:val="00DF2AAB"/>
    <w:rsid w:val="00DF2AB1"/>
    <w:rsid w:val="00DF2AF8"/>
    <w:rsid w:val="00DF2C33"/>
    <w:rsid w:val="00DF2CFD"/>
    <w:rsid w:val="00DF2E1D"/>
    <w:rsid w:val="00DF2FF2"/>
    <w:rsid w:val="00DF3388"/>
    <w:rsid w:val="00DF33F6"/>
    <w:rsid w:val="00DF348E"/>
    <w:rsid w:val="00DF3608"/>
    <w:rsid w:val="00DF3642"/>
    <w:rsid w:val="00DF380F"/>
    <w:rsid w:val="00DF38A0"/>
    <w:rsid w:val="00DF38FB"/>
    <w:rsid w:val="00DF3B11"/>
    <w:rsid w:val="00DF3BF3"/>
    <w:rsid w:val="00DF3C98"/>
    <w:rsid w:val="00DF3EF7"/>
    <w:rsid w:val="00DF4028"/>
    <w:rsid w:val="00DF4295"/>
    <w:rsid w:val="00DF443F"/>
    <w:rsid w:val="00DF44E4"/>
    <w:rsid w:val="00DF44EA"/>
    <w:rsid w:val="00DF46C9"/>
    <w:rsid w:val="00DF4897"/>
    <w:rsid w:val="00DF4971"/>
    <w:rsid w:val="00DF4A7B"/>
    <w:rsid w:val="00DF4AEC"/>
    <w:rsid w:val="00DF4BA5"/>
    <w:rsid w:val="00DF4C05"/>
    <w:rsid w:val="00DF4D27"/>
    <w:rsid w:val="00DF50CB"/>
    <w:rsid w:val="00DF5121"/>
    <w:rsid w:val="00DF5228"/>
    <w:rsid w:val="00DF52B3"/>
    <w:rsid w:val="00DF540B"/>
    <w:rsid w:val="00DF54CE"/>
    <w:rsid w:val="00DF54E6"/>
    <w:rsid w:val="00DF54F0"/>
    <w:rsid w:val="00DF55E5"/>
    <w:rsid w:val="00DF5720"/>
    <w:rsid w:val="00DF58CD"/>
    <w:rsid w:val="00DF5987"/>
    <w:rsid w:val="00DF59B9"/>
    <w:rsid w:val="00DF5BD2"/>
    <w:rsid w:val="00DF5C9D"/>
    <w:rsid w:val="00DF5E18"/>
    <w:rsid w:val="00DF5E21"/>
    <w:rsid w:val="00DF6381"/>
    <w:rsid w:val="00DF6402"/>
    <w:rsid w:val="00DF6427"/>
    <w:rsid w:val="00DF66D8"/>
    <w:rsid w:val="00DF678F"/>
    <w:rsid w:val="00DF6877"/>
    <w:rsid w:val="00DF68D9"/>
    <w:rsid w:val="00DF693F"/>
    <w:rsid w:val="00DF697D"/>
    <w:rsid w:val="00DF6A4D"/>
    <w:rsid w:val="00DF6AE4"/>
    <w:rsid w:val="00DF6D4A"/>
    <w:rsid w:val="00DF6D95"/>
    <w:rsid w:val="00DF6F71"/>
    <w:rsid w:val="00DF7088"/>
    <w:rsid w:val="00DF710A"/>
    <w:rsid w:val="00DF7243"/>
    <w:rsid w:val="00DF735E"/>
    <w:rsid w:val="00DF7498"/>
    <w:rsid w:val="00DF7875"/>
    <w:rsid w:val="00DF7B04"/>
    <w:rsid w:val="00DF7D1C"/>
    <w:rsid w:val="00DF7D31"/>
    <w:rsid w:val="00DF7F63"/>
    <w:rsid w:val="00DF7FA9"/>
    <w:rsid w:val="00E00196"/>
    <w:rsid w:val="00E002DF"/>
    <w:rsid w:val="00E00551"/>
    <w:rsid w:val="00E00553"/>
    <w:rsid w:val="00E00563"/>
    <w:rsid w:val="00E005B4"/>
    <w:rsid w:val="00E0069A"/>
    <w:rsid w:val="00E00726"/>
    <w:rsid w:val="00E007F1"/>
    <w:rsid w:val="00E0082D"/>
    <w:rsid w:val="00E00854"/>
    <w:rsid w:val="00E00897"/>
    <w:rsid w:val="00E008D1"/>
    <w:rsid w:val="00E009D5"/>
    <w:rsid w:val="00E00CE1"/>
    <w:rsid w:val="00E00D29"/>
    <w:rsid w:val="00E00D33"/>
    <w:rsid w:val="00E00F53"/>
    <w:rsid w:val="00E00FE8"/>
    <w:rsid w:val="00E00FED"/>
    <w:rsid w:val="00E01236"/>
    <w:rsid w:val="00E01288"/>
    <w:rsid w:val="00E0129C"/>
    <w:rsid w:val="00E0147B"/>
    <w:rsid w:val="00E014F2"/>
    <w:rsid w:val="00E01634"/>
    <w:rsid w:val="00E0166E"/>
    <w:rsid w:val="00E01687"/>
    <w:rsid w:val="00E017EC"/>
    <w:rsid w:val="00E018F7"/>
    <w:rsid w:val="00E01A3F"/>
    <w:rsid w:val="00E01ADF"/>
    <w:rsid w:val="00E01CA1"/>
    <w:rsid w:val="00E01FB7"/>
    <w:rsid w:val="00E021E9"/>
    <w:rsid w:val="00E02362"/>
    <w:rsid w:val="00E023E7"/>
    <w:rsid w:val="00E0244F"/>
    <w:rsid w:val="00E024B1"/>
    <w:rsid w:val="00E024D2"/>
    <w:rsid w:val="00E02939"/>
    <w:rsid w:val="00E029CF"/>
    <w:rsid w:val="00E02B37"/>
    <w:rsid w:val="00E02D29"/>
    <w:rsid w:val="00E02D60"/>
    <w:rsid w:val="00E02EF1"/>
    <w:rsid w:val="00E0325D"/>
    <w:rsid w:val="00E0337F"/>
    <w:rsid w:val="00E03461"/>
    <w:rsid w:val="00E03480"/>
    <w:rsid w:val="00E03645"/>
    <w:rsid w:val="00E03760"/>
    <w:rsid w:val="00E037B7"/>
    <w:rsid w:val="00E03A4A"/>
    <w:rsid w:val="00E03ADA"/>
    <w:rsid w:val="00E03AE5"/>
    <w:rsid w:val="00E03B72"/>
    <w:rsid w:val="00E03CB0"/>
    <w:rsid w:val="00E03F74"/>
    <w:rsid w:val="00E03FFB"/>
    <w:rsid w:val="00E04390"/>
    <w:rsid w:val="00E04445"/>
    <w:rsid w:val="00E044BF"/>
    <w:rsid w:val="00E044C4"/>
    <w:rsid w:val="00E0455B"/>
    <w:rsid w:val="00E045AC"/>
    <w:rsid w:val="00E047A2"/>
    <w:rsid w:val="00E047A6"/>
    <w:rsid w:val="00E0495A"/>
    <w:rsid w:val="00E0498E"/>
    <w:rsid w:val="00E049AF"/>
    <w:rsid w:val="00E04D45"/>
    <w:rsid w:val="00E04DA4"/>
    <w:rsid w:val="00E04EF9"/>
    <w:rsid w:val="00E05225"/>
    <w:rsid w:val="00E055B8"/>
    <w:rsid w:val="00E05634"/>
    <w:rsid w:val="00E0573B"/>
    <w:rsid w:val="00E057FD"/>
    <w:rsid w:val="00E05C7F"/>
    <w:rsid w:val="00E05D14"/>
    <w:rsid w:val="00E05E5B"/>
    <w:rsid w:val="00E06392"/>
    <w:rsid w:val="00E06476"/>
    <w:rsid w:val="00E0649F"/>
    <w:rsid w:val="00E06557"/>
    <w:rsid w:val="00E0655B"/>
    <w:rsid w:val="00E066A2"/>
    <w:rsid w:val="00E066A6"/>
    <w:rsid w:val="00E066B4"/>
    <w:rsid w:val="00E06712"/>
    <w:rsid w:val="00E068B9"/>
    <w:rsid w:val="00E068E3"/>
    <w:rsid w:val="00E06A84"/>
    <w:rsid w:val="00E06B79"/>
    <w:rsid w:val="00E06CAF"/>
    <w:rsid w:val="00E06F28"/>
    <w:rsid w:val="00E0709B"/>
    <w:rsid w:val="00E07381"/>
    <w:rsid w:val="00E076B0"/>
    <w:rsid w:val="00E07787"/>
    <w:rsid w:val="00E077A1"/>
    <w:rsid w:val="00E0792C"/>
    <w:rsid w:val="00E07AC8"/>
    <w:rsid w:val="00E07B32"/>
    <w:rsid w:val="00E07FEA"/>
    <w:rsid w:val="00E10028"/>
    <w:rsid w:val="00E1016C"/>
    <w:rsid w:val="00E10177"/>
    <w:rsid w:val="00E102CA"/>
    <w:rsid w:val="00E10368"/>
    <w:rsid w:val="00E104A7"/>
    <w:rsid w:val="00E105B3"/>
    <w:rsid w:val="00E106B0"/>
    <w:rsid w:val="00E106D0"/>
    <w:rsid w:val="00E10716"/>
    <w:rsid w:val="00E1087C"/>
    <w:rsid w:val="00E10A90"/>
    <w:rsid w:val="00E10AC6"/>
    <w:rsid w:val="00E10B75"/>
    <w:rsid w:val="00E10EAD"/>
    <w:rsid w:val="00E10F6A"/>
    <w:rsid w:val="00E10F75"/>
    <w:rsid w:val="00E110E3"/>
    <w:rsid w:val="00E111CC"/>
    <w:rsid w:val="00E11349"/>
    <w:rsid w:val="00E1137B"/>
    <w:rsid w:val="00E1137F"/>
    <w:rsid w:val="00E11682"/>
    <w:rsid w:val="00E1175E"/>
    <w:rsid w:val="00E11A19"/>
    <w:rsid w:val="00E11E80"/>
    <w:rsid w:val="00E120A4"/>
    <w:rsid w:val="00E120E4"/>
    <w:rsid w:val="00E1223F"/>
    <w:rsid w:val="00E122F3"/>
    <w:rsid w:val="00E12348"/>
    <w:rsid w:val="00E12527"/>
    <w:rsid w:val="00E128AB"/>
    <w:rsid w:val="00E12CBA"/>
    <w:rsid w:val="00E1333B"/>
    <w:rsid w:val="00E1333D"/>
    <w:rsid w:val="00E1341F"/>
    <w:rsid w:val="00E13504"/>
    <w:rsid w:val="00E13643"/>
    <w:rsid w:val="00E13758"/>
    <w:rsid w:val="00E13790"/>
    <w:rsid w:val="00E137AF"/>
    <w:rsid w:val="00E13926"/>
    <w:rsid w:val="00E13929"/>
    <w:rsid w:val="00E13989"/>
    <w:rsid w:val="00E13B7D"/>
    <w:rsid w:val="00E13C56"/>
    <w:rsid w:val="00E13D21"/>
    <w:rsid w:val="00E13D89"/>
    <w:rsid w:val="00E13E5A"/>
    <w:rsid w:val="00E13E82"/>
    <w:rsid w:val="00E13EEB"/>
    <w:rsid w:val="00E13F5B"/>
    <w:rsid w:val="00E13F5D"/>
    <w:rsid w:val="00E141F7"/>
    <w:rsid w:val="00E142B7"/>
    <w:rsid w:val="00E14393"/>
    <w:rsid w:val="00E143BD"/>
    <w:rsid w:val="00E14592"/>
    <w:rsid w:val="00E14669"/>
    <w:rsid w:val="00E14697"/>
    <w:rsid w:val="00E146EB"/>
    <w:rsid w:val="00E14703"/>
    <w:rsid w:val="00E14785"/>
    <w:rsid w:val="00E148A9"/>
    <w:rsid w:val="00E14A98"/>
    <w:rsid w:val="00E14D9C"/>
    <w:rsid w:val="00E14E51"/>
    <w:rsid w:val="00E14F0F"/>
    <w:rsid w:val="00E14F62"/>
    <w:rsid w:val="00E14FC8"/>
    <w:rsid w:val="00E14FCD"/>
    <w:rsid w:val="00E1501F"/>
    <w:rsid w:val="00E15072"/>
    <w:rsid w:val="00E15234"/>
    <w:rsid w:val="00E153B0"/>
    <w:rsid w:val="00E153EC"/>
    <w:rsid w:val="00E154AE"/>
    <w:rsid w:val="00E154D8"/>
    <w:rsid w:val="00E1551F"/>
    <w:rsid w:val="00E15681"/>
    <w:rsid w:val="00E159B6"/>
    <w:rsid w:val="00E159CF"/>
    <w:rsid w:val="00E15A0A"/>
    <w:rsid w:val="00E15D6A"/>
    <w:rsid w:val="00E15DD3"/>
    <w:rsid w:val="00E15E7E"/>
    <w:rsid w:val="00E16113"/>
    <w:rsid w:val="00E16196"/>
    <w:rsid w:val="00E162C4"/>
    <w:rsid w:val="00E16365"/>
    <w:rsid w:val="00E1658D"/>
    <w:rsid w:val="00E16905"/>
    <w:rsid w:val="00E1694F"/>
    <w:rsid w:val="00E16AE6"/>
    <w:rsid w:val="00E16B0B"/>
    <w:rsid w:val="00E16C27"/>
    <w:rsid w:val="00E16D4D"/>
    <w:rsid w:val="00E16DE3"/>
    <w:rsid w:val="00E16DF1"/>
    <w:rsid w:val="00E171AB"/>
    <w:rsid w:val="00E17201"/>
    <w:rsid w:val="00E17275"/>
    <w:rsid w:val="00E173DA"/>
    <w:rsid w:val="00E17442"/>
    <w:rsid w:val="00E1744B"/>
    <w:rsid w:val="00E17453"/>
    <w:rsid w:val="00E174A4"/>
    <w:rsid w:val="00E175EC"/>
    <w:rsid w:val="00E17657"/>
    <w:rsid w:val="00E1779C"/>
    <w:rsid w:val="00E177BD"/>
    <w:rsid w:val="00E17961"/>
    <w:rsid w:val="00E17BFD"/>
    <w:rsid w:val="00E200A2"/>
    <w:rsid w:val="00E200AD"/>
    <w:rsid w:val="00E200D5"/>
    <w:rsid w:val="00E201DB"/>
    <w:rsid w:val="00E202DB"/>
    <w:rsid w:val="00E20308"/>
    <w:rsid w:val="00E203A8"/>
    <w:rsid w:val="00E203D2"/>
    <w:rsid w:val="00E20683"/>
    <w:rsid w:val="00E20853"/>
    <w:rsid w:val="00E2087D"/>
    <w:rsid w:val="00E20A51"/>
    <w:rsid w:val="00E20C5D"/>
    <w:rsid w:val="00E2117F"/>
    <w:rsid w:val="00E21267"/>
    <w:rsid w:val="00E212F7"/>
    <w:rsid w:val="00E21347"/>
    <w:rsid w:val="00E2159C"/>
    <w:rsid w:val="00E217AB"/>
    <w:rsid w:val="00E21874"/>
    <w:rsid w:val="00E21A3B"/>
    <w:rsid w:val="00E21B33"/>
    <w:rsid w:val="00E21CE8"/>
    <w:rsid w:val="00E21CF6"/>
    <w:rsid w:val="00E21DA2"/>
    <w:rsid w:val="00E22040"/>
    <w:rsid w:val="00E222DC"/>
    <w:rsid w:val="00E2241E"/>
    <w:rsid w:val="00E22453"/>
    <w:rsid w:val="00E22576"/>
    <w:rsid w:val="00E226D7"/>
    <w:rsid w:val="00E226E3"/>
    <w:rsid w:val="00E22796"/>
    <w:rsid w:val="00E227CD"/>
    <w:rsid w:val="00E227F1"/>
    <w:rsid w:val="00E22B4E"/>
    <w:rsid w:val="00E22EC0"/>
    <w:rsid w:val="00E22F32"/>
    <w:rsid w:val="00E22F9B"/>
    <w:rsid w:val="00E23474"/>
    <w:rsid w:val="00E238F3"/>
    <w:rsid w:val="00E23A06"/>
    <w:rsid w:val="00E23AEE"/>
    <w:rsid w:val="00E23B3E"/>
    <w:rsid w:val="00E23C6C"/>
    <w:rsid w:val="00E23DDC"/>
    <w:rsid w:val="00E23EAE"/>
    <w:rsid w:val="00E241A4"/>
    <w:rsid w:val="00E2420E"/>
    <w:rsid w:val="00E24253"/>
    <w:rsid w:val="00E24269"/>
    <w:rsid w:val="00E24575"/>
    <w:rsid w:val="00E248FE"/>
    <w:rsid w:val="00E2498F"/>
    <w:rsid w:val="00E249E5"/>
    <w:rsid w:val="00E24AE8"/>
    <w:rsid w:val="00E24CA2"/>
    <w:rsid w:val="00E24D56"/>
    <w:rsid w:val="00E24D57"/>
    <w:rsid w:val="00E24E93"/>
    <w:rsid w:val="00E24F22"/>
    <w:rsid w:val="00E24F4D"/>
    <w:rsid w:val="00E25043"/>
    <w:rsid w:val="00E250D4"/>
    <w:rsid w:val="00E251AD"/>
    <w:rsid w:val="00E252F7"/>
    <w:rsid w:val="00E2560C"/>
    <w:rsid w:val="00E256AC"/>
    <w:rsid w:val="00E256FD"/>
    <w:rsid w:val="00E25800"/>
    <w:rsid w:val="00E25804"/>
    <w:rsid w:val="00E25976"/>
    <w:rsid w:val="00E25A8A"/>
    <w:rsid w:val="00E25B1D"/>
    <w:rsid w:val="00E25B21"/>
    <w:rsid w:val="00E25B56"/>
    <w:rsid w:val="00E25D7C"/>
    <w:rsid w:val="00E25DC5"/>
    <w:rsid w:val="00E25E5A"/>
    <w:rsid w:val="00E261CC"/>
    <w:rsid w:val="00E26425"/>
    <w:rsid w:val="00E266EA"/>
    <w:rsid w:val="00E2681B"/>
    <w:rsid w:val="00E2697B"/>
    <w:rsid w:val="00E26B80"/>
    <w:rsid w:val="00E26ED9"/>
    <w:rsid w:val="00E27079"/>
    <w:rsid w:val="00E270C4"/>
    <w:rsid w:val="00E27171"/>
    <w:rsid w:val="00E2722E"/>
    <w:rsid w:val="00E274CD"/>
    <w:rsid w:val="00E275C7"/>
    <w:rsid w:val="00E277AA"/>
    <w:rsid w:val="00E277AC"/>
    <w:rsid w:val="00E27850"/>
    <w:rsid w:val="00E27940"/>
    <w:rsid w:val="00E279FE"/>
    <w:rsid w:val="00E27A81"/>
    <w:rsid w:val="00E27B59"/>
    <w:rsid w:val="00E27C07"/>
    <w:rsid w:val="00E27C99"/>
    <w:rsid w:val="00E27D7D"/>
    <w:rsid w:val="00E27EEC"/>
    <w:rsid w:val="00E27F1F"/>
    <w:rsid w:val="00E27FDF"/>
    <w:rsid w:val="00E300CD"/>
    <w:rsid w:val="00E301DF"/>
    <w:rsid w:val="00E301FF"/>
    <w:rsid w:val="00E30346"/>
    <w:rsid w:val="00E3064F"/>
    <w:rsid w:val="00E306DD"/>
    <w:rsid w:val="00E3073B"/>
    <w:rsid w:val="00E3095C"/>
    <w:rsid w:val="00E30AF3"/>
    <w:rsid w:val="00E30CAC"/>
    <w:rsid w:val="00E30CBC"/>
    <w:rsid w:val="00E30CDB"/>
    <w:rsid w:val="00E30D88"/>
    <w:rsid w:val="00E30F4E"/>
    <w:rsid w:val="00E310D2"/>
    <w:rsid w:val="00E314DC"/>
    <w:rsid w:val="00E31BD2"/>
    <w:rsid w:val="00E31C36"/>
    <w:rsid w:val="00E31E21"/>
    <w:rsid w:val="00E32128"/>
    <w:rsid w:val="00E321CC"/>
    <w:rsid w:val="00E32332"/>
    <w:rsid w:val="00E3237C"/>
    <w:rsid w:val="00E323B6"/>
    <w:rsid w:val="00E323E3"/>
    <w:rsid w:val="00E3244B"/>
    <w:rsid w:val="00E32582"/>
    <w:rsid w:val="00E326A4"/>
    <w:rsid w:val="00E32B51"/>
    <w:rsid w:val="00E32B72"/>
    <w:rsid w:val="00E32C91"/>
    <w:rsid w:val="00E32CAF"/>
    <w:rsid w:val="00E32DBE"/>
    <w:rsid w:val="00E32E05"/>
    <w:rsid w:val="00E32E98"/>
    <w:rsid w:val="00E32FB1"/>
    <w:rsid w:val="00E33102"/>
    <w:rsid w:val="00E33421"/>
    <w:rsid w:val="00E33709"/>
    <w:rsid w:val="00E337A8"/>
    <w:rsid w:val="00E3399B"/>
    <w:rsid w:val="00E33C76"/>
    <w:rsid w:val="00E33DC5"/>
    <w:rsid w:val="00E34026"/>
    <w:rsid w:val="00E3408D"/>
    <w:rsid w:val="00E34324"/>
    <w:rsid w:val="00E34511"/>
    <w:rsid w:val="00E3463C"/>
    <w:rsid w:val="00E3487B"/>
    <w:rsid w:val="00E34A5B"/>
    <w:rsid w:val="00E34B03"/>
    <w:rsid w:val="00E34D94"/>
    <w:rsid w:val="00E34E67"/>
    <w:rsid w:val="00E34EA7"/>
    <w:rsid w:val="00E35183"/>
    <w:rsid w:val="00E3535F"/>
    <w:rsid w:val="00E3546D"/>
    <w:rsid w:val="00E35617"/>
    <w:rsid w:val="00E35839"/>
    <w:rsid w:val="00E358AA"/>
    <w:rsid w:val="00E35B6A"/>
    <w:rsid w:val="00E35DD3"/>
    <w:rsid w:val="00E35F22"/>
    <w:rsid w:val="00E36019"/>
    <w:rsid w:val="00E360D2"/>
    <w:rsid w:val="00E3623C"/>
    <w:rsid w:val="00E36355"/>
    <w:rsid w:val="00E364B2"/>
    <w:rsid w:val="00E36973"/>
    <w:rsid w:val="00E36B46"/>
    <w:rsid w:val="00E36C86"/>
    <w:rsid w:val="00E36DA8"/>
    <w:rsid w:val="00E36ECC"/>
    <w:rsid w:val="00E370A9"/>
    <w:rsid w:val="00E370C2"/>
    <w:rsid w:val="00E370D8"/>
    <w:rsid w:val="00E371FA"/>
    <w:rsid w:val="00E37668"/>
    <w:rsid w:val="00E37736"/>
    <w:rsid w:val="00E3779C"/>
    <w:rsid w:val="00E3780E"/>
    <w:rsid w:val="00E37841"/>
    <w:rsid w:val="00E378DD"/>
    <w:rsid w:val="00E40035"/>
    <w:rsid w:val="00E40241"/>
    <w:rsid w:val="00E40256"/>
    <w:rsid w:val="00E403F4"/>
    <w:rsid w:val="00E404ED"/>
    <w:rsid w:val="00E40517"/>
    <w:rsid w:val="00E40A88"/>
    <w:rsid w:val="00E40A95"/>
    <w:rsid w:val="00E40B4B"/>
    <w:rsid w:val="00E40C38"/>
    <w:rsid w:val="00E40CCA"/>
    <w:rsid w:val="00E40DB9"/>
    <w:rsid w:val="00E40E6E"/>
    <w:rsid w:val="00E4101A"/>
    <w:rsid w:val="00E4133F"/>
    <w:rsid w:val="00E4137D"/>
    <w:rsid w:val="00E413DA"/>
    <w:rsid w:val="00E417CA"/>
    <w:rsid w:val="00E41856"/>
    <w:rsid w:val="00E4189D"/>
    <w:rsid w:val="00E418F5"/>
    <w:rsid w:val="00E419C6"/>
    <w:rsid w:val="00E419D2"/>
    <w:rsid w:val="00E41BC1"/>
    <w:rsid w:val="00E41D50"/>
    <w:rsid w:val="00E41E0E"/>
    <w:rsid w:val="00E41FA8"/>
    <w:rsid w:val="00E421DC"/>
    <w:rsid w:val="00E4268D"/>
    <w:rsid w:val="00E426F1"/>
    <w:rsid w:val="00E42723"/>
    <w:rsid w:val="00E4286F"/>
    <w:rsid w:val="00E42991"/>
    <w:rsid w:val="00E429C5"/>
    <w:rsid w:val="00E42A3B"/>
    <w:rsid w:val="00E42AF9"/>
    <w:rsid w:val="00E42B65"/>
    <w:rsid w:val="00E42C08"/>
    <w:rsid w:val="00E42C88"/>
    <w:rsid w:val="00E42C9E"/>
    <w:rsid w:val="00E42D18"/>
    <w:rsid w:val="00E42DEB"/>
    <w:rsid w:val="00E42F60"/>
    <w:rsid w:val="00E4305D"/>
    <w:rsid w:val="00E430A9"/>
    <w:rsid w:val="00E4313C"/>
    <w:rsid w:val="00E43187"/>
    <w:rsid w:val="00E431D2"/>
    <w:rsid w:val="00E43225"/>
    <w:rsid w:val="00E4331B"/>
    <w:rsid w:val="00E434AA"/>
    <w:rsid w:val="00E439C7"/>
    <w:rsid w:val="00E43A42"/>
    <w:rsid w:val="00E43AAE"/>
    <w:rsid w:val="00E43C9D"/>
    <w:rsid w:val="00E43E81"/>
    <w:rsid w:val="00E43E8C"/>
    <w:rsid w:val="00E4402D"/>
    <w:rsid w:val="00E44423"/>
    <w:rsid w:val="00E444FF"/>
    <w:rsid w:val="00E446B8"/>
    <w:rsid w:val="00E4485C"/>
    <w:rsid w:val="00E448AA"/>
    <w:rsid w:val="00E44938"/>
    <w:rsid w:val="00E44B3F"/>
    <w:rsid w:val="00E44EE3"/>
    <w:rsid w:val="00E4530C"/>
    <w:rsid w:val="00E453C2"/>
    <w:rsid w:val="00E45408"/>
    <w:rsid w:val="00E454E2"/>
    <w:rsid w:val="00E4555F"/>
    <w:rsid w:val="00E45591"/>
    <w:rsid w:val="00E455F9"/>
    <w:rsid w:val="00E456B0"/>
    <w:rsid w:val="00E45771"/>
    <w:rsid w:val="00E45780"/>
    <w:rsid w:val="00E45794"/>
    <w:rsid w:val="00E457F1"/>
    <w:rsid w:val="00E458D2"/>
    <w:rsid w:val="00E45EC1"/>
    <w:rsid w:val="00E45FCC"/>
    <w:rsid w:val="00E460FF"/>
    <w:rsid w:val="00E461C5"/>
    <w:rsid w:val="00E462AF"/>
    <w:rsid w:val="00E46378"/>
    <w:rsid w:val="00E463DD"/>
    <w:rsid w:val="00E4640F"/>
    <w:rsid w:val="00E4664A"/>
    <w:rsid w:val="00E466E2"/>
    <w:rsid w:val="00E467C5"/>
    <w:rsid w:val="00E46851"/>
    <w:rsid w:val="00E469F1"/>
    <w:rsid w:val="00E46EB0"/>
    <w:rsid w:val="00E46EEF"/>
    <w:rsid w:val="00E4725D"/>
    <w:rsid w:val="00E472C8"/>
    <w:rsid w:val="00E472D3"/>
    <w:rsid w:val="00E4732E"/>
    <w:rsid w:val="00E4771C"/>
    <w:rsid w:val="00E4780D"/>
    <w:rsid w:val="00E47833"/>
    <w:rsid w:val="00E47A5B"/>
    <w:rsid w:val="00E47BE3"/>
    <w:rsid w:val="00E47C2C"/>
    <w:rsid w:val="00E47DB4"/>
    <w:rsid w:val="00E47E25"/>
    <w:rsid w:val="00E47E54"/>
    <w:rsid w:val="00E47EB1"/>
    <w:rsid w:val="00E5031D"/>
    <w:rsid w:val="00E503B5"/>
    <w:rsid w:val="00E503BC"/>
    <w:rsid w:val="00E50571"/>
    <w:rsid w:val="00E5063A"/>
    <w:rsid w:val="00E506A2"/>
    <w:rsid w:val="00E507D3"/>
    <w:rsid w:val="00E50935"/>
    <w:rsid w:val="00E509C2"/>
    <w:rsid w:val="00E50AFC"/>
    <w:rsid w:val="00E50D48"/>
    <w:rsid w:val="00E50D64"/>
    <w:rsid w:val="00E50F3D"/>
    <w:rsid w:val="00E510B6"/>
    <w:rsid w:val="00E5129F"/>
    <w:rsid w:val="00E513BC"/>
    <w:rsid w:val="00E51492"/>
    <w:rsid w:val="00E514CD"/>
    <w:rsid w:val="00E514FE"/>
    <w:rsid w:val="00E5157C"/>
    <w:rsid w:val="00E51699"/>
    <w:rsid w:val="00E517FD"/>
    <w:rsid w:val="00E51858"/>
    <w:rsid w:val="00E5186F"/>
    <w:rsid w:val="00E518F7"/>
    <w:rsid w:val="00E51975"/>
    <w:rsid w:val="00E51A05"/>
    <w:rsid w:val="00E51A3C"/>
    <w:rsid w:val="00E51D3E"/>
    <w:rsid w:val="00E52190"/>
    <w:rsid w:val="00E52286"/>
    <w:rsid w:val="00E5230F"/>
    <w:rsid w:val="00E52368"/>
    <w:rsid w:val="00E5246B"/>
    <w:rsid w:val="00E524F1"/>
    <w:rsid w:val="00E52520"/>
    <w:rsid w:val="00E52595"/>
    <w:rsid w:val="00E525A5"/>
    <w:rsid w:val="00E525B3"/>
    <w:rsid w:val="00E5268D"/>
    <w:rsid w:val="00E52873"/>
    <w:rsid w:val="00E528B1"/>
    <w:rsid w:val="00E52A1C"/>
    <w:rsid w:val="00E52A84"/>
    <w:rsid w:val="00E52AF1"/>
    <w:rsid w:val="00E52BF6"/>
    <w:rsid w:val="00E52C42"/>
    <w:rsid w:val="00E52DF5"/>
    <w:rsid w:val="00E52EBC"/>
    <w:rsid w:val="00E52EE6"/>
    <w:rsid w:val="00E52EFB"/>
    <w:rsid w:val="00E52F9F"/>
    <w:rsid w:val="00E53054"/>
    <w:rsid w:val="00E530B8"/>
    <w:rsid w:val="00E53111"/>
    <w:rsid w:val="00E53143"/>
    <w:rsid w:val="00E53266"/>
    <w:rsid w:val="00E5341A"/>
    <w:rsid w:val="00E534CE"/>
    <w:rsid w:val="00E53521"/>
    <w:rsid w:val="00E535AC"/>
    <w:rsid w:val="00E536E3"/>
    <w:rsid w:val="00E536F4"/>
    <w:rsid w:val="00E53797"/>
    <w:rsid w:val="00E53820"/>
    <w:rsid w:val="00E53942"/>
    <w:rsid w:val="00E53B5C"/>
    <w:rsid w:val="00E53B91"/>
    <w:rsid w:val="00E53C62"/>
    <w:rsid w:val="00E53D95"/>
    <w:rsid w:val="00E53F2D"/>
    <w:rsid w:val="00E53F57"/>
    <w:rsid w:val="00E53F8B"/>
    <w:rsid w:val="00E5408B"/>
    <w:rsid w:val="00E544CD"/>
    <w:rsid w:val="00E548D3"/>
    <w:rsid w:val="00E548D9"/>
    <w:rsid w:val="00E54902"/>
    <w:rsid w:val="00E54AE6"/>
    <w:rsid w:val="00E54AFA"/>
    <w:rsid w:val="00E54BBA"/>
    <w:rsid w:val="00E54CB3"/>
    <w:rsid w:val="00E54E12"/>
    <w:rsid w:val="00E54EA3"/>
    <w:rsid w:val="00E54F4F"/>
    <w:rsid w:val="00E5500A"/>
    <w:rsid w:val="00E5513E"/>
    <w:rsid w:val="00E553E8"/>
    <w:rsid w:val="00E55707"/>
    <w:rsid w:val="00E55764"/>
    <w:rsid w:val="00E55C59"/>
    <w:rsid w:val="00E55DDE"/>
    <w:rsid w:val="00E55E0C"/>
    <w:rsid w:val="00E55EBF"/>
    <w:rsid w:val="00E561CE"/>
    <w:rsid w:val="00E561F3"/>
    <w:rsid w:val="00E56257"/>
    <w:rsid w:val="00E56368"/>
    <w:rsid w:val="00E565E2"/>
    <w:rsid w:val="00E5665E"/>
    <w:rsid w:val="00E56836"/>
    <w:rsid w:val="00E56857"/>
    <w:rsid w:val="00E569F1"/>
    <w:rsid w:val="00E56B71"/>
    <w:rsid w:val="00E56BBC"/>
    <w:rsid w:val="00E56D87"/>
    <w:rsid w:val="00E56DFF"/>
    <w:rsid w:val="00E56E37"/>
    <w:rsid w:val="00E56EC7"/>
    <w:rsid w:val="00E570CF"/>
    <w:rsid w:val="00E5720B"/>
    <w:rsid w:val="00E5720F"/>
    <w:rsid w:val="00E572E6"/>
    <w:rsid w:val="00E574BF"/>
    <w:rsid w:val="00E57539"/>
    <w:rsid w:val="00E576F6"/>
    <w:rsid w:val="00E57854"/>
    <w:rsid w:val="00E57860"/>
    <w:rsid w:val="00E578C2"/>
    <w:rsid w:val="00E578DA"/>
    <w:rsid w:val="00E578FE"/>
    <w:rsid w:val="00E57B25"/>
    <w:rsid w:val="00E57B77"/>
    <w:rsid w:val="00E57D68"/>
    <w:rsid w:val="00E57DC9"/>
    <w:rsid w:val="00E6002F"/>
    <w:rsid w:val="00E60182"/>
    <w:rsid w:val="00E601DA"/>
    <w:rsid w:val="00E60299"/>
    <w:rsid w:val="00E60330"/>
    <w:rsid w:val="00E60397"/>
    <w:rsid w:val="00E60686"/>
    <w:rsid w:val="00E606EE"/>
    <w:rsid w:val="00E607BA"/>
    <w:rsid w:val="00E6084B"/>
    <w:rsid w:val="00E6099B"/>
    <w:rsid w:val="00E60A7F"/>
    <w:rsid w:val="00E60BC5"/>
    <w:rsid w:val="00E60BDE"/>
    <w:rsid w:val="00E60F29"/>
    <w:rsid w:val="00E61240"/>
    <w:rsid w:val="00E61253"/>
    <w:rsid w:val="00E61355"/>
    <w:rsid w:val="00E615F2"/>
    <w:rsid w:val="00E6161B"/>
    <w:rsid w:val="00E616EB"/>
    <w:rsid w:val="00E61979"/>
    <w:rsid w:val="00E61A0C"/>
    <w:rsid w:val="00E61AB1"/>
    <w:rsid w:val="00E61B6D"/>
    <w:rsid w:val="00E61DB0"/>
    <w:rsid w:val="00E61F24"/>
    <w:rsid w:val="00E61FDB"/>
    <w:rsid w:val="00E62538"/>
    <w:rsid w:val="00E625A7"/>
    <w:rsid w:val="00E6273C"/>
    <w:rsid w:val="00E62750"/>
    <w:rsid w:val="00E627D6"/>
    <w:rsid w:val="00E627E1"/>
    <w:rsid w:val="00E6284A"/>
    <w:rsid w:val="00E629AB"/>
    <w:rsid w:val="00E62A4F"/>
    <w:rsid w:val="00E62AAD"/>
    <w:rsid w:val="00E62B21"/>
    <w:rsid w:val="00E62C4F"/>
    <w:rsid w:val="00E62EF3"/>
    <w:rsid w:val="00E62F40"/>
    <w:rsid w:val="00E63322"/>
    <w:rsid w:val="00E633EC"/>
    <w:rsid w:val="00E637ED"/>
    <w:rsid w:val="00E63851"/>
    <w:rsid w:val="00E6394A"/>
    <w:rsid w:val="00E63993"/>
    <w:rsid w:val="00E63BF1"/>
    <w:rsid w:val="00E64001"/>
    <w:rsid w:val="00E640AB"/>
    <w:rsid w:val="00E642B4"/>
    <w:rsid w:val="00E6439C"/>
    <w:rsid w:val="00E64448"/>
    <w:rsid w:val="00E6449A"/>
    <w:rsid w:val="00E644DB"/>
    <w:rsid w:val="00E64653"/>
    <w:rsid w:val="00E64655"/>
    <w:rsid w:val="00E64691"/>
    <w:rsid w:val="00E6482D"/>
    <w:rsid w:val="00E64CF9"/>
    <w:rsid w:val="00E64DF2"/>
    <w:rsid w:val="00E64EC9"/>
    <w:rsid w:val="00E650EF"/>
    <w:rsid w:val="00E6517D"/>
    <w:rsid w:val="00E65182"/>
    <w:rsid w:val="00E65186"/>
    <w:rsid w:val="00E65361"/>
    <w:rsid w:val="00E6543B"/>
    <w:rsid w:val="00E65546"/>
    <w:rsid w:val="00E65600"/>
    <w:rsid w:val="00E657BA"/>
    <w:rsid w:val="00E65817"/>
    <w:rsid w:val="00E658BA"/>
    <w:rsid w:val="00E658EC"/>
    <w:rsid w:val="00E65AA0"/>
    <w:rsid w:val="00E65B99"/>
    <w:rsid w:val="00E65C47"/>
    <w:rsid w:val="00E65CB3"/>
    <w:rsid w:val="00E65F71"/>
    <w:rsid w:val="00E65F84"/>
    <w:rsid w:val="00E65F90"/>
    <w:rsid w:val="00E6610E"/>
    <w:rsid w:val="00E6629E"/>
    <w:rsid w:val="00E6633B"/>
    <w:rsid w:val="00E66366"/>
    <w:rsid w:val="00E667BC"/>
    <w:rsid w:val="00E66872"/>
    <w:rsid w:val="00E66956"/>
    <w:rsid w:val="00E669C5"/>
    <w:rsid w:val="00E669CD"/>
    <w:rsid w:val="00E66B40"/>
    <w:rsid w:val="00E66B68"/>
    <w:rsid w:val="00E66BE0"/>
    <w:rsid w:val="00E66EB6"/>
    <w:rsid w:val="00E66FBF"/>
    <w:rsid w:val="00E6706C"/>
    <w:rsid w:val="00E67088"/>
    <w:rsid w:val="00E671A0"/>
    <w:rsid w:val="00E671D2"/>
    <w:rsid w:val="00E672AE"/>
    <w:rsid w:val="00E672EE"/>
    <w:rsid w:val="00E673D6"/>
    <w:rsid w:val="00E674B2"/>
    <w:rsid w:val="00E674CC"/>
    <w:rsid w:val="00E67503"/>
    <w:rsid w:val="00E67737"/>
    <w:rsid w:val="00E677D7"/>
    <w:rsid w:val="00E677E6"/>
    <w:rsid w:val="00E67AF3"/>
    <w:rsid w:val="00E67B84"/>
    <w:rsid w:val="00E67CC8"/>
    <w:rsid w:val="00E67E94"/>
    <w:rsid w:val="00E67FEE"/>
    <w:rsid w:val="00E700B4"/>
    <w:rsid w:val="00E704A0"/>
    <w:rsid w:val="00E705F5"/>
    <w:rsid w:val="00E706A4"/>
    <w:rsid w:val="00E70728"/>
    <w:rsid w:val="00E70811"/>
    <w:rsid w:val="00E70BF2"/>
    <w:rsid w:val="00E70D2C"/>
    <w:rsid w:val="00E70DC0"/>
    <w:rsid w:val="00E70DE5"/>
    <w:rsid w:val="00E70FC6"/>
    <w:rsid w:val="00E713B6"/>
    <w:rsid w:val="00E71525"/>
    <w:rsid w:val="00E715DA"/>
    <w:rsid w:val="00E71677"/>
    <w:rsid w:val="00E716ED"/>
    <w:rsid w:val="00E7174A"/>
    <w:rsid w:val="00E717D6"/>
    <w:rsid w:val="00E71984"/>
    <w:rsid w:val="00E719F6"/>
    <w:rsid w:val="00E71E17"/>
    <w:rsid w:val="00E71E48"/>
    <w:rsid w:val="00E72287"/>
    <w:rsid w:val="00E7237F"/>
    <w:rsid w:val="00E723E3"/>
    <w:rsid w:val="00E724EB"/>
    <w:rsid w:val="00E72561"/>
    <w:rsid w:val="00E7257C"/>
    <w:rsid w:val="00E7277E"/>
    <w:rsid w:val="00E727FE"/>
    <w:rsid w:val="00E7294E"/>
    <w:rsid w:val="00E729EB"/>
    <w:rsid w:val="00E72AC3"/>
    <w:rsid w:val="00E72B21"/>
    <w:rsid w:val="00E72B65"/>
    <w:rsid w:val="00E72C8A"/>
    <w:rsid w:val="00E72DB2"/>
    <w:rsid w:val="00E72E4A"/>
    <w:rsid w:val="00E72F69"/>
    <w:rsid w:val="00E72FDD"/>
    <w:rsid w:val="00E7318C"/>
    <w:rsid w:val="00E73264"/>
    <w:rsid w:val="00E732B8"/>
    <w:rsid w:val="00E73407"/>
    <w:rsid w:val="00E7341E"/>
    <w:rsid w:val="00E73467"/>
    <w:rsid w:val="00E734BB"/>
    <w:rsid w:val="00E735B1"/>
    <w:rsid w:val="00E73655"/>
    <w:rsid w:val="00E737A9"/>
    <w:rsid w:val="00E73992"/>
    <w:rsid w:val="00E739BE"/>
    <w:rsid w:val="00E73BB3"/>
    <w:rsid w:val="00E73F3A"/>
    <w:rsid w:val="00E74263"/>
    <w:rsid w:val="00E742BB"/>
    <w:rsid w:val="00E742FC"/>
    <w:rsid w:val="00E74387"/>
    <w:rsid w:val="00E744C8"/>
    <w:rsid w:val="00E7450F"/>
    <w:rsid w:val="00E746C0"/>
    <w:rsid w:val="00E74818"/>
    <w:rsid w:val="00E748F3"/>
    <w:rsid w:val="00E749AE"/>
    <w:rsid w:val="00E74AA8"/>
    <w:rsid w:val="00E74CE5"/>
    <w:rsid w:val="00E74DB1"/>
    <w:rsid w:val="00E74E28"/>
    <w:rsid w:val="00E74E70"/>
    <w:rsid w:val="00E74FA9"/>
    <w:rsid w:val="00E751BB"/>
    <w:rsid w:val="00E75931"/>
    <w:rsid w:val="00E7598E"/>
    <w:rsid w:val="00E759B8"/>
    <w:rsid w:val="00E759FB"/>
    <w:rsid w:val="00E75C53"/>
    <w:rsid w:val="00E75F58"/>
    <w:rsid w:val="00E75F8F"/>
    <w:rsid w:val="00E76082"/>
    <w:rsid w:val="00E761B1"/>
    <w:rsid w:val="00E7624C"/>
    <w:rsid w:val="00E765F2"/>
    <w:rsid w:val="00E767FA"/>
    <w:rsid w:val="00E768AE"/>
    <w:rsid w:val="00E76925"/>
    <w:rsid w:val="00E769DC"/>
    <w:rsid w:val="00E769F0"/>
    <w:rsid w:val="00E76AF5"/>
    <w:rsid w:val="00E76B5E"/>
    <w:rsid w:val="00E76E36"/>
    <w:rsid w:val="00E76F80"/>
    <w:rsid w:val="00E770DF"/>
    <w:rsid w:val="00E7715D"/>
    <w:rsid w:val="00E771D2"/>
    <w:rsid w:val="00E77354"/>
    <w:rsid w:val="00E775B7"/>
    <w:rsid w:val="00E7779D"/>
    <w:rsid w:val="00E7781E"/>
    <w:rsid w:val="00E7787F"/>
    <w:rsid w:val="00E7790A"/>
    <w:rsid w:val="00E77A5F"/>
    <w:rsid w:val="00E77E28"/>
    <w:rsid w:val="00E77E35"/>
    <w:rsid w:val="00E77F08"/>
    <w:rsid w:val="00E80156"/>
    <w:rsid w:val="00E80189"/>
    <w:rsid w:val="00E801EF"/>
    <w:rsid w:val="00E80353"/>
    <w:rsid w:val="00E80532"/>
    <w:rsid w:val="00E805A6"/>
    <w:rsid w:val="00E80617"/>
    <w:rsid w:val="00E806D6"/>
    <w:rsid w:val="00E807EE"/>
    <w:rsid w:val="00E80991"/>
    <w:rsid w:val="00E8099E"/>
    <w:rsid w:val="00E809F0"/>
    <w:rsid w:val="00E80AFB"/>
    <w:rsid w:val="00E80C74"/>
    <w:rsid w:val="00E80CE9"/>
    <w:rsid w:val="00E80D2A"/>
    <w:rsid w:val="00E80D73"/>
    <w:rsid w:val="00E80EB2"/>
    <w:rsid w:val="00E80F04"/>
    <w:rsid w:val="00E80F3E"/>
    <w:rsid w:val="00E80F93"/>
    <w:rsid w:val="00E80F9F"/>
    <w:rsid w:val="00E81073"/>
    <w:rsid w:val="00E811C0"/>
    <w:rsid w:val="00E81246"/>
    <w:rsid w:val="00E813C2"/>
    <w:rsid w:val="00E816E5"/>
    <w:rsid w:val="00E81756"/>
    <w:rsid w:val="00E817A9"/>
    <w:rsid w:val="00E817CB"/>
    <w:rsid w:val="00E8187A"/>
    <w:rsid w:val="00E818A2"/>
    <w:rsid w:val="00E818E1"/>
    <w:rsid w:val="00E81ADA"/>
    <w:rsid w:val="00E81BAA"/>
    <w:rsid w:val="00E81D15"/>
    <w:rsid w:val="00E81DF0"/>
    <w:rsid w:val="00E81F72"/>
    <w:rsid w:val="00E81FF5"/>
    <w:rsid w:val="00E82199"/>
    <w:rsid w:val="00E82207"/>
    <w:rsid w:val="00E8235B"/>
    <w:rsid w:val="00E82464"/>
    <w:rsid w:val="00E82499"/>
    <w:rsid w:val="00E824AF"/>
    <w:rsid w:val="00E82626"/>
    <w:rsid w:val="00E8274E"/>
    <w:rsid w:val="00E8278A"/>
    <w:rsid w:val="00E8289D"/>
    <w:rsid w:val="00E82933"/>
    <w:rsid w:val="00E82B53"/>
    <w:rsid w:val="00E82D1F"/>
    <w:rsid w:val="00E83224"/>
    <w:rsid w:val="00E83498"/>
    <w:rsid w:val="00E83622"/>
    <w:rsid w:val="00E83628"/>
    <w:rsid w:val="00E83713"/>
    <w:rsid w:val="00E83866"/>
    <w:rsid w:val="00E838C7"/>
    <w:rsid w:val="00E83A1A"/>
    <w:rsid w:val="00E83A1D"/>
    <w:rsid w:val="00E83A87"/>
    <w:rsid w:val="00E83BE8"/>
    <w:rsid w:val="00E83BED"/>
    <w:rsid w:val="00E83CDC"/>
    <w:rsid w:val="00E83DDF"/>
    <w:rsid w:val="00E83EFE"/>
    <w:rsid w:val="00E83F84"/>
    <w:rsid w:val="00E83FE2"/>
    <w:rsid w:val="00E84041"/>
    <w:rsid w:val="00E8412D"/>
    <w:rsid w:val="00E84222"/>
    <w:rsid w:val="00E842A4"/>
    <w:rsid w:val="00E84356"/>
    <w:rsid w:val="00E84560"/>
    <w:rsid w:val="00E8464F"/>
    <w:rsid w:val="00E84746"/>
    <w:rsid w:val="00E84784"/>
    <w:rsid w:val="00E8489E"/>
    <w:rsid w:val="00E848EA"/>
    <w:rsid w:val="00E84BBB"/>
    <w:rsid w:val="00E84CC4"/>
    <w:rsid w:val="00E851BE"/>
    <w:rsid w:val="00E851E6"/>
    <w:rsid w:val="00E852DF"/>
    <w:rsid w:val="00E853BE"/>
    <w:rsid w:val="00E85413"/>
    <w:rsid w:val="00E8541F"/>
    <w:rsid w:val="00E854A8"/>
    <w:rsid w:val="00E854DA"/>
    <w:rsid w:val="00E85A63"/>
    <w:rsid w:val="00E85C29"/>
    <w:rsid w:val="00E85CB6"/>
    <w:rsid w:val="00E85DF4"/>
    <w:rsid w:val="00E85E16"/>
    <w:rsid w:val="00E85E3B"/>
    <w:rsid w:val="00E85F4E"/>
    <w:rsid w:val="00E85FEA"/>
    <w:rsid w:val="00E8622A"/>
    <w:rsid w:val="00E863EA"/>
    <w:rsid w:val="00E8648F"/>
    <w:rsid w:val="00E86820"/>
    <w:rsid w:val="00E868A6"/>
    <w:rsid w:val="00E868E9"/>
    <w:rsid w:val="00E869BC"/>
    <w:rsid w:val="00E86AB9"/>
    <w:rsid w:val="00E86E49"/>
    <w:rsid w:val="00E8708D"/>
    <w:rsid w:val="00E87097"/>
    <w:rsid w:val="00E8719F"/>
    <w:rsid w:val="00E8722D"/>
    <w:rsid w:val="00E872EC"/>
    <w:rsid w:val="00E87510"/>
    <w:rsid w:val="00E87739"/>
    <w:rsid w:val="00E87760"/>
    <w:rsid w:val="00E878FF"/>
    <w:rsid w:val="00E879D6"/>
    <w:rsid w:val="00E87BFB"/>
    <w:rsid w:val="00E87CC0"/>
    <w:rsid w:val="00E90083"/>
    <w:rsid w:val="00E90196"/>
    <w:rsid w:val="00E90371"/>
    <w:rsid w:val="00E90578"/>
    <w:rsid w:val="00E905E0"/>
    <w:rsid w:val="00E9065E"/>
    <w:rsid w:val="00E906A2"/>
    <w:rsid w:val="00E90725"/>
    <w:rsid w:val="00E908F0"/>
    <w:rsid w:val="00E90977"/>
    <w:rsid w:val="00E90998"/>
    <w:rsid w:val="00E90E8C"/>
    <w:rsid w:val="00E90F3F"/>
    <w:rsid w:val="00E90F5B"/>
    <w:rsid w:val="00E90FE1"/>
    <w:rsid w:val="00E9117F"/>
    <w:rsid w:val="00E911AE"/>
    <w:rsid w:val="00E91238"/>
    <w:rsid w:val="00E91417"/>
    <w:rsid w:val="00E914F4"/>
    <w:rsid w:val="00E91586"/>
    <w:rsid w:val="00E916AE"/>
    <w:rsid w:val="00E91746"/>
    <w:rsid w:val="00E91791"/>
    <w:rsid w:val="00E91813"/>
    <w:rsid w:val="00E91D88"/>
    <w:rsid w:val="00E91DB5"/>
    <w:rsid w:val="00E91E77"/>
    <w:rsid w:val="00E91F4D"/>
    <w:rsid w:val="00E921F4"/>
    <w:rsid w:val="00E92344"/>
    <w:rsid w:val="00E9234D"/>
    <w:rsid w:val="00E925A8"/>
    <w:rsid w:val="00E9277A"/>
    <w:rsid w:val="00E92870"/>
    <w:rsid w:val="00E92ABD"/>
    <w:rsid w:val="00E92ACA"/>
    <w:rsid w:val="00E92B14"/>
    <w:rsid w:val="00E92B32"/>
    <w:rsid w:val="00E92BDC"/>
    <w:rsid w:val="00E92E6C"/>
    <w:rsid w:val="00E92E7E"/>
    <w:rsid w:val="00E932B0"/>
    <w:rsid w:val="00E9355E"/>
    <w:rsid w:val="00E937E0"/>
    <w:rsid w:val="00E9385F"/>
    <w:rsid w:val="00E93A4C"/>
    <w:rsid w:val="00E93B54"/>
    <w:rsid w:val="00E93BE8"/>
    <w:rsid w:val="00E93D05"/>
    <w:rsid w:val="00E93D49"/>
    <w:rsid w:val="00E93FAE"/>
    <w:rsid w:val="00E940BB"/>
    <w:rsid w:val="00E940D9"/>
    <w:rsid w:val="00E94217"/>
    <w:rsid w:val="00E9425B"/>
    <w:rsid w:val="00E942E8"/>
    <w:rsid w:val="00E943EA"/>
    <w:rsid w:val="00E94423"/>
    <w:rsid w:val="00E946BE"/>
    <w:rsid w:val="00E948A3"/>
    <w:rsid w:val="00E948B1"/>
    <w:rsid w:val="00E94C17"/>
    <w:rsid w:val="00E94D91"/>
    <w:rsid w:val="00E9503D"/>
    <w:rsid w:val="00E95133"/>
    <w:rsid w:val="00E951B2"/>
    <w:rsid w:val="00E952A8"/>
    <w:rsid w:val="00E9551A"/>
    <w:rsid w:val="00E955ED"/>
    <w:rsid w:val="00E9569E"/>
    <w:rsid w:val="00E95980"/>
    <w:rsid w:val="00E959F5"/>
    <w:rsid w:val="00E95A09"/>
    <w:rsid w:val="00E95A59"/>
    <w:rsid w:val="00E95AD0"/>
    <w:rsid w:val="00E95FA7"/>
    <w:rsid w:val="00E9607C"/>
    <w:rsid w:val="00E96206"/>
    <w:rsid w:val="00E962D5"/>
    <w:rsid w:val="00E963BA"/>
    <w:rsid w:val="00E963EE"/>
    <w:rsid w:val="00E96732"/>
    <w:rsid w:val="00E967FF"/>
    <w:rsid w:val="00E96B30"/>
    <w:rsid w:val="00E96D47"/>
    <w:rsid w:val="00E96DFF"/>
    <w:rsid w:val="00E96EBA"/>
    <w:rsid w:val="00E96F14"/>
    <w:rsid w:val="00E96F4E"/>
    <w:rsid w:val="00E97007"/>
    <w:rsid w:val="00E97098"/>
    <w:rsid w:val="00E970ED"/>
    <w:rsid w:val="00E971A1"/>
    <w:rsid w:val="00E9725B"/>
    <w:rsid w:val="00E9738C"/>
    <w:rsid w:val="00E973DA"/>
    <w:rsid w:val="00E975F1"/>
    <w:rsid w:val="00E9760D"/>
    <w:rsid w:val="00E977C4"/>
    <w:rsid w:val="00E9785E"/>
    <w:rsid w:val="00E97A47"/>
    <w:rsid w:val="00E97ACF"/>
    <w:rsid w:val="00E97BEC"/>
    <w:rsid w:val="00E97CE9"/>
    <w:rsid w:val="00E97D0B"/>
    <w:rsid w:val="00E97D80"/>
    <w:rsid w:val="00E97F3F"/>
    <w:rsid w:val="00E97F7F"/>
    <w:rsid w:val="00EA01A5"/>
    <w:rsid w:val="00EA0293"/>
    <w:rsid w:val="00EA02B5"/>
    <w:rsid w:val="00EA0429"/>
    <w:rsid w:val="00EA067C"/>
    <w:rsid w:val="00EA0735"/>
    <w:rsid w:val="00EA080C"/>
    <w:rsid w:val="00EA08DC"/>
    <w:rsid w:val="00EA08F0"/>
    <w:rsid w:val="00EA0916"/>
    <w:rsid w:val="00EA093A"/>
    <w:rsid w:val="00EA0ABC"/>
    <w:rsid w:val="00EA0B76"/>
    <w:rsid w:val="00EA0C04"/>
    <w:rsid w:val="00EA0D21"/>
    <w:rsid w:val="00EA0D63"/>
    <w:rsid w:val="00EA0D9C"/>
    <w:rsid w:val="00EA0DB0"/>
    <w:rsid w:val="00EA0F0E"/>
    <w:rsid w:val="00EA10E7"/>
    <w:rsid w:val="00EA1268"/>
    <w:rsid w:val="00EA12DC"/>
    <w:rsid w:val="00EA13CD"/>
    <w:rsid w:val="00EA1522"/>
    <w:rsid w:val="00EA15B6"/>
    <w:rsid w:val="00EA165F"/>
    <w:rsid w:val="00EA16F7"/>
    <w:rsid w:val="00EA1720"/>
    <w:rsid w:val="00EA17E4"/>
    <w:rsid w:val="00EA18CE"/>
    <w:rsid w:val="00EA1992"/>
    <w:rsid w:val="00EA1B43"/>
    <w:rsid w:val="00EA1BA5"/>
    <w:rsid w:val="00EA1C39"/>
    <w:rsid w:val="00EA1C94"/>
    <w:rsid w:val="00EA1CC7"/>
    <w:rsid w:val="00EA204F"/>
    <w:rsid w:val="00EA210C"/>
    <w:rsid w:val="00EA211F"/>
    <w:rsid w:val="00EA224D"/>
    <w:rsid w:val="00EA22E6"/>
    <w:rsid w:val="00EA22E9"/>
    <w:rsid w:val="00EA23B1"/>
    <w:rsid w:val="00EA2444"/>
    <w:rsid w:val="00EA2490"/>
    <w:rsid w:val="00EA2607"/>
    <w:rsid w:val="00EA274B"/>
    <w:rsid w:val="00EA2983"/>
    <w:rsid w:val="00EA2A42"/>
    <w:rsid w:val="00EA2B4F"/>
    <w:rsid w:val="00EA2C76"/>
    <w:rsid w:val="00EA2CA7"/>
    <w:rsid w:val="00EA2D8D"/>
    <w:rsid w:val="00EA2EFB"/>
    <w:rsid w:val="00EA2F5C"/>
    <w:rsid w:val="00EA3015"/>
    <w:rsid w:val="00EA32BB"/>
    <w:rsid w:val="00EA346C"/>
    <w:rsid w:val="00EA3582"/>
    <w:rsid w:val="00EA3623"/>
    <w:rsid w:val="00EA3747"/>
    <w:rsid w:val="00EA3B0B"/>
    <w:rsid w:val="00EA3F2C"/>
    <w:rsid w:val="00EA413D"/>
    <w:rsid w:val="00EA41B1"/>
    <w:rsid w:val="00EA4243"/>
    <w:rsid w:val="00EA430E"/>
    <w:rsid w:val="00EA4525"/>
    <w:rsid w:val="00EA453E"/>
    <w:rsid w:val="00EA45B3"/>
    <w:rsid w:val="00EA4631"/>
    <w:rsid w:val="00EA46AA"/>
    <w:rsid w:val="00EA46CE"/>
    <w:rsid w:val="00EA47A1"/>
    <w:rsid w:val="00EA47CB"/>
    <w:rsid w:val="00EA47ED"/>
    <w:rsid w:val="00EA4840"/>
    <w:rsid w:val="00EA48DC"/>
    <w:rsid w:val="00EA4939"/>
    <w:rsid w:val="00EA4943"/>
    <w:rsid w:val="00EA4BBA"/>
    <w:rsid w:val="00EA4D3D"/>
    <w:rsid w:val="00EA4DCA"/>
    <w:rsid w:val="00EA4E1D"/>
    <w:rsid w:val="00EA4E2D"/>
    <w:rsid w:val="00EA4FDF"/>
    <w:rsid w:val="00EA50ED"/>
    <w:rsid w:val="00EA51AF"/>
    <w:rsid w:val="00EA52CB"/>
    <w:rsid w:val="00EA54A0"/>
    <w:rsid w:val="00EA5555"/>
    <w:rsid w:val="00EA586B"/>
    <w:rsid w:val="00EA598D"/>
    <w:rsid w:val="00EA59D9"/>
    <w:rsid w:val="00EA5DD3"/>
    <w:rsid w:val="00EA5FE7"/>
    <w:rsid w:val="00EA60B3"/>
    <w:rsid w:val="00EA65F9"/>
    <w:rsid w:val="00EA6726"/>
    <w:rsid w:val="00EA67BA"/>
    <w:rsid w:val="00EA67D7"/>
    <w:rsid w:val="00EA6808"/>
    <w:rsid w:val="00EA68CB"/>
    <w:rsid w:val="00EA68F2"/>
    <w:rsid w:val="00EA69EC"/>
    <w:rsid w:val="00EA6A16"/>
    <w:rsid w:val="00EA6A21"/>
    <w:rsid w:val="00EA6B1A"/>
    <w:rsid w:val="00EA6B5A"/>
    <w:rsid w:val="00EA6C12"/>
    <w:rsid w:val="00EA6C14"/>
    <w:rsid w:val="00EA6C3A"/>
    <w:rsid w:val="00EA6E6E"/>
    <w:rsid w:val="00EA71F1"/>
    <w:rsid w:val="00EA72A4"/>
    <w:rsid w:val="00EA72DA"/>
    <w:rsid w:val="00EA72F2"/>
    <w:rsid w:val="00EA73AA"/>
    <w:rsid w:val="00EA7429"/>
    <w:rsid w:val="00EA76E2"/>
    <w:rsid w:val="00EA7705"/>
    <w:rsid w:val="00EA776A"/>
    <w:rsid w:val="00EA7C1D"/>
    <w:rsid w:val="00EA7ECA"/>
    <w:rsid w:val="00EA7ED1"/>
    <w:rsid w:val="00EB01E1"/>
    <w:rsid w:val="00EB0322"/>
    <w:rsid w:val="00EB069D"/>
    <w:rsid w:val="00EB0957"/>
    <w:rsid w:val="00EB0DF2"/>
    <w:rsid w:val="00EB1114"/>
    <w:rsid w:val="00EB15E8"/>
    <w:rsid w:val="00EB163F"/>
    <w:rsid w:val="00EB166C"/>
    <w:rsid w:val="00EB1794"/>
    <w:rsid w:val="00EB1795"/>
    <w:rsid w:val="00EB1822"/>
    <w:rsid w:val="00EB194C"/>
    <w:rsid w:val="00EB1B67"/>
    <w:rsid w:val="00EB1C49"/>
    <w:rsid w:val="00EB1EB6"/>
    <w:rsid w:val="00EB1FD9"/>
    <w:rsid w:val="00EB22B4"/>
    <w:rsid w:val="00EB22D5"/>
    <w:rsid w:val="00EB234D"/>
    <w:rsid w:val="00EB2393"/>
    <w:rsid w:val="00EB239F"/>
    <w:rsid w:val="00EB26BE"/>
    <w:rsid w:val="00EB26CC"/>
    <w:rsid w:val="00EB26F0"/>
    <w:rsid w:val="00EB273E"/>
    <w:rsid w:val="00EB2781"/>
    <w:rsid w:val="00EB2867"/>
    <w:rsid w:val="00EB299B"/>
    <w:rsid w:val="00EB2B95"/>
    <w:rsid w:val="00EB2C87"/>
    <w:rsid w:val="00EB2D52"/>
    <w:rsid w:val="00EB2DF5"/>
    <w:rsid w:val="00EB2E86"/>
    <w:rsid w:val="00EB3090"/>
    <w:rsid w:val="00EB31DD"/>
    <w:rsid w:val="00EB3262"/>
    <w:rsid w:val="00EB3313"/>
    <w:rsid w:val="00EB3315"/>
    <w:rsid w:val="00EB347D"/>
    <w:rsid w:val="00EB37FB"/>
    <w:rsid w:val="00EB387D"/>
    <w:rsid w:val="00EB388D"/>
    <w:rsid w:val="00EB3DB3"/>
    <w:rsid w:val="00EB3EF0"/>
    <w:rsid w:val="00EB3FA8"/>
    <w:rsid w:val="00EB3FF2"/>
    <w:rsid w:val="00EB3FF7"/>
    <w:rsid w:val="00EB41DB"/>
    <w:rsid w:val="00EB43C9"/>
    <w:rsid w:val="00EB44CD"/>
    <w:rsid w:val="00EB4873"/>
    <w:rsid w:val="00EB49E8"/>
    <w:rsid w:val="00EB4D4F"/>
    <w:rsid w:val="00EB4E7F"/>
    <w:rsid w:val="00EB4FBF"/>
    <w:rsid w:val="00EB4FC9"/>
    <w:rsid w:val="00EB4FD7"/>
    <w:rsid w:val="00EB526B"/>
    <w:rsid w:val="00EB5283"/>
    <w:rsid w:val="00EB539A"/>
    <w:rsid w:val="00EB53CC"/>
    <w:rsid w:val="00EB53D9"/>
    <w:rsid w:val="00EB5571"/>
    <w:rsid w:val="00EB55D8"/>
    <w:rsid w:val="00EB5688"/>
    <w:rsid w:val="00EB595E"/>
    <w:rsid w:val="00EB6015"/>
    <w:rsid w:val="00EB60A1"/>
    <w:rsid w:val="00EB6297"/>
    <w:rsid w:val="00EB62F8"/>
    <w:rsid w:val="00EB6335"/>
    <w:rsid w:val="00EB6449"/>
    <w:rsid w:val="00EB65D5"/>
    <w:rsid w:val="00EB66FA"/>
    <w:rsid w:val="00EB6791"/>
    <w:rsid w:val="00EB67D4"/>
    <w:rsid w:val="00EB6951"/>
    <w:rsid w:val="00EB6B9E"/>
    <w:rsid w:val="00EB6E1B"/>
    <w:rsid w:val="00EB6F37"/>
    <w:rsid w:val="00EB72F1"/>
    <w:rsid w:val="00EB7421"/>
    <w:rsid w:val="00EB764A"/>
    <w:rsid w:val="00EB766B"/>
    <w:rsid w:val="00EB776C"/>
    <w:rsid w:val="00EB7873"/>
    <w:rsid w:val="00EB7890"/>
    <w:rsid w:val="00EB7971"/>
    <w:rsid w:val="00EB7A0F"/>
    <w:rsid w:val="00EB7BB9"/>
    <w:rsid w:val="00EB7D84"/>
    <w:rsid w:val="00EB7ED2"/>
    <w:rsid w:val="00EB7F79"/>
    <w:rsid w:val="00EC04BC"/>
    <w:rsid w:val="00EC04FC"/>
    <w:rsid w:val="00EC05FF"/>
    <w:rsid w:val="00EC06F9"/>
    <w:rsid w:val="00EC079F"/>
    <w:rsid w:val="00EC07DB"/>
    <w:rsid w:val="00EC08AD"/>
    <w:rsid w:val="00EC08DD"/>
    <w:rsid w:val="00EC0913"/>
    <w:rsid w:val="00EC0CC6"/>
    <w:rsid w:val="00EC0E49"/>
    <w:rsid w:val="00EC0F2B"/>
    <w:rsid w:val="00EC0F68"/>
    <w:rsid w:val="00EC0F9D"/>
    <w:rsid w:val="00EC1049"/>
    <w:rsid w:val="00EC10BD"/>
    <w:rsid w:val="00EC10CA"/>
    <w:rsid w:val="00EC113C"/>
    <w:rsid w:val="00EC1173"/>
    <w:rsid w:val="00EC13D5"/>
    <w:rsid w:val="00EC1624"/>
    <w:rsid w:val="00EC1886"/>
    <w:rsid w:val="00EC18F1"/>
    <w:rsid w:val="00EC1ADE"/>
    <w:rsid w:val="00EC1AF9"/>
    <w:rsid w:val="00EC1B42"/>
    <w:rsid w:val="00EC1C12"/>
    <w:rsid w:val="00EC1CBA"/>
    <w:rsid w:val="00EC1E6C"/>
    <w:rsid w:val="00EC1F1E"/>
    <w:rsid w:val="00EC1F3A"/>
    <w:rsid w:val="00EC22B0"/>
    <w:rsid w:val="00EC24CD"/>
    <w:rsid w:val="00EC24F5"/>
    <w:rsid w:val="00EC25DF"/>
    <w:rsid w:val="00EC260C"/>
    <w:rsid w:val="00EC2641"/>
    <w:rsid w:val="00EC285B"/>
    <w:rsid w:val="00EC2B2D"/>
    <w:rsid w:val="00EC2CD2"/>
    <w:rsid w:val="00EC2E6A"/>
    <w:rsid w:val="00EC2E76"/>
    <w:rsid w:val="00EC2FD1"/>
    <w:rsid w:val="00EC3039"/>
    <w:rsid w:val="00EC303C"/>
    <w:rsid w:val="00EC3084"/>
    <w:rsid w:val="00EC313D"/>
    <w:rsid w:val="00EC3178"/>
    <w:rsid w:val="00EC33CD"/>
    <w:rsid w:val="00EC33D4"/>
    <w:rsid w:val="00EC348E"/>
    <w:rsid w:val="00EC361D"/>
    <w:rsid w:val="00EC3722"/>
    <w:rsid w:val="00EC3A4A"/>
    <w:rsid w:val="00EC3A71"/>
    <w:rsid w:val="00EC3C48"/>
    <w:rsid w:val="00EC3F22"/>
    <w:rsid w:val="00EC40D5"/>
    <w:rsid w:val="00EC4231"/>
    <w:rsid w:val="00EC4286"/>
    <w:rsid w:val="00EC453A"/>
    <w:rsid w:val="00EC46E6"/>
    <w:rsid w:val="00EC47F2"/>
    <w:rsid w:val="00EC48C7"/>
    <w:rsid w:val="00EC48EB"/>
    <w:rsid w:val="00EC4B40"/>
    <w:rsid w:val="00EC4B5A"/>
    <w:rsid w:val="00EC4D05"/>
    <w:rsid w:val="00EC4D2A"/>
    <w:rsid w:val="00EC5029"/>
    <w:rsid w:val="00EC50DC"/>
    <w:rsid w:val="00EC517D"/>
    <w:rsid w:val="00EC5180"/>
    <w:rsid w:val="00EC52CC"/>
    <w:rsid w:val="00EC556B"/>
    <w:rsid w:val="00EC56A0"/>
    <w:rsid w:val="00EC570D"/>
    <w:rsid w:val="00EC5A79"/>
    <w:rsid w:val="00EC5CE9"/>
    <w:rsid w:val="00EC5E13"/>
    <w:rsid w:val="00EC5E7A"/>
    <w:rsid w:val="00EC5FD8"/>
    <w:rsid w:val="00EC6031"/>
    <w:rsid w:val="00EC6082"/>
    <w:rsid w:val="00EC61B6"/>
    <w:rsid w:val="00EC66E4"/>
    <w:rsid w:val="00EC6A93"/>
    <w:rsid w:val="00EC6B20"/>
    <w:rsid w:val="00EC6DCD"/>
    <w:rsid w:val="00EC6F88"/>
    <w:rsid w:val="00EC6F9B"/>
    <w:rsid w:val="00EC7068"/>
    <w:rsid w:val="00EC7074"/>
    <w:rsid w:val="00EC71E6"/>
    <w:rsid w:val="00EC729E"/>
    <w:rsid w:val="00EC735D"/>
    <w:rsid w:val="00EC7667"/>
    <w:rsid w:val="00EC770F"/>
    <w:rsid w:val="00EC7714"/>
    <w:rsid w:val="00EC7A51"/>
    <w:rsid w:val="00EC7DD6"/>
    <w:rsid w:val="00EC7DFB"/>
    <w:rsid w:val="00EC7E08"/>
    <w:rsid w:val="00EC7F49"/>
    <w:rsid w:val="00ED030C"/>
    <w:rsid w:val="00ED0366"/>
    <w:rsid w:val="00ED052C"/>
    <w:rsid w:val="00ED0590"/>
    <w:rsid w:val="00ED07DD"/>
    <w:rsid w:val="00ED082B"/>
    <w:rsid w:val="00ED0973"/>
    <w:rsid w:val="00ED0A0C"/>
    <w:rsid w:val="00ED0B0A"/>
    <w:rsid w:val="00ED0BC0"/>
    <w:rsid w:val="00ED0EF6"/>
    <w:rsid w:val="00ED0F46"/>
    <w:rsid w:val="00ED0F59"/>
    <w:rsid w:val="00ED1026"/>
    <w:rsid w:val="00ED1093"/>
    <w:rsid w:val="00ED10DA"/>
    <w:rsid w:val="00ED1106"/>
    <w:rsid w:val="00ED118D"/>
    <w:rsid w:val="00ED11F3"/>
    <w:rsid w:val="00ED127F"/>
    <w:rsid w:val="00ED14FC"/>
    <w:rsid w:val="00ED166B"/>
    <w:rsid w:val="00ED21C8"/>
    <w:rsid w:val="00ED21EE"/>
    <w:rsid w:val="00ED2257"/>
    <w:rsid w:val="00ED2347"/>
    <w:rsid w:val="00ED2508"/>
    <w:rsid w:val="00ED2559"/>
    <w:rsid w:val="00ED266A"/>
    <w:rsid w:val="00ED2984"/>
    <w:rsid w:val="00ED2A18"/>
    <w:rsid w:val="00ED2A21"/>
    <w:rsid w:val="00ED2DF0"/>
    <w:rsid w:val="00ED30A3"/>
    <w:rsid w:val="00ED31A2"/>
    <w:rsid w:val="00ED3229"/>
    <w:rsid w:val="00ED3575"/>
    <w:rsid w:val="00ED3606"/>
    <w:rsid w:val="00ED361F"/>
    <w:rsid w:val="00ED37E2"/>
    <w:rsid w:val="00ED3879"/>
    <w:rsid w:val="00ED390E"/>
    <w:rsid w:val="00ED3A6E"/>
    <w:rsid w:val="00ED3B1A"/>
    <w:rsid w:val="00ED3B50"/>
    <w:rsid w:val="00ED3B93"/>
    <w:rsid w:val="00ED3BEB"/>
    <w:rsid w:val="00ED3CD6"/>
    <w:rsid w:val="00ED3CF5"/>
    <w:rsid w:val="00ED3D9B"/>
    <w:rsid w:val="00ED3F18"/>
    <w:rsid w:val="00ED3FB9"/>
    <w:rsid w:val="00ED4055"/>
    <w:rsid w:val="00ED410E"/>
    <w:rsid w:val="00ED41C4"/>
    <w:rsid w:val="00ED4360"/>
    <w:rsid w:val="00ED4361"/>
    <w:rsid w:val="00ED43B4"/>
    <w:rsid w:val="00ED455C"/>
    <w:rsid w:val="00ED4746"/>
    <w:rsid w:val="00ED4B60"/>
    <w:rsid w:val="00ED4BC0"/>
    <w:rsid w:val="00ED4DE3"/>
    <w:rsid w:val="00ED4E36"/>
    <w:rsid w:val="00ED4EFC"/>
    <w:rsid w:val="00ED5038"/>
    <w:rsid w:val="00ED50DD"/>
    <w:rsid w:val="00ED56F6"/>
    <w:rsid w:val="00ED56FF"/>
    <w:rsid w:val="00ED5735"/>
    <w:rsid w:val="00ED5790"/>
    <w:rsid w:val="00ED57A2"/>
    <w:rsid w:val="00ED582F"/>
    <w:rsid w:val="00ED58F2"/>
    <w:rsid w:val="00ED58F8"/>
    <w:rsid w:val="00ED5906"/>
    <w:rsid w:val="00ED5B7E"/>
    <w:rsid w:val="00ED5BEF"/>
    <w:rsid w:val="00ED5BFE"/>
    <w:rsid w:val="00ED5C39"/>
    <w:rsid w:val="00ED5CE1"/>
    <w:rsid w:val="00ED5D46"/>
    <w:rsid w:val="00ED5DC7"/>
    <w:rsid w:val="00ED5DEF"/>
    <w:rsid w:val="00ED5E2C"/>
    <w:rsid w:val="00ED5E6F"/>
    <w:rsid w:val="00ED5FB3"/>
    <w:rsid w:val="00ED6272"/>
    <w:rsid w:val="00ED632C"/>
    <w:rsid w:val="00ED6480"/>
    <w:rsid w:val="00ED65BC"/>
    <w:rsid w:val="00ED6882"/>
    <w:rsid w:val="00ED6AC0"/>
    <w:rsid w:val="00ED6E0E"/>
    <w:rsid w:val="00ED6FE9"/>
    <w:rsid w:val="00ED7011"/>
    <w:rsid w:val="00ED70FA"/>
    <w:rsid w:val="00ED710B"/>
    <w:rsid w:val="00ED7142"/>
    <w:rsid w:val="00ED72C1"/>
    <w:rsid w:val="00ED73D2"/>
    <w:rsid w:val="00ED73F6"/>
    <w:rsid w:val="00ED7A16"/>
    <w:rsid w:val="00ED7CDD"/>
    <w:rsid w:val="00ED7CE4"/>
    <w:rsid w:val="00ED7E12"/>
    <w:rsid w:val="00EE02B6"/>
    <w:rsid w:val="00EE0381"/>
    <w:rsid w:val="00EE0550"/>
    <w:rsid w:val="00EE0676"/>
    <w:rsid w:val="00EE0966"/>
    <w:rsid w:val="00EE0967"/>
    <w:rsid w:val="00EE09FD"/>
    <w:rsid w:val="00EE0A1D"/>
    <w:rsid w:val="00EE0ABB"/>
    <w:rsid w:val="00EE0B87"/>
    <w:rsid w:val="00EE0D4C"/>
    <w:rsid w:val="00EE0EDA"/>
    <w:rsid w:val="00EE1045"/>
    <w:rsid w:val="00EE110C"/>
    <w:rsid w:val="00EE1235"/>
    <w:rsid w:val="00EE12A1"/>
    <w:rsid w:val="00EE1310"/>
    <w:rsid w:val="00EE133B"/>
    <w:rsid w:val="00EE1919"/>
    <w:rsid w:val="00EE19A3"/>
    <w:rsid w:val="00EE1AAF"/>
    <w:rsid w:val="00EE1CDD"/>
    <w:rsid w:val="00EE2110"/>
    <w:rsid w:val="00EE2144"/>
    <w:rsid w:val="00EE2218"/>
    <w:rsid w:val="00EE243D"/>
    <w:rsid w:val="00EE24F3"/>
    <w:rsid w:val="00EE278E"/>
    <w:rsid w:val="00EE286D"/>
    <w:rsid w:val="00EE2E51"/>
    <w:rsid w:val="00EE2F6A"/>
    <w:rsid w:val="00EE30C5"/>
    <w:rsid w:val="00EE3136"/>
    <w:rsid w:val="00EE3158"/>
    <w:rsid w:val="00EE3220"/>
    <w:rsid w:val="00EE3350"/>
    <w:rsid w:val="00EE3363"/>
    <w:rsid w:val="00EE33A3"/>
    <w:rsid w:val="00EE34DD"/>
    <w:rsid w:val="00EE34F3"/>
    <w:rsid w:val="00EE3551"/>
    <w:rsid w:val="00EE3A9D"/>
    <w:rsid w:val="00EE3B2A"/>
    <w:rsid w:val="00EE3E57"/>
    <w:rsid w:val="00EE3ED5"/>
    <w:rsid w:val="00EE40C0"/>
    <w:rsid w:val="00EE4288"/>
    <w:rsid w:val="00EE42C9"/>
    <w:rsid w:val="00EE42D4"/>
    <w:rsid w:val="00EE4343"/>
    <w:rsid w:val="00EE448A"/>
    <w:rsid w:val="00EE45BE"/>
    <w:rsid w:val="00EE4898"/>
    <w:rsid w:val="00EE4A0D"/>
    <w:rsid w:val="00EE4C96"/>
    <w:rsid w:val="00EE4CE3"/>
    <w:rsid w:val="00EE4D70"/>
    <w:rsid w:val="00EE500B"/>
    <w:rsid w:val="00EE5247"/>
    <w:rsid w:val="00EE534D"/>
    <w:rsid w:val="00EE535A"/>
    <w:rsid w:val="00EE55FF"/>
    <w:rsid w:val="00EE562B"/>
    <w:rsid w:val="00EE56CE"/>
    <w:rsid w:val="00EE5826"/>
    <w:rsid w:val="00EE5871"/>
    <w:rsid w:val="00EE5A2F"/>
    <w:rsid w:val="00EE5AD0"/>
    <w:rsid w:val="00EE5CEA"/>
    <w:rsid w:val="00EE5D1D"/>
    <w:rsid w:val="00EE5D1F"/>
    <w:rsid w:val="00EE5DAE"/>
    <w:rsid w:val="00EE5DB5"/>
    <w:rsid w:val="00EE5E48"/>
    <w:rsid w:val="00EE5E6B"/>
    <w:rsid w:val="00EE5E77"/>
    <w:rsid w:val="00EE5F68"/>
    <w:rsid w:val="00EE6009"/>
    <w:rsid w:val="00EE6081"/>
    <w:rsid w:val="00EE61C3"/>
    <w:rsid w:val="00EE6340"/>
    <w:rsid w:val="00EE641A"/>
    <w:rsid w:val="00EE66C5"/>
    <w:rsid w:val="00EE6ABE"/>
    <w:rsid w:val="00EE6B31"/>
    <w:rsid w:val="00EE6C64"/>
    <w:rsid w:val="00EE6C95"/>
    <w:rsid w:val="00EE7240"/>
    <w:rsid w:val="00EE72DF"/>
    <w:rsid w:val="00EE732A"/>
    <w:rsid w:val="00EE74C5"/>
    <w:rsid w:val="00EE7721"/>
    <w:rsid w:val="00EE7821"/>
    <w:rsid w:val="00EE79F3"/>
    <w:rsid w:val="00EE7A23"/>
    <w:rsid w:val="00EE7D7C"/>
    <w:rsid w:val="00EE7E59"/>
    <w:rsid w:val="00EE7E85"/>
    <w:rsid w:val="00EE7ED1"/>
    <w:rsid w:val="00EF000F"/>
    <w:rsid w:val="00EF0019"/>
    <w:rsid w:val="00EF0033"/>
    <w:rsid w:val="00EF00AA"/>
    <w:rsid w:val="00EF017B"/>
    <w:rsid w:val="00EF01E7"/>
    <w:rsid w:val="00EF0223"/>
    <w:rsid w:val="00EF02A4"/>
    <w:rsid w:val="00EF02F7"/>
    <w:rsid w:val="00EF0338"/>
    <w:rsid w:val="00EF0346"/>
    <w:rsid w:val="00EF0594"/>
    <w:rsid w:val="00EF060C"/>
    <w:rsid w:val="00EF0657"/>
    <w:rsid w:val="00EF07A1"/>
    <w:rsid w:val="00EF07AA"/>
    <w:rsid w:val="00EF08E9"/>
    <w:rsid w:val="00EF0A0B"/>
    <w:rsid w:val="00EF0B23"/>
    <w:rsid w:val="00EF0C09"/>
    <w:rsid w:val="00EF0D80"/>
    <w:rsid w:val="00EF0EDA"/>
    <w:rsid w:val="00EF0EF6"/>
    <w:rsid w:val="00EF0F15"/>
    <w:rsid w:val="00EF1074"/>
    <w:rsid w:val="00EF1119"/>
    <w:rsid w:val="00EF12BF"/>
    <w:rsid w:val="00EF1373"/>
    <w:rsid w:val="00EF1577"/>
    <w:rsid w:val="00EF1596"/>
    <w:rsid w:val="00EF165C"/>
    <w:rsid w:val="00EF1698"/>
    <w:rsid w:val="00EF1790"/>
    <w:rsid w:val="00EF1849"/>
    <w:rsid w:val="00EF1A8D"/>
    <w:rsid w:val="00EF1B05"/>
    <w:rsid w:val="00EF1CE2"/>
    <w:rsid w:val="00EF1D68"/>
    <w:rsid w:val="00EF1DA5"/>
    <w:rsid w:val="00EF1E2B"/>
    <w:rsid w:val="00EF21CA"/>
    <w:rsid w:val="00EF21E4"/>
    <w:rsid w:val="00EF220F"/>
    <w:rsid w:val="00EF24CC"/>
    <w:rsid w:val="00EF258F"/>
    <w:rsid w:val="00EF26C1"/>
    <w:rsid w:val="00EF2884"/>
    <w:rsid w:val="00EF293E"/>
    <w:rsid w:val="00EF2995"/>
    <w:rsid w:val="00EF2A20"/>
    <w:rsid w:val="00EF2BB7"/>
    <w:rsid w:val="00EF2F17"/>
    <w:rsid w:val="00EF2F78"/>
    <w:rsid w:val="00EF304F"/>
    <w:rsid w:val="00EF3622"/>
    <w:rsid w:val="00EF398C"/>
    <w:rsid w:val="00EF3ADC"/>
    <w:rsid w:val="00EF3BD0"/>
    <w:rsid w:val="00EF3CB4"/>
    <w:rsid w:val="00EF3EF5"/>
    <w:rsid w:val="00EF422C"/>
    <w:rsid w:val="00EF425F"/>
    <w:rsid w:val="00EF42C3"/>
    <w:rsid w:val="00EF4466"/>
    <w:rsid w:val="00EF45A6"/>
    <w:rsid w:val="00EF467F"/>
    <w:rsid w:val="00EF49C0"/>
    <w:rsid w:val="00EF4A56"/>
    <w:rsid w:val="00EF4B7B"/>
    <w:rsid w:val="00EF4BA8"/>
    <w:rsid w:val="00EF4BB2"/>
    <w:rsid w:val="00EF4BBB"/>
    <w:rsid w:val="00EF4BCA"/>
    <w:rsid w:val="00EF4BF0"/>
    <w:rsid w:val="00EF502B"/>
    <w:rsid w:val="00EF5082"/>
    <w:rsid w:val="00EF532A"/>
    <w:rsid w:val="00EF5383"/>
    <w:rsid w:val="00EF543F"/>
    <w:rsid w:val="00EF5694"/>
    <w:rsid w:val="00EF58C1"/>
    <w:rsid w:val="00EF5DBD"/>
    <w:rsid w:val="00EF5E22"/>
    <w:rsid w:val="00EF5F90"/>
    <w:rsid w:val="00EF60A8"/>
    <w:rsid w:val="00EF6162"/>
    <w:rsid w:val="00EF61DE"/>
    <w:rsid w:val="00EF6230"/>
    <w:rsid w:val="00EF64CA"/>
    <w:rsid w:val="00EF655F"/>
    <w:rsid w:val="00EF6977"/>
    <w:rsid w:val="00EF71B4"/>
    <w:rsid w:val="00EF720D"/>
    <w:rsid w:val="00EF7262"/>
    <w:rsid w:val="00EF737E"/>
    <w:rsid w:val="00EF7431"/>
    <w:rsid w:val="00EF74BD"/>
    <w:rsid w:val="00EF782D"/>
    <w:rsid w:val="00EF7872"/>
    <w:rsid w:val="00EF7A53"/>
    <w:rsid w:val="00EF7DAB"/>
    <w:rsid w:val="00EF7DE0"/>
    <w:rsid w:val="00EF7FB9"/>
    <w:rsid w:val="00F0000D"/>
    <w:rsid w:val="00F00028"/>
    <w:rsid w:val="00F00108"/>
    <w:rsid w:val="00F0011C"/>
    <w:rsid w:val="00F002FA"/>
    <w:rsid w:val="00F0034B"/>
    <w:rsid w:val="00F003BD"/>
    <w:rsid w:val="00F003D5"/>
    <w:rsid w:val="00F0052E"/>
    <w:rsid w:val="00F0058B"/>
    <w:rsid w:val="00F00641"/>
    <w:rsid w:val="00F006A0"/>
    <w:rsid w:val="00F0074C"/>
    <w:rsid w:val="00F00A77"/>
    <w:rsid w:val="00F00AA1"/>
    <w:rsid w:val="00F00ADA"/>
    <w:rsid w:val="00F00BC3"/>
    <w:rsid w:val="00F00CF6"/>
    <w:rsid w:val="00F00CF8"/>
    <w:rsid w:val="00F00D7E"/>
    <w:rsid w:val="00F00E89"/>
    <w:rsid w:val="00F00FC7"/>
    <w:rsid w:val="00F01519"/>
    <w:rsid w:val="00F0151E"/>
    <w:rsid w:val="00F015FC"/>
    <w:rsid w:val="00F01851"/>
    <w:rsid w:val="00F0199F"/>
    <w:rsid w:val="00F01AA7"/>
    <w:rsid w:val="00F01B1C"/>
    <w:rsid w:val="00F01C69"/>
    <w:rsid w:val="00F01C7F"/>
    <w:rsid w:val="00F01E83"/>
    <w:rsid w:val="00F020DB"/>
    <w:rsid w:val="00F022C0"/>
    <w:rsid w:val="00F023CE"/>
    <w:rsid w:val="00F0260D"/>
    <w:rsid w:val="00F026DA"/>
    <w:rsid w:val="00F02748"/>
    <w:rsid w:val="00F02816"/>
    <w:rsid w:val="00F028E3"/>
    <w:rsid w:val="00F02B33"/>
    <w:rsid w:val="00F02BFA"/>
    <w:rsid w:val="00F02CA1"/>
    <w:rsid w:val="00F02CAC"/>
    <w:rsid w:val="00F02CC7"/>
    <w:rsid w:val="00F02D1C"/>
    <w:rsid w:val="00F02EAB"/>
    <w:rsid w:val="00F02F89"/>
    <w:rsid w:val="00F0337D"/>
    <w:rsid w:val="00F03388"/>
    <w:rsid w:val="00F0344B"/>
    <w:rsid w:val="00F034A4"/>
    <w:rsid w:val="00F03609"/>
    <w:rsid w:val="00F0390C"/>
    <w:rsid w:val="00F039D8"/>
    <w:rsid w:val="00F03E46"/>
    <w:rsid w:val="00F03F08"/>
    <w:rsid w:val="00F041EA"/>
    <w:rsid w:val="00F043E6"/>
    <w:rsid w:val="00F04417"/>
    <w:rsid w:val="00F0459B"/>
    <w:rsid w:val="00F0460D"/>
    <w:rsid w:val="00F04619"/>
    <w:rsid w:val="00F0471A"/>
    <w:rsid w:val="00F047A8"/>
    <w:rsid w:val="00F04840"/>
    <w:rsid w:val="00F04992"/>
    <w:rsid w:val="00F04A8F"/>
    <w:rsid w:val="00F04C48"/>
    <w:rsid w:val="00F04DD7"/>
    <w:rsid w:val="00F04DF2"/>
    <w:rsid w:val="00F050D1"/>
    <w:rsid w:val="00F05112"/>
    <w:rsid w:val="00F05222"/>
    <w:rsid w:val="00F05396"/>
    <w:rsid w:val="00F0557F"/>
    <w:rsid w:val="00F056AE"/>
    <w:rsid w:val="00F057B2"/>
    <w:rsid w:val="00F058DD"/>
    <w:rsid w:val="00F058DE"/>
    <w:rsid w:val="00F0597D"/>
    <w:rsid w:val="00F05A1A"/>
    <w:rsid w:val="00F05A2A"/>
    <w:rsid w:val="00F05AC9"/>
    <w:rsid w:val="00F05BAB"/>
    <w:rsid w:val="00F05D7F"/>
    <w:rsid w:val="00F05F66"/>
    <w:rsid w:val="00F05F95"/>
    <w:rsid w:val="00F05FBD"/>
    <w:rsid w:val="00F061D4"/>
    <w:rsid w:val="00F0641E"/>
    <w:rsid w:val="00F06452"/>
    <w:rsid w:val="00F066B4"/>
    <w:rsid w:val="00F067CA"/>
    <w:rsid w:val="00F068FC"/>
    <w:rsid w:val="00F06BC2"/>
    <w:rsid w:val="00F06E31"/>
    <w:rsid w:val="00F06FE6"/>
    <w:rsid w:val="00F06FE8"/>
    <w:rsid w:val="00F0710B"/>
    <w:rsid w:val="00F0750C"/>
    <w:rsid w:val="00F07536"/>
    <w:rsid w:val="00F07881"/>
    <w:rsid w:val="00F07966"/>
    <w:rsid w:val="00F07A29"/>
    <w:rsid w:val="00F07AC9"/>
    <w:rsid w:val="00F07BBA"/>
    <w:rsid w:val="00F07BBE"/>
    <w:rsid w:val="00F07E27"/>
    <w:rsid w:val="00F07F11"/>
    <w:rsid w:val="00F102B4"/>
    <w:rsid w:val="00F10408"/>
    <w:rsid w:val="00F104C4"/>
    <w:rsid w:val="00F104C5"/>
    <w:rsid w:val="00F1065D"/>
    <w:rsid w:val="00F10693"/>
    <w:rsid w:val="00F10AFB"/>
    <w:rsid w:val="00F10C75"/>
    <w:rsid w:val="00F10C9D"/>
    <w:rsid w:val="00F10D64"/>
    <w:rsid w:val="00F10D8C"/>
    <w:rsid w:val="00F10EC6"/>
    <w:rsid w:val="00F10F3C"/>
    <w:rsid w:val="00F10FD7"/>
    <w:rsid w:val="00F11057"/>
    <w:rsid w:val="00F1117E"/>
    <w:rsid w:val="00F111BD"/>
    <w:rsid w:val="00F11298"/>
    <w:rsid w:val="00F113B4"/>
    <w:rsid w:val="00F114AC"/>
    <w:rsid w:val="00F1152B"/>
    <w:rsid w:val="00F11674"/>
    <w:rsid w:val="00F1174A"/>
    <w:rsid w:val="00F11A40"/>
    <w:rsid w:val="00F11A8C"/>
    <w:rsid w:val="00F11B68"/>
    <w:rsid w:val="00F11CE2"/>
    <w:rsid w:val="00F12282"/>
    <w:rsid w:val="00F122E6"/>
    <w:rsid w:val="00F12553"/>
    <w:rsid w:val="00F125F1"/>
    <w:rsid w:val="00F1260F"/>
    <w:rsid w:val="00F12634"/>
    <w:rsid w:val="00F12785"/>
    <w:rsid w:val="00F12866"/>
    <w:rsid w:val="00F12946"/>
    <w:rsid w:val="00F129E0"/>
    <w:rsid w:val="00F12BE0"/>
    <w:rsid w:val="00F12F50"/>
    <w:rsid w:val="00F1308E"/>
    <w:rsid w:val="00F1334F"/>
    <w:rsid w:val="00F133DE"/>
    <w:rsid w:val="00F13448"/>
    <w:rsid w:val="00F13557"/>
    <w:rsid w:val="00F137E9"/>
    <w:rsid w:val="00F139BD"/>
    <w:rsid w:val="00F13B47"/>
    <w:rsid w:val="00F13B9E"/>
    <w:rsid w:val="00F13C69"/>
    <w:rsid w:val="00F13EF8"/>
    <w:rsid w:val="00F13F67"/>
    <w:rsid w:val="00F143A2"/>
    <w:rsid w:val="00F144AF"/>
    <w:rsid w:val="00F14640"/>
    <w:rsid w:val="00F146DA"/>
    <w:rsid w:val="00F1473A"/>
    <w:rsid w:val="00F14B02"/>
    <w:rsid w:val="00F14C33"/>
    <w:rsid w:val="00F14D33"/>
    <w:rsid w:val="00F14D4D"/>
    <w:rsid w:val="00F14DED"/>
    <w:rsid w:val="00F14FA4"/>
    <w:rsid w:val="00F151A9"/>
    <w:rsid w:val="00F15260"/>
    <w:rsid w:val="00F152FE"/>
    <w:rsid w:val="00F156F1"/>
    <w:rsid w:val="00F157DE"/>
    <w:rsid w:val="00F15849"/>
    <w:rsid w:val="00F15A0C"/>
    <w:rsid w:val="00F15A6D"/>
    <w:rsid w:val="00F15B33"/>
    <w:rsid w:val="00F15B71"/>
    <w:rsid w:val="00F15B84"/>
    <w:rsid w:val="00F15CF1"/>
    <w:rsid w:val="00F15D4B"/>
    <w:rsid w:val="00F15EFD"/>
    <w:rsid w:val="00F15FD8"/>
    <w:rsid w:val="00F1630E"/>
    <w:rsid w:val="00F166D5"/>
    <w:rsid w:val="00F16737"/>
    <w:rsid w:val="00F167A7"/>
    <w:rsid w:val="00F168B3"/>
    <w:rsid w:val="00F16A76"/>
    <w:rsid w:val="00F16ACC"/>
    <w:rsid w:val="00F16AEC"/>
    <w:rsid w:val="00F16D2F"/>
    <w:rsid w:val="00F1706B"/>
    <w:rsid w:val="00F171DD"/>
    <w:rsid w:val="00F1726C"/>
    <w:rsid w:val="00F17355"/>
    <w:rsid w:val="00F1742D"/>
    <w:rsid w:val="00F17462"/>
    <w:rsid w:val="00F17957"/>
    <w:rsid w:val="00F17987"/>
    <w:rsid w:val="00F179E4"/>
    <w:rsid w:val="00F17CC6"/>
    <w:rsid w:val="00F17DA9"/>
    <w:rsid w:val="00F17DE2"/>
    <w:rsid w:val="00F17F05"/>
    <w:rsid w:val="00F20077"/>
    <w:rsid w:val="00F200C4"/>
    <w:rsid w:val="00F20110"/>
    <w:rsid w:val="00F20321"/>
    <w:rsid w:val="00F203CE"/>
    <w:rsid w:val="00F205F8"/>
    <w:rsid w:val="00F20600"/>
    <w:rsid w:val="00F206A6"/>
    <w:rsid w:val="00F20734"/>
    <w:rsid w:val="00F207E0"/>
    <w:rsid w:val="00F209C1"/>
    <w:rsid w:val="00F20AEC"/>
    <w:rsid w:val="00F21021"/>
    <w:rsid w:val="00F2148D"/>
    <w:rsid w:val="00F214E9"/>
    <w:rsid w:val="00F216CA"/>
    <w:rsid w:val="00F217FA"/>
    <w:rsid w:val="00F21998"/>
    <w:rsid w:val="00F21BDD"/>
    <w:rsid w:val="00F21E34"/>
    <w:rsid w:val="00F22366"/>
    <w:rsid w:val="00F2244C"/>
    <w:rsid w:val="00F22485"/>
    <w:rsid w:val="00F226E6"/>
    <w:rsid w:val="00F22781"/>
    <w:rsid w:val="00F22C4F"/>
    <w:rsid w:val="00F23226"/>
    <w:rsid w:val="00F23259"/>
    <w:rsid w:val="00F2326A"/>
    <w:rsid w:val="00F2350B"/>
    <w:rsid w:val="00F2354A"/>
    <w:rsid w:val="00F23649"/>
    <w:rsid w:val="00F239A3"/>
    <w:rsid w:val="00F23A98"/>
    <w:rsid w:val="00F23ABC"/>
    <w:rsid w:val="00F23BE3"/>
    <w:rsid w:val="00F23BF0"/>
    <w:rsid w:val="00F23CAA"/>
    <w:rsid w:val="00F23F27"/>
    <w:rsid w:val="00F23FE8"/>
    <w:rsid w:val="00F24075"/>
    <w:rsid w:val="00F2426D"/>
    <w:rsid w:val="00F24331"/>
    <w:rsid w:val="00F243A2"/>
    <w:rsid w:val="00F2451A"/>
    <w:rsid w:val="00F2466E"/>
    <w:rsid w:val="00F24AF8"/>
    <w:rsid w:val="00F24D53"/>
    <w:rsid w:val="00F24E1B"/>
    <w:rsid w:val="00F2539F"/>
    <w:rsid w:val="00F253F3"/>
    <w:rsid w:val="00F254EC"/>
    <w:rsid w:val="00F25634"/>
    <w:rsid w:val="00F2566A"/>
    <w:rsid w:val="00F256BA"/>
    <w:rsid w:val="00F257C5"/>
    <w:rsid w:val="00F25843"/>
    <w:rsid w:val="00F259E0"/>
    <w:rsid w:val="00F259FC"/>
    <w:rsid w:val="00F25A3C"/>
    <w:rsid w:val="00F25A63"/>
    <w:rsid w:val="00F25AA5"/>
    <w:rsid w:val="00F25D8D"/>
    <w:rsid w:val="00F262F7"/>
    <w:rsid w:val="00F263FC"/>
    <w:rsid w:val="00F26459"/>
    <w:rsid w:val="00F265BE"/>
    <w:rsid w:val="00F2661F"/>
    <w:rsid w:val="00F2670E"/>
    <w:rsid w:val="00F26794"/>
    <w:rsid w:val="00F267F0"/>
    <w:rsid w:val="00F26B18"/>
    <w:rsid w:val="00F26BAA"/>
    <w:rsid w:val="00F26DB8"/>
    <w:rsid w:val="00F27123"/>
    <w:rsid w:val="00F27295"/>
    <w:rsid w:val="00F2729D"/>
    <w:rsid w:val="00F272E5"/>
    <w:rsid w:val="00F27348"/>
    <w:rsid w:val="00F2735C"/>
    <w:rsid w:val="00F27715"/>
    <w:rsid w:val="00F2791D"/>
    <w:rsid w:val="00F279FB"/>
    <w:rsid w:val="00F27A33"/>
    <w:rsid w:val="00F27AF8"/>
    <w:rsid w:val="00F27B6F"/>
    <w:rsid w:val="00F27C20"/>
    <w:rsid w:val="00F27CE4"/>
    <w:rsid w:val="00F27D0F"/>
    <w:rsid w:val="00F27DCA"/>
    <w:rsid w:val="00F27DFD"/>
    <w:rsid w:val="00F27E20"/>
    <w:rsid w:val="00F27EAB"/>
    <w:rsid w:val="00F27ED8"/>
    <w:rsid w:val="00F27F80"/>
    <w:rsid w:val="00F3014A"/>
    <w:rsid w:val="00F3025E"/>
    <w:rsid w:val="00F30436"/>
    <w:rsid w:val="00F30521"/>
    <w:rsid w:val="00F30565"/>
    <w:rsid w:val="00F307EC"/>
    <w:rsid w:val="00F30836"/>
    <w:rsid w:val="00F30A66"/>
    <w:rsid w:val="00F30BA3"/>
    <w:rsid w:val="00F30D6B"/>
    <w:rsid w:val="00F30F71"/>
    <w:rsid w:val="00F30FE5"/>
    <w:rsid w:val="00F31340"/>
    <w:rsid w:val="00F31392"/>
    <w:rsid w:val="00F313FD"/>
    <w:rsid w:val="00F31584"/>
    <w:rsid w:val="00F3166D"/>
    <w:rsid w:val="00F316CD"/>
    <w:rsid w:val="00F316D8"/>
    <w:rsid w:val="00F31932"/>
    <w:rsid w:val="00F31A38"/>
    <w:rsid w:val="00F31A5B"/>
    <w:rsid w:val="00F31AE2"/>
    <w:rsid w:val="00F31E51"/>
    <w:rsid w:val="00F31E9E"/>
    <w:rsid w:val="00F32202"/>
    <w:rsid w:val="00F32278"/>
    <w:rsid w:val="00F32671"/>
    <w:rsid w:val="00F326EB"/>
    <w:rsid w:val="00F3271B"/>
    <w:rsid w:val="00F32959"/>
    <w:rsid w:val="00F3296D"/>
    <w:rsid w:val="00F32A13"/>
    <w:rsid w:val="00F32A58"/>
    <w:rsid w:val="00F32AFD"/>
    <w:rsid w:val="00F32BEA"/>
    <w:rsid w:val="00F32C44"/>
    <w:rsid w:val="00F32C9F"/>
    <w:rsid w:val="00F32F37"/>
    <w:rsid w:val="00F33217"/>
    <w:rsid w:val="00F33314"/>
    <w:rsid w:val="00F33607"/>
    <w:rsid w:val="00F33803"/>
    <w:rsid w:val="00F34021"/>
    <w:rsid w:val="00F3407E"/>
    <w:rsid w:val="00F341F0"/>
    <w:rsid w:val="00F34258"/>
    <w:rsid w:val="00F342DA"/>
    <w:rsid w:val="00F344D9"/>
    <w:rsid w:val="00F34506"/>
    <w:rsid w:val="00F34694"/>
    <w:rsid w:val="00F3499C"/>
    <w:rsid w:val="00F349EB"/>
    <w:rsid w:val="00F34AAF"/>
    <w:rsid w:val="00F34AC5"/>
    <w:rsid w:val="00F34B70"/>
    <w:rsid w:val="00F34E15"/>
    <w:rsid w:val="00F34E1B"/>
    <w:rsid w:val="00F34E65"/>
    <w:rsid w:val="00F34FC3"/>
    <w:rsid w:val="00F351EF"/>
    <w:rsid w:val="00F351F9"/>
    <w:rsid w:val="00F35200"/>
    <w:rsid w:val="00F3520F"/>
    <w:rsid w:val="00F356D4"/>
    <w:rsid w:val="00F356F1"/>
    <w:rsid w:val="00F35731"/>
    <w:rsid w:val="00F357CD"/>
    <w:rsid w:val="00F35973"/>
    <w:rsid w:val="00F35BF9"/>
    <w:rsid w:val="00F35CF0"/>
    <w:rsid w:val="00F35D2F"/>
    <w:rsid w:val="00F35E42"/>
    <w:rsid w:val="00F35F24"/>
    <w:rsid w:val="00F36194"/>
    <w:rsid w:val="00F3623A"/>
    <w:rsid w:val="00F3645F"/>
    <w:rsid w:val="00F364C6"/>
    <w:rsid w:val="00F36573"/>
    <w:rsid w:val="00F3661E"/>
    <w:rsid w:val="00F3672D"/>
    <w:rsid w:val="00F36AC1"/>
    <w:rsid w:val="00F371A6"/>
    <w:rsid w:val="00F372AC"/>
    <w:rsid w:val="00F375B5"/>
    <w:rsid w:val="00F37645"/>
    <w:rsid w:val="00F37700"/>
    <w:rsid w:val="00F37831"/>
    <w:rsid w:val="00F3787E"/>
    <w:rsid w:val="00F37978"/>
    <w:rsid w:val="00F37BED"/>
    <w:rsid w:val="00F37C3B"/>
    <w:rsid w:val="00F37FFB"/>
    <w:rsid w:val="00F40058"/>
    <w:rsid w:val="00F40226"/>
    <w:rsid w:val="00F40283"/>
    <w:rsid w:val="00F402C3"/>
    <w:rsid w:val="00F405FC"/>
    <w:rsid w:val="00F4062F"/>
    <w:rsid w:val="00F40640"/>
    <w:rsid w:val="00F40C2D"/>
    <w:rsid w:val="00F40C65"/>
    <w:rsid w:val="00F40CEE"/>
    <w:rsid w:val="00F40D2C"/>
    <w:rsid w:val="00F41152"/>
    <w:rsid w:val="00F411AE"/>
    <w:rsid w:val="00F411FB"/>
    <w:rsid w:val="00F41233"/>
    <w:rsid w:val="00F41410"/>
    <w:rsid w:val="00F414AF"/>
    <w:rsid w:val="00F414BC"/>
    <w:rsid w:val="00F417F6"/>
    <w:rsid w:val="00F4185C"/>
    <w:rsid w:val="00F418EB"/>
    <w:rsid w:val="00F41C70"/>
    <w:rsid w:val="00F41C80"/>
    <w:rsid w:val="00F41E26"/>
    <w:rsid w:val="00F41F7C"/>
    <w:rsid w:val="00F42502"/>
    <w:rsid w:val="00F4257B"/>
    <w:rsid w:val="00F4257D"/>
    <w:rsid w:val="00F42625"/>
    <w:rsid w:val="00F426E9"/>
    <w:rsid w:val="00F42868"/>
    <w:rsid w:val="00F428DA"/>
    <w:rsid w:val="00F42914"/>
    <w:rsid w:val="00F42E54"/>
    <w:rsid w:val="00F42EE3"/>
    <w:rsid w:val="00F42EFF"/>
    <w:rsid w:val="00F430DE"/>
    <w:rsid w:val="00F43149"/>
    <w:rsid w:val="00F431B7"/>
    <w:rsid w:val="00F431F5"/>
    <w:rsid w:val="00F432F1"/>
    <w:rsid w:val="00F43402"/>
    <w:rsid w:val="00F43717"/>
    <w:rsid w:val="00F43731"/>
    <w:rsid w:val="00F43735"/>
    <w:rsid w:val="00F437C5"/>
    <w:rsid w:val="00F4382B"/>
    <w:rsid w:val="00F43864"/>
    <w:rsid w:val="00F43988"/>
    <w:rsid w:val="00F439E4"/>
    <w:rsid w:val="00F43A58"/>
    <w:rsid w:val="00F43A98"/>
    <w:rsid w:val="00F43AA0"/>
    <w:rsid w:val="00F43D08"/>
    <w:rsid w:val="00F43D48"/>
    <w:rsid w:val="00F43D7F"/>
    <w:rsid w:val="00F43DB1"/>
    <w:rsid w:val="00F43DB9"/>
    <w:rsid w:val="00F43EA3"/>
    <w:rsid w:val="00F43EF4"/>
    <w:rsid w:val="00F43F3C"/>
    <w:rsid w:val="00F43FFF"/>
    <w:rsid w:val="00F4428F"/>
    <w:rsid w:val="00F44375"/>
    <w:rsid w:val="00F44436"/>
    <w:rsid w:val="00F444E9"/>
    <w:rsid w:val="00F445C9"/>
    <w:rsid w:val="00F44677"/>
    <w:rsid w:val="00F448E5"/>
    <w:rsid w:val="00F44B7D"/>
    <w:rsid w:val="00F44DB0"/>
    <w:rsid w:val="00F44E73"/>
    <w:rsid w:val="00F44F36"/>
    <w:rsid w:val="00F4513A"/>
    <w:rsid w:val="00F45183"/>
    <w:rsid w:val="00F452E9"/>
    <w:rsid w:val="00F45371"/>
    <w:rsid w:val="00F453DB"/>
    <w:rsid w:val="00F4541C"/>
    <w:rsid w:val="00F45499"/>
    <w:rsid w:val="00F456E8"/>
    <w:rsid w:val="00F4572C"/>
    <w:rsid w:val="00F4579A"/>
    <w:rsid w:val="00F45B0F"/>
    <w:rsid w:val="00F45B51"/>
    <w:rsid w:val="00F45C1A"/>
    <w:rsid w:val="00F45D5C"/>
    <w:rsid w:val="00F45D75"/>
    <w:rsid w:val="00F45E3F"/>
    <w:rsid w:val="00F45E5D"/>
    <w:rsid w:val="00F45ECC"/>
    <w:rsid w:val="00F45F2E"/>
    <w:rsid w:val="00F46323"/>
    <w:rsid w:val="00F464B0"/>
    <w:rsid w:val="00F4679C"/>
    <w:rsid w:val="00F467EC"/>
    <w:rsid w:val="00F46864"/>
    <w:rsid w:val="00F46890"/>
    <w:rsid w:val="00F468AF"/>
    <w:rsid w:val="00F4693B"/>
    <w:rsid w:val="00F469E7"/>
    <w:rsid w:val="00F46AE1"/>
    <w:rsid w:val="00F46B81"/>
    <w:rsid w:val="00F46B92"/>
    <w:rsid w:val="00F46DE9"/>
    <w:rsid w:val="00F46E06"/>
    <w:rsid w:val="00F46E8C"/>
    <w:rsid w:val="00F46EDA"/>
    <w:rsid w:val="00F46F0F"/>
    <w:rsid w:val="00F46FDA"/>
    <w:rsid w:val="00F4709C"/>
    <w:rsid w:val="00F47121"/>
    <w:rsid w:val="00F47122"/>
    <w:rsid w:val="00F47163"/>
    <w:rsid w:val="00F47201"/>
    <w:rsid w:val="00F472F7"/>
    <w:rsid w:val="00F47396"/>
    <w:rsid w:val="00F4740C"/>
    <w:rsid w:val="00F474BD"/>
    <w:rsid w:val="00F475FD"/>
    <w:rsid w:val="00F47668"/>
    <w:rsid w:val="00F477DA"/>
    <w:rsid w:val="00F47BBC"/>
    <w:rsid w:val="00F47F8C"/>
    <w:rsid w:val="00F47FE6"/>
    <w:rsid w:val="00F5013C"/>
    <w:rsid w:val="00F501C3"/>
    <w:rsid w:val="00F501E8"/>
    <w:rsid w:val="00F50211"/>
    <w:rsid w:val="00F50285"/>
    <w:rsid w:val="00F50545"/>
    <w:rsid w:val="00F50635"/>
    <w:rsid w:val="00F5067A"/>
    <w:rsid w:val="00F506D4"/>
    <w:rsid w:val="00F5073C"/>
    <w:rsid w:val="00F50B42"/>
    <w:rsid w:val="00F50E17"/>
    <w:rsid w:val="00F50E29"/>
    <w:rsid w:val="00F51068"/>
    <w:rsid w:val="00F51153"/>
    <w:rsid w:val="00F5127E"/>
    <w:rsid w:val="00F512C9"/>
    <w:rsid w:val="00F512FB"/>
    <w:rsid w:val="00F51383"/>
    <w:rsid w:val="00F513A7"/>
    <w:rsid w:val="00F51506"/>
    <w:rsid w:val="00F515DC"/>
    <w:rsid w:val="00F5172A"/>
    <w:rsid w:val="00F5188B"/>
    <w:rsid w:val="00F518A6"/>
    <w:rsid w:val="00F51927"/>
    <w:rsid w:val="00F51B34"/>
    <w:rsid w:val="00F51CAB"/>
    <w:rsid w:val="00F5219D"/>
    <w:rsid w:val="00F52239"/>
    <w:rsid w:val="00F52342"/>
    <w:rsid w:val="00F523AD"/>
    <w:rsid w:val="00F523DA"/>
    <w:rsid w:val="00F52640"/>
    <w:rsid w:val="00F527E3"/>
    <w:rsid w:val="00F5281F"/>
    <w:rsid w:val="00F52966"/>
    <w:rsid w:val="00F52B85"/>
    <w:rsid w:val="00F52CCD"/>
    <w:rsid w:val="00F52D0E"/>
    <w:rsid w:val="00F52D24"/>
    <w:rsid w:val="00F52D87"/>
    <w:rsid w:val="00F52EC1"/>
    <w:rsid w:val="00F530FD"/>
    <w:rsid w:val="00F53135"/>
    <w:rsid w:val="00F53315"/>
    <w:rsid w:val="00F53317"/>
    <w:rsid w:val="00F53389"/>
    <w:rsid w:val="00F53562"/>
    <w:rsid w:val="00F53615"/>
    <w:rsid w:val="00F5371A"/>
    <w:rsid w:val="00F538E1"/>
    <w:rsid w:val="00F53BD0"/>
    <w:rsid w:val="00F53BF0"/>
    <w:rsid w:val="00F53BF2"/>
    <w:rsid w:val="00F53EDF"/>
    <w:rsid w:val="00F53F73"/>
    <w:rsid w:val="00F53FD4"/>
    <w:rsid w:val="00F54334"/>
    <w:rsid w:val="00F54508"/>
    <w:rsid w:val="00F546A7"/>
    <w:rsid w:val="00F54824"/>
    <w:rsid w:val="00F54884"/>
    <w:rsid w:val="00F5489B"/>
    <w:rsid w:val="00F548E0"/>
    <w:rsid w:val="00F54AAF"/>
    <w:rsid w:val="00F54B1B"/>
    <w:rsid w:val="00F54B56"/>
    <w:rsid w:val="00F54BC5"/>
    <w:rsid w:val="00F54BE7"/>
    <w:rsid w:val="00F54C23"/>
    <w:rsid w:val="00F54C87"/>
    <w:rsid w:val="00F54F40"/>
    <w:rsid w:val="00F54F55"/>
    <w:rsid w:val="00F55180"/>
    <w:rsid w:val="00F5532D"/>
    <w:rsid w:val="00F5534A"/>
    <w:rsid w:val="00F553F4"/>
    <w:rsid w:val="00F554BE"/>
    <w:rsid w:val="00F554DE"/>
    <w:rsid w:val="00F5550A"/>
    <w:rsid w:val="00F555DD"/>
    <w:rsid w:val="00F5561E"/>
    <w:rsid w:val="00F55636"/>
    <w:rsid w:val="00F5567E"/>
    <w:rsid w:val="00F557DB"/>
    <w:rsid w:val="00F558C6"/>
    <w:rsid w:val="00F559EC"/>
    <w:rsid w:val="00F55A1B"/>
    <w:rsid w:val="00F55ED6"/>
    <w:rsid w:val="00F56205"/>
    <w:rsid w:val="00F56217"/>
    <w:rsid w:val="00F56265"/>
    <w:rsid w:val="00F563B6"/>
    <w:rsid w:val="00F563CB"/>
    <w:rsid w:val="00F566C4"/>
    <w:rsid w:val="00F56792"/>
    <w:rsid w:val="00F56AA8"/>
    <w:rsid w:val="00F56BBB"/>
    <w:rsid w:val="00F56DD5"/>
    <w:rsid w:val="00F56F4A"/>
    <w:rsid w:val="00F56F5A"/>
    <w:rsid w:val="00F56FD5"/>
    <w:rsid w:val="00F57168"/>
    <w:rsid w:val="00F57387"/>
    <w:rsid w:val="00F574A4"/>
    <w:rsid w:val="00F5752D"/>
    <w:rsid w:val="00F57558"/>
    <w:rsid w:val="00F57618"/>
    <w:rsid w:val="00F5762D"/>
    <w:rsid w:val="00F5775B"/>
    <w:rsid w:val="00F577DF"/>
    <w:rsid w:val="00F5792F"/>
    <w:rsid w:val="00F57A7D"/>
    <w:rsid w:val="00F57A89"/>
    <w:rsid w:val="00F57D07"/>
    <w:rsid w:val="00F57E9F"/>
    <w:rsid w:val="00F601D6"/>
    <w:rsid w:val="00F602C5"/>
    <w:rsid w:val="00F60397"/>
    <w:rsid w:val="00F6046E"/>
    <w:rsid w:val="00F606B3"/>
    <w:rsid w:val="00F60B7D"/>
    <w:rsid w:val="00F60CAB"/>
    <w:rsid w:val="00F60DF8"/>
    <w:rsid w:val="00F60E75"/>
    <w:rsid w:val="00F60FF5"/>
    <w:rsid w:val="00F6102B"/>
    <w:rsid w:val="00F61119"/>
    <w:rsid w:val="00F61128"/>
    <w:rsid w:val="00F612B4"/>
    <w:rsid w:val="00F6148E"/>
    <w:rsid w:val="00F6156C"/>
    <w:rsid w:val="00F615A6"/>
    <w:rsid w:val="00F61639"/>
    <w:rsid w:val="00F61643"/>
    <w:rsid w:val="00F6169E"/>
    <w:rsid w:val="00F617E0"/>
    <w:rsid w:val="00F61918"/>
    <w:rsid w:val="00F61AAB"/>
    <w:rsid w:val="00F61B3F"/>
    <w:rsid w:val="00F61C2A"/>
    <w:rsid w:val="00F61C80"/>
    <w:rsid w:val="00F61D19"/>
    <w:rsid w:val="00F61DC5"/>
    <w:rsid w:val="00F6208A"/>
    <w:rsid w:val="00F62109"/>
    <w:rsid w:val="00F62162"/>
    <w:rsid w:val="00F623AA"/>
    <w:rsid w:val="00F62505"/>
    <w:rsid w:val="00F62558"/>
    <w:rsid w:val="00F62564"/>
    <w:rsid w:val="00F625D0"/>
    <w:rsid w:val="00F627B5"/>
    <w:rsid w:val="00F628DC"/>
    <w:rsid w:val="00F628FB"/>
    <w:rsid w:val="00F62957"/>
    <w:rsid w:val="00F62B3C"/>
    <w:rsid w:val="00F62B94"/>
    <w:rsid w:val="00F6314D"/>
    <w:rsid w:val="00F6315E"/>
    <w:rsid w:val="00F63193"/>
    <w:rsid w:val="00F6374A"/>
    <w:rsid w:val="00F637BE"/>
    <w:rsid w:val="00F637DA"/>
    <w:rsid w:val="00F63B0D"/>
    <w:rsid w:val="00F63C0C"/>
    <w:rsid w:val="00F63C47"/>
    <w:rsid w:val="00F63E00"/>
    <w:rsid w:val="00F63E17"/>
    <w:rsid w:val="00F64133"/>
    <w:rsid w:val="00F64223"/>
    <w:rsid w:val="00F645E0"/>
    <w:rsid w:val="00F6460F"/>
    <w:rsid w:val="00F646D6"/>
    <w:rsid w:val="00F648CA"/>
    <w:rsid w:val="00F648CE"/>
    <w:rsid w:val="00F6493B"/>
    <w:rsid w:val="00F64D08"/>
    <w:rsid w:val="00F64DDE"/>
    <w:rsid w:val="00F64E7F"/>
    <w:rsid w:val="00F64E8D"/>
    <w:rsid w:val="00F64EDE"/>
    <w:rsid w:val="00F64EF8"/>
    <w:rsid w:val="00F64EFF"/>
    <w:rsid w:val="00F64F06"/>
    <w:rsid w:val="00F650A1"/>
    <w:rsid w:val="00F65156"/>
    <w:rsid w:val="00F6538C"/>
    <w:rsid w:val="00F653BC"/>
    <w:rsid w:val="00F653D5"/>
    <w:rsid w:val="00F654D9"/>
    <w:rsid w:val="00F656A2"/>
    <w:rsid w:val="00F657B1"/>
    <w:rsid w:val="00F657E6"/>
    <w:rsid w:val="00F659DF"/>
    <w:rsid w:val="00F65A6C"/>
    <w:rsid w:val="00F65D87"/>
    <w:rsid w:val="00F65F2D"/>
    <w:rsid w:val="00F660A9"/>
    <w:rsid w:val="00F6615F"/>
    <w:rsid w:val="00F6634C"/>
    <w:rsid w:val="00F66361"/>
    <w:rsid w:val="00F6654C"/>
    <w:rsid w:val="00F66792"/>
    <w:rsid w:val="00F66857"/>
    <w:rsid w:val="00F668AA"/>
    <w:rsid w:val="00F66A60"/>
    <w:rsid w:val="00F66A96"/>
    <w:rsid w:val="00F66D55"/>
    <w:rsid w:val="00F66E8C"/>
    <w:rsid w:val="00F67267"/>
    <w:rsid w:val="00F67473"/>
    <w:rsid w:val="00F67626"/>
    <w:rsid w:val="00F676D7"/>
    <w:rsid w:val="00F6794C"/>
    <w:rsid w:val="00F67963"/>
    <w:rsid w:val="00F67A10"/>
    <w:rsid w:val="00F67A95"/>
    <w:rsid w:val="00F67F46"/>
    <w:rsid w:val="00F67F8C"/>
    <w:rsid w:val="00F700C0"/>
    <w:rsid w:val="00F700FB"/>
    <w:rsid w:val="00F7010C"/>
    <w:rsid w:val="00F702C7"/>
    <w:rsid w:val="00F704B0"/>
    <w:rsid w:val="00F704B2"/>
    <w:rsid w:val="00F70530"/>
    <w:rsid w:val="00F70789"/>
    <w:rsid w:val="00F707E9"/>
    <w:rsid w:val="00F7087B"/>
    <w:rsid w:val="00F70A94"/>
    <w:rsid w:val="00F70B69"/>
    <w:rsid w:val="00F71248"/>
    <w:rsid w:val="00F7132E"/>
    <w:rsid w:val="00F713C0"/>
    <w:rsid w:val="00F714B9"/>
    <w:rsid w:val="00F7159F"/>
    <w:rsid w:val="00F715D1"/>
    <w:rsid w:val="00F715F3"/>
    <w:rsid w:val="00F71858"/>
    <w:rsid w:val="00F7195A"/>
    <w:rsid w:val="00F71C77"/>
    <w:rsid w:val="00F722E2"/>
    <w:rsid w:val="00F72464"/>
    <w:rsid w:val="00F72617"/>
    <w:rsid w:val="00F72679"/>
    <w:rsid w:val="00F72993"/>
    <w:rsid w:val="00F72B72"/>
    <w:rsid w:val="00F72F93"/>
    <w:rsid w:val="00F72FDB"/>
    <w:rsid w:val="00F72FF7"/>
    <w:rsid w:val="00F730BD"/>
    <w:rsid w:val="00F7315F"/>
    <w:rsid w:val="00F73248"/>
    <w:rsid w:val="00F73295"/>
    <w:rsid w:val="00F732DA"/>
    <w:rsid w:val="00F733A2"/>
    <w:rsid w:val="00F733A8"/>
    <w:rsid w:val="00F733FA"/>
    <w:rsid w:val="00F73401"/>
    <w:rsid w:val="00F7347B"/>
    <w:rsid w:val="00F734FB"/>
    <w:rsid w:val="00F739C3"/>
    <w:rsid w:val="00F73A05"/>
    <w:rsid w:val="00F73A96"/>
    <w:rsid w:val="00F73DD4"/>
    <w:rsid w:val="00F73E0A"/>
    <w:rsid w:val="00F73E0C"/>
    <w:rsid w:val="00F73E28"/>
    <w:rsid w:val="00F73FBF"/>
    <w:rsid w:val="00F7419E"/>
    <w:rsid w:val="00F741C8"/>
    <w:rsid w:val="00F74278"/>
    <w:rsid w:val="00F742DF"/>
    <w:rsid w:val="00F743C6"/>
    <w:rsid w:val="00F74422"/>
    <w:rsid w:val="00F747B4"/>
    <w:rsid w:val="00F747D6"/>
    <w:rsid w:val="00F7484B"/>
    <w:rsid w:val="00F748C9"/>
    <w:rsid w:val="00F74B0F"/>
    <w:rsid w:val="00F74D31"/>
    <w:rsid w:val="00F74DC9"/>
    <w:rsid w:val="00F7529B"/>
    <w:rsid w:val="00F7532D"/>
    <w:rsid w:val="00F75498"/>
    <w:rsid w:val="00F7552B"/>
    <w:rsid w:val="00F755A7"/>
    <w:rsid w:val="00F755ED"/>
    <w:rsid w:val="00F75622"/>
    <w:rsid w:val="00F7599E"/>
    <w:rsid w:val="00F75B01"/>
    <w:rsid w:val="00F75BB3"/>
    <w:rsid w:val="00F75BD1"/>
    <w:rsid w:val="00F75C1C"/>
    <w:rsid w:val="00F75CB4"/>
    <w:rsid w:val="00F75EA9"/>
    <w:rsid w:val="00F75F07"/>
    <w:rsid w:val="00F75F0C"/>
    <w:rsid w:val="00F75FA8"/>
    <w:rsid w:val="00F7602C"/>
    <w:rsid w:val="00F76528"/>
    <w:rsid w:val="00F76605"/>
    <w:rsid w:val="00F766A2"/>
    <w:rsid w:val="00F7683C"/>
    <w:rsid w:val="00F768BC"/>
    <w:rsid w:val="00F76BF2"/>
    <w:rsid w:val="00F76ED4"/>
    <w:rsid w:val="00F76F15"/>
    <w:rsid w:val="00F7746D"/>
    <w:rsid w:val="00F774A7"/>
    <w:rsid w:val="00F776F5"/>
    <w:rsid w:val="00F777D7"/>
    <w:rsid w:val="00F77AFD"/>
    <w:rsid w:val="00F77BF0"/>
    <w:rsid w:val="00F77D25"/>
    <w:rsid w:val="00F77D65"/>
    <w:rsid w:val="00F77F8D"/>
    <w:rsid w:val="00F77FD4"/>
    <w:rsid w:val="00F8005F"/>
    <w:rsid w:val="00F804F9"/>
    <w:rsid w:val="00F80707"/>
    <w:rsid w:val="00F807F0"/>
    <w:rsid w:val="00F8084C"/>
    <w:rsid w:val="00F80C93"/>
    <w:rsid w:val="00F80D7B"/>
    <w:rsid w:val="00F80DF4"/>
    <w:rsid w:val="00F81191"/>
    <w:rsid w:val="00F81205"/>
    <w:rsid w:val="00F81224"/>
    <w:rsid w:val="00F81356"/>
    <w:rsid w:val="00F81357"/>
    <w:rsid w:val="00F81547"/>
    <w:rsid w:val="00F816DA"/>
    <w:rsid w:val="00F81843"/>
    <w:rsid w:val="00F819BD"/>
    <w:rsid w:val="00F81C1B"/>
    <w:rsid w:val="00F81CCA"/>
    <w:rsid w:val="00F81EC2"/>
    <w:rsid w:val="00F821B6"/>
    <w:rsid w:val="00F82220"/>
    <w:rsid w:val="00F822F4"/>
    <w:rsid w:val="00F82476"/>
    <w:rsid w:val="00F824A1"/>
    <w:rsid w:val="00F825E7"/>
    <w:rsid w:val="00F826C7"/>
    <w:rsid w:val="00F827E0"/>
    <w:rsid w:val="00F82A40"/>
    <w:rsid w:val="00F82B37"/>
    <w:rsid w:val="00F82B57"/>
    <w:rsid w:val="00F82C6F"/>
    <w:rsid w:val="00F82CE9"/>
    <w:rsid w:val="00F82E3E"/>
    <w:rsid w:val="00F82E86"/>
    <w:rsid w:val="00F82F8A"/>
    <w:rsid w:val="00F831B1"/>
    <w:rsid w:val="00F8320F"/>
    <w:rsid w:val="00F8321C"/>
    <w:rsid w:val="00F83252"/>
    <w:rsid w:val="00F83284"/>
    <w:rsid w:val="00F8342B"/>
    <w:rsid w:val="00F834B2"/>
    <w:rsid w:val="00F836EE"/>
    <w:rsid w:val="00F837D0"/>
    <w:rsid w:val="00F838E1"/>
    <w:rsid w:val="00F83985"/>
    <w:rsid w:val="00F83987"/>
    <w:rsid w:val="00F83A50"/>
    <w:rsid w:val="00F83B64"/>
    <w:rsid w:val="00F83C02"/>
    <w:rsid w:val="00F83DB9"/>
    <w:rsid w:val="00F83E0C"/>
    <w:rsid w:val="00F83EA0"/>
    <w:rsid w:val="00F8411F"/>
    <w:rsid w:val="00F84145"/>
    <w:rsid w:val="00F845C1"/>
    <w:rsid w:val="00F846EA"/>
    <w:rsid w:val="00F84704"/>
    <w:rsid w:val="00F8484D"/>
    <w:rsid w:val="00F848C3"/>
    <w:rsid w:val="00F84949"/>
    <w:rsid w:val="00F84A95"/>
    <w:rsid w:val="00F84B03"/>
    <w:rsid w:val="00F84B1D"/>
    <w:rsid w:val="00F84B80"/>
    <w:rsid w:val="00F84BA0"/>
    <w:rsid w:val="00F84E51"/>
    <w:rsid w:val="00F84F97"/>
    <w:rsid w:val="00F84FA3"/>
    <w:rsid w:val="00F850A3"/>
    <w:rsid w:val="00F850BC"/>
    <w:rsid w:val="00F852D9"/>
    <w:rsid w:val="00F85339"/>
    <w:rsid w:val="00F853C5"/>
    <w:rsid w:val="00F8542C"/>
    <w:rsid w:val="00F855B8"/>
    <w:rsid w:val="00F85657"/>
    <w:rsid w:val="00F857F9"/>
    <w:rsid w:val="00F85B5C"/>
    <w:rsid w:val="00F85B8A"/>
    <w:rsid w:val="00F86087"/>
    <w:rsid w:val="00F86120"/>
    <w:rsid w:val="00F861D8"/>
    <w:rsid w:val="00F861ED"/>
    <w:rsid w:val="00F862A5"/>
    <w:rsid w:val="00F862D8"/>
    <w:rsid w:val="00F863C3"/>
    <w:rsid w:val="00F864C2"/>
    <w:rsid w:val="00F8660E"/>
    <w:rsid w:val="00F86754"/>
    <w:rsid w:val="00F867DE"/>
    <w:rsid w:val="00F8699D"/>
    <w:rsid w:val="00F869A2"/>
    <w:rsid w:val="00F86B6A"/>
    <w:rsid w:val="00F86D57"/>
    <w:rsid w:val="00F86D87"/>
    <w:rsid w:val="00F86F41"/>
    <w:rsid w:val="00F870A7"/>
    <w:rsid w:val="00F870C9"/>
    <w:rsid w:val="00F87203"/>
    <w:rsid w:val="00F87239"/>
    <w:rsid w:val="00F8725E"/>
    <w:rsid w:val="00F872BF"/>
    <w:rsid w:val="00F8731B"/>
    <w:rsid w:val="00F875F6"/>
    <w:rsid w:val="00F87639"/>
    <w:rsid w:val="00F8768E"/>
    <w:rsid w:val="00F87949"/>
    <w:rsid w:val="00F8797E"/>
    <w:rsid w:val="00F87C8F"/>
    <w:rsid w:val="00F87D0C"/>
    <w:rsid w:val="00F87FCA"/>
    <w:rsid w:val="00F90017"/>
    <w:rsid w:val="00F90101"/>
    <w:rsid w:val="00F904B6"/>
    <w:rsid w:val="00F90573"/>
    <w:rsid w:val="00F905DA"/>
    <w:rsid w:val="00F906B7"/>
    <w:rsid w:val="00F9089B"/>
    <w:rsid w:val="00F90919"/>
    <w:rsid w:val="00F90948"/>
    <w:rsid w:val="00F90957"/>
    <w:rsid w:val="00F909BA"/>
    <w:rsid w:val="00F90B63"/>
    <w:rsid w:val="00F90CE3"/>
    <w:rsid w:val="00F90D53"/>
    <w:rsid w:val="00F91087"/>
    <w:rsid w:val="00F91365"/>
    <w:rsid w:val="00F913BA"/>
    <w:rsid w:val="00F9148F"/>
    <w:rsid w:val="00F914CB"/>
    <w:rsid w:val="00F915B3"/>
    <w:rsid w:val="00F918E7"/>
    <w:rsid w:val="00F91969"/>
    <w:rsid w:val="00F91A26"/>
    <w:rsid w:val="00F91A62"/>
    <w:rsid w:val="00F91C82"/>
    <w:rsid w:val="00F91CCE"/>
    <w:rsid w:val="00F91D28"/>
    <w:rsid w:val="00F91E2D"/>
    <w:rsid w:val="00F92054"/>
    <w:rsid w:val="00F9215F"/>
    <w:rsid w:val="00F92203"/>
    <w:rsid w:val="00F9220E"/>
    <w:rsid w:val="00F924DA"/>
    <w:rsid w:val="00F92578"/>
    <w:rsid w:val="00F92B0C"/>
    <w:rsid w:val="00F92E05"/>
    <w:rsid w:val="00F92EF0"/>
    <w:rsid w:val="00F931AF"/>
    <w:rsid w:val="00F933AF"/>
    <w:rsid w:val="00F933F6"/>
    <w:rsid w:val="00F9356F"/>
    <w:rsid w:val="00F9357B"/>
    <w:rsid w:val="00F93906"/>
    <w:rsid w:val="00F93A82"/>
    <w:rsid w:val="00F93ACA"/>
    <w:rsid w:val="00F93B12"/>
    <w:rsid w:val="00F93B32"/>
    <w:rsid w:val="00F93BF1"/>
    <w:rsid w:val="00F93DBB"/>
    <w:rsid w:val="00F93E2E"/>
    <w:rsid w:val="00F93E3A"/>
    <w:rsid w:val="00F93E78"/>
    <w:rsid w:val="00F93F7D"/>
    <w:rsid w:val="00F94032"/>
    <w:rsid w:val="00F94036"/>
    <w:rsid w:val="00F940FF"/>
    <w:rsid w:val="00F941C8"/>
    <w:rsid w:val="00F941E8"/>
    <w:rsid w:val="00F94233"/>
    <w:rsid w:val="00F943ED"/>
    <w:rsid w:val="00F9477B"/>
    <w:rsid w:val="00F947E1"/>
    <w:rsid w:val="00F9481D"/>
    <w:rsid w:val="00F94896"/>
    <w:rsid w:val="00F948F6"/>
    <w:rsid w:val="00F9490C"/>
    <w:rsid w:val="00F949E3"/>
    <w:rsid w:val="00F949F2"/>
    <w:rsid w:val="00F94B00"/>
    <w:rsid w:val="00F94B88"/>
    <w:rsid w:val="00F94CA8"/>
    <w:rsid w:val="00F94CE0"/>
    <w:rsid w:val="00F94F52"/>
    <w:rsid w:val="00F94F6A"/>
    <w:rsid w:val="00F94FC6"/>
    <w:rsid w:val="00F95068"/>
    <w:rsid w:val="00F950F3"/>
    <w:rsid w:val="00F951AB"/>
    <w:rsid w:val="00F9527B"/>
    <w:rsid w:val="00F95418"/>
    <w:rsid w:val="00F95607"/>
    <w:rsid w:val="00F959E1"/>
    <w:rsid w:val="00F95B45"/>
    <w:rsid w:val="00F95C6C"/>
    <w:rsid w:val="00F95D18"/>
    <w:rsid w:val="00F96082"/>
    <w:rsid w:val="00F96087"/>
    <w:rsid w:val="00F960D8"/>
    <w:rsid w:val="00F9610B"/>
    <w:rsid w:val="00F961F1"/>
    <w:rsid w:val="00F962CA"/>
    <w:rsid w:val="00F96316"/>
    <w:rsid w:val="00F966B6"/>
    <w:rsid w:val="00F966BC"/>
    <w:rsid w:val="00F9675D"/>
    <w:rsid w:val="00F96818"/>
    <w:rsid w:val="00F9685E"/>
    <w:rsid w:val="00F96A91"/>
    <w:rsid w:val="00F96BBB"/>
    <w:rsid w:val="00F96BF3"/>
    <w:rsid w:val="00F96C4F"/>
    <w:rsid w:val="00F96DD2"/>
    <w:rsid w:val="00F96EE4"/>
    <w:rsid w:val="00F970BC"/>
    <w:rsid w:val="00F970F1"/>
    <w:rsid w:val="00F975C5"/>
    <w:rsid w:val="00F9767F"/>
    <w:rsid w:val="00F9768F"/>
    <w:rsid w:val="00F977D8"/>
    <w:rsid w:val="00F97984"/>
    <w:rsid w:val="00F97AD0"/>
    <w:rsid w:val="00F97AEA"/>
    <w:rsid w:val="00F97C77"/>
    <w:rsid w:val="00F97D7D"/>
    <w:rsid w:val="00F97E44"/>
    <w:rsid w:val="00F97F6B"/>
    <w:rsid w:val="00FA0120"/>
    <w:rsid w:val="00FA04B6"/>
    <w:rsid w:val="00FA0833"/>
    <w:rsid w:val="00FA0889"/>
    <w:rsid w:val="00FA0965"/>
    <w:rsid w:val="00FA0E76"/>
    <w:rsid w:val="00FA1054"/>
    <w:rsid w:val="00FA10FC"/>
    <w:rsid w:val="00FA12B4"/>
    <w:rsid w:val="00FA12E9"/>
    <w:rsid w:val="00FA13E4"/>
    <w:rsid w:val="00FA1420"/>
    <w:rsid w:val="00FA148C"/>
    <w:rsid w:val="00FA149E"/>
    <w:rsid w:val="00FA152A"/>
    <w:rsid w:val="00FA1976"/>
    <w:rsid w:val="00FA1CC8"/>
    <w:rsid w:val="00FA1CF8"/>
    <w:rsid w:val="00FA2267"/>
    <w:rsid w:val="00FA23BF"/>
    <w:rsid w:val="00FA23E7"/>
    <w:rsid w:val="00FA276F"/>
    <w:rsid w:val="00FA2B18"/>
    <w:rsid w:val="00FA2B57"/>
    <w:rsid w:val="00FA2BE2"/>
    <w:rsid w:val="00FA2F61"/>
    <w:rsid w:val="00FA2FB4"/>
    <w:rsid w:val="00FA2FB9"/>
    <w:rsid w:val="00FA313F"/>
    <w:rsid w:val="00FA3238"/>
    <w:rsid w:val="00FA3333"/>
    <w:rsid w:val="00FA339B"/>
    <w:rsid w:val="00FA33A5"/>
    <w:rsid w:val="00FA3412"/>
    <w:rsid w:val="00FA3521"/>
    <w:rsid w:val="00FA368D"/>
    <w:rsid w:val="00FA3693"/>
    <w:rsid w:val="00FA3727"/>
    <w:rsid w:val="00FA3850"/>
    <w:rsid w:val="00FA38B0"/>
    <w:rsid w:val="00FA3925"/>
    <w:rsid w:val="00FA3B15"/>
    <w:rsid w:val="00FA3B6D"/>
    <w:rsid w:val="00FA3BCA"/>
    <w:rsid w:val="00FA3DAE"/>
    <w:rsid w:val="00FA3FDF"/>
    <w:rsid w:val="00FA402E"/>
    <w:rsid w:val="00FA410D"/>
    <w:rsid w:val="00FA440D"/>
    <w:rsid w:val="00FA4A0B"/>
    <w:rsid w:val="00FA4DB8"/>
    <w:rsid w:val="00FA4F1C"/>
    <w:rsid w:val="00FA4F33"/>
    <w:rsid w:val="00FA52FB"/>
    <w:rsid w:val="00FA5851"/>
    <w:rsid w:val="00FA5955"/>
    <w:rsid w:val="00FA5A6D"/>
    <w:rsid w:val="00FA5F27"/>
    <w:rsid w:val="00FA5F39"/>
    <w:rsid w:val="00FA5FD0"/>
    <w:rsid w:val="00FA620E"/>
    <w:rsid w:val="00FA6327"/>
    <w:rsid w:val="00FA6482"/>
    <w:rsid w:val="00FA67C5"/>
    <w:rsid w:val="00FA6836"/>
    <w:rsid w:val="00FA69DE"/>
    <w:rsid w:val="00FA6A70"/>
    <w:rsid w:val="00FA6C06"/>
    <w:rsid w:val="00FA6C99"/>
    <w:rsid w:val="00FA6DDE"/>
    <w:rsid w:val="00FA6F96"/>
    <w:rsid w:val="00FA7211"/>
    <w:rsid w:val="00FA7320"/>
    <w:rsid w:val="00FA738E"/>
    <w:rsid w:val="00FA7473"/>
    <w:rsid w:val="00FA7551"/>
    <w:rsid w:val="00FA781C"/>
    <w:rsid w:val="00FA7AA9"/>
    <w:rsid w:val="00FA7AF1"/>
    <w:rsid w:val="00FA7C89"/>
    <w:rsid w:val="00FA7C8C"/>
    <w:rsid w:val="00FA7D56"/>
    <w:rsid w:val="00FA7EEE"/>
    <w:rsid w:val="00FB01AD"/>
    <w:rsid w:val="00FB02B5"/>
    <w:rsid w:val="00FB0508"/>
    <w:rsid w:val="00FB07BE"/>
    <w:rsid w:val="00FB0B96"/>
    <w:rsid w:val="00FB0BE4"/>
    <w:rsid w:val="00FB0CB9"/>
    <w:rsid w:val="00FB0DC1"/>
    <w:rsid w:val="00FB0E8F"/>
    <w:rsid w:val="00FB0EE0"/>
    <w:rsid w:val="00FB0FED"/>
    <w:rsid w:val="00FB1061"/>
    <w:rsid w:val="00FB132E"/>
    <w:rsid w:val="00FB1485"/>
    <w:rsid w:val="00FB14CC"/>
    <w:rsid w:val="00FB1756"/>
    <w:rsid w:val="00FB18D9"/>
    <w:rsid w:val="00FB18E0"/>
    <w:rsid w:val="00FB1961"/>
    <w:rsid w:val="00FB1A1D"/>
    <w:rsid w:val="00FB1B13"/>
    <w:rsid w:val="00FB1B2F"/>
    <w:rsid w:val="00FB1B54"/>
    <w:rsid w:val="00FB1CA2"/>
    <w:rsid w:val="00FB1E0D"/>
    <w:rsid w:val="00FB1ED4"/>
    <w:rsid w:val="00FB1F46"/>
    <w:rsid w:val="00FB1F97"/>
    <w:rsid w:val="00FB1FD9"/>
    <w:rsid w:val="00FB22F2"/>
    <w:rsid w:val="00FB2372"/>
    <w:rsid w:val="00FB23E4"/>
    <w:rsid w:val="00FB2466"/>
    <w:rsid w:val="00FB24D4"/>
    <w:rsid w:val="00FB24DA"/>
    <w:rsid w:val="00FB2571"/>
    <w:rsid w:val="00FB2647"/>
    <w:rsid w:val="00FB26BB"/>
    <w:rsid w:val="00FB2727"/>
    <w:rsid w:val="00FB28EE"/>
    <w:rsid w:val="00FB2B50"/>
    <w:rsid w:val="00FB2BE6"/>
    <w:rsid w:val="00FB2C6C"/>
    <w:rsid w:val="00FB2F60"/>
    <w:rsid w:val="00FB2FF0"/>
    <w:rsid w:val="00FB303C"/>
    <w:rsid w:val="00FB30FF"/>
    <w:rsid w:val="00FB353E"/>
    <w:rsid w:val="00FB3601"/>
    <w:rsid w:val="00FB3731"/>
    <w:rsid w:val="00FB3C2D"/>
    <w:rsid w:val="00FB3EC7"/>
    <w:rsid w:val="00FB3F13"/>
    <w:rsid w:val="00FB410E"/>
    <w:rsid w:val="00FB4654"/>
    <w:rsid w:val="00FB4666"/>
    <w:rsid w:val="00FB47D5"/>
    <w:rsid w:val="00FB49A7"/>
    <w:rsid w:val="00FB49D0"/>
    <w:rsid w:val="00FB4B64"/>
    <w:rsid w:val="00FB4B76"/>
    <w:rsid w:val="00FB4D18"/>
    <w:rsid w:val="00FB4DC7"/>
    <w:rsid w:val="00FB514E"/>
    <w:rsid w:val="00FB54A3"/>
    <w:rsid w:val="00FB5502"/>
    <w:rsid w:val="00FB551B"/>
    <w:rsid w:val="00FB55C5"/>
    <w:rsid w:val="00FB5690"/>
    <w:rsid w:val="00FB56A7"/>
    <w:rsid w:val="00FB59F8"/>
    <w:rsid w:val="00FB5A43"/>
    <w:rsid w:val="00FB5A5C"/>
    <w:rsid w:val="00FB5A79"/>
    <w:rsid w:val="00FB5B9A"/>
    <w:rsid w:val="00FB5DD3"/>
    <w:rsid w:val="00FB5E3E"/>
    <w:rsid w:val="00FB5F2A"/>
    <w:rsid w:val="00FB5F8F"/>
    <w:rsid w:val="00FB61D1"/>
    <w:rsid w:val="00FB63FC"/>
    <w:rsid w:val="00FB661E"/>
    <w:rsid w:val="00FB6831"/>
    <w:rsid w:val="00FB6887"/>
    <w:rsid w:val="00FB68F6"/>
    <w:rsid w:val="00FB6C73"/>
    <w:rsid w:val="00FB6C7C"/>
    <w:rsid w:val="00FB6EE8"/>
    <w:rsid w:val="00FB704E"/>
    <w:rsid w:val="00FB72A9"/>
    <w:rsid w:val="00FB743A"/>
    <w:rsid w:val="00FB7481"/>
    <w:rsid w:val="00FB75B3"/>
    <w:rsid w:val="00FB7682"/>
    <w:rsid w:val="00FB7771"/>
    <w:rsid w:val="00FB779C"/>
    <w:rsid w:val="00FB7970"/>
    <w:rsid w:val="00FB7A21"/>
    <w:rsid w:val="00FB7C8B"/>
    <w:rsid w:val="00FB7E42"/>
    <w:rsid w:val="00FB7F89"/>
    <w:rsid w:val="00FC00EB"/>
    <w:rsid w:val="00FC00F0"/>
    <w:rsid w:val="00FC0152"/>
    <w:rsid w:val="00FC01C0"/>
    <w:rsid w:val="00FC01CF"/>
    <w:rsid w:val="00FC0209"/>
    <w:rsid w:val="00FC031A"/>
    <w:rsid w:val="00FC0349"/>
    <w:rsid w:val="00FC0420"/>
    <w:rsid w:val="00FC0603"/>
    <w:rsid w:val="00FC0862"/>
    <w:rsid w:val="00FC08A8"/>
    <w:rsid w:val="00FC099A"/>
    <w:rsid w:val="00FC0C5F"/>
    <w:rsid w:val="00FC0C6B"/>
    <w:rsid w:val="00FC1456"/>
    <w:rsid w:val="00FC145A"/>
    <w:rsid w:val="00FC16DD"/>
    <w:rsid w:val="00FC16EE"/>
    <w:rsid w:val="00FC18A5"/>
    <w:rsid w:val="00FC18ED"/>
    <w:rsid w:val="00FC199A"/>
    <w:rsid w:val="00FC1D88"/>
    <w:rsid w:val="00FC1E59"/>
    <w:rsid w:val="00FC213E"/>
    <w:rsid w:val="00FC2190"/>
    <w:rsid w:val="00FC226B"/>
    <w:rsid w:val="00FC2342"/>
    <w:rsid w:val="00FC2355"/>
    <w:rsid w:val="00FC2434"/>
    <w:rsid w:val="00FC2443"/>
    <w:rsid w:val="00FC2444"/>
    <w:rsid w:val="00FC24D8"/>
    <w:rsid w:val="00FC27B1"/>
    <w:rsid w:val="00FC27B6"/>
    <w:rsid w:val="00FC283D"/>
    <w:rsid w:val="00FC2861"/>
    <w:rsid w:val="00FC288F"/>
    <w:rsid w:val="00FC28CD"/>
    <w:rsid w:val="00FC2AFB"/>
    <w:rsid w:val="00FC2BB4"/>
    <w:rsid w:val="00FC2C00"/>
    <w:rsid w:val="00FC2DF3"/>
    <w:rsid w:val="00FC2EAC"/>
    <w:rsid w:val="00FC310B"/>
    <w:rsid w:val="00FC3159"/>
    <w:rsid w:val="00FC31D4"/>
    <w:rsid w:val="00FC33E8"/>
    <w:rsid w:val="00FC347C"/>
    <w:rsid w:val="00FC3523"/>
    <w:rsid w:val="00FC3663"/>
    <w:rsid w:val="00FC36F6"/>
    <w:rsid w:val="00FC373C"/>
    <w:rsid w:val="00FC38AA"/>
    <w:rsid w:val="00FC39B1"/>
    <w:rsid w:val="00FC3A6A"/>
    <w:rsid w:val="00FC3AEF"/>
    <w:rsid w:val="00FC3BC2"/>
    <w:rsid w:val="00FC3C69"/>
    <w:rsid w:val="00FC3DE9"/>
    <w:rsid w:val="00FC3F4E"/>
    <w:rsid w:val="00FC412E"/>
    <w:rsid w:val="00FC417B"/>
    <w:rsid w:val="00FC41D9"/>
    <w:rsid w:val="00FC41E5"/>
    <w:rsid w:val="00FC4217"/>
    <w:rsid w:val="00FC42E1"/>
    <w:rsid w:val="00FC458F"/>
    <w:rsid w:val="00FC4756"/>
    <w:rsid w:val="00FC48AC"/>
    <w:rsid w:val="00FC4B09"/>
    <w:rsid w:val="00FC4E6F"/>
    <w:rsid w:val="00FC50C5"/>
    <w:rsid w:val="00FC50FE"/>
    <w:rsid w:val="00FC5412"/>
    <w:rsid w:val="00FC5734"/>
    <w:rsid w:val="00FC5958"/>
    <w:rsid w:val="00FC596E"/>
    <w:rsid w:val="00FC5A9B"/>
    <w:rsid w:val="00FC5C53"/>
    <w:rsid w:val="00FC5CE6"/>
    <w:rsid w:val="00FC5ED3"/>
    <w:rsid w:val="00FC61B3"/>
    <w:rsid w:val="00FC61CF"/>
    <w:rsid w:val="00FC6238"/>
    <w:rsid w:val="00FC6271"/>
    <w:rsid w:val="00FC6385"/>
    <w:rsid w:val="00FC64E2"/>
    <w:rsid w:val="00FC65A8"/>
    <w:rsid w:val="00FC67C4"/>
    <w:rsid w:val="00FC6A85"/>
    <w:rsid w:val="00FC6A9C"/>
    <w:rsid w:val="00FC6BEE"/>
    <w:rsid w:val="00FC6D38"/>
    <w:rsid w:val="00FC6D39"/>
    <w:rsid w:val="00FC6D4D"/>
    <w:rsid w:val="00FC6D9A"/>
    <w:rsid w:val="00FC6F68"/>
    <w:rsid w:val="00FC6F6C"/>
    <w:rsid w:val="00FC6FD2"/>
    <w:rsid w:val="00FC7158"/>
    <w:rsid w:val="00FC7458"/>
    <w:rsid w:val="00FC7625"/>
    <w:rsid w:val="00FC7719"/>
    <w:rsid w:val="00FC7AD9"/>
    <w:rsid w:val="00FC7C88"/>
    <w:rsid w:val="00FC7DC8"/>
    <w:rsid w:val="00FC7DC9"/>
    <w:rsid w:val="00FC7E7F"/>
    <w:rsid w:val="00FC7F3D"/>
    <w:rsid w:val="00FC7FBC"/>
    <w:rsid w:val="00FD009C"/>
    <w:rsid w:val="00FD013D"/>
    <w:rsid w:val="00FD02FA"/>
    <w:rsid w:val="00FD074E"/>
    <w:rsid w:val="00FD076E"/>
    <w:rsid w:val="00FD0C52"/>
    <w:rsid w:val="00FD0CB7"/>
    <w:rsid w:val="00FD0CE4"/>
    <w:rsid w:val="00FD0D58"/>
    <w:rsid w:val="00FD0D9D"/>
    <w:rsid w:val="00FD1005"/>
    <w:rsid w:val="00FD1240"/>
    <w:rsid w:val="00FD13A7"/>
    <w:rsid w:val="00FD1516"/>
    <w:rsid w:val="00FD1546"/>
    <w:rsid w:val="00FD1617"/>
    <w:rsid w:val="00FD1894"/>
    <w:rsid w:val="00FD1909"/>
    <w:rsid w:val="00FD1B41"/>
    <w:rsid w:val="00FD1BCC"/>
    <w:rsid w:val="00FD1ED3"/>
    <w:rsid w:val="00FD20CC"/>
    <w:rsid w:val="00FD2292"/>
    <w:rsid w:val="00FD22BE"/>
    <w:rsid w:val="00FD2323"/>
    <w:rsid w:val="00FD23D2"/>
    <w:rsid w:val="00FD2450"/>
    <w:rsid w:val="00FD2528"/>
    <w:rsid w:val="00FD26A2"/>
    <w:rsid w:val="00FD2770"/>
    <w:rsid w:val="00FD2860"/>
    <w:rsid w:val="00FD2C72"/>
    <w:rsid w:val="00FD2D48"/>
    <w:rsid w:val="00FD2D5C"/>
    <w:rsid w:val="00FD2D69"/>
    <w:rsid w:val="00FD2D72"/>
    <w:rsid w:val="00FD2EB3"/>
    <w:rsid w:val="00FD2ECE"/>
    <w:rsid w:val="00FD2ED0"/>
    <w:rsid w:val="00FD2FA6"/>
    <w:rsid w:val="00FD2FFF"/>
    <w:rsid w:val="00FD303C"/>
    <w:rsid w:val="00FD30CC"/>
    <w:rsid w:val="00FD3232"/>
    <w:rsid w:val="00FD34FD"/>
    <w:rsid w:val="00FD35F7"/>
    <w:rsid w:val="00FD3734"/>
    <w:rsid w:val="00FD377F"/>
    <w:rsid w:val="00FD3950"/>
    <w:rsid w:val="00FD3A78"/>
    <w:rsid w:val="00FD3A9F"/>
    <w:rsid w:val="00FD3ACA"/>
    <w:rsid w:val="00FD3B19"/>
    <w:rsid w:val="00FD3BE0"/>
    <w:rsid w:val="00FD3D2D"/>
    <w:rsid w:val="00FD3F2B"/>
    <w:rsid w:val="00FD3F7D"/>
    <w:rsid w:val="00FD408C"/>
    <w:rsid w:val="00FD4267"/>
    <w:rsid w:val="00FD4317"/>
    <w:rsid w:val="00FD4323"/>
    <w:rsid w:val="00FD43E2"/>
    <w:rsid w:val="00FD4573"/>
    <w:rsid w:val="00FD4642"/>
    <w:rsid w:val="00FD4655"/>
    <w:rsid w:val="00FD4738"/>
    <w:rsid w:val="00FD474A"/>
    <w:rsid w:val="00FD4909"/>
    <w:rsid w:val="00FD4A2D"/>
    <w:rsid w:val="00FD4DB9"/>
    <w:rsid w:val="00FD4F13"/>
    <w:rsid w:val="00FD5054"/>
    <w:rsid w:val="00FD5199"/>
    <w:rsid w:val="00FD539E"/>
    <w:rsid w:val="00FD53C4"/>
    <w:rsid w:val="00FD5452"/>
    <w:rsid w:val="00FD5472"/>
    <w:rsid w:val="00FD5522"/>
    <w:rsid w:val="00FD5523"/>
    <w:rsid w:val="00FD5690"/>
    <w:rsid w:val="00FD5781"/>
    <w:rsid w:val="00FD58D8"/>
    <w:rsid w:val="00FD59FB"/>
    <w:rsid w:val="00FD5AC9"/>
    <w:rsid w:val="00FD5CAB"/>
    <w:rsid w:val="00FD5CB6"/>
    <w:rsid w:val="00FD5CD5"/>
    <w:rsid w:val="00FD6275"/>
    <w:rsid w:val="00FD63C1"/>
    <w:rsid w:val="00FD666C"/>
    <w:rsid w:val="00FD67D3"/>
    <w:rsid w:val="00FD6B24"/>
    <w:rsid w:val="00FD6DFD"/>
    <w:rsid w:val="00FD6FB5"/>
    <w:rsid w:val="00FD7133"/>
    <w:rsid w:val="00FD71D0"/>
    <w:rsid w:val="00FD723A"/>
    <w:rsid w:val="00FD7244"/>
    <w:rsid w:val="00FD7259"/>
    <w:rsid w:val="00FD7308"/>
    <w:rsid w:val="00FD73C5"/>
    <w:rsid w:val="00FD7483"/>
    <w:rsid w:val="00FD74A9"/>
    <w:rsid w:val="00FD74DE"/>
    <w:rsid w:val="00FD762F"/>
    <w:rsid w:val="00FD779D"/>
    <w:rsid w:val="00FD7856"/>
    <w:rsid w:val="00FD787E"/>
    <w:rsid w:val="00FD7894"/>
    <w:rsid w:val="00FD78B3"/>
    <w:rsid w:val="00FD7970"/>
    <w:rsid w:val="00FD79C9"/>
    <w:rsid w:val="00FD7AA1"/>
    <w:rsid w:val="00FD7B5B"/>
    <w:rsid w:val="00FD7BDD"/>
    <w:rsid w:val="00FD7C1D"/>
    <w:rsid w:val="00FD7C2D"/>
    <w:rsid w:val="00FD7E0C"/>
    <w:rsid w:val="00FE00D6"/>
    <w:rsid w:val="00FE02E3"/>
    <w:rsid w:val="00FE0751"/>
    <w:rsid w:val="00FE0848"/>
    <w:rsid w:val="00FE0894"/>
    <w:rsid w:val="00FE0A4F"/>
    <w:rsid w:val="00FE0B58"/>
    <w:rsid w:val="00FE0B8A"/>
    <w:rsid w:val="00FE0BB9"/>
    <w:rsid w:val="00FE0D4C"/>
    <w:rsid w:val="00FE0DE5"/>
    <w:rsid w:val="00FE0F8C"/>
    <w:rsid w:val="00FE106B"/>
    <w:rsid w:val="00FE12F3"/>
    <w:rsid w:val="00FE12FC"/>
    <w:rsid w:val="00FE130F"/>
    <w:rsid w:val="00FE13AC"/>
    <w:rsid w:val="00FE16FB"/>
    <w:rsid w:val="00FE1776"/>
    <w:rsid w:val="00FE1793"/>
    <w:rsid w:val="00FE17F1"/>
    <w:rsid w:val="00FE1914"/>
    <w:rsid w:val="00FE19D5"/>
    <w:rsid w:val="00FE19EA"/>
    <w:rsid w:val="00FE1A20"/>
    <w:rsid w:val="00FE1BE5"/>
    <w:rsid w:val="00FE1C38"/>
    <w:rsid w:val="00FE2029"/>
    <w:rsid w:val="00FE202D"/>
    <w:rsid w:val="00FE20E2"/>
    <w:rsid w:val="00FE2331"/>
    <w:rsid w:val="00FE242A"/>
    <w:rsid w:val="00FE2528"/>
    <w:rsid w:val="00FE2560"/>
    <w:rsid w:val="00FE2609"/>
    <w:rsid w:val="00FE260A"/>
    <w:rsid w:val="00FE2634"/>
    <w:rsid w:val="00FE26DC"/>
    <w:rsid w:val="00FE27EF"/>
    <w:rsid w:val="00FE2858"/>
    <w:rsid w:val="00FE2999"/>
    <w:rsid w:val="00FE2B39"/>
    <w:rsid w:val="00FE2C22"/>
    <w:rsid w:val="00FE2E2F"/>
    <w:rsid w:val="00FE2F73"/>
    <w:rsid w:val="00FE2FC7"/>
    <w:rsid w:val="00FE30BC"/>
    <w:rsid w:val="00FE318C"/>
    <w:rsid w:val="00FE3497"/>
    <w:rsid w:val="00FE3547"/>
    <w:rsid w:val="00FE3568"/>
    <w:rsid w:val="00FE365E"/>
    <w:rsid w:val="00FE37A3"/>
    <w:rsid w:val="00FE38FB"/>
    <w:rsid w:val="00FE3AC8"/>
    <w:rsid w:val="00FE3B30"/>
    <w:rsid w:val="00FE3FB9"/>
    <w:rsid w:val="00FE4480"/>
    <w:rsid w:val="00FE46F0"/>
    <w:rsid w:val="00FE4A5F"/>
    <w:rsid w:val="00FE4BF9"/>
    <w:rsid w:val="00FE4E63"/>
    <w:rsid w:val="00FE4EB6"/>
    <w:rsid w:val="00FE4ECC"/>
    <w:rsid w:val="00FE52D9"/>
    <w:rsid w:val="00FE5316"/>
    <w:rsid w:val="00FE53BA"/>
    <w:rsid w:val="00FE549B"/>
    <w:rsid w:val="00FE54C8"/>
    <w:rsid w:val="00FE54CC"/>
    <w:rsid w:val="00FE55E3"/>
    <w:rsid w:val="00FE570A"/>
    <w:rsid w:val="00FE5750"/>
    <w:rsid w:val="00FE58B2"/>
    <w:rsid w:val="00FE5966"/>
    <w:rsid w:val="00FE5A11"/>
    <w:rsid w:val="00FE5A57"/>
    <w:rsid w:val="00FE5AD6"/>
    <w:rsid w:val="00FE5C17"/>
    <w:rsid w:val="00FE5C66"/>
    <w:rsid w:val="00FE5CE3"/>
    <w:rsid w:val="00FE5E24"/>
    <w:rsid w:val="00FE5EDE"/>
    <w:rsid w:val="00FE5EFC"/>
    <w:rsid w:val="00FE5F9C"/>
    <w:rsid w:val="00FE6294"/>
    <w:rsid w:val="00FE62A9"/>
    <w:rsid w:val="00FE62EB"/>
    <w:rsid w:val="00FE644F"/>
    <w:rsid w:val="00FE652C"/>
    <w:rsid w:val="00FE66D9"/>
    <w:rsid w:val="00FE66FD"/>
    <w:rsid w:val="00FE6A1D"/>
    <w:rsid w:val="00FE6E94"/>
    <w:rsid w:val="00FE7017"/>
    <w:rsid w:val="00FE716A"/>
    <w:rsid w:val="00FE71FA"/>
    <w:rsid w:val="00FE7223"/>
    <w:rsid w:val="00FE744D"/>
    <w:rsid w:val="00FE757C"/>
    <w:rsid w:val="00FE75AC"/>
    <w:rsid w:val="00FE76B2"/>
    <w:rsid w:val="00FE76FB"/>
    <w:rsid w:val="00FE7714"/>
    <w:rsid w:val="00FE78BD"/>
    <w:rsid w:val="00FE78ED"/>
    <w:rsid w:val="00FE7AA9"/>
    <w:rsid w:val="00FE7AB0"/>
    <w:rsid w:val="00FE7BC5"/>
    <w:rsid w:val="00FE7DF9"/>
    <w:rsid w:val="00FE7E9A"/>
    <w:rsid w:val="00FE7FA0"/>
    <w:rsid w:val="00FF0228"/>
    <w:rsid w:val="00FF0493"/>
    <w:rsid w:val="00FF064D"/>
    <w:rsid w:val="00FF08CA"/>
    <w:rsid w:val="00FF0AAA"/>
    <w:rsid w:val="00FF0DA0"/>
    <w:rsid w:val="00FF0DD0"/>
    <w:rsid w:val="00FF0E12"/>
    <w:rsid w:val="00FF0F10"/>
    <w:rsid w:val="00FF101E"/>
    <w:rsid w:val="00FF1392"/>
    <w:rsid w:val="00FF1813"/>
    <w:rsid w:val="00FF1917"/>
    <w:rsid w:val="00FF1AEC"/>
    <w:rsid w:val="00FF1DA9"/>
    <w:rsid w:val="00FF1DB3"/>
    <w:rsid w:val="00FF1F7F"/>
    <w:rsid w:val="00FF2006"/>
    <w:rsid w:val="00FF215E"/>
    <w:rsid w:val="00FF22CC"/>
    <w:rsid w:val="00FF2399"/>
    <w:rsid w:val="00FF2470"/>
    <w:rsid w:val="00FF2471"/>
    <w:rsid w:val="00FF2473"/>
    <w:rsid w:val="00FF250E"/>
    <w:rsid w:val="00FF2611"/>
    <w:rsid w:val="00FF2787"/>
    <w:rsid w:val="00FF27A8"/>
    <w:rsid w:val="00FF29C4"/>
    <w:rsid w:val="00FF2B20"/>
    <w:rsid w:val="00FF2CE4"/>
    <w:rsid w:val="00FF2EC6"/>
    <w:rsid w:val="00FF306C"/>
    <w:rsid w:val="00FF31BD"/>
    <w:rsid w:val="00FF32C5"/>
    <w:rsid w:val="00FF330E"/>
    <w:rsid w:val="00FF33BB"/>
    <w:rsid w:val="00FF33F7"/>
    <w:rsid w:val="00FF349B"/>
    <w:rsid w:val="00FF3956"/>
    <w:rsid w:val="00FF39FC"/>
    <w:rsid w:val="00FF3CA8"/>
    <w:rsid w:val="00FF3DD8"/>
    <w:rsid w:val="00FF3DDC"/>
    <w:rsid w:val="00FF3F56"/>
    <w:rsid w:val="00FF401D"/>
    <w:rsid w:val="00FF4232"/>
    <w:rsid w:val="00FF443C"/>
    <w:rsid w:val="00FF4578"/>
    <w:rsid w:val="00FF47B6"/>
    <w:rsid w:val="00FF4A11"/>
    <w:rsid w:val="00FF4B05"/>
    <w:rsid w:val="00FF4FBD"/>
    <w:rsid w:val="00FF5094"/>
    <w:rsid w:val="00FF5263"/>
    <w:rsid w:val="00FF54C4"/>
    <w:rsid w:val="00FF54EE"/>
    <w:rsid w:val="00FF5582"/>
    <w:rsid w:val="00FF567C"/>
    <w:rsid w:val="00FF5867"/>
    <w:rsid w:val="00FF5A0E"/>
    <w:rsid w:val="00FF5D69"/>
    <w:rsid w:val="00FF5D6D"/>
    <w:rsid w:val="00FF5D71"/>
    <w:rsid w:val="00FF5E47"/>
    <w:rsid w:val="00FF5EC5"/>
    <w:rsid w:val="00FF5EF6"/>
    <w:rsid w:val="00FF6172"/>
    <w:rsid w:val="00FF620A"/>
    <w:rsid w:val="00FF623F"/>
    <w:rsid w:val="00FF6331"/>
    <w:rsid w:val="00FF637B"/>
    <w:rsid w:val="00FF63D5"/>
    <w:rsid w:val="00FF66C0"/>
    <w:rsid w:val="00FF66C6"/>
    <w:rsid w:val="00FF68FA"/>
    <w:rsid w:val="00FF6A12"/>
    <w:rsid w:val="00FF6B0E"/>
    <w:rsid w:val="00FF6C62"/>
    <w:rsid w:val="00FF6CB6"/>
    <w:rsid w:val="00FF6CC0"/>
    <w:rsid w:val="00FF6D67"/>
    <w:rsid w:val="00FF6EA7"/>
    <w:rsid w:val="00FF70F2"/>
    <w:rsid w:val="00FF7218"/>
    <w:rsid w:val="00FF758A"/>
    <w:rsid w:val="00FF75FD"/>
    <w:rsid w:val="00FF77E0"/>
    <w:rsid w:val="00FF78A2"/>
    <w:rsid w:val="00FF799D"/>
    <w:rsid w:val="00FF7ADE"/>
    <w:rsid w:val="00FF7AE0"/>
    <w:rsid w:val="00FF7AFD"/>
    <w:rsid w:val="00FF7B3F"/>
    <w:rsid w:val="00FF7C0B"/>
    <w:rsid w:val="00FF7CF1"/>
    <w:rsid w:val="00FF7DA1"/>
    <w:rsid w:val="00FF7E70"/>
    <w:rsid w:val="00FF7F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439DFD32"/>
  <w15:docId w15:val="{90AB536B-525C-4CAC-9F6A-94CC7F3D7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25F"/>
    <w:rPr>
      <w:rFonts w:ascii="Palatino" w:hAnsi="Palatino"/>
      <w:sz w:val="24"/>
      <w:lang w:val="es-AR"/>
    </w:rPr>
  </w:style>
  <w:style w:type="paragraph" w:styleId="Ttulo1">
    <w:name w:val="heading 1"/>
    <w:aliases w:val="h1"/>
    <w:basedOn w:val="Normal"/>
    <w:next w:val="Normal"/>
    <w:link w:val="Ttulo1Car1"/>
    <w:uiPriority w:val="99"/>
    <w:qFormat/>
    <w:rsid w:val="00E74CE5"/>
    <w:pPr>
      <w:keepNext/>
      <w:tabs>
        <w:tab w:val="left" w:pos="2260"/>
      </w:tabs>
      <w:ind w:right="-501"/>
      <w:jc w:val="both"/>
      <w:outlineLvl w:val="0"/>
    </w:pPr>
    <w:rPr>
      <w:rFonts w:ascii="Book Antiqua" w:hAnsi="Book Antiqua"/>
      <w:b/>
    </w:rPr>
  </w:style>
  <w:style w:type="paragraph" w:styleId="Ttulo2">
    <w:name w:val="heading 2"/>
    <w:basedOn w:val="Normal"/>
    <w:next w:val="Normal"/>
    <w:link w:val="Ttulo2Car"/>
    <w:qFormat/>
    <w:rsid w:val="00E74CE5"/>
    <w:pPr>
      <w:keepNext/>
      <w:ind w:right="-497"/>
      <w:jc w:val="both"/>
      <w:outlineLvl w:val="1"/>
    </w:pPr>
    <w:rPr>
      <w:rFonts w:ascii="Book Antiqua" w:hAnsi="Book Antiqua"/>
      <w:b/>
      <w:caps/>
      <w:sz w:val="22"/>
    </w:rPr>
  </w:style>
  <w:style w:type="paragraph" w:styleId="Ttulo3">
    <w:name w:val="heading 3"/>
    <w:aliases w:val="h3,H3,DPW Head Left Bold"/>
    <w:basedOn w:val="Normal"/>
    <w:next w:val="Normal"/>
    <w:link w:val="Ttulo3Car"/>
    <w:qFormat/>
    <w:rsid w:val="00E74CE5"/>
    <w:pPr>
      <w:keepNext/>
      <w:spacing w:before="240" w:after="60"/>
      <w:outlineLvl w:val="2"/>
    </w:pPr>
    <w:rPr>
      <w:rFonts w:ascii="Arial" w:hAnsi="Arial"/>
    </w:rPr>
  </w:style>
  <w:style w:type="paragraph" w:styleId="Ttulo4">
    <w:name w:val="heading 4"/>
    <w:basedOn w:val="Normal"/>
    <w:next w:val="Normal"/>
    <w:link w:val="Ttulo4Car"/>
    <w:qFormat/>
    <w:rsid w:val="00E74CE5"/>
    <w:pPr>
      <w:keepNext/>
      <w:spacing w:before="240" w:after="60"/>
      <w:outlineLvl w:val="3"/>
    </w:pPr>
    <w:rPr>
      <w:rFonts w:ascii="Arial" w:hAnsi="Arial"/>
      <w:b/>
    </w:rPr>
  </w:style>
  <w:style w:type="paragraph" w:styleId="Ttulo5">
    <w:name w:val="heading 5"/>
    <w:basedOn w:val="Normal"/>
    <w:next w:val="Normal"/>
    <w:link w:val="Ttulo5Car"/>
    <w:qFormat/>
    <w:rsid w:val="00E74CE5"/>
    <w:pPr>
      <w:spacing w:before="240" w:after="60"/>
      <w:outlineLvl w:val="4"/>
    </w:pPr>
    <w:rPr>
      <w:sz w:val="22"/>
    </w:rPr>
  </w:style>
  <w:style w:type="paragraph" w:styleId="Ttulo6">
    <w:name w:val="heading 6"/>
    <w:basedOn w:val="Normal"/>
    <w:next w:val="Normal"/>
    <w:link w:val="Ttulo6Car"/>
    <w:qFormat/>
    <w:rsid w:val="00E74CE5"/>
    <w:pPr>
      <w:spacing w:before="240" w:after="60"/>
      <w:outlineLvl w:val="5"/>
    </w:pPr>
    <w:rPr>
      <w:rFonts w:ascii="Times New Roman" w:hAnsi="Times New Roman"/>
      <w:i/>
      <w:sz w:val="22"/>
    </w:rPr>
  </w:style>
  <w:style w:type="paragraph" w:styleId="Ttulo7">
    <w:name w:val="heading 7"/>
    <w:basedOn w:val="Normal"/>
    <w:next w:val="Normal"/>
    <w:link w:val="Ttulo7Car"/>
    <w:qFormat/>
    <w:rsid w:val="00E74CE5"/>
    <w:pPr>
      <w:spacing w:before="240" w:after="60"/>
      <w:outlineLvl w:val="6"/>
    </w:pPr>
    <w:rPr>
      <w:rFonts w:ascii="Arial" w:hAnsi="Arial"/>
      <w:sz w:val="20"/>
    </w:rPr>
  </w:style>
  <w:style w:type="paragraph" w:styleId="Ttulo8">
    <w:name w:val="heading 8"/>
    <w:basedOn w:val="Normal"/>
    <w:next w:val="Normal"/>
    <w:link w:val="Ttulo8Car"/>
    <w:qFormat/>
    <w:rsid w:val="00E74CE5"/>
    <w:pPr>
      <w:spacing w:before="240" w:after="60"/>
      <w:outlineLvl w:val="7"/>
    </w:pPr>
    <w:rPr>
      <w:rFonts w:ascii="Arial" w:hAnsi="Arial"/>
      <w:i/>
      <w:sz w:val="20"/>
    </w:rPr>
  </w:style>
  <w:style w:type="paragraph" w:styleId="Ttulo9">
    <w:name w:val="heading 9"/>
    <w:basedOn w:val="Normal"/>
    <w:next w:val="Normal"/>
    <w:link w:val="Ttulo9Car"/>
    <w:qFormat/>
    <w:rsid w:val="00E74CE5"/>
    <w:p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next w:val="Normal"/>
    <w:link w:val="PiedepginaCar"/>
    <w:uiPriority w:val="99"/>
    <w:rsid w:val="00E74CE5"/>
    <w:pPr>
      <w:tabs>
        <w:tab w:val="center" w:pos="4320"/>
        <w:tab w:val="right" w:pos="8640"/>
      </w:tabs>
    </w:pPr>
  </w:style>
  <w:style w:type="paragraph" w:styleId="Encabezado">
    <w:name w:val="header"/>
    <w:basedOn w:val="Normal"/>
    <w:link w:val="EncabezadoCar"/>
    <w:uiPriority w:val="99"/>
    <w:rsid w:val="00E74CE5"/>
    <w:pPr>
      <w:tabs>
        <w:tab w:val="center" w:pos="4320"/>
        <w:tab w:val="right" w:pos="8640"/>
      </w:tabs>
    </w:pPr>
    <w:rPr>
      <w:sz w:val="20"/>
    </w:rPr>
  </w:style>
  <w:style w:type="character" w:styleId="Refdenotaalpie">
    <w:name w:val="footnote reference"/>
    <w:basedOn w:val="Fuentedeprrafopredeter"/>
    <w:uiPriority w:val="99"/>
    <w:rsid w:val="00E74CE5"/>
    <w:rPr>
      <w:position w:val="6"/>
      <w:sz w:val="16"/>
    </w:rPr>
  </w:style>
  <w:style w:type="paragraph" w:styleId="Textonotapie">
    <w:name w:val="footnote text"/>
    <w:basedOn w:val="Normal"/>
    <w:link w:val="TextonotapieCar"/>
    <w:rsid w:val="00E74CE5"/>
    <w:rPr>
      <w:sz w:val="20"/>
    </w:rPr>
  </w:style>
  <w:style w:type="paragraph" w:customStyle="1" w:styleId="Aclaracin">
    <w:name w:val="Aclaración"/>
    <w:basedOn w:val="Normal"/>
    <w:next w:val="Normal"/>
    <w:rsid w:val="00E74CE5"/>
    <w:pPr>
      <w:spacing w:after="60"/>
    </w:pPr>
    <w:rPr>
      <w:sz w:val="20"/>
    </w:rPr>
  </w:style>
  <w:style w:type="paragraph" w:customStyle="1" w:styleId="Advertencia">
    <w:name w:val="Advertencia"/>
    <w:basedOn w:val="Normal"/>
    <w:next w:val="Normal"/>
    <w:rsid w:val="00E74CE5"/>
    <w:pPr>
      <w:pBdr>
        <w:top w:val="single" w:sz="6" w:space="5" w:color="auto" w:shadow="1"/>
        <w:left w:val="single" w:sz="6" w:space="5" w:color="auto" w:shadow="1"/>
        <w:bottom w:val="single" w:sz="6" w:space="5" w:color="auto" w:shadow="1"/>
        <w:right w:val="single" w:sz="6" w:space="5" w:color="auto" w:shadow="1"/>
      </w:pBdr>
      <w:spacing w:after="60"/>
      <w:ind w:left="560" w:right="860"/>
      <w:jc w:val="center"/>
    </w:pPr>
  </w:style>
  <w:style w:type="paragraph" w:customStyle="1" w:styleId="Subttulomenor">
    <w:name w:val="Subtítulo menor"/>
    <w:basedOn w:val="Normal"/>
    <w:next w:val="Normal"/>
    <w:rsid w:val="00E74CE5"/>
    <w:pPr>
      <w:spacing w:after="60"/>
    </w:pPr>
    <w:rPr>
      <w:i/>
    </w:rPr>
  </w:style>
  <w:style w:type="paragraph" w:customStyle="1" w:styleId="Subttulomayor">
    <w:name w:val="Subtítulo mayor"/>
    <w:basedOn w:val="Normal"/>
    <w:next w:val="Normal"/>
    <w:rsid w:val="00E74CE5"/>
    <w:pPr>
      <w:spacing w:after="60"/>
    </w:pPr>
    <w:rPr>
      <w:sz w:val="28"/>
    </w:rPr>
  </w:style>
  <w:style w:type="paragraph" w:customStyle="1" w:styleId="Enumeracin">
    <w:name w:val="Enumeración"/>
    <w:basedOn w:val="Normal"/>
    <w:rsid w:val="00E74CE5"/>
    <w:pPr>
      <w:spacing w:after="60"/>
      <w:ind w:left="960" w:right="860" w:hanging="400"/>
    </w:pPr>
  </w:style>
  <w:style w:type="paragraph" w:customStyle="1" w:styleId="Enumeracinclnea">
    <w:name w:val="Enumeración c/línea"/>
    <w:basedOn w:val="Enumeracin"/>
    <w:rsid w:val="00E74CE5"/>
    <w:pPr>
      <w:tabs>
        <w:tab w:val="bar" w:pos="280"/>
      </w:tabs>
    </w:pPr>
  </w:style>
  <w:style w:type="paragraph" w:customStyle="1" w:styleId="Ttulocentrado">
    <w:name w:val="Título centrado"/>
    <w:basedOn w:val="Normal"/>
    <w:next w:val="Normal"/>
    <w:rsid w:val="00E74CE5"/>
    <w:pPr>
      <w:spacing w:after="60"/>
      <w:jc w:val="center"/>
    </w:pPr>
    <w:rPr>
      <w:b/>
      <w:sz w:val="28"/>
    </w:rPr>
  </w:style>
  <w:style w:type="paragraph" w:styleId="Firma">
    <w:name w:val="Signature"/>
    <w:basedOn w:val="Normal"/>
    <w:rsid w:val="00E74CE5"/>
    <w:pPr>
      <w:pBdr>
        <w:top w:val="single" w:sz="6" w:space="0" w:color="auto"/>
      </w:pBdr>
      <w:spacing w:before="40"/>
      <w:ind w:left="5100" w:right="1120"/>
      <w:jc w:val="center"/>
    </w:pPr>
  </w:style>
  <w:style w:type="paragraph" w:customStyle="1" w:styleId="CorreoHOST">
    <w:name w:val="Correo HOST"/>
    <w:basedOn w:val="Normal"/>
    <w:rsid w:val="00E74CE5"/>
    <w:rPr>
      <w:sz w:val="18"/>
    </w:rPr>
  </w:style>
  <w:style w:type="paragraph" w:styleId="Fecha">
    <w:name w:val="Date"/>
    <w:basedOn w:val="Normal"/>
    <w:next w:val="Normal"/>
    <w:link w:val="FechaCar"/>
    <w:rsid w:val="00E74CE5"/>
    <w:pPr>
      <w:ind w:left="4440"/>
    </w:pPr>
  </w:style>
  <w:style w:type="paragraph" w:customStyle="1" w:styleId="textonota">
    <w:name w:val="texto nota"/>
    <w:basedOn w:val="Normal"/>
    <w:rsid w:val="00E74CE5"/>
    <w:pPr>
      <w:ind w:left="450"/>
      <w:jc w:val="both"/>
    </w:pPr>
    <w:rPr>
      <w:rFonts w:ascii="Book Antiqua" w:hAnsi="Book Antiqua"/>
      <w:sz w:val="20"/>
      <w:lang w:val="es-ES_tradnl"/>
    </w:rPr>
  </w:style>
  <w:style w:type="paragraph" w:styleId="Textodebloque">
    <w:name w:val="Block Text"/>
    <w:basedOn w:val="Normal"/>
    <w:rsid w:val="00E74CE5"/>
    <w:pPr>
      <w:tabs>
        <w:tab w:val="left" w:pos="1120"/>
      </w:tabs>
      <w:ind w:left="1100" w:right="1292" w:hanging="1100"/>
      <w:jc w:val="both"/>
    </w:pPr>
    <w:rPr>
      <w:rFonts w:ascii="Book Antiqua" w:hAnsi="Book Antiqua"/>
      <w:sz w:val="20"/>
    </w:rPr>
  </w:style>
  <w:style w:type="paragraph" w:styleId="Sangra2detindependiente">
    <w:name w:val="Body Text Indent 2"/>
    <w:basedOn w:val="Normal"/>
    <w:link w:val="Sangra2detindependienteCar"/>
    <w:rsid w:val="00E74CE5"/>
    <w:pPr>
      <w:tabs>
        <w:tab w:val="left" w:pos="9900"/>
      </w:tabs>
      <w:ind w:left="851"/>
      <w:jc w:val="both"/>
    </w:pPr>
    <w:rPr>
      <w:rFonts w:ascii="Book Antiqua" w:hAnsi="Book Antiqua"/>
      <w:sz w:val="20"/>
      <w:lang w:val="es-ES_tradnl"/>
    </w:rPr>
  </w:style>
  <w:style w:type="paragraph" w:styleId="Sangra3detindependiente">
    <w:name w:val="Body Text Indent 3"/>
    <w:basedOn w:val="Normal"/>
    <w:link w:val="Sangra3detindependienteCar"/>
    <w:rsid w:val="00E74CE5"/>
    <w:pPr>
      <w:tabs>
        <w:tab w:val="left" w:pos="9900"/>
      </w:tabs>
      <w:ind w:left="1170"/>
      <w:jc w:val="both"/>
    </w:pPr>
    <w:rPr>
      <w:rFonts w:ascii="Book Antiqua" w:hAnsi="Book Antiqua"/>
      <w:lang w:val="es-ES_tradnl"/>
    </w:rPr>
  </w:style>
  <w:style w:type="paragraph" w:customStyle="1" w:styleId="Texto1">
    <w:name w:val="Texto1"/>
    <w:basedOn w:val="Normal"/>
    <w:rsid w:val="00E74CE5"/>
    <w:pPr>
      <w:ind w:left="900"/>
      <w:jc w:val="both"/>
    </w:pPr>
    <w:rPr>
      <w:rFonts w:ascii="Book Antiqua" w:hAnsi="Book Antiqua"/>
      <w:sz w:val="20"/>
      <w:lang w:val="es-ES_tradnl"/>
    </w:rPr>
  </w:style>
  <w:style w:type="paragraph" w:customStyle="1" w:styleId="Texto2">
    <w:name w:val="Texto2"/>
    <w:basedOn w:val="Texto1"/>
    <w:rsid w:val="00E74CE5"/>
    <w:pPr>
      <w:ind w:left="1260"/>
    </w:pPr>
  </w:style>
  <w:style w:type="paragraph" w:styleId="Sangradetextonormal">
    <w:name w:val="Body Text Indent"/>
    <w:basedOn w:val="Normal"/>
    <w:link w:val="SangradetextonormalCar"/>
    <w:rsid w:val="00E74CE5"/>
    <w:pPr>
      <w:numPr>
        <w:ilvl w:val="12"/>
      </w:numPr>
      <w:tabs>
        <w:tab w:val="left" w:pos="9900"/>
      </w:tabs>
      <w:ind w:left="1560"/>
      <w:jc w:val="both"/>
    </w:pPr>
    <w:rPr>
      <w:rFonts w:ascii="Book Antiqua" w:hAnsi="Book Antiqua"/>
      <w:sz w:val="20"/>
    </w:rPr>
  </w:style>
  <w:style w:type="paragraph" w:styleId="Textoindependiente">
    <w:name w:val="Body Text"/>
    <w:aliases w:val="body text,bt,Texto independienteR"/>
    <w:basedOn w:val="Normal"/>
    <w:link w:val="TextoindependienteCar1"/>
    <w:uiPriority w:val="99"/>
    <w:rsid w:val="00E74CE5"/>
    <w:pPr>
      <w:tabs>
        <w:tab w:val="left" w:pos="9900"/>
      </w:tabs>
      <w:jc w:val="both"/>
    </w:pPr>
    <w:rPr>
      <w:rFonts w:ascii="Book Antiqua" w:hAnsi="Book Antiqua"/>
      <w:sz w:val="20"/>
    </w:rPr>
  </w:style>
  <w:style w:type="paragraph" w:customStyle="1" w:styleId="Textonota0">
    <w:name w:val="Texto nota"/>
    <w:basedOn w:val="Normal"/>
    <w:link w:val="TextonotaChar"/>
    <w:qFormat/>
    <w:rsid w:val="00E74CE5"/>
    <w:pPr>
      <w:ind w:left="446"/>
      <w:jc w:val="both"/>
    </w:pPr>
    <w:rPr>
      <w:rFonts w:ascii="Book Antiqua" w:hAnsi="Book Antiqua"/>
      <w:sz w:val="20"/>
      <w:lang w:val="es-ES_tradnl"/>
    </w:rPr>
  </w:style>
  <w:style w:type="paragraph" w:customStyle="1" w:styleId="texto">
    <w:name w:val="texto"/>
    <w:basedOn w:val="Normal"/>
    <w:link w:val="textoCar"/>
    <w:qFormat/>
    <w:rsid w:val="00E74CE5"/>
    <w:pPr>
      <w:jc w:val="both"/>
    </w:pPr>
    <w:rPr>
      <w:rFonts w:ascii="Book Antiqua" w:hAnsi="Book Antiqua"/>
      <w:sz w:val="20"/>
      <w:lang w:val="es-ES_tradnl"/>
    </w:rPr>
  </w:style>
  <w:style w:type="paragraph" w:styleId="Puesto">
    <w:name w:val="Title"/>
    <w:basedOn w:val="Normal"/>
    <w:qFormat/>
    <w:rsid w:val="00E74CE5"/>
    <w:pPr>
      <w:tabs>
        <w:tab w:val="left" w:pos="2260"/>
      </w:tabs>
      <w:ind w:left="640" w:right="-501" w:hanging="640"/>
      <w:jc w:val="center"/>
    </w:pPr>
    <w:rPr>
      <w:rFonts w:ascii="Book Antiqua" w:hAnsi="Book Antiqua"/>
      <w:b/>
    </w:rPr>
  </w:style>
  <w:style w:type="paragraph" w:customStyle="1" w:styleId="Texto0">
    <w:name w:val="Texto"/>
    <w:basedOn w:val="Normal"/>
    <w:link w:val="TextoChar"/>
    <w:qFormat/>
    <w:rsid w:val="00E74CE5"/>
    <w:pPr>
      <w:widowControl w:val="0"/>
      <w:jc w:val="both"/>
    </w:pPr>
    <w:rPr>
      <w:rFonts w:ascii="Book Antiqua" w:hAnsi="Book Antiqua"/>
      <w:snapToGrid w:val="0"/>
      <w:sz w:val="20"/>
      <w:lang w:val="es-ES_tradnl" w:eastAsia="en-US"/>
    </w:rPr>
  </w:style>
  <w:style w:type="paragraph" w:styleId="Textoindependiente2">
    <w:name w:val="Body Text 2"/>
    <w:basedOn w:val="Normal"/>
    <w:link w:val="Textoindependiente2Car"/>
    <w:rsid w:val="00E74CE5"/>
    <w:pPr>
      <w:tabs>
        <w:tab w:val="left" w:pos="2260"/>
      </w:tabs>
      <w:ind w:right="-501"/>
      <w:jc w:val="both"/>
    </w:pPr>
    <w:rPr>
      <w:rFonts w:ascii="Book Antiqua" w:hAnsi="Book Antiqua"/>
      <w:sz w:val="20"/>
    </w:rPr>
  </w:style>
  <w:style w:type="paragraph" w:styleId="Textoindependiente3">
    <w:name w:val="Body Text 3"/>
    <w:basedOn w:val="Normal"/>
    <w:link w:val="Textoindependiente3Car"/>
    <w:rsid w:val="00E74CE5"/>
    <w:pPr>
      <w:tabs>
        <w:tab w:val="left" w:pos="0"/>
        <w:tab w:val="left" w:pos="2260"/>
      </w:tabs>
      <w:ind w:right="-499"/>
      <w:jc w:val="both"/>
    </w:pPr>
    <w:rPr>
      <w:rFonts w:ascii="Book Antiqua" w:hAnsi="Book Antiqua"/>
      <w:sz w:val="20"/>
    </w:rPr>
  </w:style>
  <w:style w:type="character" w:styleId="Nmerodepgina">
    <w:name w:val="page number"/>
    <w:basedOn w:val="Fuentedeprrafopredeter"/>
    <w:rsid w:val="00E74CE5"/>
  </w:style>
  <w:style w:type="paragraph" w:customStyle="1" w:styleId="TITULO">
    <w:name w:val="TITULO"/>
    <w:basedOn w:val="Normal"/>
    <w:rsid w:val="00E74CE5"/>
    <w:pPr>
      <w:jc w:val="both"/>
    </w:pPr>
    <w:rPr>
      <w:rFonts w:ascii="Book Antiqua" w:hAnsi="Book Antiqua"/>
      <w:b/>
      <w:lang w:eastAsia="en-US"/>
    </w:rPr>
  </w:style>
  <w:style w:type="paragraph" w:customStyle="1" w:styleId="informaudit">
    <w:name w:val="inform. audit."/>
    <w:basedOn w:val="Normal"/>
    <w:rsid w:val="00E74CE5"/>
    <w:pPr>
      <w:spacing w:line="360" w:lineRule="auto"/>
      <w:jc w:val="both"/>
    </w:pPr>
    <w:rPr>
      <w:rFonts w:ascii="Book Antiqua" w:hAnsi="Book Antiqua"/>
      <w:sz w:val="20"/>
      <w:lang w:eastAsia="en-US"/>
    </w:rPr>
  </w:style>
  <w:style w:type="paragraph" w:customStyle="1" w:styleId="Texinfauditor">
    <w:name w:val="Tex. inf. auditor"/>
    <w:basedOn w:val="Normal"/>
    <w:rsid w:val="00E74CE5"/>
    <w:pPr>
      <w:tabs>
        <w:tab w:val="left" w:pos="720"/>
      </w:tabs>
      <w:spacing w:line="360" w:lineRule="auto"/>
      <w:jc w:val="both"/>
    </w:pPr>
    <w:rPr>
      <w:rFonts w:ascii="Book Antiqua" w:hAnsi="Book Antiqua"/>
      <w:sz w:val="20"/>
      <w:lang w:val="es-ES_tradnl"/>
    </w:rPr>
  </w:style>
  <w:style w:type="paragraph" w:customStyle="1" w:styleId="Textoinf">
    <w:name w:val="Texto inf"/>
    <w:aliases w:val="aud"/>
    <w:basedOn w:val="Normal"/>
    <w:rsid w:val="00E74CE5"/>
    <w:pPr>
      <w:tabs>
        <w:tab w:val="left" w:pos="720"/>
      </w:tabs>
      <w:spacing w:line="360" w:lineRule="atLeast"/>
      <w:jc w:val="both"/>
    </w:pPr>
    <w:rPr>
      <w:rFonts w:ascii="Book Antiqua" w:hAnsi="Book Antiqua"/>
      <w:sz w:val="20"/>
      <w:lang w:val="es-ES_tradnl" w:eastAsia="en-US"/>
    </w:rPr>
  </w:style>
  <w:style w:type="paragraph" w:customStyle="1" w:styleId="Titprin">
    <w:name w:val="Titprin"/>
    <w:basedOn w:val="Normal"/>
    <w:rsid w:val="00E74CE5"/>
    <w:pPr>
      <w:jc w:val="both"/>
    </w:pPr>
    <w:rPr>
      <w:rFonts w:ascii="Book Antiqua" w:hAnsi="Book Antiqua"/>
      <w:b/>
      <w:caps/>
      <w:lang w:val="es-ES_tradnl" w:eastAsia="en-US"/>
    </w:rPr>
  </w:style>
  <w:style w:type="paragraph" w:customStyle="1" w:styleId="Tex">
    <w:name w:val="Tex"/>
    <w:aliases w:val="inf,auditor"/>
    <w:basedOn w:val="Normal"/>
    <w:rsid w:val="00E74CE5"/>
    <w:pPr>
      <w:tabs>
        <w:tab w:val="left" w:pos="720"/>
      </w:tabs>
      <w:spacing w:line="360" w:lineRule="auto"/>
      <w:jc w:val="both"/>
    </w:pPr>
    <w:rPr>
      <w:rFonts w:ascii="Book Antiqua" w:hAnsi="Book Antiqua"/>
      <w:sz w:val="20"/>
      <w:lang w:val="es-ES_tradnl" w:eastAsia="en-US"/>
    </w:rPr>
  </w:style>
  <w:style w:type="paragraph" w:customStyle="1" w:styleId="Textonota1">
    <w:name w:val="Texto nota 1"/>
    <w:basedOn w:val="Textonota0"/>
    <w:rsid w:val="00E74CE5"/>
    <w:pPr>
      <w:widowControl w:val="0"/>
      <w:ind w:left="792"/>
    </w:pPr>
    <w:rPr>
      <w:snapToGrid w:val="0"/>
      <w:lang w:eastAsia="en-US"/>
    </w:rPr>
  </w:style>
  <w:style w:type="paragraph" w:customStyle="1" w:styleId="Ttulonota">
    <w:name w:val="Título nota"/>
    <w:basedOn w:val="Normal"/>
    <w:rsid w:val="00E74CE5"/>
    <w:pPr>
      <w:widowControl w:val="0"/>
      <w:jc w:val="both"/>
    </w:pPr>
    <w:rPr>
      <w:rFonts w:ascii="Book Antiqua" w:hAnsi="Book Antiqua"/>
      <w:b/>
      <w:snapToGrid w:val="0"/>
      <w:sz w:val="22"/>
      <w:lang w:val="es-ES_tradnl" w:eastAsia="en-US"/>
    </w:rPr>
  </w:style>
  <w:style w:type="paragraph" w:customStyle="1" w:styleId="Textonota2">
    <w:name w:val="Texto nota 2"/>
    <w:basedOn w:val="Textonota1"/>
    <w:rsid w:val="00E74CE5"/>
    <w:pPr>
      <w:ind w:left="1152"/>
    </w:pPr>
  </w:style>
  <w:style w:type="paragraph" w:customStyle="1" w:styleId="Texprin">
    <w:name w:val="Texprin"/>
    <w:basedOn w:val="Titprin"/>
    <w:rsid w:val="00E74CE5"/>
    <w:rPr>
      <w:b w:val="0"/>
      <w:caps w:val="0"/>
      <w:sz w:val="20"/>
    </w:rPr>
  </w:style>
  <w:style w:type="paragraph" w:styleId="Remitedesobre">
    <w:name w:val="envelope return"/>
    <w:basedOn w:val="Normal"/>
    <w:rsid w:val="00E74CE5"/>
    <w:pPr>
      <w:tabs>
        <w:tab w:val="left" w:pos="1134"/>
      </w:tabs>
      <w:spacing w:line="280" w:lineRule="atLeast"/>
    </w:pPr>
    <w:rPr>
      <w:rFonts w:ascii="Arial" w:hAnsi="Arial"/>
      <w:sz w:val="20"/>
    </w:rPr>
  </w:style>
  <w:style w:type="paragraph" w:customStyle="1" w:styleId="Auditor">
    <w:name w:val="Auditor"/>
    <w:basedOn w:val="Normal"/>
    <w:rsid w:val="00E74CE5"/>
    <w:pPr>
      <w:spacing w:line="360" w:lineRule="auto"/>
      <w:jc w:val="both"/>
    </w:pPr>
    <w:rPr>
      <w:rFonts w:ascii="Book Antiqua" w:hAnsi="Book Antiqua"/>
      <w:sz w:val="20"/>
      <w:lang w:val="es-ES_tradnl"/>
    </w:rPr>
  </w:style>
  <w:style w:type="paragraph" w:customStyle="1" w:styleId="Tituloprincipal">
    <w:name w:val="Titulo principal"/>
    <w:basedOn w:val="Normal"/>
    <w:rsid w:val="00E74CE5"/>
    <w:rPr>
      <w:rFonts w:ascii="Book Antiqua" w:hAnsi="Book Antiqua"/>
      <w:b/>
      <w:lang w:val="es-ES_tradnl"/>
    </w:rPr>
  </w:style>
  <w:style w:type="paragraph" w:customStyle="1" w:styleId="TEXTO3">
    <w:name w:val="TEXTO"/>
    <w:basedOn w:val="Normal"/>
    <w:rsid w:val="00E74CE5"/>
    <w:pPr>
      <w:jc w:val="both"/>
    </w:pPr>
    <w:rPr>
      <w:rFonts w:ascii="Book Antiqua" w:hAnsi="Book Antiqua"/>
      <w:sz w:val="20"/>
      <w:lang w:val="es-ES_tradnl"/>
    </w:rPr>
  </w:style>
  <w:style w:type="paragraph" w:styleId="Mapadeldocumento">
    <w:name w:val="Document Map"/>
    <w:basedOn w:val="Normal"/>
    <w:link w:val="MapadeldocumentoCar"/>
    <w:rsid w:val="00E74CE5"/>
    <w:pPr>
      <w:shd w:val="clear" w:color="auto" w:fill="000080"/>
    </w:pPr>
    <w:rPr>
      <w:rFonts w:ascii="Tahoma" w:hAnsi="Tahoma"/>
    </w:rPr>
  </w:style>
  <w:style w:type="paragraph" w:customStyle="1" w:styleId="BalloonText1">
    <w:name w:val="Balloon Text1"/>
    <w:basedOn w:val="Normal"/>
    <w:semiHidden/>
    <w:rsid w:val="00E74CE5"/>
    <w:rPr>
      <w:rFonts w:ascii="Tahoma" w:hAnsi="Tahoma" w:cs="Tahoma"/>
      <w:sz w:val="16"/>
      <w:szCs w:val="16"/>
      <w:lang w:eastAsia="en-US"/>
    </w:rPr>
  </w:style>
  <w:style w:type="paragraph" w:customStyle="1" w:styleId="Textoinfaud">
    <w:name w:val="Texto inf. aud."/>
    <w:basedOn w:val="Normal"/>
    <w:rsid w:val="00E74CE5"/>
    <w:pPr>
      <w:widowControl w:val="0"/>
      <w:tabs>
        <w:tab w:val="left" w:pos="720"/>
      </w:tabs>
      <w:spacing w:line="360" w:lineRule="auto"/>
      <w:jc w:val="both"/>
    </w:pPr>
    <w:rPr>
      <w:rFonts w:ascii="Book Antiqua" w:hAnsi="Book Antiqua"/>
      <w:sz w:val="20"/>
      <w:lang w:val="en-US" w:eastAsia="en-US"/>
    </w:rPr>
  </w:style>
  <w:style w:type="paragraph" w:customStyle="1" w:styleId="Textopredete">
    <w:name w:val="Texto predete"/>
    <w:basedOn w:val="Normal"/>
    <w:rsid w:val="00E74CE5"/>
    <w:rPr>
      <w:rFonts w:ascii="Times New Roman" w:hAnsi="Times New Roman"/>
      <w:snapToGrid w:val="0"/>
      <w:lang w:val="es-ES_tradnl"/>
    </w:rPr>
  </w:style>
  <w:style w:type="paragraph" w:styleId="NormalWeb">
    <w:name w:val="Normal (Web)"/>
    <w:basedOn w:val="Normal"/>
    <w:uiPriority w:val="99"/>
    <w:rsid w:val="00E74CE5"/>
    <w:pPr>
      <w:spacing w:before="100" w:beforeAutospacing="1" w:after="100" w:afterAutospacing="1"/>
    </w:pPr>
    <w:rPr>
      <w:rFonts w:ascii="Times New Roman" w:hAnsi="Times New Roman"/>
      <w:sz w:val="20"/>
      <w:szCs w:val="24"/>
      <w:lang w:val="en-US" w:eastAsia="en-US"/>
    </w:rPr>
  </w:style>
  <w:style w:type="paragraph" w:styleId="Lista">
    <w:name w:val="List"/>
    <w:basedOn w:val="Normal"/>
    <w:rsid w:val="00E74CE5"/>
    <w:pPr>
      <w:ind w:left="283" w:hanging="283"/>
    </w:pPr>
  </w:style>
  <w:style w:type="paragraph" w:styleId="Lista2">
    <w:name w:val="List 2"/>
    <w:basedOn w:val="Normal"/>
    <w:rsid w:val="00E74CE5"/>
    <w:pPr>
      <w:ind w:left="566" w:hanging="283"/>
    </w:pPr>
  </w:style>
  <w:style w:type="paragraph" w:styleId="Lista3">
    <w:name w:val="List 3"/>
    <w:basedOn w:val="Normal"/>
    <w:rsid w:val="00E74CE5"/>
    <w:pPr>
      <w:ind w:left="849" w:hanging="283"/>
    </w:pPr>
  </w:style>
  <w:style w:type="paragraph" w:styleId="Listaconvietas2">
    <w:name w:val="List Bullet 2"/>
    <w:basedOn w:val="Normal"/>
    <w:autoRedefine/>
    <w:rsid w:val="00E74CE5"/>
    <w:pPr>
      <w:numPr>
        <w:numId w:val="1"/>
      </w:numPr>
    </w:pPr>
  </w:style>
  <w:style w:type="paragraph" w:styleId="Listaconvietas3">
    <w:name w:val="List Bullet 3"/>
    <w:basedOn w:val="Normal"/>
    <w:autoRedefine/>
    <w:rsid w:val="00E74CE5"/>
    <w:pPr>
      <w:numPr>
        <w:numId w:val="2"/>
      </w:numPr>
    </w:pPr>
  </w:style>
  <w:style w:type="paragraph" w:styleId="Listaconvietas4">
    <w:name w:val="List Bullet 4"/>
    <w:basedOn w:val="Normal"/>
    <w:autoRedefine/>
    <w:rsid w:val="00E74CE5"/>
    <w:pPr>
      <w:numPr>
        <w:numId w:val="3"/>
      </w:numPr>
    </w:pPr>
  </w:style>
  <w:style w:type="paragraph" w:styleId="Continuarlista">
    <w:name w:val="List Continue"/>
    <w:basedOn w:val="Normal"/>
    <w:rsid w:val="00E74CE5"/>
    <w:pPr>
      <w:spacing w:after="120"/>
      <w:ind w:left="283"/>
    </w:pPr>
  </w:style>
  <w:style w:type="paragraph" w:styleId="Continuarlista2">
    <w:name w:val="List Continue 2"/>
    <w:basedOn w:val="Normal"/>
    <w:rsid w:val="00E74CE5"/>
    <w:pPr>
      <w:spacing w:after="120"/>
      <w:ind w:left="566"/>
    </w:pPr>
  </w:style>
  <w:style w:type="paragraph" w:styleId="Continuarlista3">
    <w:name w:val="List Continue 3"/>
    <w:basedOn w:val="Normal"/>
    <w:rsid w:val="00E74CE5"/>
    <w:pPr>
      <w:spacing w:after="120"/>
      <w:ind w:left="849"/>
    </w:pPr>
  </w:style>
  <w:style w:type="paragraph" w:styleId="Textocomentario">
    <w:name w:val="annotation text"/>
    <w:basedOn w:val="Normal"/>
    <w:link w:val="TextocomentarioCar"/>
    <w:uiPriority w:val="99"/>
    <w:rsid w:val="00E74CE5"/>
    <w:rPr>
      <w:rFonts w:ascii="Times New Roman" w:hAnsi="Times New Roman"/>
      <w:sz w:val="20"/>
      <w:lang w:val="es-ES"/>
    </w:rPr>
  </w:style>
  <w:style w:type="paragraph" w:styleId="Textodeglobo">
    <w:name w:val="Balloon Text"/>
    <w:basedOn w:val="Normal"/>
    <w:link w:val="TextodegloboCar"/>
    <w:semiHidden/>
    <w:rsid w:val="00B83441"/>
    <w:rPr>
      <w:rFonts w:ascii="Tahoma" w:hAnsi="Tahoma" w:cs="Tahoma"/>
      <w:sz w:val="16"/>
      <w:szCs w:val="16"/>
    </w:rPr>
  </w:style>
  <w:style w:type="table" w:styleId="Tablaconcuadrcula">
    <w:name w:val="Table Grid"/>
    <w:basedOn w:val="Tablanormal"/>
    <w:uiPriority w:val="39"/>
    <w:rsid w:val="00832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51166B"/>
    <w:pPr>
      <w:snapToGrid w:val="0"/>
      <w:spacing w:before="100" w:beforeAutospacing="1" w:after="100" w:afterAutospacing="1"/>
    </w:pPr>
    <w:rPr>
      <w:rFonts w:ascii="Arial" w:hAnsi="Arial" w:cs="Arial"/>
      <w:sz w:val="20"/>
      <w:lang w:val="es-ES"/>
    </w:rPr>
  </w:style>
  <w:style w:type="paragraph" w:customStyle="1" w:styleId="s76">
    <w:name w:val="s76"/>
    <w:basedOn w:val="Normal"/>
    <w:rsid w:val="0051166B"/>
    <w:pPr>
      <w:ind w:left="851" w:right="284" w:hanging="113"/>
      <w:jc w:val="both"/>
    </w:pPr>
    <w:rPr>
      <w:rFonts w:ascii="Arial" w:hAnsi="Arial" w:cs="Arial"/>
      <w:sz w:val="20"/>
      <w:lang w:val="es-ES"/>
    </w:rPr>
  </w:style>
  <w:style w:type="paragraph" w:customStyle="1" w:styleId="Prrafodelista1">
    <w:name w:val="Párrafo de lista1"/>
    <w:basedOn w:val="Normal"/>
    <w:qFormat/>
    <w:rsid w:val="00BE05FE"/>
    <w:pPr>
      <w:ind w:left="720"/>
    </w:pPr>
    <w:rPr>
      <w:rFonts w:ascii="Times New Roman" w:hAnsi="Times New Roman"/>
      <w:szCs w:val="24"/>
      <w:lang w:val="en-US" w:eastAsia="en-US"/>
    </w:rPr>
  </w:style>
  <w:style w:type="character" w:styleId="Hipervnculo">
    <w:name w:val="Hyperlink"/>
    <w:basedOn w:val="Fuentedeprrafopredeter"/>
    <w:rsid w:val="00A220F5"/>
    <w:rPr>
      <w:color w:val="0000FF"/>
      <w:u w:val="single"/>
    </w:rPr>
  </w:style>
  <w:style w:type="paragraph" w:customStyle="1" w:styleId="Textonota3">
    <w:name w:val="Texto nota 3"/>
    <w:basedOn w:val="Normal"/>
    <w:rsid w:val="00323AC5"/>
    <w:pPr>
      <w:ind w:left="1627"/>
    </w:pPr>
    <w:rPr>
      <w:rFonts w:ascii="RotisSemiSans-Light" w:hAnsi="RotisSemiSans-Light"/>
      <w:sz w:val="19"/>
      <w:lang w:val="es-ES_tradnl" w:eastAsia="en-US"/>
    </w:rPr>
  </w:style>
  <w:style w:type="paragraph" w:customStyle="1" w:styleId="Tnotarotis">
    <w:name w:val="Tí nota rotis"/>
    <w:basedOn w:val="Ttulonota"/>
    <w:rsid w:val="00281CD8"/>
    <w:pPr>
      <w:widowControl/>
      <w:jc w:val="left"/>
    </w:pPr>
    <w:rPr>
      <w:rFonts w:ascii="RotisSemiSans-Light" w:hAnsi="RotisSemiSans-Light"/>
      <w:snapToGrid/>
    </w:rPr>
  </w:style>
  <w:style w:type="character" w:styleId="Textoennegrita">
    <w:name w:val="Strong"/>
    <w:basedOn w:val="Fuentedeprrafopredeter"/>
    <w:uiPriority w:val="22"/>
    <w:qFormat/>
    <w:rsid w:val="00CE28DE"/>
    <w:rPr>
      <w:b/>
      <w:bCs/>
    </w:rPr>
  </w:style>
  <w:style w:type="paragraph" w:customStyle="1" w:styleId="s6">
    <w:name w:val="s6"/>
    <w:basedOn w:val="Normal"/>
    <w:rsid w:val="00214614"/>
    <w:pPr>
      <w:jc w:val="both"/>
    </w:pPr>
    <w:rPr>
      <w:rFonts w:ascii="Arial" w:hAnsi="Arial" w:cs="Arial"/>
      <w:sz w:val="20"/>
      <w:lang w:val="es-ES"/>
    </w:rPr>
  </w:style>
  <w:style w:type="paragraph" w:customStyle="1" w:styleId="s17">
    <w:name w:val="s17"/>
    <w:basedOn w:val="Normal"/>
    <w:rsid w:val="00214614"/>
    <w:pPr>
      <w:ind w:left="113" w:firstLine="1247"/>
      <w:jc w:val="both"/>
    </w:pPr>
    <w:rPr>
      <w:rFonts w:ascii="Arial" w:hAnsi="Arial" w:cs="Arial"/>
      <w:sz w:val="20"/>
      <w:lang w:val="es-ES"/>
    </w:rPr>
  </w:style>
  <w:style w:type="paragraph" w:customStyle="1" w:styleId="textonota4">
    <w:name w:val="textonota"/>
    <w:basedOn w:val="Normal"/>
    <w:rsid w:val="008C73BB"/>
    <w:pPr>
      <w:ind w:left="446"/>
      <w:jc w:val="both"/>
    </w:pPr>
    <w:rPr>
      <w:rFonts w:ascii="Book Antiqua" w:hAnsi="Book Antiqua"/>
      <w:sz w:val="20"/>
      <w:lang w:val="es-ES"/>
    </w:rPr>
  </w:style>
  <w:style w:type="character" w:customStyle="1" w:styleId="TextonotaChar">
    <w:name w:val="Texto nota Char"/>
    <w:link w:val="Textonota0"/>
    <w:rsid w:val="003B07AC"/>
    <w:rPr>
      <w:rFonts w:ascii="Book Antiqua" w:hAnsi="Book Antiqua"/>
      <w:lang w:val="es-ES_tradnl" w:eastAsia="es-ES" w:bidi="ar-SA"/>
    </w:rPr>
  </w:style>
  <w:style w:type="character" w:customStyle="1" w:styleId="EstiloCorreo86">
    <w:name w:val="EstiloCorreo86"/>
    <w:basedOn w:val="Fuentedeprrafopredeter"/>
    <w:semiHidden/>
    <w:rsid w:val="00636FE7"/>
    <w:rPr>
      <w:rFonts w:ascii="Arial" w:hAnsi="Arial" w:cs="Arial"/>
      <w:color w:val="000080"/>
      <w:sz w:val="20"/>
      <w:szCs w:val="20"/>
    </w:rPr>
  </w:style>
  <w:style w:type="character" w:customStyle="1" w:styleId="EncabezadoCar">
    <w:name w:val="Encabezado Car"/>
    <w:basedOn w:val="Fuentedeprrafopredeter"/>
    <w:link w:val="Encabezado"/>
    <w:uiPriority w:val="99"/>
    <w:rsid w:val="00636FE7"/>
    <w:rPr>
      <w:rFonts w:ascii="Palatino" w:hAnsi="Palatino"/>
      <w:lang w:val="es-AR" w:eastAsia="es-ES" w:bidi="ar-SA"/>
    </w:rPr>
  </w:style>
  <w:style w:type="paragraph" w:customStyle="1" w:styleId="BFnormalChar">
    <w:name w:val="_BFnormal Char"/>
    <w:basedOn w:val="Normal"/>
    <w:rsid w:val="00636FE7"/>
    <w:pPr>
      <w:spacing w:after="240"/>
      <w:ind w:firstLine="720"/>
      <w:jc w:val="both"/>
    </w:pPr>
    <w:rPr>
      <w:rFonts w:ascii="Times New Roman" w:eastAsia="MS Mincho" w:hAnsi="Times New Roman"/>
      <w:sz w:val="18"/>
      <w:lang w:val="en-US"/>
    </w:rPr>
  </w:style>
  <w:style w:type="paragraph" w:customStyle="1" w:styleId="DPWfdtblbody9">
    <w:name w:val="DPWfd tbl body9"/>
    <w:aliases w:val="y9"/>
    <w:basedOn w:val="Normal"/>
    <w:rsid w:val="00636FE7"/>
    <w:pPr>
      <w:spacing w:line="180" w:lineRule="exact"/>
      <w:jc w:val="both"/>
    </w:pPr>
    <w:rPr>
      <w:rFonts w:ascii="Times New Roman" w:hAnsi="Times New Roman"/>
      <w:sz w:val="18"/>
      <w:lang w:val="en-US"/>
    </w:rPr>
  </w:style>
  <w:style w:type="paragraph" w:customStyle="1" w:styleId="DPWfdtblnum10">
    <w:name w:val="DPWfd tbl num10"/>
    <w:basedOn w:val="Normal"/>
    <w:rsid w:val="00636FE7"/>
    <w:rPr>
      <w:rFonts w:ascii="Times New Roman" w:hAnsi="Times New Roman"/>
      <w:sz w:val="22"/>
      <w:lang w:val="en-US"/>
    </w:rPr>
  </w:style>
  <w:style w:type="paragraph" w:styleId="Lista4">
    <w:name w:val="List 4"/>
    <w:basedOn w:val="Normal"/>
    <w:rsid w:val="007E512D"/>
    <w:pPr>
      <w:ind w:left="1132" w:hanging="283"/>
    </w:pPr>
  </w:style>
  <w:style w:type="paragraph" w:styleId="Subttulo">
    <w:name w:val="Subtitle"/>
    <w:basedOn w:val="Normal"/>
    <w:qFormat/>
    <w:rsid w:val="007E512D"/>
    <w:pPr>
      <w:spacing w:after="60"/>
      <w:jc w:val="center"/>
      <w:outlineLvl w:val="1"/>
    </w:pPr>
    <w:rPr>
      <w:rFonts w:ascii="Arial" w:hAnsi="Arial" w:cs="Arial"/>
      <w:szCs w:val="24"/>
    </w:rPr>
  </w:style>
  <w:style w:type="paragraph" w:styleId="Textoindependienteprimerasangra2">
    <w:name w:val="Body Text First Indent 2"/>
    <w:basedOn w:val="Sangradetextonormal"/>
    <w:rsid w:val="007E512D"/>
    <w:pPr>
      <w:numPr>
        <w:ilvl w:val="0"/>
      </w:numPr>
      <w:tabs>
        <w:tab w:val="clear" w:pos="9900"/>
      </w:tabs>
      <w:spacing w:after="120"/>
      <w:ind w:left="283" w:firstLine="210"/>
      <w:jc w:val="left"/>
    </w:pPr>
    <w:rPr>
      <w:rFonts w:ascii="Palatino" w:hAnsi="Palatino"/>
      <w:sz w:val="24"/>
    </w:rPr>
  </w:style>
  <w:style w:type="paragraph" w:styleId="Encabezadodenota">
    <w:name w:val="Note Heading"/>
    <w:basedOn w:val="Normal"/>
    <w:next w:val="Normal"/>
    <w:rsid w:val="007E512D"/>
  </w:style>
  <w:style w:type="character" w:styleId="nfasis">
    <w:name w:val="Emphasis"/>
    <w:basedOn w:val="Fuentedeprrafopredeter"/>
    <w:qFormat/>
    <w:rsid w:val="00DC7A01"/>
    <w:rPr>
      <w:i/>
      <w:iCs/>
    </w:rPr>
  </w:style>
  <w:style w:type="paragraph" w:styleId="Prrafodelista">
    <w:name w:val="List Paragraph"/>
    <w:basedOn w:val="Normal"/>
    <w:link w:val="PrrafodelistaCar"/>
    <w:uiPriority w:val="34"/>
    <w:qFormat/>
    <w:rsid w:val="00862B63"/>
    <w:pPr>
      <w:ind w:left="720"/>
    </w:pPr>
    <w:rPr>
      <w:rFonts w:ascii="Times New Roman" w:hAnsi="Times New Roman"/>
      <w:szCs w:val="24"/>
      <w:lang w:val="en-US" w:eastAsia="en-US"/>
    </w:rPr>
  </w:style>
  <w:style w:type="character" w:customStyle="1" w:styleId="TextoindependienteCar1">
    <w:name w:val="Texto independiente Car1"/>
    <w:aliases w:val="body text Car1,bt Car1,Texto independienteR Car"/>
    <w:basedOn w:val="Fuentedeprrafopredeter"/>
    <w:link w:val="Textoindependiente"/>
    <w:uiPriority w:val="99"/>
    <w:locked/>
    <w:rsid w:val="00862B63"/>
    <w:rPr>
      <w:rFonts w:ascii="Book Antiqua" w:hAnsi="Book Antiqua"/>
      <w:lang w:val="es-AR"/>
    </w:rPr>
  </w:style>
  <w:style w:type="paragraph" w:customStyle="1" w:styleId="DPWfdPF">
    <w:name w:val="DPW fd PF"/>
    <w:aliases w:val="pf,p,f,DPW PF"/>
    <w:basedOn w:val="Normal"/>
    <w:rsid w:val="00A12EA1"/>
    <w:pPr>
      <w:spacing w:after="200"/>
      <w:ind w:firstLine="360"/>
      <w:jc w:val="both"/>
    </w:pPr>
    <w:rPr>
      <w:rFonts w:ascii="Times New Roman" w:hAnsi="Times New Roman"/>
      <w:sz w:val="20"/>
      <w:lang w:val="en-US"/>
    </w:rPr>
  </w:style>
  <w:style w:type="character" w:customStyle="1" w:styleId="TextonotapieCar">
    <w:name w:val="Texto nota pie Car"/>
    <w:basedOn w:val="Fuentedeprrafopredeter"/>
    <w:link w:val="Textonotapie"/>
    <w:locked/>
    <w:rsid w:val="00237570"/>
    <w:rPr>
      <w:rFonts w:ascii="Palatino" w:hAnsi="Palatino"/>
      <w:lang w:val="es-AR"/>
    </w:rPr>
  </w:style>
  <w:style w:type="character" w:styleId="Refdecomentario">
    <w:name w:val="annotation reference"/>
    <w:basedOn w:val="Fuentedeprrafopredeter"/>
    <w:uiPriority w:val="99"/>
    <w:rsid w:val="0070630C"/>
    <w:rPr>
      <w:rFonts w:cs="Times New Roman"/>
      <w:sz w:val="16"/>
      <w:szCs w:val="16"/>
    </w:rPr>
  </w:style>
  <w:style w:type="character" w:customStyle="1" w:styleId="TextocomentarioCar">
    <w:name w:val="Texto comentario Car"/>
    <w:basedOn w:val="Fuentedeprrafopredeter"/>
    <w:link w:val="Textocomentario"/>
    <w:uiPriority w:val="99"/>
    <w:locked/>
    <w:rsid w:val="0070630C"/>
    <w:rPr>
      <w:rFonts w:ascii="Times New Roman" w:hAnsi="Times New Roman"/>
    </w:rPr>
  </w:style>
  <w:style w:type="paragraph" w:styleId="Revisin">
    <w:name w:val="Revision"/>
    <w:hidden/>
    <w:semiHidden/>
    <w:rsid w:val="001605F3"/>
    <w:rPr>
      <w:rFonts w:ascii="Palatino" w:hAnsi="Palatino"/>
      <w:sz w:val="24"/>
      <w:lang w:val="es-AR"/>
    </w:rPr>
  </w:style>
  <w:style w:type="character" w:customStyle="1" w:styleId="SangradetextonormalCar">
    <w:name w:val="Sangría de texto normal Car"/>
    <w:basedOn w:val="Fuentedeprrafopredeter"/>
    <w:link w:val="Sangradetextonormal"/>
    <w:locked/>
    <w:rsid w:val="00FF6CC0"/>
    <w:rPr>
      <w:rFonts w:ascii="Book Antiqua" w:hAnsi="Book Antiqua"/>
      <w:lang w:val="es-AR"/>
    </w:rPr>
  </w:style>
  <w:style w:type="paragraph" w:customStyle="1" w:styleId="Textodetabla">
    <w:name w:val="Texto de tabla"/>
    <w:basedOn w:val="Normal"/>
    <w:rsid w:val="009D1BB5"/>
    <w:pPr>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Pr>
      <w:rFonts w:ascii="Arial" w:hAnsi="Arial"/>
      <w:sz w:val="20"/>
      <w:lang w:val="en-US" w:eastAsia="en-US"/>
    </w:rPr>
  </w:style>
  <w:style w:type="paragraph" w:customStyle="1" w:styleId="Default">
    <w:name w:val="Default"/>
    <w:rsid w:val="00192115"/>
    <w:pPr>
      <w:autoSpaceDE w:val="0"/>
      <w:autoSpaceDN w:val="0"/>
      <w:adjustRightInd w:val="0"/>
    </w:pPr>
    <w:rPr>
      <w:rFonts w:ascii="Arial" w:eastAsia="Calibri" w:hAnsi="Arial" w:cs="Arial"/>
      <w:color w:val="000000"/>
      <w:sz w:val="24"/>
      <w:szCs w:val="24"/>
      <w:lang w:val="es-AR" w:eastAsia="en-US"/>
    </w:rPr>
  </w:style>
  <w:style w:type="paragraph" w:styleId="Asuntodelcomentario">
    <w:name w:val="annotation subject"/>
    <w:basedOn w:val="Textocomentario"/>
    <w:next w:val="Textocomentario"/>
    <w:link w:val="AsuntodelcomentarioCar"/>
    <w:unhideWhenUsed/>
    <w:rsid w:val="00C54540"/>
    <w:rPr>
      <w:rFonts w:ascii="Palatino" w:hAnsi="Palatino"/>
      <w:b/>
      <w:bCs/>
      <w:lang w:val="es-AR"/>
    </w:rPr>
  </w:style>
  <w:style w:type="character" w:customStyle="1" w:styleId="AsuntodelcomentarioCar">
    <w:name w:val="Asunto del comentario Car"/>
    <w:basedOn w:val="TextocomentarioCar"/>
    <w:link w:val="Asuntodelcomentario"/>
    <w:rsid w:val="00C54540"/>
    <w:rPr>
      <w:rFonts w:ascii="Palatino" w:hAnsi="Palatino"/>
      <w:b/>
      <w:bCs/>
      <w:lang w:val="es-AR"/>
    </w:rPr>
  </w:style>
  <w:style w:type="character" w:customStyle="1" w:styleId="PiedepginaCar">
    <w:name w:val="Pie de página Car"/>
    <w:basedOn w:val="Fuentedeprrafopredeter"/>
    <w:link w:val="Piedepgina"/>
    <w:uiPriority w:val="99"/>
    <w:rsid w:val="007C4B37"/>
    <w:rPr>
      <w:rFonts w:ascii="Palatino" w:hAnsi="Palatino"/>
      <w:sz w:val="24"/>
      <w:lang w:val="es-AR"/>
    </w:rPr>
  </w:style>
  <w:style w:type="paragraph" w:customStyle="1" w:styleId="Deloitteaddress">
    <w:name w:val="Deloitte address"/>
    <w:basedOn w:val="Normal"/>
    <w:qFormat/>
    <w:rsid w:val="007C4B37"/>
    <w:pPr>
      <w:spacing w:line="170" w:lineRule="atLeast"/>
    </w:pPr>
    <w:rPr>
      <w:rFonts w:ascii="Verdana" w:eastAsia="Verdana" w:hAnsi="Verdana"/>
      <w:sz w:val="14"/>
      <w:szCs w:val="22"/>
      <w:lang w:val="en-GB" w:eastAsia="en-US"/>
    </w:rPr>
  </w:style>
  <w:style w:type="paragraph" w:customStyle="1" w:styleId="s24-3675">
    <w:name w:val="s24-3675"/>
    <w:basedOn w:val="Normal"/>
    <w:rsid w:val="00726D4C"/>
    <w:pPr>
      <w:spacing w:before="100" w:beforeAutospacing="1" w:after="100" w:afterAutospacing="1"/>
    </w:pPr>
    <w:rPr>
      <w:rFonts w:ascii="Times New Roman" w:hAnsi="Times New Roman"/>
      <w:szCs w:val="24"/>
      <w:lang w:eastAsia="es-AR"/>
    </w:rPr>
  </w:style>
  <w:style w:type="paragraph" w:customStyle="1" w:styleId="s25-3675">
    <w:name w:val="s25-3675"/>
    <w:basedOn w:val="Normal"/>
    <w:rsid w:val="00726D4C"/>
    <w:pPr>
      <w:spacing w:before="100" w:beforeAutospacing="1" w:after="100" w:afterAutospacing="1"/>
    </w:pPr>
    <w:rPr>
      <w:rFonts w:ascii="Times New Roman" w:hAnsi="Times New Roman"/>
      <w:szCs w:val="24"/>
      <w:lang w:eastAsia="es-AR"/>
    </w:rPr>
  </w:style>
  <w:style w:type="paragraph" w:customStyle="1" w:styleId="s34-3675">
    <w:name w:val="s34-3675"/>
    <w:basedOn w:val="Normal"/>
    <w:rsid w:val="00726D4C"/>
    <w:pPr>
      <w:spacing w:before="100" w:beforeAutospacing="1" w:after="100" w:afterAutospacing="1"/>
    </w:pPr>
    <w:rPr>
      <w:rFonts w:ascii="Times New Roman" w:hAnsi="Times New Roman"/>
      <w:szCs w:val="24"/>
      <w:lang w:eastAsia="es-AR"/>
    </w:rPr>
  </w:style>
  <w:style w:type="paragraph" w:customStyle="1" w:styleId="s47-3675">
    <w:name w:val="s47-3675"/>
    <w:basedOn w:val="Normal"/>
    <w:rsid w:val="00726D4C"/>
    <w:pPr>
      <w:spacing w:before="100" w:beforeAutospacing="1" w:after="100" w:afterAutospacing="1"/>
    </w:pPr>
    <w:rPr>
      <w:rFonts w:ascii="Times New Roman" w:hAnsi="Times New Roman"/>
      <w:szCs w:val="24"/>
      <w:lang w:eastAsia="es-AR"/>
    </w:rPr>
  </w:style>
  <w:style w:type="paragraph" w:customStyle="1" w:styleId="m-4009272601122496693s62">
    <w:name w:val="m_-4009272601122496693s62"/>
    <w:basedOn w:val="Normal"/>
    <w:rsid w:val="007F6BC6"/>
    <w:pPr>
      <w:spacing w:before="100" w:beforeAutospacing="1" w:after="100" w:afterAutospacing="1"/>
    </w:pPr>
    <w:rPr>
      <w:rFonts w:ascii="Times New Roman" w:hAnsi="Times New Roman"/>
      <w:szCs w:val="24"/>
      <w:lang w:eastAsia="es-AR"/>
    </w:rPr>
  </w:style>
  <w:style w:type="character" w:customStyle="1" w:styleId="m-4009272601122496693s16">
    <w:name w:val="m_-4009272601122496693s16"/>
    <w:basedOn w:val="Fuentedeprrafopredeter"/>
    <w:rsid w:val="007F6BC6"/>
  </w:style>
  <w:style w:type="paragraph" w:customStyle="1" w:styleId="m-4009272601122496693s11">
    <w:name w:val="m_-4009272601122496693s11"/>
    <w:basedOn w:val="Normal"/>
    <w:rsid w:val="007F6BC6"/>
    <w:pPr>
      <w:spacing w:before="100" w:beforeAutospacing="1" w:after="100" w:afterAutospacing="1"/>
    </w:pPr>
    <w:rPr>
      <w:rFonts w:ascii="Times New Roman" w:hAnsi="Times New Roman"/>
      <w:szCs w:val="24"/>
      <w:lang w:eastAsia="es-AR"/>
    </w:rPr>
  </w:style>
  <w:style w:type="character" w:customStyle="1" w:styleId="m-4009272601122496693s13">
    <w:name w:val="m_-4009272601122496693s13"/>
    <w:basedOn w:val="Fuentedeprrafopredeter"/>
    <w:rsid w:val="007F6BC6"/>
  </w:style>
  <w:style w:type="paragraph" w:customStyle="1" w:styleId="zKISOffAddress">
    <w:name w:val="zKISOffAddress"/>
    <w:basedOn w:val="Normal"/>
    <w:rsid w:val="006D0740"/>
    <w:pPr>
      <w:framePr w:hSpace="215" w:wrap="around" w:vAnchor="page" w:hAnchor="page" w:x="4282" w:y="1294"/>
      <w:spacing w:line="190" w:lineRule="exact"/>
    </w:pPr>
    <w:rPr>
      <w:rFonts w:ascii="Univers 45 Light" w:hAnsi="Univers 45 Light"/>
      <w:sz w:val="15"/>
      <w:lang w:eastAsia="en-US"/>
    </w:rPr>
  </w:style>
  <w:style w:type="paragraph" w:customStyle="1" w:styleId="Lilianita">
    <w:name w:val="Lilianita"/>
    <w:basedOn w:val="Normal"/>
    <w:rsid w:val="006D0740"/>
    <w:pPr>
      <w:spacing w:line="220" w:lineRule="exact"/>
      <w:jc w:val="both"/>
    </w:pPr>
    <w:rPr>
      <w:rFonts w:ascii="Times" w:eastAsia="Batang" w:hAnsi="Times" w:cs="Times"/>
      <w:sz w:val="20"/>
      <w:lang w:val="en-US" w:eastAsia="en-US"/>
    </w:rPr>
  </w:style>
  <w:style w:type="character" w:customStyle="1" w:styleId="Sangra2detindependienteCar">
    <w:name w:val="Sangría 2 de t. independiente Car"/>
    <w:basedOn w:val="Fuentedeprrafopredeter"/>
    <w:link w:val="Sangra2detindependiente"/>
    <w:rsid w:val="00E5031D"/>
    <w:rPr>
      <w:rFonts w:ascii="Book Antiqua" w:hAnsi="Book Antiqua"/>
      <w:lang w:val="es-ES_tradnl"/>
    </w:rPr>
  </w:style>
  <w:style w:type="paragraph" w:customStyle="1" w:styleId="KPMG">
    <w:name w:val="KPMG"/>
    <w:basedOn w:val="Normal"/>
    <w:link w:val="KPMGChar"/>
    <w:rsid w:val="00F9527B"/>
    <w:pPr>
      <w:jc w:val="both"/>
    </w:pPr>
    <w:rPr>
      <w:rFonts w:ascii="New York" w:hAnsi="New York"/>
      <w:lang w:eastAsia="en-US"/>
    </w:rPr>
  </w:style>
  <w:style w:type="paragraph" w:customStyle="1" w:styleId="xl30">
    <w:name w:val="xl30"/>
    <w:basedOn w:val="Normal"/>
    <w:rsid w:val="0044625C"/>
    <w:pPr>
      <w:spacing w:before="100" w:beforeAutospacing="1" w:after="100" w:afterAutospacing="1"/>
    </w:pPr>
    <w:rPr>
      <w:rFonts w:ascii="Arial" w:eastAsia="Arial Unicode MS" w:hAnsi="Arial"/>
      <w:sz w:val="18"/>
      <w:szCs w:val="18"/>
      <w:lang w:val="en-US" w:eastAsia="en-US"/>
    </w:rPr>
  </w:style>
  <w:style w:type="paragraph" w:customStyle="1" w:styleId="TableText">
    <w:name w:val="Table Text"/>
    <w:basedOn w:val="Textodebloque"/>
    <w:rsid w:val="0044625C"/>
    <w:pPr>
      <w:tabs>
        <w:tab w:val="clear" w:pos="1120"/>
      </w:tabs>
      <w:ind w:left="0" w:right="0" w:firstLine="0"/>
      <w:jc w:val="left"/>
    </w:pPr>
    <w:rPr>
      <w:rFonts w:ascii="Times New Roman" w:hAnsi="Times New Roman"/>
      <w:sz w:val="16"/>
      <w:lang w:val="en-US" w:eastAsia="en-US"/>
    </w:rPr>
  </w:style>
  <w:style w:type="paragraph" w:customStyle="1" w:styleId="Textonormal">
    <w:name w:val="Texto normal"/>
    <w:basedOn w:val="Normal"/>
    <w:qFormat/>
    <w:rsid w:val="00C03EFD"/>
    <w:pPr>
      <w:spacing w:before="360"/>
    </w:pPr>
    <w:rPr>
      <w:rFonts w:ascii="Arial" w:eastAsiaTheme="minorHAnsi" w:hAnsi="Arial" w:cstheme="minorBidi"/>
      <w:color w:val="EEECE1" w:themeColor="background2"/>
      <w:szCs w:val="22"/>
      <w:lang w:val="en-US" w:eastAsia="en-US"/>
    </w:rPr>
  </w:style>
  <w:style w:type="paragraph" w:customStyle="1" w:styleId="xl40">
    <w:name w:val="xl40"/>
    <w:basedOn w:val="Normal"/>
    <w:rsid w:val="00216E12"/>
    <w:pPr>
      <w:spacing w:before="100" w:beforeAutospacing="1" w:after="100" w:afterAutospacing="1"/>
      <w:jc w:val="center"/>
      <w:textAlignment w:val="top"/>
    </w:pPr>
    <w:rPr>
      <w:rFonts w:ascii="Garamond" w:eastAsia="Arial Unicode MS" w:hAnsi="Garamond" w:cs="Arial Unicode MS"/>
      <w:sz w:val="18"/>
      <w:szCs w:val="18"/>
      <w:lang w:val="en-US" w:eastAsia="en-US"/>
    </w:rPr>
  </w:style>
  <w:style w:type="paragraph" w:customStyle="1" w:styleId="xl26">
    <w:name w:val="xl26"/>
    <w:basedOn w:val="Normal"/>
    <w:rsid w:val="00216E12"/>
    <w:pPr>
      <w:pBdr>
        <w:left w:val="single" w:sz="8" w:space="0" w:color="auto"/>
      </w:pBdr>
      <w:spacing w:before="100" w:beforeAutospacing="1" w:after="100" w:afterAutospacing="1"/>
      <w:jc w:val="right"/>
      <w:textAlignment w:val="top"/>
    </w:pPr>
    <w:rPr>
      <w:rFonts w:ascii="Garamond" w:eastAsia="Arial Unicode MS" w:hAnsi="Garamond" w:cs="Arial Unicode MS"/>
      <w:sz w:val="18"/>
      <w:szCs w:val="18"/>
      <w:lang w:val="en-US" w:eastAsia="en-US"/>
    </w:rPr>
  </w:style>
  <w:style w:type="character" w:customStyle="1" w:styleId="KPMGChar">
    <w:name w:val="KPMG Char"/>
    <w:link w:val="KPMG"/>
    <w:uiPriority w:val="99"/>
    <w:rsid w:val="00216E12"/>
    <w:rPr>
      <w:sz w:val="24"/>
      <w:lang w:val="es-AR" w:eastAsia="en-US"/>
    </w:rPr>
  </w:style>
  <w:style w:type="character" w:customStyle="1" w:styleId="PrrafodelistaCar">
    <w:name w:val="Párrafo de lista Car"/>
    <w:link w:val="Prrafodelista"/>
    <w:uiPriority w:val="34"/>
    <w:rsid w:val="00366C2F"/>
    <w:rPr>
      <w:rFonts w:ascii="Times New Roman" w:hAnsi="Times New Roman"/>
      <w:sz w:val="24"/>
      <w:szCs w:val="24"/>
      <w:lang w:val="en-US" w:eastAsia="en-US"/>
    </w:rPr>
  </w:style>
  <w:style w:type="paragraph" w:customStyle="1" w:styleId="xl37">
    <w:name w:val="xl37"/>
    <w:basedOn w:val="Normal"/>
    <w:rsid w:val="002B04A9"/>
    <w:pPr>
      <w:pBdr>
        <w:left w:val="single" w:sz="8" w:space="0" w:color="auto"/>
      </w:pBdr>
      <w:spacing w:before="100" w:beforeAutospacing="1" w:after="100" w:afterAutospacing="1"/>
      <w:jc w:val="right"/>
      <w:textAlignment w:val="top"/>
    </w:pPr>
    <w:rPr>
      <w:rFonts w:ascii="Garamond" w:eastAsia="Arial Unicode MS" w:hAnsi="Garamond" w:cs="Arial Unicode MS"/>
      <w:b/>
      <w:bCs/>
      <w:sz w:val="18"/>
      <w:szCs w:val="18"/>
      <w:lang w:val="en-US" w:eastAsia="en-US"/>
    </w:rPr>
  </w:style>
  <w:style w:type="paragraph" w:customStyle="1" w:styleId="Estndar">
    <w:name w:val="Estándar"/>
    <w:basedOn w:val="Normal"/>
    <w:rsid w:val="002B04A9"/>
    <w:pPr>
      <w:jc w:val="center"/>
    </w:pPr>
    <w:rPr>
      <w:rFonts w:ascii="Times New Roman" w:hAnsi="Times New Roman"/>
      <w:szCs w:val="24"/>
      <w:lang w:val="en-US" w:eastAsia="en-US"/>
    </w:rPr>
  </w:style>
  <w:style w:type="paragraph" w:styleId="Textonotaalfinal">
    <w:name w:val="endnote text"/>
    <w:basedOn w:val="Normal"/>
    <w:link w:val="TextonotaalfinalCar"/>
    <w:semiHidden/>
    <w:rsid w:val="00FE2E2F"/>
    <w:pPr>
      <w:tabs>
        <w:tab w:val="right" w:pos="7920"/>
        <w:tab w:val="right" w:pos="9720"/>
      </w:tabs>
      <w:jc w:val="both"/>
    </w:pPr>
    <w:rPr>
      <w:rFonts w:ascii="New York" w:hAnsi="New York"/>
      <w:sz w:val="20"/>
      <w:lang w:eastAsia="en-US"/>
    </w:rPr>
  </w:style>
  <w:style w:type="character" w:customStyle="1" w:styleId="TextonotaalfinalCar">
    <w:name w:val="Texto nota al final Car"/>
    <w:basedOn w:val="Fuentedeprrafopredeter"/>
    <w:link w:val="Textonotaalfinal"/>
    <w:semiHidden/>
    <w:rsid w:val="00FE2E2F"/>
    <w:rPr>
      <w:lang w:val="es-AR" w:eastAsia="en-US"/>
    </w:rPr>
  </w:style>
  <w:style w:type="paragraph" w:customStyle="1" w:styleId="EndnoteText1">
    <w:name w:val="Endnote Text1"/>
    <w:basedOn w:val="Normal"/>
    <w:rsid w:val="00FE2E2F"/>
    <w:pPr>
      <w:tabs>
        <w:tab w:val="right" w:pos="7920"/>
        <w:tab w:val="right" w:pos="9720"/>
      </w:tabs>
      <w:jc w:val="both"/>
    </w:pPr>
    <w:rPr>
      <w:rFonts w:ascii="New York" w:hAnsi="New York"/>
      <w:sz w:val="20"/>
      <w:lang w:eastAsia="en-US"/>
    </w:rPr>
  </w:style>
  <w:style w:type="paragraph" w:customStyle="1" w:styleId="Cartas">
    <w:name w:val="Cartas"/>
    <w:basedOn w:val="Normal"/>
    <w:rsid w:val="00FE2E2F"/>
    <w:pPr>
      <w:jc w:val="both"/>
    </w:pPr>
    <w:rPr>
      <w:rFonts w:ascii="New York" w:hAnsi="New York"/>
      <w:lang w:eastAsia="en-US"/>
    </w:rPr>
  </w:style>
  <w:style w:type="paragraph" w:customStyle="1" w:styleId="KPMG-Times">
    <w:name w:val="KPMG-Times"/>
    <w:basedOn w:val="Normal"/>
    <w:rsid w:val="00FE2E2F"/>
    <w:pPr>
      <w:jc w:val="both"/>
    </w:pPr>
    <w:rPr>
      <w:rFonts w:ascii="New York" w:hAnsi="New York"/>
      <w:lang w:eastAsia="en-US"/>
    </w:rPr>
  </w:style>
  <w:style w:type="character" w:styleId="Refdenotaalfinal">
    <w:name w:val="endnote reference"/>
    <w:rsid w:val="00FE2E2F"/>
    <w:rPr>
      <w:vertAlign w:val="superscript"/>
    </w:rPr>
  </w:style>
  <w:style w:type="character" w:customStyle="1" w:styleId="TextoChar">
    <w:name w:val="Texto Char"/>
    <w:link w:val="Texto0"/>
    <w:rsid w:val="00FE2E2F"/>
    <w:rPr>
      <w:rFonts w:ascii="Book Antiqua" w:hAnsi="Book Antiqua"/>
      <w:snapToGrid w:val="0"/>
      <w:lang w:val="es-ES_tradnl" w:eastAsia="en-US"/>
    </w:rPr>
  </w:style>
  <w:style w:type="table" w:styleId="Tablabsica2">
    <w:name w:val="Table Simple 2"/>
    <w:basedOn w:val="Tablanormal"/>
    <w:rsid w:val="00FE2E2F"/>
    <w:pPr>
      <w:tabs>
        <w:tab w:val="right" w:pos="7920"/>
        <w:tab w:val="right" w:pos="9720"/>
      </w:tabs>
      <w:jc w:val="both"/>
    </w:pPr>
    <w:rPr>
      <w:lang w:val="es-AR" w:eastAsia="es-A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Ttulo1Car1">
    <w:name w:val="Título 1 Car1"/>
    <w:aliases w:val="h1 Car"/>
    <w:link w:val="Ttulo1"/>
    <w:uiPriority w:val="9"/>
    <w:locked/>
    <w:rsid w:val="00FE2E2F"/>
    <w:rPr>
      <w:rFonts w:ascii="Book Antiqua" w:hAnsi="Book Antiqua"/>
      <w:b/>
      <w:sz w:val="24"/>
      <w:lang w:val="es-AR"/>
    </w:rPr>
  </w:style>
  <w:style w:type="character" w:customStyle="1" w:styleId="Ttulo2Car">
    <w:name w:val="Título 2 Car"/>
    <w:link w:val="Ttulo2"/>
    <w:locked/>
    <w:rsid w:val="00FE2E2F"/>
    <w:rPr>
      <w:rFonts w:ascii="Book Antiqua" w:hAnsi="Book Antiqua"/>
      <w:b/>
      <w:caps/>
      <w:sz w:val="22"/>
      <w:lang w:val="es-AR"/>
    </w:rPr>
  </w:style>
  <w:style w:type="character" w:customStyle="1" w:styleId="Ttulo3Car">
    <w:name w:val="Título 3 Car"/>
    <w:aliases w:val="h3 Car,H3 Car,DPW Head Left Bold Car"/>
    <w:link w:val="Ttulo3"/>
    <w:locked/>
    <w:rsid w:val="00FE2E2F"/>
    <w:rPr>
      <w:rFonts w:ascii="Arial" w:hAnsi="Arial"/>
      <w:sz w:val="24"/>
      <w:lang w:val="es-AR"/>
    </w:rPr>
  </w:style>
  <w:style w:type="character" w:customStyle="1" w:styleId="Ttulo4Car">
    <w:name w:val="Título 4 Car"/>
    <w:link w:val="Ttulo4"/>
    <w:locked/>
    <w:rsid w:val="00FE2E2F"/>
    <w:rPr>
      <w:rFonts w:ascii="Arial" w:hAnsi="Arial"/>
      <w:b/>
      <w:sz w:val="24"/>
      <w:lang w:val="es-AR"/>
    </w:rPr>
  </w:style>
  <w:style w:type="character" w:customStyle="1" w:styleId="Ttulo5Car">
    <w:name w:val="Título 5 Car"/>
    <w:link w:val="Ttulo5"/>
    <w:locked/>
    <w:rsid w:val="00FE2E2F"/>
    <w:rPr>
      <w:rFonts w:ascii="Palatino" w:hAnsi="Palatino"/>
      <w:sz w:val="22"/>
      <w:lang w:val="es-AR"/>
    </w:rPr>
  </w:style>
  <w:style w:type="character" w:customStyle="1" w:styleId="Ttulo6Car">
    <w:name w:val="Título 6 Car"/>
    <w:link w:val="Ttulo6"/>
    <w:locked/>
    <w:rsid w:val="00FE2E2F"/>
    <w:rPr>
      <w:rFonts w:ascii="Times New Roman" w:hAnsi="Times New Roman"/>
      <w:i/>
      <w:sz w:val="22"/>
      <w:lang w:val="es-AR"/>
    </w:rPr>
  </w:style>
  <w:style w:type="character" w:customStyle="1" w:styleId="Ttulo7Car">
    <w:name w:val="Título 7 Car"/>
    <w:link w:val="Ttulo7"/>
    <w:locked/>
    <w:rsid w:val="00FE2E2F"/>
    <w:rPr>
      <w:rFonts w:ascii="Arial" w:hAnsi="Arial"/>
      <w:lang w:val="es-AR"/>
    </w:rPr>
  </w:style>
  <w:style w:type="character" w:customStyle="1" w:styleId="Ttulo8Car">
    <w:name w:val="Título 8 Car"/>
    <w:link w:val="Ttulo8"/>
    <w:locked/>
    <w:rsid w:val="00FE2E2F"/>
    <w:rPr>
      <w:rFonts w:ascii="Arial" w:hAnsi="Arial"/>
      <w:i/>
      <w:lang w:val="es-AR"/>
    </w:rPr>
  </w:style>
  <w:style w:type="character" w:customStyle="1" w:styleId="Ttulo9Car">
    <w:name w:val="Título 9 Car"/>
    <w:link w:val="Ttulo9"/>
    <w:locked/>
    <w:rsid w:val="00FE2E2F"/>
    <w:rPr>
      <w:rFonts w:ascii="Arial" w:hAnsi="Arial"/>
      <w:b/>
      <w:i/>
      <w:sz w:val="18"/>
      <w:lang w:val="es-AR"/>
    </w:rPr>
  </w:style>
  <w:style w:type="character" w:customStyle="1" w:styleId="Textoindependiente2Car">
    <w:name w:val="Texto independiente 2 Car"/>
    <w:link w:val="Textoindependiente2"/>
    <w:locked/>
    <w:rsid w:val="00FE2E2F"/>
    <w:rPr>
      <w:rFonts w:ascii="Book Antiqua" w:hAnsi="Book Antiqua"/>
      <w:lang w:val="es-AR"/>
    </w:rPr>
  </w:style>
  <w:style w:type="character" w:customStyle="1" w:styleId="Textoindependiente3Car">
    <w:name w:val="Texto independiente 3 Car"/>
    <w:link w:val="Textoindependiente3"/>
    <w:locked/>
    <w:rsid w:val="00FE2E2F"/>
    <w:rPr>
      <w:rFonts w:ascii="Book Antiqua" w:hAnsi="Book Antiqua"/>
      <w:lang w:val="es-AR"/>
    </w:rPr>
  </w:style>
  <w:style w:type="character" w:customStyle="1" w:styleId="TextodegloboCar">
    <w:name w:val="Texto de globo Car"/>
    <w:link w:val="Textodeglobo"/>
    <w:semiHidden/>
    <w:locked/>
    <w:rsid w:val="00FE2E2F"/>
    <w:rPr>
      <w:rFonts w:ascii="Tahoma" w:hAnsi="Tahoma" w:cs="Tahoma"/>
      <w:sz w:val="16"/>
      <w:szCs w:val="16"/>
      <w:lang w:val="es-AR"/>
    </w:rPr>
  </w:style>
  <w:style w:type="character" w:customStyle="1" w:styleId="MapadeldocumentoCar">
    <w:name w:val="Mapa del documento Car"/>
    <w:link w:val="Mapadeldocumento"/>
    <w:rsid w:val="00FE2E2F"/>
    <w:rPr>
      <w:rFonts w:ascii="Tahoma" w:hAnsi="Tahoma"/>
      <w:sz w:val="24"/>
      <w:shd w:val="clear" w:color="auto" w:fill="000080"/>
      <w:lang w:val="es-AR"/>
    </w:rPr>
  </w:style>
  <w:style w:type="paragraph" w:styleId="Textosinformato">
    <w:name w:val="Plain Text"/>
    <w:basedOn w:val="Normal"/>
    <w:link w:val="TextosinformatoCar"/>
    <w:uiPriority w:val="99"/>
    <w:rsid w:val="00FE2E2F"/>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FE2E2F"/>
    <w:rPr>
      <w:rFonts w:ascii="Courier New" w:hAnsi="Courier New"/>
      <w:lang w:val="x-none" w:eastAsia="x-none"/>
    </w:rPr>
  </w:style>
  <w:style w:type="paragraph" w:customStyle="1" w:styleId="Notacuerpo">
    <w:name w:val="Nota cuerpo"/>
    <w:basedOn w:val="Normal"/>
    <w:rsid w:val="00FE2E2F"/>
    <w:pPr>
      <w:ind w:left="1440"/>
      <w:jc w:val="both"/>
    </w:pPr>
    <w:rPr>
      <w:rFonts w:ascii="Arial" w:hAnsi="Arial" w:cs="Arial"/>
      <w:szCs w:val="24"/>
      <w:lang w:val="en-US" w:eastAsia="en-US"/>
    </w:rPr>
  </w:style>
  <w:style w:type="paragraph" w:customStyle="1" w:styleId="NotaN">
    <w:name w:val="Nota Nº"/>
    <w:basedOn w:val="Normal"/>
    <w:rsid w:val="00FE2E2F"/>
    <w:pPr>
      <w:jc w:val="both"/>
    </w:pPr>
    <w:rPr>
      <w:rFonts w:ascii="Arial" w:hAnsi="Arial" w:cs="Arial"/>
      <w:b/>
      <w:bCs/>
      <w:szCs w:val="24"/>
      <w:u w:val="single"/>
      <w:lang w:val="en-US" w:eastAsia="en-US"/>
    </w:rPr>
  </w:style>
  <w:style w:type="paragraph" w:customStyle="1" w:styleId="msolistparagraph0">
    <w:name w:val="msolistparagraph"/>
    <w:basedOn w:val="Normal"/>
    <w:rsid w:val="00FE2E2F"/>
    <w:pPr>
      <w:ind w:left="720"/>
    </w:pPr>
    <w:rPr>
      <w:rFonts w:ascii="Times New Roman" w:hAnsi="Times New Roman"/>
      <w:szCs w:val="24"/>
      <w:lang w:val="en-US" w:eastAsia="en-US"/>
    </w:rPr>
  </w:style>
  <w:style w:type="paragraph" w:customStyle="1" w:styleId="s2">
    <w:name w:val="s2"/>
    <w:basedOn w:val="Normal"/>
    <w:rsid w:val="00FE2E2F"/>
    <w:rPr>
      <w:rFonts w:ascii="Times New Roman" w:eastAsia="Calibri" w:hAnsi="Times New Roman"/>
      <w:color w:val="333333"/>
      <w:sz w:val="20"/>
      <w:lang w:val="en-US" w:eastAsia="en-US"/>
    </w:rPr>
  </w:style>
  <w:style w:type="paragraph" w:customStyle="1" w:styleId="Pa14">
    <w:name w:val="Pa14"/>
    <w:basedOn w:val="Default"/>
    <w:next w:val="Default"/>
    <w:uiPriority w:val="99"/>
    <w:rsid w:val="00FE2E2F"/>
    <w:pPr>
      <w:spacing w:line="191" w:lineRule="atLeast"/>
    </w:pPr>
    <w:rPr>
      <w:rFonts w:ascii="Univers LT Std 45 Light" w:eastAsia="Times New Roman" w:hAnsi="Univers LT Std 45 Light" w:cs="Times New Roman"/>
      <w:color w:val="auto"/>
      <w:lang w:eastAsia="es-AR"/>
    </w:rPr>
  </w:style>
  <w:style w:type="paragraph" w:customStyle="1" w:styleId="Pa50">
    <w:name w:val="Pa50"/>
    <w:basedOn w:val="Default"/>
    <w:next w:val="Default"/>
    <w:uiPriority w:val="99"/>
    <w:rsid w:val="00FE2E2F"/>
    <w:pPr>
      <w:spacing w:line="141" w:lineRule="atLeast"/>
    </w:pPr>
    <w:rPr>
      <w:rFonts w:ascii="Univers LT Std 45 Light" w:eastAsia="Times New Roman" w:hAnsi="Univers LT Std 45 Light" w:cs="Times New Roman"/>
      <w:color w:val="auto"/>
      <w:lang w:eastAsia="es-AR"/>
    </w:rPr>
  </w:style>
  <w:style w:type="paragraph" w:customStyle="1" w:styleId="Pa28">
    <w:name w:val="Pa28"/>
    <w:basedOn w:val="Default"/>
    <w:next w:val="Default"/>
    <w:uiPriority w:val="99"/>
    <w:rsid w:val="00FE2E2F"/>
    <w:pPr>
      <w:spacing w:line="141" w:lineRule="atLeast"/>
    </w:pPr>
    <w:rPr>
      <w:rFonts w:ascii="Univers LT Std 45 Light" w:eastAsia="Times New Roman" w:hAnsi="Univers LT Std 45 Light" w:cs="Times New Roman"/>
      <w:color w:val="auto"/>
      <w:lang w:eastAsia="es-AR"/>
    </w:rPr>
  </w:style>
  <w:style w:type="paragraph" w:customStyle="1" w:styleId="Pa27">
    <w:name w:val="Pa27"/>
    <w:basedOn w:val="Default"/>
    <w:next w:val="Default"/>
    <w:uiPriority w:val="99"/>
    <w:rsid w:val="00FE2E2F"/>
    <w:pPr>
      <w:spacing w:line="141" w:lineRule="atLeast"/>
    </w:pPr>
    <w:rPr>
      <w:rFonts w:ascii="Univers LT Std 45 Light" w:eastAsia="Times New Roman" w:hAnsi="Univers LT Std 45 Light" w:cs="Times New Roman"/>
      <w:color w:val="auto"/>
      <w:lang w:eastAsia="es-AR"/>
    </w:rPr>
  </w:style>
  <w:style w:type="character" w:customStyle="1" w:styleId="A3">
    <w:name w:val="A3"/>
    <w:uiPriority w:val="99"/>
    <w:rsid w:val="00FE2E2F"/>
    <w:rPr>
      <w:rFonts w:cs="Univers LT Std 45 Light"/>
      <w:b/>
      <w:bCs/>
      <w:color w:val="000000"/>
      <w:sz w:val="12"/>
      <w:szCs w:val="12"/>
    </w:rPr>
  </w:style>
  <w:style w:type="character" w:customStyle="1" w:styleId="A8">
    <w:name w:val="A8"/>
    <w:uiPriority w:val="99"/>
    <w:rsid w:val="00FE2E2F"/>
    <w:rPr>
      <w:rFonts w:cs="Univers LT Std 45 Light"/>
      <w:i/>
      <w:iCs/>
      <w:color w:val="00458F"/>
      <w:sz w:val="14"/>
      <w:szCs w:val="14"/>
    </w:rPr>
  </w:style>
  <w:style w:type="paragraph" w:customStyle="1" w:styleId="Pa30">
    <w:name w:val="Pa30"/>
    <w:basedOn w:val="Default"/>
    <w:next w:val="Default"/>
    <w:uiPriority w:val="99"/>
    <w:rsid w:val="00FE2E2F"/>
    <w:pPr>
      <w:spacing w:line="191" w:lineRule="atLeast"/>
    </w:pPr>
    <w:rPr>
      <w:rFonts w:ascii="Univers LT Std 45 Light" w:eastAsia="Times New Roman" w:hAnsi="Univers LT Std 45 Light" w:cs="Times New Roman"/>
      <w:color w:val="auto"/>
      <w:lang w:eastAsia="es-AR"/>
    </w:rPr>
  </w:style>
  <w:style w:type="paragraph" w:customStyle="1" w:styleId="Pa31">
    <w:name w:val="Pa31"/>
    <w:basedOn w:val="Default"/>
    <w:next w:val="Default"/>
    <w:uiPriority w:val="99"/>
    <w:rsid w:val="00FE2E2F"/>
    <w:pPr>
      <w:spacing w:line="191" w:lineRule="atLeast"/>
    </w:pPr>
    <w:rPr>
      <w:rFonts w:ascii="Univers LT Std 45 Light" w:eastAsia="Times New Roman" w:hAnsi="Univers LT Std 45 Light" w:cs="Times New Roman"/>
      <w:color w:val="auto"/>
      <w:lang w:eastAsia="es-AR"/>
    </w:rPr>
  </w:style>
  <w:style w:type="paragraph" w:customStyle="1" w:styleId="Pa11">
    <w:name w:val="Pa11"/>
    <w:basedOn w:val="Default"/>
    <w:next w:val="Default"/>
    <w:uiPriority w:val="99"/>
    <w:rsid w:val="00FE2E2F"/>
    <w:pPr>
      <w:spacing w:line="121" w:lineRule="atLeast"/>
    </w:pPr>
    <w:rPr>
      <w:rFonts w:ascii="Univers LT Std 45 Light" w:eastAsia="Times New Roman" w:hAnsi="Univers LT Std 45 Light" w:cs="Times New Roman"/>
      <w:color w:val="auto"/>
      <w:lang w:eastAsia="es-AR"/>
    </w:rPr>
  </w:style>
  <w:style w:type="character" w:customStyle="1" w:styleId="A11">
    <w:name w:val="A11"/>
    <w:uiPriority w:val="99"/>
    <w:rsid w:val="00FE2E2F"/>
    <w:rPr>
      <w:rFonts w:cs="Univers LT Std 45 Light"/>
      <w:b/>
      <w:bCs/>
      <w:color w:val="000000"/>
      <w:sz w:val="14"/>
      <w:szCs w:val="14"/>
    </w:rPr>
  </w:style>
  <w:style w:type="paragraph" w:customStyle="1" w:styleId="Pa17">
    <w:name w:val="Pa17"/>
    <w:basedOn w:val="Default"/>
    <w:next w:val="Default"/>
    <w:uiPriority w:val="99"/>
    <w:rsid w:val="00FE2E2F"/>
    <w:pPr>
      <w:spacing w:line="121" w:lineRule="atLeast"/>
    </w:pPr>
    <w:rPr>
      <w:rFonts w:ascii="Univers LT Std 45 Light" w:eastAsia="Times New Roman" w:hAnsi="Univers LT Std 45 Light" w:cs="Times New Roman"/>
      <w:color w:val="auto"/>
      <w:lang w:eastAsia="es-AR"/>
    </w:rPr>
  </w:style>
  <w:style w:type="paragraph" w:customStyle="1" w:styleId="Pa21">
    <w:name w:val="Pa21"/>
    <w:basedOn w:val="Default"/>
    <w:next w:val="Default"/>
    <w:uiPriority w:val="99"/>
    <w:rsid w:val="00FE2E2F"/>
    <w:pPr>
      <w:spacing w:line="191" w:lineRule="atLeast"/>
    </w:pPr>
    <w:rPr>
      <w:rFonts w:ascii="Univers LT Std 45 Light" w:eastAsia="Times New Roman" w:hAnsi="Univers LT Std 45 Light" w:cs="Times New Roman"/>
      <w:color w:val="auto"/>
      <w:lang w:eastAsia="es-AR"/>
    </w:rPr>
  </w:style>
  <w:style w:type="paragraph" w:customStyle="1" w:styleId="Pa29">
    <w:name w:val="Pa29"/>
    <w:basedOn w:val="Default"/>
    <w:next w:val="Default"/>
    <w:uiPriority w:val="99"/>
    <w:rsid w:val="00FE2E2F"/>
    <w:pPr>
      <w:spacing w:line="191" w:lineRule="atLeast"/>
    </w:pPr>
    <w:rPr>
      <w:rFonts w:ascii="Univers LT Std 45 Light" w:eastAsia="Times New Roman" w:hAnsi="Univers LT Std 45 Light" w:cs="Times New Roman"/>
      <w:color w:val="auto"/>
      <w:lang w:eastAsia="es-AR"/>
    </w:rPr>
  </w:style>
  <w:style w:type="paragraph" w:customStyle="1" w:styleId="Pa23">
    <w:name w:val="Pa23"/>
    <w:basedOn w:val="Default"/>
    <w:next w:val="Default"/>
    <w:uiPriority w:val="99"/>
    <w:rsid w:val="00FE2E2F"/>
    <w:pPr>
      <w:spacing w:line="191" w:lineRule="atLeast"/>
    </w:pPr>
    <w:rPr>
      <w:rFonts w:ascii="Times New Roman" w:eastAsia="Times New Roman" w:hAnsi="Times New Roman" w:cs="Times New Roman"/>
      <w:color w:val="auto"/>
      <w:lang w:eastAsia="es-AR"/>
    </w:rPr>
  </w:style>
  <w:style w:type="paragraph" w:customStyle="1" w:styleId="Pa19">
    <w:name w:val="Pa19"/>
    <w:basedOn w:val="Default"/>
    <w:next w:val="Default"/>
    <w:uiPriority w:val="99"/>
    <w:rsid w:val="00FE2E2F"/>
    <w:pPr>
      <w:spacing w:line="191" w:lineRule="atLeast"/>
    </w:pPr>
    <w:rPr>
      <w:rFonts w:ascii="Univers 45 Light" w:eastAsia="Times New Roman" w:hAnsi="Univers 45 Light" w:cs="Times New Roman"/>
      <w:color w:val="auto"/>
      <w:lang w:eastAsia="es-AR"/>
    </w:rPr>
  </w:style>
  <w:style w:type="paragraph" w:customStyle="1" w:styleId="xl29">
    <w:name w:val="xl29"/>
    <w:basedOn w:val="Normal"/>
    <w:rsid w:val="00FE2E2F"/>
    <w:pPr>
      <w:spacing w:before="100" w:beforeAutospacing="1" w:after="100" w:afterAutospacing="1"/>
    </w:pPr>
    <w:rPr>
      <w:rFonts w:ascii="Arial" w:eastAsia="Arial Unicode MS" w:hAnsi="Arial"/>
      <w:b/>
      <w:bCs/>
      <w:sz w:val="18"/>
      <w:szCs w:val="18"/>
      <w:lang w:val="en-US" w:eastAsia="en-US"/>
    </w:rPr>
  </w:style>
  <w:style w:type="paragraph" w:customStyle="1" w:styleId="Titulonota">
    <w:name w:val="Titulo nota"/>
    <w:basedOn w:val="Normal"/>
    <w:qFormat/>
    <w:rsid w:val="00FE2E2F"/>
    <w:pPr>
      <w:jc w:val="both"/>
    </w:pPr>
    <w:rPr>
      <w:rFonts w:ascii="Arial Bold" w:eastAsia="Calibri" w:hAnsi="Arial Bold" w:cs="Arial"/>
      <w:b/>
      <w:sz w:val="22"/>
      <w:lang w:eastAsia="en-US"/>
    </w:rPr>
  </w:style>
  <w:style w:type="paragraph" w:styleId="HTMLconformatoprevio">
    <w:name w:val="HTML Preformatted"/>
    <w:basedOn w:val="Normal"/>
    <w:link w:val="HTMLconformatoprevioCar"/>
    <w:uiPriority w:val="99"/>
    <w:unhideWhenUsed/>
    <w:rsid w:val="00FE2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s-AR"/>
    </w:rPr>
  </w:style>
  <w:style w:type="character" w:customStyle="1" w:styleId="HTMLconformatoprevioCar">
    <w:name w:val="HTML con formato previo Car"/>
    <w:basedOn w:val="Fuentedeprrafopredeter"/>
    <w:link w:val="HTMLconformatoprevio"/>
    <w:uiPriority w:val="99"/>
    <w:rsid w:val="00FE2E2F"/>
    <w:rPr>
      <w:rFonts w:ascii="Courier New" w:hAnsi="Courier New" w:cs="Courier New"/>
      <w:lang w:val="es-AR" w:eastAsia="es-AR"/>
    </w:rPr>
  </w:style>
  <w:style w:type="paragraph" w:customStyle="1" w:styleId="EYNormalNotasLetras">
    <w:name w:val="EY Normal Notas Letras"/>
    <w:basedOn w:val="Normal"/>
    <w:rsid w:val="00FE2E2F"/>
    <w:pPr>
      <w:spacing w:line="300" w:lineRule="exact"/>
      <w:ind w:left="1134" w:hanging="567"/>
    </w:pPr>
    <w:rPr>
      <w:rFonts w:ascii="Arial" w:hAnsi="Arial" w:cs="Arial"/>
      <w:sz w:val="18"/>
      <w:szCs w:val="18"/>
      <w:lang w:val="en-US" w:eastAsia="en-US"/>
    </w:rPr>
  </w:style>
  <w:style w:type="numbering" w:customStyle="1" w:styleId="Style1">
    <w:name w:val="Style1"/>
    <w:uiPriority w:val="99"/>
    <w:rsid w:val="00FE2E2F"/>
    <w:pPr>
      <w:numPr>
        <w:numId w:val="6"/>
      </w:numPr>
    </w:pPr>
  </w:style>
  <w:style w:type="numbering" w:customStyle="1" w:styleId="Style2">
    <w:name w:val="Style2"/>
    <w:uiPriority w:val="99"/>
    <w:rsid w:val="00FE2E2F"/>
    <w:pPr>
      <w:numPr>
        <w:numId w:val="7"/>
      </w:numPr>
    </w:pPr>
  </w:style>
  <w:style w:type="numbering" w:customStyle="1" w:styleId="Style3">
    <w:name w:val="Style3"/>
    <w:uiPriority w:val="99"/>
    <w:rsid w:val="00FE2E2F"/>
    <w:pPr>
      <w:numPr>
        <w:numId w:val="8"/>
      </w:numPr>
    </w:pPr>
  </w:style>
  <w:style w:type="numbering" w:customStyle="1" w:styleId="Style4">
    <w:name w:val="Style4"/>
    <w:uiPriority w:val="99"/>
    <w:rsid w:val="00FE2E2F"/>
    <w:pPr>
      <w:numPr>
        <w:numId w:val="9"/>
      </w:numPr>
    </w:pPr>
  </w:style>
  <w:style w:type="paragraph" w:customStyle="1" w:styleId="textonota40">
    <w:name w:val="texto nota 4"/>
    <w:basedOn w:val="Normal"/>
    <w:rsid w:val="00FE2E2F"/>
    <w:pPr>
      <w:ind w:left="1368"/>
      <w:jc w:val="both"/>
    </w:pPr>
    <w:rPr>
      <w:rFonts w:ascii="Arial" w:hAnsi="Arial" w:cs="Arial"/>
      <w:bCs/>
      <w:sz w:val="20"/>
      <w:lang w:val="en-US" w:eastAsia="en-US"/>
    </w:rPr>
  </w:style>
  <w:style w:type="paragraph" w:customStyle="1" w:styleId="EYNormalNotasParrafos">
    <w:name w:val="EY Normal Notas Parrafos"/>
    <w:basedOn w:val="Normal"/>
    <w:rsid w:val="00FE2E2F"/>
    <w:pPr>
      <w:spacing w:line="300" w:lineRule="exact"/>
      <w:ind w:left="567"/>
    </w:pPr>
    <w:rPr>
      <w:rFonts w:ascii="Arial" w:hAnsi="Arial" w:cs="Arial"/>
      <w:sz w:val="18"/>
      <w:szCs w:val="18"/>
      <w:lang w:val="en-US" w:eastAsia="en-US"/>
    </w:rPr>
  </w:style>
  <w:style w:type="character" w:customStyle="1" w:styleId="Sangra3detindependienteCar">
    <w:name w:val="Sangría 3 de t. independiente Car"/>
    <w:link w:val="Sangra3detindependiente"/>
    <w:rsid w:val="00FE2E2F"/>
    <w:rPr>
      <w:rFonts w:ascii="Book Antiqua" w:hAnsi="Book Antiqua"/>
      <w:sz w:val="24"/>
      <w:lang w:val="es-ES_tradnl"/>
    </w:rPr>
  </w:style>
  <w:style w:type="character" w:customStyle="1" w:styleId="FechaCar">
    <w:name w:val="Fecha Car"/>
    <w:link w:val="Fecha"/>
    <w:rsid w:val="00FE2E2F"/>
    <w:rPr>
      <w:rFonts w:ascii="Palatino" w:hAnsi="Palatino"/>
      <w:sz w:val="24"/>
      <w:lang w:val="es-AR"/>
    </w:rPr>
  </w:style>
  <w:style w:type="paragraph" w:customStyle="1" w:styleId="xl24">
    <w:name w:val="xl24"/>
    <w:basedOn w:val="Normal"/>
    <w:rsid w:val="00FE2E2F"/>
    <w:pPr>
      <w:spacing w:before="100" w:beforeAutospacing="1" w:after="100" w:afterAutospacing="1"/>
      <w:jc w:val="center"/>
    </w:pPr>
    <w:rPr>
      <w:rFonts w:ascii="Arial Unicode MS" w:eastAsia="Arial Unicode MS" w:hAnsi="Arial Unicode MS" w:cs="Arial Unicode MS"/>
      <w:szCs w:val="24"/>
      <w:lang w:val="en-US" w:eastAsia="en-US"/>
    </w:rPr>
  </w:style>
  <w:style w:type="paragraph" w:customStyle="1" w:styleId="Arial">
    <w:name w:val="Arial"/>
    <w:basedOn w:val="Normal"/>
    <w:rsid w:val="00FE2E2F"/>
    <w:pPr>
      <w:autoSpaceDE w:val="0"/>
      <w:autoSpaceDN w:val="0"/>
      <w:adjustRightInd w:val="0"/>
      <w:spacing w:before="120" w:after="20"/>
      <w:jc w:val="both"/>
    </w:pPr>
    <w:rPr>
      <w:rFonts w:ascii="Arial" w:hAnsi="Arial" w:cs="Arial"/>
      <w:i/>
      <w:color w:val="000000"/>
      <w:sz w:val="21"/>
      <w:szCs w:val="21"/>
      <w:lang w:eastAsia="en-US"/>
    </w:rPr>
  </w:style>
  <w:style w:type="paragraph" w:customStyle="1" w:styleId="Texto20">
    <w:name w:val="Texto 2"/>
    <w:basedOn w:val="Ttulo2"/>
    <w:rsid w:val="00FE2E2F"/>
    <w:pPr>
      <w:keepNext w:val="0"/>
      <w:widowControl w:val="0"/>
      <w:numPr>
        <w:ilvl w:val="1"/>
      </w:numPr>
      <w:ind w:left="720" w:right="0" w:hanging="70"/>
      <w:outlineLvl w:val="9"/>
    </w:pPr>
    <w:rPr>
      <w:b w:val="0"/>
      <w:caps w:val="0"/>
      <w:sz w:val="20"/>
      <w:lang w:val="es-ES_tradnl" w:eastAsia="en-US"/>
    </w:rPr>
  </w:style>
  <w:style w:type="paragraph" w:customStyle="1" w:styleId="Texto30">
    <w:name w:val="Texto 3"/>
    <w:basedOn w:val="Texto20"/>
    <w:rsid w:val="00FE2E2F"/>
    <w:pPr>
      <w:widowControl/>
      <w:numPr>
        <w:ilvl w:val="0"/>
      </w:numPr>
      <w:ind w:left="1512" w:hanging="70"/>
    </w:pPr>
    <w:rPr>
      <w:lang w:val="es-AR"/>
    </w:rPr>
  </w:style>
  <w:style w:type="character" w:styleId="Hipervnculovisitado">
    <w:name w:val="FollowedHyperlink"/>
    <w:rsid w:val="00FE2E2F"/>
    <w:rPr>
      <w:color w:val="800080"/>
      <w:u w:val="single"/>
    </w:rPr>
  </w:style>
  <w:style w:type="paragraph" w:customStyle="1" w:styleId="notaalpie">
    <w:name w:val="nota al pie"/>
    <w:basedOn w:val="Normal"/>
    <w:rsid w:val="00FE2E2F"/>
    <w:pPr>
      <w:jc w:val="both"/>
    </w:pPr>
    <w:rPr>
      <w:rFonts w:ascii="Arial" w:hAnsi="Arial"/>
      <w:sz w:val="20"/>
      <w:lang w:val="es-ES_tradnl" w:eastAsia="en-US"/>
    </w:rPr>
  </w:style>
  <w:style w:type="character" w:customStyle="1" w:styleId="EYNormalNotasLetrasChar1">
    <w:name w:val="EY Normal Notas Letras Char1"/>
    <w:rsid w:val="00FE2E2F"/>
    <w:rPr>
      <w:rFonts w:ascii="Arial" w:hAnsi="Arial" w:cs="Arial"/>
      <w:sz w:val="18"/>
      <w:szCs w:val="18"/>
      <w:lang w:val="en-US" w:eastAsia="es-ES" w:bidi="ar-SA"/>
    </w:rPr>
  </w:style>
  <w:style w:type="character" w:customStyle="1" w:styleId="EYNormalNotasParrafosChar">
    <w:name w:val="EY Normal Notas Parrafos Char"/>
    <w:rsid w:val="00FE2E2F"/>
    <w:rPr>
      <w:rFonts w:ascii="Arial" w:hAnsi="Arial" w:cs="Arial"/>
      <w:sz w:val="18"/>
      <w:szCs w:val="18"/>
      <w:lang w:val="en-US" w:eastAsia="es-ES" w:bidi="ar-SA"/>
    </w:rPr>
  </w:style>
  <w:style w:type="paragraph" w:customStyle="1" w:styleId="xl50">
    <w:name w:val="xl50"/>
    <w:basedOn w:val="Normal"/>
    <w:rsid w:val="00FE2E2F"/>
    <w:pPr>
      <w:spacing w:before="100" w:beforeAutospacing="1" w:after="100" w:afterAutospacing="1"/>
      <w:jc w:val="center"/>
    </w:pPr>
    <w:rPr>
      <w:rFonts w:ascii="Garamond" w:eastAsia="Arial Unicode MS" w:hAnsi="Garamond" w:cs="Arial Unicode MS"/>
      <w:b/>
      <w:bCs/>
      <w:sz w:val="18"/>
      <w:szCs w:val="18"/>
      <w:lang w:val="en-US" w:eastAsia="en-US"/>
    </w:rPr>
  </w:style>
  <w:style w:type="paragraph" w:customStyle="1" w:styleId="s7">
    <w:name w:val="s7"/>
    <w:basedOn w:val="Normal"/>
    <w:rsid w:val="00FE2E2F"/>
    <w:pPr>
      <w:ind w:firstLine="851"/>
      <w:jc w:val="both"/>
    </w:pPr>
    <w:rPr>
      <w:rFonts w:ascii="Arial" w:hAnsi="Arial" w:cs="Arial"/>
      <w:sz w:val="20"/>
      <w:lang w:val="en-US" w:eastAsia="en-US"/>
    </w:rPr>
  </w:style>
  <w:style w:type="paragraph" w:customStyle="1" w:styleId="s23">
    <w:name w:val="s23"/>
    <w:basedOn w:val="Normal"/>
    <w:rsid w:val="00FE2E2F"/>
    <w:pPr>
      <w:ind w:firstLine="567"/>
      <w:jc w:val="both"/>
    </w:pPr>
    <w:rPr>
      <w:rFonts w:ascii="Times New Roman" w:hAnsi="Times New Roman"/>
      <w:szCs w:val="24"/>
      <w:lang w:val="en-US" w:eastAsia="en-US"/>
    </w:rPr>
  </w:style>
  <w:style w:type="paragraph" w:customStyle="1" w:styleId="s24">
    <w:name w:val="s24"/>
    <w:basedOn w:val="Normal"/>
    <w:rsid w:val="00FE2E2F"/>
    <w:pPr>
      <w:ind w:firstLine="851"/>
      <w:jc w:val="both"/>
    </w:pPr>
    <w:rPr>
      <w:rFonts w:ascii="Times New Roman" w:hAnsi="Times New Roman"/>
      <w:szCs w:val="24"/>
      <w:lang w:val="en-US" w:eastAsia="en-US"/>
    </w:rPr>
  </w:style>
  <w:style w:type="paragraph" w:customStyle="1" w:styleId="s3">
    <w:name w:val="s3"/>
    <w:basedOn w:val="Normal"/>
    <w:rsid w:val="00FE2E2F"/>
    <w:pPr>
      <w:jc w:val="both"/>
    </w:pPr>
    <w:rPr>
      <w:rFonts w:ascii="Arial" w:hAnsi="Arial" w:cs="Arial"/>
      <w:sz w:val="20"/>
      <w:lang w:val="en-US" w:eastAsia="en-US"/>
    </w:rPr>
  </w:style>
  <w:style w:type="paragraph" w:customStyle="1" w:styleId="s9">
    <w:name w:val="s9"/>
    <w:basedOn w:val="Normal"/>
    <w:rsid w:val="00FE2E2F"/>
    <w:pPr>
      <w:ind w:firstLine="1134"/>
      <w:jc w:val="both"/>
    </w:pPr>
    <w:rPr>
      <w:rFonts w:ascii="Arial" w:hAnsi="Arial" w:cs="Arial"/>
      <w:sz w:val="20"/>
      <w:lang w:val="en-US" w:eastAsia="en-US"/>
    </w:rPr>
  </w:style>
  <w:style w:type="paragraph" w:customStyle="1" w:styleId="s10">
    <w:name w:val="s10"/>
    <w:basedOn w:val="Normal"/>
    <w:rsid w:val="00FE2E2F"/>
    <w:pPr>
      <w:ind w:firstLine="1134"/>
    </w:pPr>
    <w:rPr>
      <w:rFonts w:ascii="Arial" w:hAnsi="Arial" w:cs="Arial"/>
      <w:sz w:val="20"/>
      <w:lang w:val="en-US" w:eastAsia="en-US"/>
    </w:rPr>
  </w:style>
  <w:style w:type="paragraph" w:customStyle="1" w:styleId="s25">
    <w:name w:val="s25"/>
    <w:basedOn w:val="Normal"/>
    <w:rsid w:val="00FE2E2F"/>
    <w:pPr>
      <w:ind w:firstLine="1134"/>
      <w:jc w:val="both"/>
    </w:pPr>
    <w:rPr>
      <w:rFonts w:ascii="Times New Roman" w:hAnsi="Times New Roman"/>
      <w:szCs w:val="24"/>
      <w:lang w:val="en-US" w:eastAsia="en-US"/>
    </w:rPr>
  </w:style>
  <w:style w:type="paragraph" w:customStyle="1" w:styleId="s8">
    <w:name w:val="s8"/>
    <w:basedOn w:val="Normal"/>
    <w:rsid w:val="00FE2E2F"/>
    <w:pPr>
      <w:ind w:firstLine="851"/>
    </w:pPr>
    <w:rPr>
      <w:rFonts w:ascii="Arial" w:hAnsi="Arial" w:cs="Arial"/>
      <w:sz w:val="20"/>
      <w:lang w:val="en-US" w:eastAsia="en-US"/>
    </w:rPr>
  </w:style>
  <w:style w:type="paragraph" w:customStyle="1" w:styleId="DefinitionTerm">
    <w:name w:val="Definition Term"/>
    <w:basedOn w:val="Normal"/>
    <w:next w:val="Normal"/>
    <w:rsid w:val="00FE2E2F"/>
    <w:rPr>
      <w:rFonts w:ascii="Times New Roman" w:hAnsi="Times New Roman"/>
      <w:snapToGrid w:val="0"/>
      <w:lang w:eastAsia="en-US"/>
    </w:rPr>
  </w:style>
  <w:style w:type="paragraph" w:customStyle="1" w:styleId="EYNormalNotasTitulos">
    <w:name w:val="EY Normal Notas Titulos"/>
    <w:basedOn w:val="EYNormalTexto"/>
    <w:rsid w:val="00FE2E2F"/>
    <w:pPr>
      <w:ind w:left="567" w:hanging="567"/>
    </w:pPr>
    <w:rPr>
      <w:b/>
    </w:rPr>
  </w:style>
  <w:style w:type="paragraph" w:customStyle="1" w:styleId="EYNormalTexto">
    <w:name w:val="EY Normal Texto"/>
    <w:basedOn w:val="Normal"/>
    <w:rsid w:val="00FE2E2F"/>
    <w:pPr>
      <w:spacing w:line="300" w:lineRule="exact"/>
    </w:pPr>
    <w:rPr>
      <w:rFonts w:ascii="Arial" w:hAnsi="Arial"/>
      <w:sz w:val="18"/>
      <w:lang w:val="en-US" w:eastAsia="en-US"/>
    </w:rPr>
  </w:style>
  <w:style w:type="paragraph" w:customStyle="1" w:styleId="EYTituloColumna">
    <w:name w:val="EY Titulo Columna"/>
    <w:basedOn w:val="EYNormalTexto"/>
    <w:rsid w:val="00FE2E2F"/>
    <w:pPr>
      <w:spacing w:line="240" w:lineRule="exact"/>
      <w:jc w:val="center"/>
    </w:pPr>
    <w:rPr>
      <w:b/>
    </w:rPr>
  </w:style>
  <w:style w:type="paragraph" w:customStyle="1" w:styleId="EYTituloMoneda">
    <w:name w:val="EY Titulo Moneda"/>
    <w:basedOn w:val="EYNormalTexto"/>
    <w:rsid w:val="00FE2E2F"/>
    <w:pPr>
      <w:spacing w:line="200" w:lineRule="exact"/>
      <w:jc w:val="center"/>
    </w:pPr>
    <w:rPr>
      <w:sz w:val="16"/>
    </w:rPr>
  </w:style>
  <w:style w:type="paragraph" w:customStyle="1" w:styleId="EYLineaColumnas">
    <w:name w:val="EY Linea Columnas"/>
    <w:basedOn w:val="Normal"/>
    <w:rsid w:val="00FE2E2F"/>
    <w:pPr>
      <w:spacing w:line="60" w:lineRule="exact"/>
      <w:jc w:val="center"/>
    </w:pPr>
    <w:rPr>
      <w:rFonts w:ascii="Arial" w:hAnsi="Arial"/>
      <w:b/>
      <w:position w:val="4"/>
      <w:sz w:val="18"/>
      <w:lang w:val="en-US" w:eastAsia="en-US"/>
    </w:rPr>
  </w:style>
  <w:style w:type="character" w:customStyle="1" w:styleId="EYNormalNotasTitulosChar">
    <w:name w:val="EY Normal Notas Titulos Char"/>
    <w:rsid w:val="00FE2E2F"/>
    <w:rPr>
      <w:rFonts w:ascii="Arial" w:hAnsi="Arial"/>
      <w:b/>
      <w:sz w:val="18"/>
      <w:lang w:val="en-US" w:eastAsia="es-ES" w:bidi="ar-SA"/>
    </w:rPr>
  </w:style>
  <w:style w:type="character" w:customStyle="1" w:styleId="EYNormalNotasLetrasChar">
    <w:name w:val="EY Normal Notas Letras Char"/>
    <w:rsid w:val="00FE2E2F"/>
    <w:rPr>
      <w:rFonts w:ascii="Arial" w:hAnsi="Arial" w:cs="Arial"/>
      <w:sz w:val="18"/>
      <w:szCs w:val="18"/>
      <w:lang w:val="en-US" w:eastAsia="es-ES" w:bidi="ar-SA"/>
    </w:rPr>
  </w:style>
  <w:style w:type="character" w:customStyle="1" w:styleId="CarCar">
    <w:name w:val="Car Car"/>
    <w:rsid w:val="00FE2E2F"/>
    <w:rPr>
      <w:sz w:val="24"/>
      <w:szCs w:val="24"/>
      <w:lang w:val="es-AR" w:eastAsia="es-ES" w:bidi="ar-SA"/>
    </w:rPr>
  </w:style>
  <w:style w:type="character" w:customStyle="1" w:styleId="hps">
    <w:name w:val="hps"/>
    <w:rsid w:val="00FE2E2F"/>
  </w:style>
  <w:style w:type="character" w:customStyle="1" w:styleId="gt-icon-text1">
    <w:name w:val="gt-icon-text1"/>
    <w:rsid w:val="00FE2E2F"/>
  </w:style>
  <w:style w:type="character" w:customStyle="1" w:styleId="atn">
    <w:name w:val="atn"/>
    <w:rsid w:val="00FE2E2F"/>
  </w:style>
  <w:style w:type="paragraph" w:customStyle="1" w:styleId="Textoinfaud0">
    <w:name w:val="Texto inf.aud."/>
    <w:basedOn w:val="Normal"/>
    <w:qFormat/>
    <w:rsid w:val="00FE2E2F"/>
    <w:pPr>
      <w:tabs>
        <w:tab w:val="left" w:pos="720"/>
        <w:tab w:val="left" w:pos="1080"/>
      </w:tabs>
      <w:spacing w:line="360" w:lineRule="auto"/>
      <w:jc w:val="both"/>
    </w:pPr>
    <w:rPr>
      <w:rFonts w:ascii="Arial" w:eastAsia="Calibri" w:hAnsi="Arial" w:cs="Arial"/>
      <w:sz w:val="20"/>
      <w:lang w:eastAsia="en-US"/>
    </w:rPr>
  </w:style>
  <w:style w:type="character" w:customStyle="1" w:styleId="bodytextCar">
    <w:name w:val="body text Car"/>
    <w:aliases w:val="bt Car,Texto independienteR Car Car"/>
    <w:rsid w:val="00FE2E2F"/>
    <w:rPr>
      <w:rFonts w:ascii="Arial" w:hAnsi="Arial" w:cs="Arial"/>
      <w:lang w:val="es-AR" w:eastAsia="es-ES" w:bidi="ar-SA"/>
    </w:rPr>
  </w:style>
  <w:style w:type="paragraph" w:customStyle="1" w:styleId="TitleLItalics">
    <w:name w:val="Title L Italics"/>
    <w:basedOn w:val="Normal"/>
    <w:semiHidden/>
    <w:rsid w:val="00FE2E2F"/>
    <w:pPr>
      <w:keepNext/>
      <w:spacing w:after="240"/>
    </w:pPr>
    <w:rPr>
      <w:rFonts w:ascii="Times New Roman" w:hAnsi="Times New Roman"/>
      <w:i/>
      <w:sz w:val="20"/>
      <w:lang w:val="en-US" w:eastAsia="en-US"/>
    </w:rPr>
  </w:style>
  <w:style w:type="character" w:customStyle="1" w:styleId="s1910">
    <w:name w:val="s1910"/>
    <w:rsid w:val="00FE2E2F"/>
    <w:rPr>
      <w:rFonts w:ascii="Arial" w:hAnsi="Arial" w:cs="Arial" w:hint="default"/>
      <w:sz w:val="20"/>
      <w:szCs w:val="20"/>
    </w:rPr>
  </w:style>
  <w:style w:type="paragraph" w:customStyle="1" w:styleId="TableParagraph">
    <w:name w:val="Table Paragraph"/>
    <w:uiPriority w:val="99"/>
    <w:rsid w:val="00FE2E2F"/>
    <w:pPr>
      <w:widowControl w:val="0"/>
      <w:autoSpaceDE w:val="0"/>
      <w:autoSpaceDN w:val="0"/>
      <w:adjustRightInd w:val="0"/>
    </w:pPr>
    <w:rPr>
      <w:rFonts w:ascii="Times New Roman" w:hAnsi="Times New Roman"/>
      <w:sz w:val="24"/>
      <w:szCs w:val="24"/>
      <w:lang w:val="es-AR" w:eastAsia="en-US"/>
    </w:rPr>
  </w:style>
  <w:style w:type="paragraph" w:customStyle="1" w:styleId="Style">
    <w:name w:val="Style"/>
    <w:next w:val="Normal"/>
    <w:uiPriority w:val="99"/>
    <w:rsid w:val="00FE2E2F"/>
    <w:pPr>
      <w:widowControl w:val="0"/>
      <w:autoSpaceDE w:val="0"/>
      <w:autoSpaceDN w:val="0"/>
      <w:adjustRightInd w:val="0"/>
    </w:pPr>
    <w:rPr>
      <w:rFonts w:ascii="Times New Roman" w:hAnsi="Times New Roman"/>
      <w:sz w:val="24"/>
      <w:szCs w:val="24"/>
      <w:lang w:val="es-AR" w:eastAsia="en-US"/>
    </w:rPr>
  </w:style>
  <w:style w:type="character" w:customStyle="1" w:styleId="Ttulo1Car">
    <w:name w:val="Título 1 Car"/>
    <w:uiPriority w:val="99"/>
    <w:rsid w:val="00FE2E2F"/>
    <w:rPr>
      <w:rFonts w:ascii="Calibri Light" w:hAnsi="Calibri Light"/>
      <w:b/>
      <w:sz w:val="32"/>
    </w:rPr>
  </w:style>
  <w:style w:type="paragraph" w:customStyle="1" w:styleId="Estilo">
    <w:name w:val="Estilo"/>
    <w:next w:val="Normal"/>
    <w:uiPriority w:val="99"/>
    <w:rsid w:val="00FE2E2F"/>
    <w:pPr>
      <w:widowControl w:val="0"/>
      <w:autoSpaceDE w:val="0"/>
      <w:autoSpaceDN w:val="0"/>
      <w:adjustRightInd w:val="0"/>
    </w:pPr>
    <w:rPr>
      <w:rFonts w:ascii="Times New Roman" w:hAnsi="Times New Roman"/>
      <w:sz w:val="24"/>
      <w:szCs w:val="24"/>
      <w:lang w:val="es-AR" w:eastAsia="en-US"/>
    </w:rPr>
  </w:style>
  <w:style w:type="character" w:customStyle="1" w:styleId="TextoindependienteCar">
    <w:name w:val="Texto independiente Car"/>
    <w:uiPriority w:val="99"/>
    <w:rsid w:val="00FE2E2F"/>
  </w:style>
  <w:style w:type="character" w:customStyle="1" w:styleId="Relacinconanexos">
    <w:name w:val="Relación con anexos"/>
    <w:uiPriority w:val="99"/>
    <w:rsid w:val="00FE2E2F"/>
    <w:rPr>
      <w:rFonts w:ascii="Arial" w:hAnsi="Arial"/>
      <w:b/>
      <w:i/>
      <w:color w:val="008000"/>
      <w:sz w:val="20"/>
      <w:u w:val="single"/>
    </w:rPr>
  </w:style>
  <w:style w:type="paragraph" w:customStyle="1" w:styleId="Nmerodepginahorizontal">
    <w:name w:val="Número de página horizontal"/>
    <w:qFormat/>
    <w:rsid w:val="00FE2E2F"/>
    <w:pPr>
      <w:tabs>
        <w:tab w:val="center" w:pos="6804"/>
        <w:tab w:val="right" w:pos="13608"/>
      </w:tabs>
    </w:pPr>
    <w:rPr>
      <w:rFonts w:ascii="Times New Roman" w:hAnsi="Times New Roman"/>
      <w:szCs w:val="24"/>
      <w:lang w:val="es-VE" w:eastAsia="en-US"/>
    </w:rPr>
  </w:style>
  <w:style w:type="paragraph" w:customStyle="1" w:styleId="Prrafo192p0">
    <w:name w:val="Párrafo 1.92 p/0"/>
    <w:qFormat/>
    <w:rsid w:val="00FE2E2F"/>
    <w:pPr>
      <w:ind w:left="1089"/>
      <w:jc w:val="both"/>
    </w:pPr>
    <w:rPr>
      <w:rFonts w:ascii="Times New Roman" w:hAnsi="Times New Roman"/>
      <w:noProof/>
      <w:szCs w:val="22"/>
      <w:lang w:val="es-VE" w:eastAsia="es-VE"/>
    </w:rPr>
  </w:style>
  <w:style w:type="paragraph" w:customStyle="1" w:styleId="Prrafo192p10">
    <w:name w:val="Párrafo 1.92 p/10"/>
    <w:qFormat/>
    <w:rsid w:val="00FE2E2F"/>
    <w:pPr>
      <w:spacing w:after="140"/>
      <w:ind w:left="1089"/>
      <w:jc w:val="both"/>
    </w:pPr>
    <w:rPr>
      <w:rFonts w:ascii="Times New Roman" w:hAnsi="Times New Roman"/>
      <w:szCs w:val="22"/>
      <w:lang w:val="es-MX" w:eastAsia="en-US"/>
    </w:rPr>
  </w:style>
  <w:style w:type="paragraph" w:customStyle="1" w:styleId="Prrafo192p7">
    <w:name w:val="Párrafo 1.92 p/7"/>
    <w:link w:val="Prrafo192p7Car"/>
    <w:qFormat/>
    <w:rsid w:val="00FE2E2F"/>
    <w:pPr>
      <w:spacing w:after="100"/>
      <w:ind w:left="1089"/>
      <w:jc w:val="both"/>
    </w:pPr>
    <w:rPr>
      <w:rFonts w:ascii="Times New Roman" w:hAnsi="Times New Roman"/>
      <w:noProof/>
      <w:szCs w:val="22"/>
      <w:lang w:val="es-VE" w:eastAsia="es-VE"/>
    </w:rPr>
  </w:style>
  <w:style w:type="paragraph" w:customStyle="1" w:styleId="PrrafoHoriz192p0">
    <w:name w:val="Párrafo Horiz 1.92 p/0"/>
    <w:qFormat/>
    <w:rsid w:val="00FE2E2F"/>
    <w:pPr>
      <w:ind w:left="1089" w:right="3566"/>
      <w:jc w:val="both"/>
    </w:pPr>
    <w:rPr>
      <w:rFonts w:ascii="Times New Roman" w:hAnsi="Times New Roman"/>
      <w:szCs w:val="24"/>
      <w:lang w:val="es-VE"/>
    </w:rPr>
  </w:style>
  <w:style w:type="character" w:customStyle="1" w:styleId="Prrafo192p7Car">
    <w:name w:val="Párrafo 1.92 p/7 Car"/>
    <w:link w:val="Prrafo192p7"/>
    <w:locked/>
    <w:rsid w:val="00FE2E2F"/>
    <w:rPr>
      <w:rFonts w:ascii="Times New Roman" w:hAnsi="Times New Roman"/>
      <w:noProof/>
      <w:szCs w:val="22"/>
      <w:lang w:val="es-VE" w:eastAsia="es-VE"/>
    </w:rPr>
  </w:style>
  <w:style w:type="paragraph" w:customStyle="1" w:styleId="Textonotaalfinal1">
    <w:name w:val="Texto nota al final1"/>
    <w:basedOn w:val="Normal"/>
    <w:rsid w:val="006208EF"/>
    <w:pPr>
      <w:tabs>
        <w:tab w:val="right" w:pos="7920"/>
        <w:tab w:val="right" w:pos="9720"/>
      </w:tabs>
      <w:jc w:val="both"/>
    </w:pPr>
    <w:rPr>
      <w:rFonts w:ascii="New York" w:hAnsi="New York"/>
      <w:sz w:val="20"/>
      <w:lang w:eastAsia="en-US"/>
    </w:rPr>
  </w:style>
  <w:style w:type="paragraph" w:customStyle="1" w:styleId="titpagina">
    <w:name w:val="titpagina"/>
    <w:basedOn w:val="TDC5"/>
    <w:link w:val="titpaginaCar"/>
    <w:qFormat/>
    <w:rsid w:val="00FF1392"/>
    <w:pPr>
      <w:suppressAutoHyphens/>
      <w:spacing w:before="60" w:after="0"/>
      <w:ind w:left="431" w:hanging="431"/>
      <w:jc w:val="both"/>
    </w:pPr>
    <w:rPr>
      <w:rFonts w:ascii="Stag Sans Light" w:hAnsi="Stag Sans Light" w:cs="Arial"/>
      <w:b/>
      <w:color w:val="1F497D" w:themeColor="text2"/>
      <w:sz w:val="36"/>
      <w:szCs w:val="24"/>
      <w:lang w:val="es-ES" w:eastAsia="ar-SA"/>
    </w:rPr>
  </w:style>
  <w:style w:type="character" w:customStyle="1" w:styleId="titpaginaCar">
    <w:name w:val="titpagina Car"/>
    <w:basedOn w:val="Fuentedeprrafopredeter"/>
    <w:link w:val="titpagina"/>
    <w:rsid w:val="00FF1392"/>
    <w:rPr>
      <w:rFonts w:ascii="Stag Sans Light" w:hAnsi="Stag Sans Light" w:cs="Arial"/>
      <w:b/>
      <w:color w:val="1F497D" w:themeColor="text2"/>
      <w:sz w:val="36"/>
      <w:szCs w:val="24"/>
      <w:lang w:eastAsia="ar-SA"/>
    </w:rPr>
  </w:style>
  <w:style w:type="character" w:customStyle="1" w:styleId="textoCar">
    <w:name w:val="texto Car"/>
    <w:basedOn w:val="Fuentedeprrafopredeter"/>
    <w:link w:val="texto"/>
    <w:rsid w:val="00FF1392"/>
    <w:rPr>
      <w:rFonts w:ascii="Book Antiqua" w:hAnsi="Book Antiqua"/>
      <w:lang w:val="es-ES_tradnl"/>
    </w:rPr>
  </w:style>
  <w:style w:type="paragraph" w:customStyle="1" w:styleId="Prrafo1">
    <w:name w:val="Párrafo_1"/>
    <w:basedOn w:val="Normal"/>
    <w:link w:val="Prrafo1Char"/>
    <w:qFormat/>
    <w:rsid w:val="00FF1392"/>
    <w:pPr>
      <w:spacing w:before="240"/>
      <w:jc w:val="both"/>
    </w:pPr>
    <w:rPr>
      <w:rFonts w:ascii="Stag Sans Light" w:eastAsia="Batang" w:hAnsi="Stag Sans Light" w:cs="Times"/>
      <w:color w:val="474B50"/>
      <w:sz w:val="20"/>
      <w:szCs w:val="24"/>
      <w:lang w:val="es-ES_tradnl" w:eastAsia="ko-KR"/>
    </w:rPr>
  </w:style>
  <w:style w:type="character" w:customStyle="1" w:styleId="Prrafo1Char">
    <w:name w:val="Párrafo_1 Char"/>
    <w:basedOn w:val="Fuentedeprrafopredeter"/>
    <w:link w:val="Prrafo1"/>
    <w:rsid w:val="00FF1392"/>
    <w:rPr>
      <w:rFonts w:ascii="Stag Sans Light" w:eastAsia="Batang" w:hAnsi="Stag Sans Light" w:cs="Times"/>
      <w:color w:val="474B50"/>
      <w:szCs w:val="24"/>
      <w:lang w:val="es-ES_tradnl" w:eastAsia="ko-KR"/>
    </w:rPr>
  </w:style>
  <w:style w:type="paragraph" w:styleId="TDC5">
    <w:name w:val="toc 5"/>
    <w:basedOn w:val="Normal"/>
    <w:next w:val="Normal"/>
    <w:autoRedefine/>
    <w:semiHidden/>
    <w:unhideWhenUsed/>
    <w:rsid w:val="00FF1392"/>
    <w:pPr>
      <w:spacing w:after="100"/>
      <w:ind w:left="960"/>
    </w:pPr>
  </w:style>
  <w:style w:type="paragraph" w:customStyle="1" w:styleId="textodestaque">
    <w:name w:val="textodestaque"/>
    <w:basedOn w:val="texto"/>
    <w:link w:val="textodestaqueCar"/>
    <w:qFormat/>
    <w:rsid w:val="00DF5228"/>
    <w:pPr>
      <w:numPr>
        <w:numId w:val="17"/>
      </w:numPr>
      <w:suppressAutoHyphens/>
      <w:autoSpaceDE w:val="0"/>
      <w:autoSpaceDN w:val="0"/>
      <w:adjustRightInd w:val="0"/>
      <w:spacing w:line="276" w:lineRule="auto"/>
    </w:pPr>
    <w:rPr>
      <w:rFonts w:ascii="BBVA Office Book" w:hAnsi="BBVA Office Book" w:cs="Calibri"/>
      <w:color w:val="365F91" w:themeColor="accent1" w:themeShade="BF"/>
      <w:sz w:val="23"/>
      <w:lang w:eastAsia="ar-SA"/>
    </w:rPr>
  </w:style>
  <w:style w:type="character" w:customStyle="1" w:styleId="textodestaqueCar">
    <w:name w:val="textodestaque Car"/>
    <w:basedOn w:val="textoCar"/>
    <w:link w:val="textodestaque"/>
    <w:rsid w:val="00DF5228"/>
    <w:rPr>
      <w:rFonts w:ascii="BBVA Office Book" w:hAnsi="BBVA Office Book" w:cs="Calibri"/>
      <w:color w:val="365F91" w:themeColor="accent1" w:themeShade="BF"/>
      <w:sz w:val="23"/>
      <w:lang w:val="es-ES_tradnl" w:eastAsia="ar-SA"/>
    </w:rPr>
  </w:style>
  <w:style w:type="paragraph" w:customStyle="1" w:styleId="BbvaWeb1">
    <w:name w:val="Bbva_Web_1"/>
    <w:basedOn w:val="Prrafodelista"/>
    <w:link w:val="BbvaWeb1Car"/>
    <w:qFormat/>
    <w:rsid w:val="00DF5228"/>
    <w:pPr>
      <w:numPr>
        <w:numId w:val="18"/>
      </w:numPr>
      <w:suppressAutoHyphens/>
      <w:spacing w:before="120" w:after="60"/>
      <w:contextualSpacing/>
      <w:jc w:val="both"/>
    </w:pPr>
    <w:rPr>
      <w:rFonts w:ascii="Stag Sans Light" w:hAnsi="Stag Sans Light" w:cs="Arial"/>
      <w:color w:val="548DD4" w:themeColor="text2" w:themeTint="99"/>
      <w:sz w:val="36"/>
      <w:szCs w:val="36"/>
      <w:lang w:eastAsia="ar-SA"/>
    </w:rPr>
  </w:style>
  <w:style w:type="paragraph" w:customStyle="1" w:styleId="BbvaWeb2">
    <w:name w:val="Bbva_Web_2"/>
    <w:basedOn w:val="BbvaWeb1"/>
    <w:next w:val="Normal"/>
    <w:link w:val="BbvaWeb2Car"/>
    <w:qFormat/>
    <w:rsid w:val="00DF5228"/>
    <w:pPr>
      <w:numPr>
        <w:ilvl w:val="1"/>
      </w:numPr>
    </w:pPr>
  </w:style>
  <w:style w:type="character" w:customStyle="1" w:styleId="BbvaWeb1Car">
    <w:name w:val="Bbva_Web_1 Car"/>
    <w:basedOn w:val="PrrafodelistaCar"/>
    <w:link w:val="BbvaWeb1"/>
    <w:rsid w:val="00DF5228"/>
    <w:rPr>
      <w:rFonts w:ascii="Stag Sans Light" w:hAnsi="Stag Sans Light" w:cs="Arial"/>
      <w:color w:val="548DD4" w:themeColor="text2" w:themeTint="99"/>
      <w:sz w:val="36"/>
      <w:szCs w:val="36"/>
      <w:lang w:val="en-US" w:eastAsia="ar-SA"/>
    </w:rPr>
  </w:style>
  <w:style w:type="character" w:customStyle="1" w:styleId="BbvaWeb2Car">
    <w:name w:val="Bbva_Web_2 Car"/>
    <w:basedOn w:val="BbvaWeb1Car"/>
    <w:link w:val="BbvaWeb2"/>
    <w:rsid w:val="00DF5228"/>
    <w:rPr>
      <w:rFonts w:ascii="Stag Sans Light" w:hAnsi="Stag Sans Light" w:cs="Arial"/>
      <w:color w:val="548DD4" w:themeColor="text2" w:themeTint="99"/>
      <w:sz w:val="36"/>
      <w:szCs w:val="36"/>
      <w:lang w:val="en-US" w:eastAsia="ar-SA"/>
    </w:rPr>
  </w:style>
  <w:style w:type="paragraph" w:customStyle="1" w:styleId="Estilo3">
    <w:name w:val="Estilo3"/>
    <w:basedOn w:val="BbvaWeb2"/>
    <w:next w:val="Normal"/>
    <w:qFormat/>
    <w:rsid w:val="00DF5228"/>
    <w:pPr>
      <w:numPr>
        <w:ilvl w:val="2"/>
      </w:numPr>
      <w:ind w:left="0" w:firstLine="0"/>
      <w:jc w:val="left"/>
    </w:pPr>
  </w:style>
  <w:style w:type="paragraph" w:styleId="Listaconnmeros">
    <w:name w:val="List Number"/>
    <w:basedOn w:val="Normal"/>
    <w:rsid w:val="0066325F"/>
    <w:pPr>
      <w:numPr>
        <w:numId w:val="25"/>
      </w:numPr>
      <w:tabs>
        <w:tab w:val="clear" w:pos="360"/>
        <w:tab w:val="left" w:pos="284"/>
        <w:tab w:val="left" w:pos="1134"/>
      </w:tabs>
      <w:spacing w:line="280" w:lineRule="atLeast"/>
      <w:ind w:left="284" w:hanging="284"/>
    </w:pPr>
    <w:rPr>
      <w:rFonts w:ascii="Times New Roman" w:hAnsi="Times New Roman"/>
      <w:sz w:val="22"/>
      <w:lang w:eastAsia="en-US"/>
    </w:rPr>
  </w:style>
  <w:style w:type="character" w:customStyle="1" w:styleId="tl8wme">
    <w:name w:val="tl8wme"/>
    <w:basedOn w:val="Fuentedeprrafopredeter"/>
    <w:rsid w:val="00C6218E"/>
  </w:style>
  <w:style w:type="paragraph" w:customStyle="1" w:styleId="EndnoteText2">
    <w:name w:val="Endnote Text2"/>
    <w:basedOn w:val="Normal"/>
    <w:rsid w:val="00E2117F"/>
    <w:pPr>
      <w:tabs>
        <w:tab w:val="right" w:pos="7920"/>
        <w:tab w:val="right" w:pos="9720"/>
      </w:tabs>
      <w:jc w:val="both"/>
    </w:pPr>
    <w:rPr>
      <w:rFonts w:ascii="New York" w:hAnsi="New York"/>
      <w:sz w:val="20"/>
      <w:lang w:eastAsia="en-US"/>
    </w:rPr>
  </w:style>
  <w:style w:type="paragraph" w:customStyle="1" w:styleId="Bullets0">
    <w:name w:val="Bullets_0"/>
    <w:basedOn w:val="Normal"/>
    <w:qFormat/>
    <w:rsid w:val="004872C4"/>
    <w:pPr>
      <w:numPr>
        <w:numId w:val="33"/>
      </w:numPr>
      <w:spacing w:after="120" w:line="276" w:lineRule="auto"/>
    </w:pPr>
    <w:rPr>
      <w:rFonts w:ascii="BBVABentonSansLight" w:eastAsia="BBVABentonSansLight" w:hAnsi="BBVABentonSansLight"/>
      <w:color w:val="000000"/>
      <w:sz w:val="20"/>
      <w:lang w:val="es-ES" w:eastAsia="en-US"/>
    </w:rPr>
  </w:style>
  <w:style w:type="paragraph" w:customStyle="1" w:styleId="Normal60">
    <w:name w:val="Normal_6_0"/>
    <w:qFormat/>
    <w:rsid w:val="004872C4"/>
    <w:pPr>
      <w:spacing w:after="200" w:line="276" w:lineRule="auto"/>
      <w:jc w:val="both"/>
    </w:pPr>
    <w:rPr>
      <w:rFonts w:ascii="BBVABentonSansLight" w:eastAsia="BBVABentonSansLight" w:hAnsi="BBVABentonSansLight"/>
      <w:lang w:eastAsia="en-US"/>
    </w:rPr>
  </w:style>
  <w:style w:type="paragraph" w:customStyle="1" w:styleId="Notas">
    <w:name w:val="Notas"/>
    <w:basedOn w:val="Normal"/>
    <w:qFormat/>
    <w:rsid w:val="004D0870"/>
    <w:pPr>
      <w:tabs>
        <w:tab w:val="right" w:pos="7920"/>
        <w:tab w:val="right" w:pos="9720"/>
      </w:tabs>
      <w:spacing w:before="120" w:after="120" w:line="240" w:lineRule="exact"/>
      <w:jc w:val="both"/>
    </w:pPr>
    <w:rPr>
      <w:rFonts w:ascii="Arial Narrow" w:hAnsi="Arial Narrow"/>
      <w:color w:val="000000"/>
      <w:sz w:val="20"/>
      <w:u w:val="single"/>
      <w:lang w:eastAsia="en-US"/>
    </w:rPr>
  </w:style>
  <w:style w:type="character" w:customStyle="1" w:styleId="tlid-translation">
    <w:name w:val="tlid-translation"/>
    <w:rsid w:val="008B63BA"/>
  </w:style>
  <w:style w:type="character" w:customStyle="1" w:styleId="viiyi">
    <w:name w:val="viiyi"/>
    <w:basedOn w:val="Fuentedeprrafopredeter"/>
    <w:rsid w:val="009665D9"/>
  </w:style>
  <w:style w:type="character" w:customStyle="1" w:styleId="jlqj4b">
    <w:name w:val="jlqj4b"/>
    <w:basedOn w:val="Fuentedeprrafopredeter"/>
    <w:rsid w:val="009665D9"/>
  </w:style>
  <w:style w:type="character" w:customStyle="1" w:styleId="wlul0c">
    <w:name w:val="wlul0c"/>
    <w:basedOn w:val="Fuentedeprrafopredeter"/>
    <w:rsid w:val="00502A1B"/>
  </w:style>
  <w:style w:type="table" w:styleId="Tabladecuadrcula5oscura-nfasis5">
    <w:name w:val="Grid Table 5 Dark Accent 5"/>
    <w:basedOn w:val="Tablanormal"/>
    <w:uiPriority w:val="50"/>
    <w:rsid w:val="00F87FCA"/>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WW-Textoindependiente2">
    <w:name w:val="WW-Texto independiente 2"/>
    <w:basedOn w:val="Normal"/>
    <w:rsid w:val="00B65573"/>
    <w:pPr>
      <w:suppressAutoHyphens/>
      <w:jc w:val="center"/>
    </w:pPr>
    <w:rPr>
      <w:rFonts w:ascii="Arial" w:hAnsi="Arial"/>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958">
      <w:bodyDiv w:val="1"/>
      <w:marLeft w:val="0"/>
      <w:marRight w:val="0"/>
      <w:marTop w:val="0"/>
      <w:marBottom w:val="0"/>
      <w:divBdr>
        <w:top w:val="none" w:sz="0" w:space="0" w:color="auto"/>
        <w:left w:val="none" w:sz="0" w:space="0" w:color="auto"/>
        <w:bottom w:val="none" w:sz="0" w:space="0" w:color="auto"/>
        <w:right w:val="none" w:sz="0" w:space="0" w:color="auto"/>
      </w:divBdr>
    </w:div>
    <w:div w:id="2904884">
      <w:bodyDiv w:val="1"/>
      <w:marLeft w:val="0"/>
      <w:marRight w:val="0"/>
      <w:marTop w:val="0"/>
      <w:marBottom w:val="0"/>
      <w:divBdr>
        <w:top w:val="none" w:sz="0" w:space="0" w:color="auto"/>
        <w:left w:val="none" w:sz="0" w:space="0" w:color="auto"/>
        <w:bottom w:val="none" w:sz="0" w:space="0" w:color="auto"/>
        <w:right w:val="none" w:sz="0" w:space="0" w:color="auto"/>
      </w:divBdr>
    </w:div>
    <w:div w:id="4523691">
      <w:bodyDiv w:val="1"/>
      <w:marLeft w:val="0"/>
      <w:marRight w:val="0"/>
      <w:marTop w:val="0"/>
      <w:marBottom w:val="0"/>
      <w:divBdr>
        <w:top w:val="none" w:sz="0" w:space="0" w:color="auto"/>
        <w:left w:val="none" w:sz="0" w:space="0" w:color="auto"/>
        <w:bottom w:val="none" w:sz="0" w:space="0" w:color="auto"/>
        <w:right w:val="none" w:sz="0" w:space="0" w:color="auto"/>
      </w:divBdr>
    </w:div>
    <w:div w:id="11804328">
      <w:bodyDiv w:val="1"/>
      <w:marLeft w:val="0"/>
      <w:marRight w:val="0"/>
      <w:marTop w:val="0"/>
      <w:marBottom w:val="0"/>
      <w:divBdr>
        <w:top w:val="none" w:sz="0" w:space="0" w:color="auto"/>
        <w:left w:val="none" w:sz="0" w:space="0" w:color="auto"/>
        <w:bottom w:val="none" w:sz="0" w:space="0" w:color="auto"/>
        <w:right w:val="none" w:sz="0" w:space="0" w:color="auto"/>
      </w:divBdr>
    </w:div>
    <w:div w:id="11960109">
      <w:bodyDiv w:val="1"/>
      <w:marLeft w:val="0"/>
      <w:marRight w:val="0"/>
      <w:marTop w:val="0"/>
      <w:marBottom w:val="0"/>
      <w:divBdr>
        <w:top w:val="none" w:sz="0" w:space="0" w:color="auto"/>
        <w:left w:val="none" w:sz="0" w:space="0" w:color="auto"/>
        <w:bottom w:val="none" w:sz="0" w:space="0" w:color="auto"/>
        <w:right w:val="none" w:sz="0" w:space="0" w:color="auto"/>
      </w:divBdr>
      <w:divsChild>
        <w:div w:id="5788438">
          <w:marLeft w:val="0"/>
          <w:marRight w:val="0"/>
          <w:marTop w:val="0"/>
          <w:marBottom w:val="0"/>
          <w:divBdr>
            <w:top w:val="none" w:sz="0" w:space="0" w:color="auto"/>
            <w:left w:val="none" w:sz="0" w:space="0" w:color="auto"/>
            <w:bottom w:val="none" w:sz="0" w:space="0" w:color="auto"/>
            <w:right w:val="none" w:sz="0" w:space="0" w:color="auto"/>
          </w:divBdr>
        </w:div>
      </w:divsChild>
    </w:div>
    <w:div w:id="16128184">
      <w:bodyDiv w:val="1"/>
      <w:marLeft w:val="0"/>
      <w:marRight w:val="0"/>
      <w:marTop w:val="0"/>
      <w:marBottom w:val="0"/>
      <w:divBdr>
        <w:top w:val="none" w:sz="0" w:space="0" w:color="auto"/>
        <w:left w:val="none" w:sz="0" w:space="0" w:color="auto"/>
        <w:bottom w:val="none" w:sz="0" w:space="0" w:color="auto"/>
        <w:right w:val="none" w:sz="0" w:space="0" w:color="auto"/>
      </w:divBdr>
    </w:div>
    <w:div w:id="19011766">
      <w:bodyDiv w:val="1"/>
      <w:marLeft w:val="0"/>
      <w:marRight w:val="0"/>
      <w:marTop w:val="0"/>
      <w:marBottom w:val="0"/>
      <w:divBdr>
        <w:top w:val="none" w:sz="0" w:space="0" w:color="auto"/>
        <w:left w:val="none" w:sz="0" w:space="0" w:color="auto"/>
        <w:bottom w:val="none" w:sz="0" w:space="0" w:color="auto"/>
        <w:right w:val="none" w:sz="0" w:space="0" w:color="auto"/>
      </w:divBdr>
    </w:div>
    <w:div w:id="19478820">
      <w:bodyDiv w:val="1"/>
      <w:marLeft w:val="0"/>
      <w:marRight w:val="0"/>
      <w:marTop w:val="0"/>
      <w:marBottom w:val="0"/>
      <w:divBdr>
        <w:top w:val="none" w:sz="0" w:space="0" w:color="auto"/>
        <w:left w:val="none" w:sz="0" w:space="0" w:color="auto"/>
        <w:bottom w:val="none" w:sz="0" w:space="0" w:color="auto"/>
        <w:right w:val="none" w:sz="0" w:space="0" w:color="auto"/>
      </w:divBdr>
    </w:div>
    <w:div w:id="22295111">
      <w:bodyDiv w:val="1"/>
      <w:marLeft w:val="0"/>
      <w:marRight w:val="0"/>
      <w:marTop w:val="0"/>
      <w:marBottom w:val="0"/>
      <w:divBdr>
        <w:top w:val="none" w:sz="0" w:space="0" w:color="auto"/>
        <w:left w:val="none" w:sz="0" w:space="0" w:color="auto"/>
        <w:bottom w:val="none" w:sz="0" w:space="0" w:color="auto"/>
        <w:right w:val="none" w:sz="0" w:space="0" w:color="auto"/>
      </w:divBdr>
    </w:div>
    <w:div w:id="27460708">
      <w:bodyDiv w:val="1"/>
      <w:marLeft w:val="0"/>
      <w:marRight w:val="0"/>
      <w:marTop w:val="0"/>
      <w:marBottom w:val="0"/>
      <w:divBdr>
        <w:top w:val="none" w:sz="0" w:space="0" w:color="auto"/>
        <w:left w:val="none" w:sz="0" w:space="0" w:color="auto"/>
        <w:bottom w:val="none" w:sz="0" w:space="0" w:color="auto"/>
        <w:right w:val="none" w:sz="0" w:space="0" w:color="auto"/>
      </w:divBdr>
    </w:div>
    <w:div w:id="37635131">
      <w:bodyDiv w:val="1"/>
      <w:marLeft w:val="0"/>
      <w:marRight w:val="0"/>
      <w:marTop w:val="0"/>
      <w:marBottom w:val="0"/>
      <w:divBdr>
        <w:top w:val="none" w:sz="0" w:space="0" w:color="auto"/>
        <w:left w:val="none" w:sz="0" w:space="0" w:color="auto"/>
        <w:bottom w:val="none" w:sz="0" w:space="0" w:color="auto"/>
        <w:right w:val="none" w:sz="0" w:space="0" w:color="auto"/>
      </w:divBdr>
    </w:div>
    <w:div w:id="44449043">
      <w:bodyDiv w:val="1"/>
      <w:marLeft w:val="0"/>
      <w:marRight w:val="0"/>
      <w:marTop w:val="0"/>
      <w:marBottom w:val="0"/>
      <w:divBdr>
        <w:top w:val="none" w:sz="0" w:space="0" w:color="auto"/>
        <w:left w:val="none" w:sz="0" w:space="0" w:color="auto"/>
        <w:bottom w:val="none" w:sz="0" w:space="0" w:color="auto"/>
        <w:right w:val="none" w:sz="0" w:space="0" w:color="auto"/>
      </w:divBdr>
    </w:div>
    <w:div w:id="45110506">
      <w:bodyDiv w:val="1"/>
      <w:marLeft w:val="0"/>
      <w:marRight w:val="0"/>
      <w:marTop w:val="0"/>
      <w:marBottom w:val="0"/>
      <w:divBdr>
        <w:top w:val="none" w:sz="0" w:space="0" w:color="auto"/>
        <w:left w:val="none" w:sz="0" w:space="0" w:color="auto"/>
        <w:bottom w:val="none" w:sz="0" w:space="0" w:color="auto"/>
        <w:right w:val="none" w:sz="0" w:space="0" w:color="auto"/>
      </w:divBdr>
    </w:div>
    <w:div w:id="60257547">
      <w:bodyDiv w:val="1"/>
      <w:marLeft w:val="0"/>
      <w:marRight w:val="0"/>
      <w:marTop w:val="0"/>
      <w:marBottom w:val="0"/>
      <w:divBdr>
        <w:top w:val="none" w:sz="0" w:space="0" w:color="auto"/>
        <w:left w:val="none" w:sz="0" w:space="0" w:color="auto"/>
        <w:bottom w:val="none" w:sz="0" w:space="0" w:color="auto"/>
        <w:right w:val="none" w:sz="0" w:space="0" w:color="auto"/>
      </w:divBdr>
      <w:divsChild>
        <w:div w:id="1409183424">
          <w:marLeft w:val="0"/>
          <w:marRight w:val="0"/>
          <w:marTop w:val="0"/>
          <w:marBottom w:val="0"/>
          <w:divBdr>
            <w:top w:val="none" w:sz="0" w:space="0" w:color="auto"/>
            <w:left w:val="none" w:sz="0" w:space="0" w:color="auto"/>
            <w:bottom w:val="none" w:sz="0" w:space="0" w:color="auto"/>
            <w:right w:val="none" w:sz="0" w:space="0" w:color="auto"/>
          </w:divBdr>
        </w:div>
        <w:div w:id="1965192410">
          <w:marLeft w:val="0"/>
          <w:marRight w:val="0"/>
          <w:marTop w:val="0"/>
          <w:marBottom w:val="0"/>
          <w:divBdr>
            <w:top w:val="none" w:sz="0" w:space="0" w:color="auto"/>
            <w:left w:val="none" w:sz="0" w:space="0" w:color="auto"/>
            <w:bottom w:val="none" w:sz="0" w:space="0" w:color="auto"/>
            <w:right w:val="none" w:sz="0" w:space="0" w:color="auto"/>
          </w:divBdr>
        </w:div>
        <w:div w:id="2094665428">
          <w:marLeft w:val="0"/>
          <w:marRight w:val="0"/>
          <w:marTop w:val="0"/>
          <w:marBottom w:val="0"/>
          <w:divBdr>
            <w:top w:val="none" w:sz="0" w:space="0" w:color="auto"/>
            <w:left w:val="none" w:sz="0" w:space="0" w:color="auto"/>
            <w:bottom w:val="none" w:sz="0" w:space="0" w:color="auto"/>
            <w:right w:val="none" w:sz="0" w:space="0" w:color="auto"/>
          </w:divBdr>
        </w:div>
        <w:div w:id="1640914861">
          <w:marLeft w:val="0"/>
          <w:marRight w:val="0"/>
          <w:marTop w:val="0"/>
          <w:marBottom w:val="0"/>
          <w:divBdr>
            <w:top w:val="none" w:sz="0" w:space="0" w:color="auto"/>
            <w:left w:val="none" w:sz="0" w:space="0" w:color="auto"/>
            <w:bottom w:val="none" w:sz="0" w:space="0" w:color="auto"/>
            <w:right w:val="none" w:sz="0" w:space="0" w:color="auto"/>
          </w:divBdr>
        </w:div>
        <w:div w:id="1312754742">
          <w:marLeft w:val="0"/>
          <w:marRight w:val="0"/>
          <w:marTop w:val="0"/>
          <w:marBottom w:val="0"/>
          <w:divBdr>
            <w:top w:val="none" w:sz="0" w:space="0" w:color="auto"/>
            <w:left w:val="none" w:sz="0" w:space="0" w:color="auto"/>
            <w:bottom w:val="none" w:sz="0" w:space="0" w:color="auto"/>
            <w:right w:val="none" w:sz="0" w:space="0" w:color="auto"/>
          </w:divBdr>
          <w:divsChild>
            <w:div w:id="1927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5578">
      <w:bodyDiv w:val="1"/>
      <w:marLeft w:val="0"/>
      <w:marRight w:val="0"/>
      <w:marTop w:val="0"/>
      <w:marBottom w:val="0"/>
      <w:divBdr>
        <w:top w:val="none" w:sz="0" w:space="0" w:color="auto"/>
        <w:left w:val="none" w:sz="0" w:space="0" w:color="auto"/>
        <w:bottom w:val="none" w:sz="0" w:space="0" w:color="auto"/>
        <w:right w:val="none" w:sz="0" w:space="0" w:color="auto"/>
      </w:divBdr>
    </w:div>
    <w:div w:id="70855292">
      <w:bodyDiv w:val="1"/>
      <w:marLeft w:val="0"/>
      <w:marRight w:val="0"/>
      <w:marTop w:val="0"/>
      <w:marBottom w:val="0"/>
      <w:divBdr>
        <w:top w:val="none" w:sz="0" w:space="0" w:color="auto"/>
        <w:left w:val="none" w:sz="0" w:space="0" w:color="auto"/>
        <w:bottom w:val="none" w:sz="0" w:space="0" w:color="auto"/>
        <w:right w:val="none" w:sz="0" w:space="0" w:color="auto"/>
      </w:divBdr>
    </w:div>
    <w:div w:id="70860612">
      <w:bodyDiv w:val="1"/>
      <w:marLeft w:val="0"/>
      <w:marRight w:val="0"/>
      <w:marTop w:val="0"/>
      <w:marBottom w:val="0"/>
      <w:divBdr>
        <w:top w:val="none" w:sz="0" w:space="0" w:color="auto"/>
        <w:left w:val="none" w:sz="0" w:space="0" w:color="auto"/>
        <w:bottom w:val="none" w:sz="0" w:space="0" w:color="auto"/>
        <w:right w:val="none" w:sz="0" w:space="0" w:color="auto"/>
      </w:divBdr>
    </w:div>
    <w:div w:id="75707030">
      <w:bodyDiv w:val="1"/>
      <w:marLeft w:val="0"/>
      <w:marRight w:val="0"/>
      <w:marTop w:val="0"/>
      <w:marBottom w:val="0"/>
      <w:divBdr>
        <w:top w:val="none" w:sz="0" w:space="0" w:color="auto"/>
        <w:left w:val="none" w:sz="0" w:space="0" w:color="auto"/>
        <w:bottom w:val="none" w:sz="0" w:space="0" w:color="auto"/>
        <w:right w:val="none" w:sz="0" w:space="0" w:color="auto"/>
      </w:divBdr>
    </w:div>
    <w:div w:id="90244048">
      <w:bodyDiv w:val="1"/>
      <w:marLeft w:val="0"/>
      <w:marRight w:val="0"/>
      <w:marTop w:val="0"/>
      <w:marBottom w:val="0"/>
      <w:divBdr>
        <w:top w:val="none" w:sz="0" w:space="0" w:color="auto"/>
        <w:left w:val="none" w:sz="0" w:space="0" w:color="auto"/>
        <w:bottom w:val="none" w:sz="0" w:space="0" w:color="auto"/>
        <w:right w:val="none" w:sz="0" w:space="0" w:color="auto"/>
      </w:divBdr>
      <w:divsChild>
        <w:div w:id="841313591">
          <w:marLeft w:val="0"/>
          <w:marRight w:val="0"/>
          <w:marTop w:val="0"/>
          <w:marBottom w:val="0"/>
          <w:divBdr>
            <w:top w:val="none" w:sz="0" w:space="0" w:color="auto"/>
            <w:left w:val="none" w:sz="0" w:space="0" w:color="auto"/>
            <w:bottom w:val="none" w:sz="0" w:space="0" w:color="auto"/>
            <w:right w:val="none" w:sz="0" w:space="0" w:color="auto"/>
          </w:divBdr>
          <w:divsChild>
            <w:div w:id="414206942">
              <w:marLeft w:val="0"/>
              <w:marRight w:val="0"/>
              <w:marTop w:val="0"/>
              <w:marBottom w:val="0"/>
              <w:divBdr>
                <w:top w:val="none" w:sz="0" w:space="0" w:color="auto"/>
                <w:left w:val="none" w:sz="0" w:space="0" w:color="auto"/>
                <w:bottom w:val="none" w:sz="0" w:space="0" w:color="auto"/>
                <w:right w:val="none" w:sz="0" w:space="0" w:color="auto"/>
              </w:divBdr>
              <w:divsChild>
                <w:div w:id="1795098705">
                  <w:marLeft w:val="0"/>
                  <w:marRight w:val="0"/>
                  <w:marTop w:val="0"/>
                  <w:marBottom w:val="0"/>
                  <w:divBdr>
                    <w:top w:val="none" w:sz="0" w:space="0" w:color="auto"/>
                    <w:left w:val="none" w:sz="0" w:space="0" w:color="auto"/>
                    <w:bottom w:val="none" w:sz="0" w:space="0" w:color="auto"/>
                    <w:right w:val="none" w:sz="0" w:space="0" w:color="auto"/>
                  </w:divBdr>
                  <w:divsChild>
                    <w:div w:id="10801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3319">
          <w:marLeft w:val="0"/>
          <w:marRight w:val="0"/>
          <w:marTop w:val="0"/>
          <w:marBottom w:val="0"/>
          <w:divBdr>
            <w:top w:val="none" w:sz="0" w:space="0" w:color="auto"/>
            <w:left w:val="none" w:sz="0" w:space="0" w:color="auto"/>
            <w:bottom w:val="none" w:sz="0" w:space="0" w:color="auto"/>
            <w:right w:val="none" w:sz="0" w:space="0" w:color="auto"/>
          </w:divBdr>
          <w:divsChild>
            <w:div w:id="1774977797">
              <w:marLeft w:val="0"/>
              <w:marRight w:val="0"/>
              <w:marTop w:val="0"/>
              <w:marBottom w:val="0"/>
              <w:divBdr>
                <w:top w:val="none" w:sz="0" w:space="0" w:color="auto"/>
                <w:left w:val="none" w:sz="0" w:space="0" w:color="auto"/>
                <w:bottom w:val="none" w:sz="0" w:space="0" w:color="auto"/>
                <w:right w:val="none" w:sz="0" w:space="0" w:color="auto"/>
              </w:divBdr>
              <w:divsChild>
                <w:div w:id="21163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4040">
      <w:bodyDiv w:val="1"/>
      <w:marLeft w:val="0"/>
      <w:marRight w:val="0"/>
      <w:marTop w:val="0"/>
      <w:marBottom w:val="0"/>
      <w:divBdr>
        <w:top w:val="none" w:sz="0" w:space="0" w:color="auto"/>
        <w:left w:val="none" w:sz="0" w:space="0" w:color="auto"/>
        <w:bottom w:val="none" w:sz="0" w:space="0" w:color="auto"/>
        <w:right w:val="none" w:sz="0" w:space="0" w:color="auto"/>
      </w:divBdr>
    </w:div>
    <w:div w:id="94205961">
      <w:bodyDiv w:val="1"/>
      <w:marLeft w:val="0"/>
      <w:marRight w:val="0"/>
      <w:marTop w:val="0"/>
      <w:marBottom w:val="0"/>
      <w:divBdr>
        <w:top w:val="none" w:sz="0" w:space="0" w:color="auto"/>
        <w:left w:val="none" w:sz="0" w:space="0" w:color="auto"/>
        <w:bottom w:val="none" w:sz="0" w:space="0" w:color="auto"/>
        <w:right w:val="none" w:sz="0" w:space="0" w:color="auto"/>
      </w:divBdr>
    </w:div>
    <w:div w:id="94401773">
      <w:bodyDiv w:val="1"/>
      <w:marLeft w:val="0"/>
      <w:marRight w:val="0"/>
      <w:marTop w:val="0"/>
      <w:marBottom w:val="0"/>
      <w:divBdr>
        <w:top w:val="none" w:sz="0" w:space="0" w:color="auto"/>
        <w:left w:val="none" w:sz="0" w:space="0" w:color="auto"/>
        <w:bottom w:val="none" w:sz="0" w:space="0" w:color="auto"/>
        <w:right w:val="none" w:sz="0" w:space="0" w:color="auto"/>
      </w:divBdr>
    </w:div>
    <w:div w:id="106318075">
      <w:bodyDiv w:val="1"/>
      <w:marLeft w:val="0"/>
      <w:marRight w:val="0"/>
      <w:marTop w:val="0"/>
      <w:marBottom w:val="0"/>
      <w:divBdr>
        <w:top w:val="none" w:sz="0" w:space="0" w:color="auto"/>
        <w:left w:val="none" w:sz="0" w:space="0" w:color="auto"/>
        <w:bottom w:val="none" w:sz="0" w:space="0" w:color="auto"/>
        <w:right w:val="none" w:sz="0" w:space="0" w:color="auto"/>
      </w:divBdr>
    </w:div>
    <w:div w:id="123741703">
      <w:bodyDiv w:val="1"/>
      <w:marLeft w:val="0"/>
      <w:marRight w:val="0"/>
      <w:marTop w:val="0"/>
      <w:marBottom w:val="0"/>
      <w:divBdr>
        <w:top w:val="none" w:sz="0" w:space="0" w:color="auto"/>
        <w:left w:val="none" w:sz="0" w:space="0" w:color="auto"/>
        <w:bottom w:val="none" w:sz="0" w:space="0" w:color="auto"/>
        <w:right w:val="none" w:sz="0" w:space="0" w:color="auto"/>
      </w:divBdr>
    </w:div>
    <w:div w:id="125200450">
      <w:bodyDiv w:val="1"/>
      <w:marLeft w:val="0"/>
      <w:marRight w:val="0"/>
      <w:marTop w:val="0"/>
      <w:marBottom w:val="0"/>
      <w:divBdr>
        <w:top w:val="none" w:sz="0" w:space="0" w:color="auto"/>
        <w:left w:val="none" w:sz="0" w:space="0" w:color="auto"/>
        <w:bottom w:val="none" w:sz="0" w:space="0" w:color="auto"/>
        <w:right w:val="none" w:sz="0" w:space="0" w:color="auto"/>
      </w:divBdr>
      <w:divsChild>
        <w:div w:id="495921735">
          <w:marLeft w:val="0"/>
          <w:marRight w:val="0"/>
          <w:marTop w:val="0"/>
          <w:marBottom w:val="0"/>
          <w:divBdr>
            <w:top w:val="none" w:sz="0" w:space="0" w:color="auto"/>
            <w:left w:val="none" w:sz="0" w:space="0" w:color="auto"/>
            <w:bottom w:val="none" w:sz="0" w:space="0" w:color="auto"/>
            <w:right w:val="none" w:sz="0" w:space="0" w:color="auto"/>
          </w:divBdr>
          <w:divsChild>
            <w:div w:id="18355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3862">
      <w:bodyDiv w:val="1"/>
      <w:marLeft w:val="0"/>
      <w:marRight w:val="0"/>
      <w:marTop w:val="0"/>
      <w:marBottom w:val="0"/>
      <w:divBdr>
        <w:top w:val="none" w:sz="0" w:space="0" w:color="auto"/>
        <w:left w:val="none" w:sz="0" w:space="0" w:color="auto"/>
        <w:bottom w:val="none" w:sz="0" w:space="0" w:color="auto"/>
        <w:right w:val="none" w:sz="0" w:space="0" w:color="auto"/>
      </w:divBdr>
    </w:div>
    <w:div w:id="146674455">
      <w:bodyDiv w:val="1"/>
      <w:marLeft w:val="0"/>
      <w:marRight w:val="0"/>
      <w:marTop w:val="0"/>
      <w:marBottom w:val="0"/>
      <w:divBdr>
        <w:top w:val="none" w:sz="0" w:space="0" w:color="auto"/>
        <w:left w:val="none" w:sz="0" w:space="0" w:color="auto"/>
        <w:bottom w:val="none" w:sz="0" w:space="0" w:color="auto"/>
        <w:right w:val="none" w:sz="0" w:space="0" w:color="auto"/>
      </w:divBdr>
    </w:div>
    <w:div w:id="149490791">
      <w:bodyDiv w:val="1"/>
      <w:marLeft w:val="0"/>
      <w:marRight w:val="0"/>
      <w:marTop w:val="0"/>
      <w:marBottom w:val="0"/>
      <w:divBdr>
        <w:top w:val="none" w:sz="0" w:space="0" w:color="auto"/>
        <w:left w:val="none" w:sz="0" w:space="0" w:color="auto"/>
        <w:bottom w:val="none" w:sz="0" w:space="0" w:color="auto"/>
        <w:right w:val="none" w:sz="0" w:space="0" w:color="auto"/>
      </w:divBdr>
    </w:div>
    <w:div w:id="152379555">
      <w:bodyDiv w:val="1"/>
      <w:marLeft w:val="0"/>
      <w:marRight w:val="0"/>
      <w:marTop w:val="0"/>
      <w:marBottom w:val="0"/>
      <w:divBdr>
        <w:top w:val="none" w:sz="0" w:space="0" w:color="auto"/>
        <w:left w:val="none" w:sz="0" w:space="0" w:color="auto"/>
        <w:bottom w:val="none" w:sz="0" w:space="0" w:color="auto"/>
        <w:right w:val="none" w:sz="0" w:space="0" w:color="auto"/>
      </w:divBdr>
    </w:div>
    <w:div w:id="152724125">
      <w:bodyDiv w:val="1"/>
      <w:marLeft w:val="0"/>
      <w:marRight w:val="0"/>
      <w:marTop w:val="0"/>
      <w:marBottom w:val="0"/>
      <w:divBdr>
        <w:top w:val="none" w:sz="0" w:space="0" w:color="auto"/>
        <w:left w:val="none" w:sz="0" w:space="0" w:color="auto"/>
        <w:bottom w:val="none" w:sz="0" w:space="0" w:color="auto"/>
        <w:right w:val="none" w:sz="0" w:space="0" w:color="auto"/>
      </w:divBdr>
    </w:div>
    <w:div w:id="152768774">
      <w:bodyDiv w:val="1"/>
      <w:marLeft w:val="0"/>
      <w:marRight w:val="0"/>
      <w:marTop w:val="0"/>
      <w:marBottom w:val="0"/>
      <w:divBdr>
        <w:top w:val="none" w:sz="0" w:space="0" w:color="auto"/>
        <w:left w:val="none" w:sz="0" w:space="0" w:color="auto"/>
        <w:bottom w:val="none" w:sz="0" w:space="0" w:color="auto"/>
        <w:right w:val="none" w:sz="0" w:space="0" w:color="auto"/>
      </w:divBdr>
    </w:div>
    <w:div w:id="158886428">
      <w:bodyDiv w:val="1"/>
      <w:marLeft w:val="0"/>
      <w:marRight w:val="0"/>
      <w:marTop w:val="0"/>
      <w:marBottom w:val="0"/>
      <w:divBdr>
        <w:top w:val="none" w:sz="0" w:space="0" w:color="auto"/>
        <w:left w:val="none" w:sz="0" w:space="0" w:color="auto"/>
        <w:bottom w:val="none" w:sz="0" w:space="0" w:color="auto"/>
        <w:right w:val="none" w:sz="0" w:space="0" w:color="auto"/>
      </w:divBdr>
    </w:div>
    <w:div w:id="159515169">
      <w:bodyDiv w:val="1"/>
      <w:marLeft w:val="0"/>
      <w:marRight w:val="0"/>
      <w:marTop w:val="0"/>
      <w:marBottom w:val="0"/>
      <w:divBdr>
        <w:top w:val="none" w:sz="0" w:space="0" w:color="auto"/>
        <w:left w:val="none" w:sz="0" w:space="0" w:color="auto"/>
        <w:bottom w:val="none" w:sz="0" w:space="0" w:color="auto"/>
        <w:right w:val="none" w:sz="0" w:space="0" w:color="auto"/>
      </w:divBdr>
    </w:div>
    <w:div w:id="166554045">
      <w:bodyDiv w:val="1"/>
      <w:marLeft w:val="0"/>
      <w:marRight w:val="0"/>
      <w:marTop w:val="0"/>
      <w:marBottom w:val="0"/>
      <w:divBdr>
        <w:top w:val="none" w:sz="0" w:space="0" w:color="auto"/>
        <w:left w:val="none" w:sz="0" w:space="0" w:color="auto"/>
        <w:bottom w:val="none" w:sz="0" w:space="0" w:color="auto"/>
        <w:right w:val="none" w:sz="0" w:space="0" w:color="auto"/>
      </w:divBdr>
    </w:div>
    <w:div w:id="167447917">
      <w:bodyDiv w:val="1"/>
      <w:marLeft w:val="0"/>
      <w:marRight w:val="0"/>
      <w:marTop w:val="0"/>
      <w:marBottom w:val="0"/>
      <w:divBdr>
        <w:top w:val="none" w:sz="0" w:space="0" w:color="auto"/>
        <w:left w:val="none" w:sz="0" w:space="0" w:color="auto"/>
        <w:bottom w:val="none" w:sz="0" w:space="0" w:color="auto"/>
        <w:right w:val="none" w:sz="0" w:space="0" w:color="auto"/>
      </w:divBdr>
    </w:div>
    <w:div w:id="171534160">
      <w:bodyDiv w:val="1"/>
      <w:marLeft w:val="0"/>
      <w:marRight w:val="0"/>
      <w:marTop w:val="0"/>
      <w:marBottom w:val="0"/>
      <w:divBdr>
        <w:top w:val="none" w:sz="0" w:space="0" w:color="auto"/>
        <w:left w:val="none" w:sz="0" w:space="0" w:color="auto"/>
        <w:bottom w:val="none" w:sz="0" w:space="0" w:color="auto"/>
        <w:right w:val="none" w:sz="0" w:space="0" w:color="auto"/>
      </w:divBdr>
    </w:div>
    <w:div w:id="171846794">
      <w:bodyDiv w:val="1"/>
      <w:marLeft w:val="0"/>
      <w:marRight w:val="0"/>
      <w:marTop w:val="0"/>
      <w:marBottom w:val="0"/>
      <w:divBdr>
        <w:top w:val="none" w:sz="0" w:space="0" w:color="auto"/>
        <w:left w:val="none" w:sz="0" w:space="0" w:color="auto"/>
        <w:bottom w:val="none" w:sz="0" w:space="0" w:color="auto"/>
        <w:right w:val="none" w:sz="0" w:space="0" w:color="auto"/>
      </w:divBdr>
      <w:divsChild>
        <w:div w:id="1136026731">
          <w:marLeft w:val="0"/>
          <w:marRight w:val="0"/>
          <w:marTop w:val="0"/>
          <w:marBottom w:val="0"/>
          <w:divBdr>
            <w:top w:val="none" w:sz="0" w:space="0" w:color="auto"/>
            <w:left w:val="none" w:sz="0" w:space="0" w:color="auto"/>
            <w:bottom w:val="none" w:sz="0" w:space="0" w:color="auto"/>
            <w:right w:val="none" w:sz="0" w:space="0" w:color="auto"/>
          </w:divBdr>
          <w:divsChild>
            <w:div w:id="1373534558">
              <w:marLeft w:val="0"/>
              <w:marRight w:val="0"/>
              <w:marTop w:val="0"/>
              <w:marBottom w:val="0"/>
              <w:divBdr>
                <w:top w:val="none" w:sz="0" w:space="0" w:color="auto"/>
                <w:left w:val="none" w:sz="0" w:space="0" w:color="auto"/>
                <w:bottom w:val="none" w:sz="0" w:space="0" w:color="auto"/>
                <w:right w:val="none" w:sz="0" w:space="0" w:color="auto"/>
              </w:divBdr>
              <w:divsChild>
                <w:div w:id="185872493">
                  <w:marLeft w:val="0"/>
                  <w:marRight w:val="0"/>
                  <w:marTop w:val="0"/>
                  <w:marBottom w:val="0"/>
                  <w:divBdr>
                    <w:top w:val="none" w:sz="0" w:space="0" w:color="auto"/>
                    <w:left w:val="none" w:sz="0" w:space="0" w:color="auto"/>
                    <w:bottom w:val="none" w:sz="0" w:space="0" w:color="auto"/>
                    <w:right w:val="none" w:sz="0" w:space="0" w:color="auto"/>
                  </w:divBdr>
                  <w:divsChild>
                    <w:div w:id="4861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6047">
      <w:bodyDiv w:val="1"/>
      <w:marLeft w:val="0"/>
      <w:marRight w:val="0"/>
      <w:marTop w:val="0"/>
      <w:marBottom w:val="0"/>
      <w:divBdr>
        <w:top w:val="none" w:sz="0" w:space="0" w:color="auto"/>
        <w:left w:val="none" w:sz="0" w:space="0" w:color="auto"/>
        <w:bottom w:val="none" w:sz="0" w:space="0" w:color="auto"/>
        <w:right w:val="none" w:sz="0" w:space="0" w:color="auto"/>
      </w:divBdr>
    </w:div>
    <w:div w:id="177886358">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4633777">
      <w:bodyDiv w:val="1"/>
      <w:marLeft w:val="0"/>
      <w:marRight w:val="0"/>
      <w:marTop w:val="0"/>
      <w:marBottom w:val="0"/>
      <w:divBdr>
        <w:top w:val="none" w:sz="0" w:space="0" w:color="auto"/>
        <w:left w:val="none" w:sz="0" w:space="0" w:color="auto"/>
        <w:bottom w:val="none" w:sz="0" w:space="0" w:color="auto"/>
        <w:right w:val="none" w:sz="0" w:space="0" w:color="auto"/>
      </w:divBdr>
    </w:div>
    <w:div w:id="188564968">
      <w:bodyDiv w:val="1"/>
      <w:marLeft w:val="0"/>
      <w:marRight w:val="0"/>
      <w:marTop w:val="0"/>
      <w:marBottom w:val="0"/>
      <w:divBdr>
        <w:top w:val="none" w:sz="0" w:space="0" w:color="auto"/>
        <w:left w:val="none" w:sz="0" w:space="0" w:color="auto"/>
        <w:bottom w:val="none" w:sz="0" w:space="0" w:color="auto"/>
        <w:right w:val="none" w:sz="0" w:space="0" w:color="auto"/>
      </w:divBdr>
    </w:div>
    <w:div w:id="198208169">
      <w:bodyDiv w:val="1"/>
      <w:marLeft w:val="0"/>
      <w:marRight w:val="0"/>
      <w:marTop w:val="0"/>
      <w:marBottom w:val="0"/>
      <w:divBdr>
        <w:top w:val="none" w:sz="0" w:space="0" w:color="auto"/>
        <w:left w:val="none" w:sz="0" w:space="0" w:color="auto"/>
        <w:bottom w:val="none" w:sz="0" w:space="0" w:color="auto"/>
        <w:right w:val="none" w:sz="0" w:space="0" w:color="auto"/>
      </w:divBdr>
    </w:div>
    <w:div w:id="202598529">
      <w:bodyDiv w:val="1"/>
      <w:marLeft w:val="0"/>
      <w:marRight w:val="0"/>
      <w:marTop w:val="0"/>
      <w:marBottom w:val="0"/>
      <w:divBdr>
        <w:top w:val="none" w:sz="0" w:space="0" w:color="auto"/>
        <w:left w:val="none" w:sz="0" w:space="0" w:color="auto"/>
        <w:bottom w:val="none" w:sz="0" w:space="0" w:color="auto"/>
        <w:right w:val="none" w:sz="0" w:space="0" w:color="auto"/>
      </w:divBdr>
    </w:div>
    <w:div w:id="209343404">
      <w:bodyDiv w:val="1"/>
      <w:marLeft w:val="0"/>
      <w:marRight w:val="0"/>
      <w:marTop w:val="0"/>
      <w:marBottom w:val="0"/>
      <w:divBdr>
        <w:top w:val="none" w:sz="0" w:space="0" w:color="auto"/>
        <w:left w:val="none" w:sz="0" w:space="0" w:color="auto"/>
        <w:bottom w:val="none" w:sz="0" w:space="0" w:color="auto"/>
        <w:right w:val="none" w:sz="0" w:space="0" w:color="auto"/>
      </w:divBdr>
    </w:div>
    <w:div w:id="214508629">
      <w:bodyDiv w:val="1"/>
      <w:marLeft w:val="0"/>
      <w:marRight w:val="0"/>
      <w:marTop w:val="0"/>
      <w:marBottom w:val="0"/>
      <w:divBdr>
        <w:top w:val="none" w:sz="0" w:space="0" w:color="auto"/>
        <w:left w:val="none" w:sz="0" w:space="0" w:color="auto"/>
        <w:bottom w:val="none" w:sz="0" w:space="0" w:color="auto"/>
        <w:right w:val="none" w:sz="0" w:space="0" w:color="auto"/>
      </w:divBdr>
      <w:divsChild>
        <w:div w:id="1025712638">
          <w:marLeft w:val="0"/>
          <w:marRight w:val="0"/>
          <w:marTop w:val="0"/>
          <w:marBottom w:val="0"/>
          <w:divBdr>
            <w:top w:val="none" w:sz="0" w:space="0" w:color="auto"/>
            <w:left w:val="none" w:sz="0" w:space="0" w:color="auto"/>
            <w:bottom w:val="none" w:sz="0" w:space="0" w:color="auto"/>
            <w:right w:val="none" w:sz="0" w:space="0" w:color="auto"/>
          </w:divBdr>
          <w:divsChild>
            <w:div w:id="1563177956">
              <w:marLeft w:val="0"/>
              <w:marRight w:val="0"/>
              <w:marTop w:val="0"/>
              <w:marBottom w:val="0"/>
              <w:divBdr>
                <w:top w:val="none" w:sz="0" w:space="0" w:color="auto"/>
                <w:left w:val="none" w:sz="0" w:space="0" w:color="auto"/>
                <w:bottom w:val="none" w:sz="0" w:space="0" w:color="auto"/>
                <w:right w:val="none" w:sz="0" w:space="0" w:color="auto"/>
              </w:divBdr>
            </w:div>
          </w:divsChild>
        </w:div>
        <w:div w:id="737021563">
          <w:marLeft w:val="0"/>
          <w:marRight w:val="0"/>
          <w:marTop w:val="0"/>
          <w:marBottom w:val="0"/>
          <w:divBdr>
            <w:top w:val="none" w:sz="0" w:space="0" w:color="auto"/>
            <w:left w:val="none" w:sz="0" w:space="0" w:color="auto"/>
            <w:bottom w:val="none" w:sz="0" w:space="0" w:color="auto"/>
            <w:right w:val="none" w:sz="0" w:space="0" w:color="auto"/>
          </w:divBdr>
        </w:div>
      </w:divsChild>
    </w:div>
    <w:div w:id="219440827">
      <w:bodyDiv w:val="1"/>
      <w:marLeft w:val="0"/>
      <w:marRight w:val="0"/>
      <w:marTop w:val="0"/>
      <w:marBottom w:val="0"/>
      <w:divBdr>
        <w:top w:val="none" w:sz="0" w:space="0" w:color="auto"/>
        <w:left w:val="none" w:sz="0" w:space="0" w:color="auto"/>
        <w:bottom w:val="none" w:sz="0" w:space="0" w:color="auto"/>
        <w:right w:val="none" w:sz="0" w:space="0" w:color="auto"/>
      </w:divBdr>
    </w:div>
    <w:div w:id="229580434">
      <w:bodyDiv w:val="1"/>
      <w:marLeft w:val="0"/>
      <w:marRight w:val="0"/>
      <w:marTop w:val="0"/>
      <w:marBottom w:val="0"/>
      <w:divBdr>
        <w:top w:val="none" w:sz="0" w:space="0" w:color="auto"/>
        <w:left w:val="none" w:sz="0" w:space="0" w:color="auto"/>
        <w:bottom w:val="none" w:sz="0" w:space="0" w:color="auto"/>
        <w:right w:val="none" w:sz="0" w:space="0" w:color="auto"/>
      </w:divBdr>
    </w:div>
    <w:div w:id="256334300">
      <w:bodyDiv w:val="1"/>
      <w:marLeft w:val="0"/>
      <w:marRight w:val="0"/>
      <w:marTop w:val="0"/>
      <w:marBottom w:val="0"/>
      <w:divBdr>
        <w:top w:val="none" w:sz="0" w:space="0" w:color="auto"/>
        <w:left w:val="none" w:sz="0" w:space="0" w:color="auto"/>
        <w:bottom w:val="none" w:sz="0" w:space="0" w:color="auto"/>
        <w:right w:val="none" w:sz="0" w:space="0" w:color="auto"/>
      </w:divBdr>
    </w:div>
    <w:div w:id="262152468">
      <w:bodyDiv w:val="1"/>
      <w:marLeft w:val="0"/>
      <w:marRight w:val="0"/>
      <w:marTop w:val="0"/>
      <w:marBottom w:val="0"/>
      <w:divBdr>
        <w:top w:val="none" w:sz="0" w:space="0" w:color="auto"/>
        <w:left w:val="none" w:sz="0" w:space="0" w:color="auto"/>
        <w:bottom w:val="none" w:sz="0" w:space="0" w:color="auto"/>
        <w:right w:val="none" w:sz="0" w:space="0" w:color="auto"/>
      </w:divBdr>
    </w:div>
    <w:div w:id="262955257">
      <w:bodyDiv w:val="1"/>
      <w:marLeft w:val="0"/>
      <w:marRight w:val="0"/>
      <w:marTop w:val="0"/>
      <w:marBottom w:val="0"/>
      <w:divBdr>
        <w:top w:val="none" w:sz="0" w:space="0" w:color="auto"/>
        <w:left w:val="none" w:sz="0" w:space="0" w:color="auto"/>
        <w:bottom w:val="none" w:sz="0" w:space="0" w:color="auto"/>
        <w:right w:val="none" w:sz="0" w:space="0" w:color="auto"/>
      </w:divBdr>
    </w:div>
    <w:div w:id="263418791">
      <w:bodyDiv w:val="1"/>
      <w:marLeft w:val="0"/>
      <w:marRight w:val="0"/>
      <w:marTop w:val="0"/>
      <w:marBottom w:val="0"/>
      <w:divBdr>
        <w:top w:val="none" w:sz="0" w:space="0" w:color="auto"/>
        <w:left w:val="none" w:sz="0" w:space="0" w:color="auto"/>
        <w:bottom w:val="none" w:sz="0" w:space="0" w:color="auto"/>
        <w:right w:val="none" w:sz="0" w:space="0" w:color="auto"/>
      </w:divBdr>
    </w:div>
    <w:div w:id="265964161">
      <w:bodyDiv w:val="1"/>
      <w:marLeft w:val="0"/>
      <w:marRight w:val="0"/>
      <w:marTop w:val="0"/>
      <w:marBottom w:val="0"/>
      <w:divBdr>
        <w:top w:val="none" w:sz="0" w:space="0" w:color="auto"/>
        <w:left w:val="none" w:sz="0" w:space="0" w:color="auto"/>
        <w:bottom w:val="none" w:sz="0" w:space="0" w:color="auto"/>
        <w:right w:val="none" w:sz="0" w:space="0" w:color="auto"/>
      </w:divBdr>
    </w:div>
    <w:div w:id="272909523">
      <w:bodyDiv w:val="1"/>
      <w:marLeft w:val="0"/>
      <w:marRight w:val="0"/>
      <w:marTop w:val="0"/>
      <w:marBottom w:val="0"/>
      <w:divBdr>
        <w:top w:val="none" w:sz="0" w:space="0" w:color="auto"/>
        <w:left w:val="none" w:sz="0" w:space="0" w:color="auto"/>
        <w:bottom w:val="none" w:sz="0" w:space="0" w:color="auto"/>
        <w:right w:val="none" w:sz="0" w:space="0" w:color="auto"/>
      </w:divBdr>
    </w:div>
    <w:div w:id="275451994">
      <w:bodyDiv w:val="1"/>
      <w:marLeft w:val="0"/>
      <w:marRight w:val="0"/>
      <w:marTop w:val="0"/>
      <w:marBottom w:val="0"/>
      <w:divBdr>
        <w:top w:val="none" w:sz="0" w:space="0" w:color="auto"/>
        <w:left w:val="none" w:sz="0" w:space="0" w:color="auto"/>
        <w:bottom w:val="none" w:sz="0" w:space="0" w:color="auto"/>
        <w:right w:val="none" w:sz="0" w:space="0" w:color="auto"/>
      </w:divBdr>
    </w:div>
    <w:div w:id="277181770">
      <w:bodyDiv w:val="1"/>
      <w:marLeft w:val="0"/>
      <w:marRight w:val="0"/>
      <w:marTop w:val="0"/>
      <w:marBottom w:val="0"/>
      <w:divBdr>
        <w:top w:val="none" w:sz="0" w:space="0" w:color="auto"/>
        <w:left w:val="none" w:sz="0" w:space="0" w:color="auto"/>
        <w:bottom w:val="none" w:sz="0" w:space="0" w:color="auto"/>
        <w:right w:val="none" w:sz="0" w:space="0" w:color="auto"/>
      </w:divBdr>
    </w:div>
    <w:div w:id="281959827">
      <w:bodyDiv w:val="1"/>
      <w:marLeft w:val="0"/>
      <w:marRight w:val="0"/>
      <w:marTop w:val="0"/>
      <w:marBottom w:val="0"/>
      <w:divBdr>
        <w:top w:val="none" w:sz="0" w:space="0" w:color="auto"/>
        <w:left w:val="none" w:sz="0" w:space="0" w:color="auto"/>
        <w:bottom w:val="none" w:sz="0" w:space="0" w:color="auto"/>
        <w:right w:val="none" w:sz="0" w:space="0" w:color="auto"/>
      </w:divBdr>
    </w:div>
    <w:div w:id="287469132">
      <w:bodyDiv w:val="1"/>
      <w:marLeft w:val="0"/>
      <w:marRight w:val="0"/>
      <w:marTop w:val="0"/>
      <w:marBottom w:val="0"/>
      <w:divBdr>
        <w:top w:val="none" w:sz="0" w:space="0" w:color="auto"/>
        <w:left w:val="none" w:sz="0" w:space="0" w:color="auto"/>
        <w:bottom w:val="none" w:sz="0" w:space="0" w:color="auto"/>
        <w:right w:val="none" w:sz="0" w:space="0" w:color="auto"/>
      </w:divBdr>
    </w:div>
    <w:div w:id="288172834">
      <w:bodyDiv w:val="1"/>
      <w:marLeft w:val="0"/>
      <w:marRight w:val="0"/>
      <w:marTop w:val="0"/>
      <w:marBottom w:val="0"/>
      <w:divBdr>
        <w:top w:val="none" w:sz="0" w:space="0" w:color="auto"/>
        <w:left w:val="none" w:sz="0" w:space="0" w:color="auto"/>
        <w:bottom w:val="none" w:sz="0" w:space="0" w:color="auto"/>
        <w:right w:val="none" w:sz="0" w:space="0" w:color="auto"/>
      </w:divBdr>
    </w:div>
    <w:div w:id="291596558">
      <w:bodyDiv w:val="1"/>
      <w:marLeft w:val="0"/>
      <w:marRight w:val="0"/>
      <w:marTop w:val="0"/>
      <w:marBottom w:val="0"/>
      <w:divBdr>
        <w:top w:val="none" w:sz="0" w:space="0" w:color="auto"/>
        <w:left w:val="none" w:sz="0" w:space="0" w:color="auto"/>
        <w:bottom w:val="none" w:sz="0" w:space="0" w:color="auto"/>
        <w:right w:val="none" w:sz="0" w:space="0" w:color="auto"/>
      </w:divBdr>
    </w:div>
    <w:div w:id="294726637">
      <w:bodyDiv w:val="1"/>
      <w:marLeft w:val="0"/>
      <w:marRight w:val="0"/>
      <w:marTop w:val="0"/>
      <w:marBottom w:val="0"/>
      <w:divBdr>
        <w:top w:val="none" w:sz="0" w:space="0" w:color="auto"/>
        <w:left w:val="none" w:sz="0" w:space="0" w:color="auto"/>
        <w:bottom w:val="none" w:sz="0" w:space="0" w:color="auto"/>
        <w:right w:val="none" w:sz="0" w:space="0" w:color="auto"/>
      </w:divBdr>
    </w:div>
    <w:div w:id="298339007">
      <w:bodyDiv w:val="1"/>
      <w:marLeft w:val="0"/>
      <w:marRight w:val="0"/>
      <w:marTop w:val="0"/>
      <w:marBottom w:val="0"/>
      <w:divBdr>
        <w:top w:val="none" w:sz="0" w:space="0" w:color="auto"/>
        <w:left w:val="none" w:sz="0" w:space="0" w:color="auto"/>
        <w:bottom w:val="none" w:sz="0" w:space="0" w:color="auto"/>
        <w:right w:val="none" w:sz="0" w:space="0" w:color="auto"/>
      </w:divBdr>
    </w:div>
    <w:div w:id="301274593">
      <w:bodyDiv w:val="1"/>
      <w:marLeft w:val="0"/>
      <w:marRight w:val="0"/>
      <w:marTop w:val="0"/>
      <w:marBottom w:val="0"/>
      <w:divBdr>
        <w:top w:val="none" w:sz="0" w:space="0" w:color="auto"/>
        <w:left w:val="none" w:sz="0" w:space="0" w:color="auto"/>
        <w:bottom w:val="none" w:sz="0" w:space="0" w:color="auto"/>
        <w:right w:val="none" w:sz="0" w:space="0" w:color="auto"/>
      </w:divBdr>
    </w:div>
    <w:div w:id="304167909">
      <w:bodyDiv w:val="1"/>
      <w:marLeft w:val="0"/>
      <w:marRight w:val="0"/>
      <w:marTop w:val="0"/>
      <w:marBottom w:val="0"/>
      <w:divBdr>
        <w:top w:val="none" w:sz="0" w:space="0" w:color="auto"/>
        <w:left w:val="none" w:sz="0" w:space="0" w:color="auto"/>
        <w:bottom w:val="none" w:sz="0" w:space="0" w:color="auto"/>
        <w:right w:val="none" w:sz="0" w:space="0" w:color="auto"/>
      </w:divBdr>
    </w:div>
    <w:div w:id="309098020">
      <w:bodyDiv w:val="1"/>
      <w:marLeft w:val="0"/>
      <w:marRight w:val="0"/>
      <w:marTop w:val="0"/>
      <w:marBottom w:val="0"/>
      <w:divBdr>
        <w:top w:val="none" w:sz="0" w:space="0" w:color="auto"/>
        <w:left w:val="none" w:sz="0" w:space="0" w:color="auto"/>
        <w:bottom w:val="none" w:sz="0" w:space="0" w:color="auto"/>
        <w:right w:val="none" w:sz="0" w:space="0" w:color="auto"/>
      </w:divBdr>
    </w:div>
    <w:div w:id="312755027">
      <w:bodyDiv w:val="1"/>
      <w:marLeft w:val="0"/>
      <w:marRight w:val="0"/>
      <w:marTop w:val="0"/>
      <w:marBottom w:val="0"/>
      <w:divBdr>
        <w:top w:val="none" w:sz="0" w:space="0" w:color="auto"/>
        <w:left w:val="none" w:sz="0" w:space="0" w:color="auto"/>
        <w:bottom w:val="none" w:sz="0" w:space="0" w:color="auto"/>
        <w:right w:val="none" w:sz="0" w:space="0" w:color="auto"/>
      </w:divBdr>
    </w:div>
    <w:div w:id="332341986">
      <w:bodyDiv w:val="1"/>
      <w:marLeft w:val="0"/>
      <w:marRight w:val="0"/>
      <w:marTop w:val="0"/>
      <w:marBottom w:val="0"/>
      <w:divBdr>
        <w:top w:val="none" w:sz="0" w:space="0" w:color="auto"/>
        <w:left w:val="none" w:sz="0" w:space="0" w:color="auto"/>
        <w:bottom w:val="none" w:sz="0" w:space="0" w:color="auto"/>
        <w:right w:val="none" w:sz="0" w:space="0" w:color="auto"/>
      </w:divBdr>
    </w:div>
    <w:div w:id="332611582">
      <w:bodyDiv w:val="1"/>
      <w:marLeft w:val="0"/>
      <w:marRight w:val="0"/>
      <w:marTop w:val="0"/>
      <w:marBottom w:val="0"/>
      <w:divBdr>
        <w:top w:val="none" w:sz="0" w:space="0" w:color="auto"/>
        <w:left w:val="none" w:sz="0" w:space="0" w:color="auto"/>
        <w:bottom w:val="none" w:sz="0" w:space="0" w:color="auto"/>
        <w:right w:val="none" w:sz="0" w:space="0" w:color="auto"/>
      </w:divBdr>
    </w:div>
    <w:div w:id="335420734">
      <w:bodyDiv w:val="1"/>
      <w:marLeft w:val="0"/>
      <w:marRight w:val="0"/>
      <w:marTop w:val="0"/>
      <w:marBottom w:val="0"/>
      <w:divBdr>
        <w:top w:val="none" w:sz="0" w:space="0" w:color="auto"/>
        <w:left w:val="none" w:sz="0" w:space="0" w:color="auto"/>
        <w:bottom w:val="none" w:sz="0" w:space="0" w:color="auto"/>
        <w:right w:val="none" w:sz="0" w:space="0" w:color="auto"/>
      </w:divBdr>
    </w:div>
    <w:div w:id="336466035">
      <w:bodyDiv w:val="1"/>
      <w:marLeft w:val="0"/>
      <w:marRight w:val="0"/>
      <w:marTop w:val="0"/>
      <w:marBottom w:val="0"/>
      <w:divBdr>
        <w:top w:val="none" w:sz="0" w:space="0" w:color="auto"/>
        <w:left w:val="none" w:sz="0" w:space="0" w:color="auto"/>
        <w:bottom w:val="none" w:sz="0" w:space="0" w:color="auto"/>
        <w:right w:val="none" w:sz="0" w:space="0" w:color="auto"/>
      </w:divBdr>
    </w:div>
    <w:div w:id="339478525">
      <w:bodyDiv w:val="1"/>
      <w:marLeft w:val="0"/>
      <w:marRight w:val="0"/>
      <w:marTop w:val="0"/>
      <w:marBottom w:val="0"/>
      <w:divBdr>
        <w:top w:val="none" w:sz="0" w:space="0" w:color="auto"/>
        <w:left w:val="none" w:sz="0" w:space="0" w:color="auto"/>
        <w:bottom w:val="none" w:sz="0" w:space="0" w:color="auto"/>
        <w:right w:val="none" w:sz="0" w:space="0" w:color="auto"/>
      </w:divBdr>
    </w:div>
    <w:div w:id="340357689">
      <w:bodyDiv w:val="1"/>
      <w:marLeft w:val="0"/>
      <w:marRight w:val="0"/>
      <w:marTop w:val="0"/>
      <w:marBottom w:val="0"/>
      <w:divBdr>
        <w:top w:val="none" w:sz="0" w:space="0" w:color="auto"/>
        <w:left w:val="none" w:sz="0" w:space="0" w:color="auto"/>
        <w:bottom w:val="none" w:sz="0" w:space="0" w:color="auto"/>
        <w:right w:val="none" w:sz="0" w:space="0" w:color="auto"/>
      </w:divBdr>
    </w:div>
    <w:div w:id="341594439">
      <w:bodyDiv w:val="1"/>
      <w:marLeft w:val="0"/>
      <w:marRight w:val="0"/>
      <w:marTop w:val="0"/>
      <w:marBottom w:val="0"/>
      <w:divBdr>
        <w:top w:val="none" w:sz="0" w:space="0" w:color="auto"/>
        <w:left w:val="none" w:sz="0" w:space="0" w:color="auto"/>
        <w:bottom w:val="none" w:sz="0" w:space="0" w:color="auto"/>
        <w:right w:val="none" w:sz="0" w:space="0" w:color="auto"/>
      </w:divBdr>
    </w:div>
    <w:div w:id="345909423">
      <w:bodyDiv w:val="1"/>
      <w:marLeft w:val="0"/>
      <w:marRight w:val="0"/>
      <w:marTop w:val="0"/>
      <w:marBottom w:val="0"/>
      <w:divBdr>
        <w:top w:val="none" w:sz="0" w:space="0" w:color="auto"/>
        <w:left w:val="none" w:sz="0" w:space="0" w:color="auto"/>
        <w:bottom w:val="none" w:sz="0" w:space="0" w:color="auto"/>
        <w:right w:val="none" w:sz="0" w:space="0" w:color="auto"/>
      </w:divBdr>
    </w:div>
    <w:div w:id="347290743">
      <w:bodyDiv w:val="1"/>
      <w:marLeft w:val="0"/>
      <w:marRight w:val="0"/>
      <w:marTop w:val="0"/>
      <w:marBottom w:val="0"/>
      <w:divBdr>
        <w:top w:val="none" w:sz="0" w:space="0" w:color="auto"/>
        <w:left w:val="none" w:sz="0" w:space="0" w:color="auto"/>
        <w:bottom w:val="none" w:sz="0" w:space="0" w:color="auto"/>
        <w:right w:val="none" w:sz="0" w:space="0" w:color="auto"/>
      </w:divBdr>
    </w:div>
    <w:div w:id="349450920">
      <w:bodyDiv w:val="1"/>
      <w:marLeft w:val="0"/>
      <w:marRight w:val="0"/>
      <w:marTop w:val="0"/>
      <w:marBottom w:val="0"/>
      <w:divBdr>
        <w:top w:val="none" w:sz="0" w:space="0" w:color="auto"/>
        <w:left w:val="none" w:sz="0" w:space="0" w:color="auto"/>
        <w:bottom w:val="none" w:sz="0" w:space="0" w:color="auto"/>
        <w:right w:val="none" w:sz="0" w:space="0" w:color="auto"/>
      </w:divBdr>
      <w:divsChild>
        <w:div w:id="662771">
          <w:marLeft w:val="0"/>
          <w:marRight w:val="0"/>
          <w:marTop w:val="0"/>
          <w:marBottom w:val="0"/>
          <w:divBdr>
            <w:top w:val="none" w:sz="0" w:space="0" w:color="auto"/>
            <w:left w:val="none" w:sz="0" w:space="0" w:color="auto"/>
            <w:bottom w:val="none" w:sz="0" w:space="0" w:color="auto"/>
            <w:right w:val="none" w:sz="0" w:space="0" w:color="auto"/>
          </w:divBdr>
        </w:div>
      </w:divsChild>
    </w:div>
    <w:div w:id="349767813">
      <w:bodyDiv w:val="1"/>
      <w:marLeft w:val="0"/>
      <w:marRight w:val="0"/>
      <w:marTop w:val="0"/>
      <w:marBottom w:val="0"/>
      <w:divBdr>
        <w:top w:val="none" w:sz="0" w:space="0" w:color="auto"/>
        <w:left w:val="none" w:sz="0" w:space="0" w:color="auto"/>
        <w:bottom w:val="none" w:sz="0" w:space="0" w:color="auto"/>
        <w:right w:val="none" w:sz="0" w:space="0" w:color="auto"/>
      </w:divBdr>
    </w:div>
    <w:div w:id="355664392">
      <w:bodyDiv w:val="1"/>
      <w:marLeft w:val="0"/>
      <w:marRight w:val="0"/>
      <w:marTop w:val="0"/>
      <w:marBottom w:val="0"/>
      <w:divBdr>
        <w:top w:val="none" w:sz="0" w:space="0" w:color="auto"/>
        <w:left w:val="none" w:sz="0" w:space="0" w:color="auto"/>
        <w:bottom w:val="none" w:sz="0" w:space="0" w:color="auto"/>
        <w:right w:val="none" w:sz="0" w:space="0" w:color="auto"/>
      </w:divBdr>
      <w:divsChild>
        <w:div w:id="1049843820">
          <w:marLeft w:val="0"/>
          <w:marRight w:val="0"/>
          <w:marTop w:val="0"/>
          <w:marBottom w:val="0"/>
          <w:divBdr>
            <w:top w:val="none" w:sz="0" w:space="0" w:color="auto"/>
            <w:left w:val="none" w:sz="0" w:space="0" w:color="auto"/>
            <w:bottom w:val="none" w:sz="0" w:space="0" w:color="auto"/>
            <w:right w:val="none" w:sz="0" w:space="0" w:color="auto"/>
          </w:divBdr>
        </w:div>
        <w:div w:id="1436514036">
          <w:marLeft w:val="0"/>
          <w:marRight w:val="0"/>
          <w:marTop w:val="0"/>
          <w:marBottom w:val="0"/>
          <w:divBdr>
            <w:top w:val="none" w:sz="0" w:space="0" w:color="auto"/>
            <w:left w:val="none" w:sz="0" w:space="0" w:color="auto"/>
            <w:bottom w:val="none" w:sz="0" w:space="0" w:color="auto"/>
            <w:right w:val="none" w:sz="0" w:space="0" w:color="auto"/>
          </w:divBdr>
        </w:div>
      </w:divsChild>
    </w:div>
    <w:div w:id="363290519">
      <w:bodyDiv w:val="1"/>
      <w:marLeft w:val="0"/>
      <w:marRight w:val="0"/>
      <w:marTop w:val="0"/>
      <w:marBottom w:val="0"/>
      <w:divBdr>
        <w:top w:val="none" w:sz="0" w:space="0" w:color="auto"/>
        <w:left w:val="none" w:sz="0" w:space="0" w:color="auto"/>
        <w:bottom w:val="none" w:sz="0" w:space="0" w:color="auto"/>
        <w:right w:val="none" w:sz="0" w:space="0" w:color="auto"/>
      </w:divBdr>
    </w:div>
    <w:div w:id="378824020">
      <w:bodyDiv w:val="1"/>
      <w:marLeft w:val="0"/>
      <w:marRight w:val="0"/>
      <w:marTop w:val="0"/>
      <w:marBottom w:val="0"/>
      <w:divBdr>
        <w:top w:val="none" w:sz="0" w:space="0" w:color="auto"/>
        <w:left w:val="none" w:sz="0" w:space="0" w:color="auto"/>
        <w:bottom w:val="none" w:sz="0" w:space="0" w:color="auto"/>
        <w:right w:val="none" w:sz="0" w:space="0" w:color="auto"/>
      </w:divBdr>
    </w:div>
    <w:div w:id="379596006">
      <w:bodyDiv w:val="1"/>
      <w:marLeft w:val="0"/>
      <w:marRight w:val="0"/>
      <w:marTop w:val="0"/>
      <w:marBottom w:val="0"/>
      <w:divBdr>
        <w:top w:val="none" w:sz="0" w:space="0" w:color="auto"/>
        <w:left w:val="none" w:sz="0" w:space="0" w:color="auto"/>
        <w:bottom w:val="none" w:sz="0" w:space="0" w:color="auto"/>
        <w:right w:val="none" w:sz="0" w:space="0" w:color="auto"/>
      </w:divBdr>
    </w:div>
    <w:div w:id="385421468">
      <w:bodyDiv w:val="1"/>
      <w:marLeft w:val="0"/>
      <w:marRight w:val="0"/>
      <w:marTop w:val="0"/>
      <w:marBottom w:val="0"/>
      <w:divBdr>
        <w:top w:val="none" w:sz="0" w:space="0" w:color="auto"/>
        <w:left w:val="none" w:sz="0" w:space="0" w:color="auto"/>
        <w:bottom w:val="none" w:sz="0" w:space="0" w:color="auto"/>
        <w:right w:val="none" w:sz="0" w:space="0" w:color="auto"/>
      </w:divBdr>
    </w:div>
    <w:div w:id="386757476">
      <w:bodyDiv w:val="1"/>
      <w:marLeft w:val="0"/>
      <w:marRight w:val="0"/>
      <w:marTop w:val="0"/>
      <w:marBottom w:val="0"/>
      <w:divBdr>
        <w:top w:val="none" w:sz="0" w:space="0" w:color="auto"/>
        <w:left w:val="none" w:sz="0" w:space="0" w:color="auto"/>
        <w:bottom w:val="none" w:sz="0" w:space="0" w:color="auto"/>
        <w:right w:val="none" w:sz="0" w:space="0" w:color="auto"/>
      </w:divBdr>
    </w:div>
    <w:div w:id="387846227">
      <w:bodyDiv w:val="1"/>
      <w:marLeft w:val="0"/>
      <w:marRight w:val="0"/>
      <w:marTop w:val="0"/>
      <w:marBottom w:val="0"/>
      <w:divBdr>
        <w:top w:val="none" w:sz="0" w:space="0" w:color="auto"/>
        <w:left w:val="none" w:sz="0" w:space="0" w:color="auto"/>
        <w:bottom w:val="none" w:sz="0" w:space="0" w:color="auto"/>
        <w:right w:val="none" w:sz="0" w:space="0" w:color="auto"/>
      </w:divBdr>
    </w:div>
    <w:div w:id="391857486">
      <w:bodyDiv w:val="1"/>
      <w:marLeft w:val="0"/>
      <w:marRight w:val="0"/>
      <w:marTop w:val="0"/>
      <w:marBottom w:val="0"/>
      <w:divBdr>
        <w:top w:val="none" w:sz="0" w:space="0" w:color="auto"/>
        <w:left w:val="none" w:sz="0" w:space="0" w:color="auto"/>
        <w:bottom w:val="none" w:sz="0" w:space="0" w:color="auto"/>
        <w:right w:val="none" w:sz="0" w:space="0" w:color="auto"/>
      </w:divBdr>
    </w:div>
    <w:div w:id="392851438">
      <w:bodyDiv w:val="1"/>
      <w:marLeft w:val="0"/>
      <w:marRight w:val="0"/>
      <w:marTop w:val="0"/>
      <w:marBottom w:val="0"/>
      <w:divBdr>
        <w:top w:val="none" w:sz="0" w:space="0" w:color="auto"/>
        <w:left w:val="none" w:sz="0" w:space="0" w:color="auto"/>
        <w:bottom w:val="none" w:sz="0" w:space="0" w:color="auto"/>
        <w:right w:val="none" w:sz="0" w:space="0" w:color="auto"/>
      </w:divBdr>
    </w:div>
    <w:div w:id="393551559">
      <w:bodyDiv w:val="1"/>
      <w:marLeft w:val="0"/>
      <w:marRight w:val="0"/>
      <w:marTop w:val="0"/>
      <w:marBottom w:val="0"/>
      <w:divBdr>
        <w:top w:val="none" w:sz="0" w:space="0" w:color="auto"/>
        <w:left w:val="none" w:sz="0" w:space="0" w:color="auto"/>
        <w:bottom w:val="none" w:sz="0" w:space="0" w:color="auto"/>
        <w:right w:val="none" w:sz="0" w:space="0" w:color="auto"/>
      </w:divBdr>
    </w:div>
    <w:div w:id="393772129">
      <w:bodyDiv w:val="1"/>
      <w:marLeft w:val="0"/>
      <w:marRight w:val="0"/>
      <w:marTop w:val="0"/>
      <w:marBottom w:val="0"/>
      <w:divBdr>
        <w:top w:val="none" w:sz="0" w:space="0" w:color="auto"/>
        <w:left w:val="none" w:sz="0" w:space="0" w:color="auto"/>
        <w:bottom w:val="none" w:sz="0" w:space="0" w:color="auto"/>
        <w:right w:val="none" w:sz="0" w:space="0" w:color="auto"/>
      </w:divBdr>
    </w:div>
    <w:div w:id="394862046">
      <w:bodyDiv w:val="1"/>
      <w:marLeft w:val="0"/>
      <w:marRight w:val="0"/>
      <w:marTop w:val="0"/>
      <w:marBottom w:val="0"/>
      <w:divBdr>
        <w:top w:val="none" w:sz="0" w:space="0" w:color="auto"/>
        <w:left w:val="none" w:sz="0" w:space="0" w:color="auto"/>
        <w:bottom w:val="none" w:sz="0" w:space="0" w:color="auto"/>
        <w:right w:val="none" w:sz="0" w:space="0" w:color="auto"/>
      </w:divBdr>
    </w:div>
    <w:div w:id="396825231">
      <w:bodyDiv w:val="1"/>
      <w:marLeft w:val="0"/>
      <w:marRight w:val="0"/>
      <w:marTop w:val="0"/>
      <w:marBottom w:val="0"/>
      <w:divBdr>
        <w:top w:val="none" w:sz="0" w:space="0" w:color="auto"/>
        <w:left w:val="none" w:sz="0" w:space="0" w:color="auto"/>
        <w:bottom w:val="none" w:sz="0" w:space="0" w:color="auto"/>
        <w:right w:val="none" w:sz="0" w:space="0" w:color="auto"/>
      </w:divBdr>
    </w:div>
    <w:div w:id="399639569">
      <w:bodyDiv w:val="1"/>
      <w:marLeft w:val="0"/>
      <w:marRight w:val="0"/>
      <w:marTop w:val="0"/>
      <w:marBottom w:val="0"/>
      <w:divBdr>
        <w:top w:val="none" w:sz="0" w:space="0" w:color="auto"/>
        <w:left w:val="none" w:sz="0" w:space="0" w:color="auto"/>
        <w:bottom w:val="none" w:sz="0" w:space="0" w:color="auto"/>
        <w:right w:val="none" w:sz="0" w:space="0" w:color="auto"/>
      </w:divBdr>
    </w:div>
    <w:div w:id="401879392">
      <w:bodyDiv w:val="1"/>
      <w:marLeft w:val="0"/>
      <w:marRight w:val="0"/>
      <w:marTop w:val="0"/>
      <w:marBottom w:val="0"/>
      <w:divBdr>
        <w:top w:val="none" w:sz="0" w:space="0" w:color="auto"/>
        <w:left w:val="none" w:sz="0" w:space="0" w:color="auto"/>
        <w:bottom w:val="none" w:sz="0" w:space="0" w:color="auto"/>
        <w:right w:val="none" w:sz="0" w:space="0" w:color="auto"/>
      </w:divBdr>
    </w:div>
    <w:div w:id="407965859">
      <w:bodyDiv w:val="1"/>
      <w:marLeft w:val="0"/>
      <w:marRight w:val="0"/>
      <w:marTop w:val="0"/>
      <w:marBottom w:val="0"/>
      <w:divBdr>
        <w:top w:val="none" w:sz="0" w:space="0" w:color="auto"/>
        <w:left w:val="none" w:sz="0" w:space="0" w:color="auto"/>
        <w:bottom w:val="none" w:sz="0" w:space="0" w:color="auto"/>
        <w:right w:val="none" w:sz="0" w:space="0" w:color="auto"/>
      </w:divBdr>
    </w:div>
    <w:div w:id="428309286">
      <w:bodyDiv w:val="1"/>
      <w:marLeft w:val="0"/>
      <w:marRight w:val="0"/>
      <w:marTop w:val="0"/>
      <w:marBottom w:val="0"/>
      <w:divBdr>
        <w:top w:val="none" w:sz="0" w:space="0" w:color="auto"/>
        <w:left w:val="none" w:sz="0" w:space="0" w:color="auto"/>
        <w:bottom w:val="none" w:sz="0" w:space="0" w:color="auto"/>
        <w:right w:val="none" w:sz="0" w:space="0" w:color="auto"/>
      </w:divBdr>
    </w:div>
    <w:div w:id="428550688">
      <w:bodyDiv w:val="1"/>
      <w:marLeft w:val="0"/>
      <w:marRight w:val="0"/>
      <w:marTop w:val="0"/>
      <w:marBottom w:val="0"/>
      <w:divBdr>
        <w:top w:val="none" w:sz="0" w:space="0" w:color="auto"/>
        <w:left w:val="none" w:sz="0" w:space="0" w:color="auto"/>
        <w:bottom w:val="none" w:sz="0" w:space="0" w:color="auto"/>
        <w:right w:val="none" w:sz="0" w:space="0" w:color="auto"/>
      </w:divBdr>
    </w:div>
    <w:div w:id="438913372">
      <w:bodyDiv w:val="1"/>
      <w:marLeft w:val="0"/>
      <w:marRight w:val="0"/>
      <w:marTop w:val="0"/>
      <w:marBottom w:val="0"/>
      <w:divBdr>
        <w:top w:val="none" w:sz="0" w:space="0" w:color="auto"/>
        <w:left w:val="none" w:sz="0" w:space="0" w:color="auto"/>
        <w:bottom w:val="none" w:sz="0" w:space="0" w:color="auto"/>
        <w:right w:val="none" w:sz="0" w:space="0" w:color="auto"/>
      </w:divBdr>
    </w:div>
    <w:div w:id="444229487">
      <w:bodyDiv w:val="1"/>
      <w:marLeft w:val="0"/>
      <w:marRight w:val="0"/>
      <w:marTop w:val="0"/>
      <w:marBottom w:val="0"/>
      <w:divBdr>
        <w:top w:val="none" w:sz="0" w:space="0" w:color="auto"/>
        <w:left w:val="none" w:sz="0" w:space="0" w:color="auto"/>
        <w:bottom w:val="none" w:sz="0" w:space="0" w:color="auto"/>
        <w:right w:val="none" w:sz="0" w:space="0" w:color="auto"/>
      </w:divBdr>
    </w:div>
    <w:div w:id="447241838">
      <w:bodyDiv w:val="1"/>
      <w:marLeft w:val="0"/>
      <w:marRight w:val="0"/>
      <w:marTop w:val="0"/>
      <w:marBottom w:val="0"/>
      <w:divBdr>
        <w:top w:val="none" w:sz="0" w:space="0" w:color="auto"/>
        <w:left w:val="none" w:sz="0" w:space="0" w:color="auto"/>
        <w:bottom w:val="none" w:sz="0" w:space="0" w:color="auto"/>
        <w:right w:val="none" w:sz="0" w:space="0" w:color="auto"/>
      </w:divBdr>
    </w:div>
    <w:div w:id="452482173">
      <w:bodyDiv w:val="1"/>
      <w:marLeft w:val="0"/>
      <w:marRight w:val="0"/>
      <w:marTop w:val="0"/>
      <w:marBottom w:val="0"/>
      <w:divBdr>
        <w:top w:val="none" w:sz="0" w:space="0" w:color="auto"/>
        <w:left w:val="none" w:sz="0" w:space="0" w:color="auto"/>
        <w:bottom w:val="none" w:sz="0" w:space="0" w:color="auto"/>
        <w:right w:val="none" w:sz="0" w:space="0" w:color="auto"/>
      </w:divBdr>
    </w:div>
    <w:div w:id="461307961">
      <w:bodyDiv w:val="1"/>
      <w:marLeft w:val="0"/>
      <w:marRight w:val="0"/>
      <w:marTop w:val="0"/>
      <w:marBottom w:val="0"/>
      <w:divBdr>
        <w:top w:val="none" w:sz="0" w:space="0" w:color="auto"/>
        <w:left w:val="none" w:sz="0" w:space="0" w:color="auto"/>
        <w:bottom w:val="none" w:sz="0" w:space="0" w:color="auto"/>
        <w:right w:val="none" w:sz="0" w:space="0" w:color="auto"/>
      </w:divBdr>
    </w:div>
    <w:div w:id="461576167">
      <w:bodyDiv w:val="1"/>
      <w:marLeft w:val="0"/>
      <w:marRight w:val="0"/>
      <w:marTop w:val="0"/>
      <w:marBottom w:val="0"/>
      <w:divBdr>
        <w:top w:val="none" w:sz="0" w:space="0" w:color="auto"/>
        <w:left w:val="none" w:sz="0" w:space="0" w:color="auto"/>
        <w:bottom w:val="none" w:sz="0" w:space="0" w:color="auto"/>
        <w:right w:val="none" w:sz="0" w:space="0" w:color="auto"/>
      </w:divBdr>
    </w:div>
    <w:div w:id="466244698">
      <w:bodyDiv w:val="1"/>
      <w:marLeft w:val="0"/>
      <w:marRight w:val="0"/>
      <w:marTop w:val="0"/>
      <w:marBottom w:val="0"/>
      <w:divBdr>
        <w:top w:val="none" w:sz="0" w:space="0" w:color="auto"/>
        <w:left w:val="none" w:sz="0" w:space="0" w:color="auto"/>
        <w:bottom w:val="none" w:sz="0" w:space="0" w:color="auto"/>
        <w:right w:val="none" w:sz="0" w:space="0" w:color="auto"/>
      </w:divBdr>
    </w:div>
    <w:div w:id="466899062">
      <w:bodyDiv w:val="1"/>
      <w:marLeft w:val="0"/>
      <w:marRight w:val="0"/>
      <w:marTop w:val="0"/>
      <w:marBottom w:val="0"/>
      <w:divBdr>
        <w:top w:val="none" w:sz="0" w:space="0" w:color="auto"/>
        <w:left w:val="none" w:sz="0" w:space="0" w:color="auto"/>
        <w:bottom w:val="none" w:sz="0" w:space="0" w:color="auto"/>
        <w:right w:val="none" w:sz="0" w:space="0" w:color="auto"/>
      </w:divBdr>
    </w:div>
    <w:div w:id="471219662">
      <w:bodyDiv w:val="1"/>
      <w:marLeft w:val="0"/>
      <w:marRight w:val="0"/>
      <w:marTop w:val="0"/>
      <w:marBottom w:val="0"/>
      <w:divBdr>
        <w:top w:val="none" w:sz="0" w:space="0" w:color="auto"/>
        <w:left w:val="none" w:sz="0" w:space="0" w:color="auto"/>
        <w:bottom w:val="none" w:sz="0" w:space="0" w:color="auto"/>
        <w:right w:val="none" w:sz="0" w:space="0" w:color="auto"/>
      </w:divBdr>
    </w:div>
    <w:div w:id="473304008">
      <w:bodyDiv w:val="1"/>
      <w:marLeft w:val="0"/>
      <w:marRight w:val="0"/>
      <w:marTop w:val="0"/>
      <w:marBottom w:val="0"/>
      <w:divBdr>
        <w:top w:val="none" w:sz="0" w:space="0" w:color="auto"/>
        <w:left w:val="none" w:sz="0" w:space="0" w:color="auto"/>
        <w:bottom w:val="none" w:sz="0" w:space="0" w:color="auto"/>
        <w:right w:val="none" w:sz="0" w:space="0" w:color="auto"/>
      </w:divBdr>
    </w:div>
    <w:div w:id="475487994">
      <w:bodyDiv w:val="1"/>
      <w:marLeft w:val="0"/>
      <w:marRight w:val="0"/>
      <w:marTop w:val="0"/>
      <w:marBottom w:val="0"/>
      <w:divBdr>
        <w:top w:val="none" w:sz="0" w:space="0" w:color="auto"/>
        <w:left w:val="none" w:sz="0" w:space="0" w:color="auto"/>
        <w:bottom w:val="none" w:sz="0" w:space="0" w:color="auto"/>
        <w:right w:val="none" w:sz="0" w:space="0" w:color="auto"/>
      </w:divBdr>
    </w:div>
    <w:div w:id="475686039">
      <w:bodyDiv w:val="1"/>
      <w:marLeft w:val="0"/>
      <w:marRight w:val="0"/>
      <w:marTop w:val="0"/>
      <w:marBottom w:val="0"/>
      <w:divBdr>
        <w:top w:val="none" w:sz="0" w:space="0" w:color="auto"/>
        <w:left w:val="none" w:sz="0" w:space="0" w:color="auto"/>
        <w:bottom w:val="none" w:sz="0" w:space="0" w:color="auto"/>
        <w:right w:val="none" w:sz="0" w:space="0" w:color="auto"/>
      </w:divBdr>
      <w:divsChild>
        <w:div w:id="41951470">
          <w:marLeft w:val="0"/>
          <w:marRight w:val="0"/>
          <w:marTop w:val="0"/>
          <w:marBottom w:val="0"/>
          <w:divBdr>
            <w:top w:val="none" w:sz="0" w:space="0" w:color="auto"/>
            <w:left w:val="none" w:sz="0" w:space="0" w:color="auto"/>
            <w:bottom w:val="none" w:sz="0" w:space="0" w:color="auto"/>
            <w:right w:val="none" w:sz="0" w:space="0" w:color="auto"/>
          </w:divBdr>
        </w:div>
        <w:div w:id="1288119983">
          <w:marLeft w:val="0"/>
          <w:marRight w:val="0"/>
          <w:marTop w:val="0"/>
          <w:marBottom w:val="0"/>
          <w:divBdr>
            <w:top w:val="none" w:sz="0" w:space="0" w:color="auto"/>
            <w:left w:val="none" w:sz="0" w:space="0" w:color="auto"/>
            <w:bottom w:val="none" w:sz="0" w:space="0" w:color="auto"/>
            <w:right w:val="none" w:sz="0" w:space="0" w:color="auto"/>
          </w:divBdr>
        </w:div>
        <w:div w:id="748233931">
          <w:marLeft w:val="0"/>
          <w:marRight w:val="0"/>
          <w:marTop w:val="0"/>
          <w:marBottom w:val="0"/>
          <w:divBdr>
            <w:top w:val="none" w:sz="0" w:space="0" w:color="auto"/>
            <w:left w:val="none" w:sz="0" w:space="0" w:color="auto"/>
            <w:bottom w:val="none" w:sz="0" w:space="0" w:color="auto"/>
            <w:right w:val="none" w:sz="0" w:space="0" w:color="auto"/>
          </w:divBdr>
        </w:div>
        <w:div w:id="95565846">
          <w:marLeft w:val="0"/>
          <w:marRight w:val="0"/>
          <w:marTop w:val="0"/>
          <w:marBottom w:val="0"/>
          <w:divBdr>
            <w:top w:val="none" w:sz="0" w:space="0" w:color="auto"/>
            <w:left w:val="none" w:sz="0" w:space="0" w:color="auto"/>
            <w:bottom w:val="none" w:sz="0" w:space="0" w:color="auto"/>
            <w:right w:val="none" w:sz="0" w:space="0" w:color="auto"/>
          </w:divBdr>
        </w:div>
        <w:div w:id="754015789">
          <w:marLeft w:val="0"/>
          <w:marRight w:val="0"/>
          <w:marTop w:val="0"/>
          <w:marBottom w:val="0"/>
          <w:divBdr>
            <w:top w:val="none" w:sz="0" w:space="0" w:color="auto"/>
            <w:left w:val="none" w:sz="0" w:space="0" w:color="auto"/>
            <w:bottom w:val="none" w:sz="0" w:space="0" w:color="auto"/>
            <w:right w:val="none" w:sz="0" w:space="0" w:color="auto"/>
          </w:divBdr>
        </w:div>
        <w:div w:id="153836651">
          <w:marLeft w:val="0"/>
          <w:marRight w:val="0"/>
          <w:marTop w:val="0"/>
          <w:marBottom w:val="0"/>
          <w:divBdr>
            <w:top w:val="none" w:sz="0" w:space="0" w:color="auto"/>
            <w:left w:val="none" w:sz="0" w:space="0" w:color="auto"/>
            <w:bottom w:val="none" w:sz="0" w:space="0" w:color="auto"/>
            <w:right w:val="none" w:sz="0" w:space="0" w:color="auto"/>
          </w:divBdr>
        </w:div>
        <w:div w:id="534267994">
          <w:marLeft w:val="0"/>
          <w:marRight w:val="0"/>
          <w:marTop w:val="0"/>
          <w:marBottom w:val="0"/>
          <w:divBdr>
            <w:top w:val="none" w:sz="0" w:space="0" w:color="auto"/>
            <w:left w:val="none" w:sz="0" w:space="0" w:color="auto"/>
            <w:bottom w:val="none" w:sz="0" w:space="0" w:color="auto"/>
            <w:right w:val="none" w:sz="0" w:space="0" w:color="auto"/>
          </w:divBdr>
        </w:div>
        <w:div w:id="859465404">
          <w:marLeft w:val="0"/>
          <w:marRight w:val="0"/>
          <w:marTop w:val="0"/>
          <w:marBottom w:val="0"/>
          <w:divBdr>
            <w:top w:val="none" w:sz="0" w:space="0" w:color="auto"/>
            <w:left w:val="none" w:sz="0" w:space="0" w:color="auto"/>
            <w:bottom w:val="none" w:sz="0" w:space="0" w:color="auto"/>
            <w:right w:val="none" w:sz="0" w:space="0" w:color="auto"/>
          </w:divBdr>
        </w:div>
        <w:div w:id="1461074219">
          <w:marLeft w:val="0"/>
          <w:marRight w:val="0"/>
          <w:marTop w:val="0"/>
          <w:marBottom w:val="0"/>
          <w:divBdr>
            <w:top w:val="none" w:sz="0" w:space="0" w:color="auto"/>
            <w:left w:val="none" w:sz="0" w:space="0" w:color="auto"/>
            <w:bottom w:val="none" w:sz="0" w:space="0" w:color="auto"/>
            <w:right w:val="none" w:sz="0" w:space="0" w:color="auto"/>
          </w:divBdr>
        </w:div>
        <w:div w:id="1304383037">
          <w:marLeft w:val="0"/>
          <w:marRight w:val="0"/>
          <w:marTop w:val="0"/>
          <w:marBottom w:val="0"/>
          <w:divBdr>
            <w:top w:val="none" w:sz="0" w:space="0" w:color="auto"/>
            <w:left w:val="none" w:sz="0" w:space="0" w:color="auto"/>
            <w:bottom w:val="none" w:sz="0" w:space="0" w:color="auto"/>
            <w:right w:val="none" w:sz="0" w:space="0" w:color="auto"/>
          </w:divBdr>
        </w:div>
        <w:div w:id="584650692">
          <w:marLeft w:val="0"/>
          <w:marRight w:val="0"/>
          <w:marTop w:val="0"/>
          <w:marBottom w:val="0"/>
          <w:divBdr>
            <w:top w:val="none" w:sz="0" w:space="0" w:color="auto"/>
            <w:left w:val="none" w:sz="0" w:space="0" w:color="auto"/>
            <w:bottom w:val="none" w:sz="0" w:space="0" w:color="auto"/>
            <w:right w:val="none" w:sz="0" w:space="0" w:color="auto"/>
          </w:divBdr>
        </w:div>
        <w:div w:id="1787039395">
          <w:marLeft w:val="0"/>
          <w:marRight w:val="0"/>
          <w:marTop w:val="0"/>
          <w:marBottom w:val="0"/>
          <w:divBdr>
            <w:top w:val="none" w:sz="0" w:space="0" w:color="auto"/>
            <w:left w:val="none" w:sz="0" w:space="0" w:color="auto"/>
            <w:bottom w:val="none" w:sz="0" w:space="0" w:color="auto"/>
            <w:right w:val="none" w:sz="0" w:space="0" w:color="auto"/>
          </w:divBdr>
        </w:div>
        <w:div w:id="2116246085">
          <w:marLeft w:val="0"/>
          <w:marRight w:val="0"/>
          <w:marTop w:val="0"/>
          <w:marBottom w:val="0"/>
          <w:divBdr>
            <w:top w:val="none" w:sz="0" w:space="0" w:color="auto"/>
            <w:left w:val="none" w:sz="0" w:space="0" w:color="auto"/>
            <w:bottom w:val="none" w:sz="0" w:space="0" w:color="auto"/>
            <w:right w:val="none" w:sz="0" w:space="0" w:color="auto"/>
          </w:divBdr>
        </w:div>
        <w:div w:id="954798169">
          <w:marLeft w:val="0"/>
          <w:marRight w:val="0"/>
          <w:marTop w:val="0"/>
          <w:marBottom w:val="0"/>
          <w:divBdr>
            <w:top w:val="none" w:sz="0" w:space="0" w:color="auto"/>
            <w:left w:val="none" w:sz="0" w:space="0" w:color="auto"/>
            <w:bottom w:val="none" w:sz="0" w:space="0" w:color="auto"/>
            <w:right w:val="none" w:sz="0" w:space="0" w:color="auto"/>
          </w:divBdr>
        </w:div>
        <w:div w:id="1007437430">
          <w:marLeft w:val="0"/>
          <w:marRight w:val="0"/>
          <w:marTop w:val="0"/>
          <w:marBottom w:val="0"/>
          <w:divBdr>
            <w:top w:val="none" w:sz="0" w:space="0" w:color="auto"/>
            <w:left w:val="none" w:sz="0" w:space="0" w:color="auto"/>
            <w:bottom w:val="none" w:sz="0" w:space="0" w:color="auto"/>
            <w:right w:val="none" w:sz="0" w:space="0" w:color="auto"/>
          </w:divBdr>
        </w:div>
        <w:div w:id="1076706649">
          <w:marLeft w:val="0"/>
          <w:marRight w:val="0"/>
          <w:marTop w:val="0"/>
          <w:marBottom w:val="0"/>
          <w:divBdr>
            <w:top w:val="none" w:sz="0" w:space="0" w:color="auto"/>
            <w:left w:val="none" w:sz="0" w:space="0" w:color="auto"/>
            <w:bottom w:val="none" w:sz="0" w:space="0" w:color="auto"/>
            <w:right w:val="none" w:sz="0" w:space="0" w:color="auto"/>
          </w:divBdr>
        </w:div>
        <w:div w:id="276183679">
          <w:marLeft w:val="0"/>
          <w:marRight w:val="0"/>
          <w:marTop w:val="0"/>
          <w:marBottom w:val="0"/>
          <w:divBdr>
            <w:top w:val="none" w:sz="0" w:space="0" w:color="auto"/>
            <w:left w:val="none" w:sz="0" w:space="0" w:color="auto"/>
            <w:bottom w:val="none" w:sz="0" w:space="0" w:color="auto"/>
            <w:right w:val="none" w:sz="0" w:space="0" w:color="auto"/>
          </w:divBdr>
        </w:div>
        <w:div w:id="1165973696">
          <w:marLeft w:val="0"/>
          <w:marRight w:val="0"/>
          <w:marTop w:val="0"/>
          <w:marBottom w:val="0"/>
          <w:divBdr>
            <w:top w:val="none" w:sz="0" w:space="0" w:color="auto"/>
            <w:left w:val="none" w:sz="0" w:space="0" w:color="auto"/>
            <w:bottom w:val="none" w:sz="0" w:space="0" w:color="auto"/>
            <w:right w:val="none" w:sz="0" w:space="0" w:color="auto"/>
          </w:divBdr>
        </w:div>
        <w:div w:id="1449544091">
          <w:marLeft w:val="0"/>
          <w:marRight w:val="0"/>
          <w:marTop w:val="0"/>
          <w:marBottom w:val="0"/>
          <w:divBdr>
            <w:top w:val="none" w:sz="0" w:space="0" w:color="auto"/>
            <w:left w:val="none" w:sz="0" w:space="0" w:color="auto"/>
            <w:bottom w:val="none" w:sz="0" w:space="0" w:color="auto"/>
            <w:right w:val="none" w:sz="0" w:space="0" w:color="auto"/>
          </w:divBdr>
        </w:div>
        <w:div w:id="1562792740">
          <w:marLeft w:val="0"/>
          <w:marRight w:val="0"/>
          <w:marTop w:val="0"/>
          <w:marBottom w:val="0"/>
          <w:divBdr>
            <w:top w:val="none" w:sz="0" w:space="0" w:color="auto"/>
            <w:left w:val="none" w:sz="0" w:space="0" w:color="auto"/>
            <w:bottom w:val="none" w:sz="0" w:space="0" w:color="auto"/>
            <w:right w:val="none" w:sz="0" w:space="0" w:color="auto"/>
          </w:divBdr>
        </w:div>
        <w:div w:id="653218080">
          <w:marLeft w:val="0"/>
          <w:marRight w:val="0"/>
          <w:marTop w:val="0"/>
          <w:marBottom w:val="0"/>
          <w:divBdr>
            <w:top w:val="none" w:sz="0" w:space="0" w:color="auto"/>
            <w:left w:val="none" w:sz="0" w:space="0" w:color="auto"/>
            <w:bottom w:val="none" w:sz="0" w:space="0" w:color="auto"/>
            <w:right w:val="none" w:sz="0" w:space="0" w:color="auto"/>
          </w:divBdr>
        </w:div>
        <w:div w:id="1478839063">
          <w:marLeft w:val="0"/>
          <w:marRight w:val="0"/>
          <w:marTop w:val="0"/>
          <w:marBottom w:val="0"/>
          <w:divBdr>
            <w:top w:val="none" w:sz="0" w:space="0" w:color="auto"/>
            <w:left w:val="none" w:sz="0" w:space="0" w:color="auto"/>
            <w:bottom w:val="none" w:sz="0" w:space="0" w:color="auto"/>
            <w:right w:val="none" w:sz="0" w:space="0" w:color="auto"/>
          </w:divBdr>
        </w:div>
        <w:div w:id="1325401345">
          <w:marLeft w:val="0"/>
          <w:marRight w:val="0"/>
          <w:marTop w:val="0"/>
          <w:marBottom w:val="0"/>
          <w:divBdr>
            <w:top w:val="none" w:sz="0" w:space="0" w:color="auto"/>
            <w:left w:val="none" w:sz="0" w:space="0" w:color="auto"/>
            <w:bottom w:val="none" w:sz="0" w:space="0" w:color="auto"/>
            <w:right w:val="none" w:sz="0" w:space="0" w:color="auto"/>
          </w:divBdr>
        </w:div>
        <w:div w:id="199250180">
          <w:marLeft w:val="0"/>
          <w:marRight w:val="0"/>
          <w:marTop w:val="0"/>
          <w:marBottom w:val="0"/>
          <w:divBdr>
            <w:top w:val="none" w:sz="0" w:space="0" w:color="auto"/>
            <w:left w:val="none" w:sz="0" w:space="0" w:color="auto"/>
            <w:bottom w:val="none" w:sz="0" w:space="0" w:color="auto"/>
            <w:right w:val="none" w:sz="0" w:space="0" w:color="auto"/>
          </w:divBdr>
        </w:div>
        <w:div w:id="393359213">
          <w:marLeft w:val="0"/>
          <w:marRight w:val="0"/>
          <w:marTop w:val="0"/>
          <w:marBottom w:val="0"/>
          <w:divBdr>
            <w:top w:val="none" w:sz="0" w:space="0" w:color="auto"/>
            <w:left w:val="none" w:sz="0" w:space="0" w:color="auto"/>
            <w:bottom w:val="none" w:sz="0" w:space="0" w:color="auto"/>
            <w:right w:val="none" w:sz="0" w:space="0" w:color="auto"/>
          </w:divBdr>
        </w:div>
        <w:div w:id="2004582177">
          <w:marLeft w:val="0"/>
          <w:marRight w:val="0"/>
          <w:marTop w:val="0"/>
          <w:marBottom w:val="0"/>
          <w:divBdr>
            <w:top w:val="none" w:sz="0" w:space="0" w:color="auto"/>
            <w:left w:val="none" w:sz="0" w:space="0" w:color="auto"/>
            <w:bottom w:val="none" w:sz="0" w:space="0" w:color="auto"/>
            <w:right w:val="none" w:sz="0" w:space="0" w:color="auto"/>
          </w:divBdr>
        </w:div>
        <w:div w:id="1102644718">
          <w:marLeft w:val="0"/>
          <w:marRight w:val="0"/>
          <w:marTop w:val="0"/>
          <w:marBottom w:val="0"/>
          <w:divBdr>
            <w:top w:val="none" w:sz="0" w:space="0" w:color="auto"/>
            <w:left w:val="none" w:sz="0" w:space="0" w:color="auto"/>
            <w:bottom w:val="none" w:sz="0" w:space="0" w:color="auto"/>
            <w:right w:val="none" w:sz="0" w:space="0" w:color="auto"/>
          </w:divBdr>
        </w:div>
        <w:div w:id="121771715">
          <w:marLeft w:val="0"/>
          <w:marRight w:val="0"/>
          <w:marTop w:val="0"/>
          <w:marBottom w:val="0"/>
          <w:divBdr>
            <w:top w:val="none" w:sz="0" w:space="0" w:color="auto"/>
            <w:left w:val="none" w:sz="0" w:space="0" w:color="auto"/>
            <w:bottom w:val="none" w:sz="0" w:space="0" w:color="auto"/>
            <w:right w:val="none" w:sz="0" w:space="0" w:color="auto"/>
          </w:divBdr>
        </w:div>
        <w:div w:id="1165782583">
          <w:marLeft w:val="0"/>
          <w:marRight w:val="0"/>
          <w:marTop w:val="0"/>
          <w:marBottom w:val="0"/>
          <w:divBdr>
            <w:top w:val="none" w:sz="0" w:space="0" w:color="auto"/>
            <w:left w:val="none" w:sz="0" w:space="0" w:color="auto"/>
            <w:bottom w:val="none" w:sz="0" w:space="0" w:color="auto"/>
            <w:right w:val="none" w:sz="0" w:space="0" w:color="auto"/>
          </w:divBdr>
        </w:div>
        <w:div w:id="1788623897">
          <w:marLeft w:val="0"/>
          <w:marRight w:val="0"/>
          <w:marTop w:val="0"/>
          <w:marBottom w:val="0"/>
          <w:divBdr>
            <w:top w:val="none" w:sz="0" w:space="0" w:color="auto"/>
            <w:left w:val="none" w:sz="0" w:space="0" w:color="auto"/>
            <w:bottom w:val="none" w:sz="0" w:space="0" w:color="auto"/>
            <w:right w:val="none" w:sz="0" w:space="0" w:color="auto"/>
          </w:divBdr>
        </w:div>
        <w:div w:id="900485466">
          <w:marLeft w:val="0"/>
          <w:marRight w:val="0"/>
          <w:marTop w:val="0"/>
          <w:marBottom w:val="0"/>
          <w:divBdr>
            <w:top w:val="none" w:sz="0" w:space="0" w:color="auto"/>
            <w:left w:val="none" w:sz="0" w:space="0" w:color="auto"/>
            <w:bottom w:val="none" w:sz="0" w:space="0" w:color="auto"/>
            <w:right w:val="none" w:sz="0" w:space="0" w:color="auto"/>
          </w:divBdr>
        </w:div>
        <w:div w:id="158271012">
          <w:marLeft w:val="0"/>
          <w:marRight w:val="0"/>
          <w:marTop w:val="0"/>
          <w:marBottom w:val="0"/>
          <w:divBdr>
            <w:top w:val="none" w:sz="0" w:space="0" w:color="auto"/>
            <w:left w:val="none" w:sz="0" w:space="0" w:color="auto"/>
            <w:bottom w:val="none" w:sz="0" w:space="0" w:color="auto"/>
            <w:right w:val="none" w:sz="0" w:space="0" w:color="auto"/>
          </w:divBdr>
        </w:div>
        <w:div w:id="531964010">
          <w:marLeft w:val="0"/>
          <w:marRight w:val="0"/>
          <w:marTop w:val="0"/>
          <w:marBottom w:val="0"/>
          <w:divBdr>
            <w:top w:val="none" w:sz="0" w:space="0" w:color="auto"/>
            <w:left w:val="none" w:sz="0" w:space="0" w:color="auto"/>
            <w:bottom w:val="none" w:sz="0" w:space="0" w:color="auto"/>
            <w:right w:val="none" w:sz="0" w:space="0" w:color="auto"/>
          </w:divBdr>
        </w:div>
        <w:div w:id="209878585">
          <w:marLeft w:val="0"/>
          <w:marRight w:val="0"/>
          <w:marTop w:val="0"/>
          <w:marBottom w:val="0"/>
          <w:divBdr>
            <w:top w:val="none" w:sz="0" w:space="0" w:color="auto"/>
            <w:left w:val="none" w:sz="0" w:space="0" w:color="auto"/>
            <w:bottom w:val="none" w:sz="0" w:space="0" w:color="auto"/>
            <w:right w:val="none" w:sz="0" w:space="0" w:color="auto"/>
          </w:divBdr>
        </w:div>
        <w:div w:id="252401609">
          <w:marLeft w:val="0"/>
          <w:marRight w:val="0"/>
          <w:marTop w:val="0"/>
          <w:marBottom w:val="0"/>
          <w:divBdr>
            <w:top w:val="none" w:sz="0" w:space="0" w:color="auto"/>
            <w:left w:val="none" w:sz="0" w:space="0" w:color="auto"/>
            <w:bottom w:val="none" w:sz="0" w:space="0" w:color="auto"/>
            <w:right w:val="none" w:sz="0" w:space="0" w:color="auto"/>
          </w:divBdr>
        </w:div>
        <w:div w:id="1243686804">
          <w:marLeft w:val="0"/>
          <w:marRight w:val="0"/>
          <w:marTop w:val="0"/>
          <w:marBottom w:val="0"/>
          <w:divBdr>
            <w:top w:val="none" w:sz="0" w:space="0" w:color="auto"/>
            <w:left w:val="none" w:sz="0" w:space="0" w:color="auto"/>
            <w:bottom w:val="none" w:sz="0" w:space="0" w:color="auto"/>
            <w:right w:val="none" w:sz="0" w:space="0" w:color="auto"/>
          </w:divBdr>
        </w:div>
        <w:div w:id="1754471628">
          <w:marLeft w:val="0"/>
          <w:marRight w:val="0"/>
          <w:marTop w:val="0"/>
          <w:marBottom w:val="0"/>
          <w:divBdr>
            <w:top w:val="none" w:sz="0" w:space="0" w:color="auto"/>
            <w:left w:val="none" w:sz="0" w:space="0" w:color="auto"/>
            <w:bottom w:val="none" w:sz="0" w:space="0" w:color="auto"/>
            <w:right w:val="none" w:sz="0" w:space="0" w:color="auto"/>
          </w:divBdr>
        </w:div>
        <w:div w:id="1262487742">
          <w:marLeft w:val="0"/>
          <w:marRight w:val="0"/>
          <w:marTop w:val="0"/>
          <w:marBottom w:val="0"/>
          <w:divBdr>
            <w:top w:val="none" w:sz="0" w:space="0" w:color="auto"/>
            <w:left w:val="none" w:sz="0" w:space="0" w:color="auto"/>
            <w:bottom w:val="none" w:sz="0" w:space="0" w:color="auto"/>
            <w:right w:val="none" w:sz="0" w:space="0" w:color="auto"/>
          </w:divBdr>
        </w:div>
        <w:div w:id="1729263191">
          <w:marLeft w:val="0"/>
          <w:marRight w:val="0"/>
          <w:marTop w:val="0"/>
          <w:marBottom w:val="0"/>
          <w:divBdr>
            <w:top w:val="none" w:sz="0" w:space="0" w:color="auto"/>
            <w:left w:val="none" w:sz="0" w:space="0" w:color="auto"/>
            <w:bottom w:val="none" w:sz="0" w:space="0" w:color="auto"/>
            <w:right w:val="none" w:sz="0" w:space="0" w:color="auto"/>
          </w:divBdr>
        </w:div>
        <w:div w:id="614990932">
          <w:marLeft w:val="0"/>
          <w:marRight w:val="0"/>
          <w:marTop w:val="0"/>
          <w:marBottom w:val="0"/>
          <w:divBdr>
            <w:top w:val="none" w:sz="0" w:space="0" w:color="auto"/>
            <w:left w:val="none" w:sz="0" w:space="0" w:color="auto"/>
            <w:bottom w:val="none" w:sz="0" w:space="0" w:color="auto"/>
            <w:right w:val="none" w:sz="0" w:space="0" w:color="auto"/>
          </w:divBdr>
        </w:div>
        <w:div w:id="543061088">
          <w:marLeft w:val="0"/>
          <w:marRight w:val="0"/>
          <w:marTop w:val="0"/>
          <w:marBottom w:val="0"/>
          <w:divBdr>
            <w:top w:val="none" w:sz="0" w:space="0" w:color="auto"/>
            <w:left w:val="none" w:sz="0" w:space="0" w:color="auto"/>
            <w:bottom w:val="none" w:sz="0" w:space="0" w:color="auto"/>
            <w:right w:val="none" w:sz="0" w:space="0" w:color="auto"/>
          </w:divBdr>
        </w:div>
        <w:div w:id="540213322">
          <w:marLeft w:val="0"/>
          <w:marRight w:val="0"/>
          <w:marTop w:val="0"/>
          <w:marBottom w:val="0"/>
          <w:divBdr>
            <w:top w:val="none" w:sz="0" w:space="0" w:color="auto"/>
            <w:left w:val="none" w:sz="0" w:space="0" w:color="auto"/>
            <w:bottom w:val="none" w:sz="0" w:space="0" w:color="auto"/>
            <w:right w:val="none" w:sz="0" w:space="0" w:color="auto"/>
          </w:divBdr>
        </w:div>
        <w:div w:id="455564100">
          <w:marLeft w:val="0"/>
          <w:marRight w:val="0"/>
          <w:marTop w:val="0"/>
          <w:marBottom w:val="0"/>
          <w:divBdr>
            <w:top w:val="none" w:sz="0" w:space="0" w:color="auto"/>
            <w:left w:val="none" w:sz="0" w:space="0" w:color="auto"/>
            <w:bottom w:val="none" w:sz="0" w:space="0" w:color="auto"/>
            <w:right w:val="none" w:sz="0" w:space="0" w:color="auto"/>
          </w:divBdr>
        </w:div>
        <w:div w:id="1918712043">
          <w:marLeft w:val="0"/>
          <w:marRight w:val="0"/>
          <w:marTop w:val="0"/>
          <w:marBottom w:val="0"/>
          <w:divBdr>
            <w:top w:val="none" w:sz="0" w:space="0" w:color="auto"/>
            <w:left w:val="none" w:sz="0" w:space="0" w:color="auto"/>
            <w:bottom w:val="none" w:sz="0" w:space="0" w:color="auto"/>
            <w:right w:val="none" w:sz="0" w:space="0" w:color="auto"/>
          </w:divBdr>
        </w:div>
        <w:div w:id="395788452">
          <w:marLeft w:val="0"/>
          <w:marRight w:val="0"/>
          <w:marTop w:val="0"/>
          <w:marBottom w:val="0"/>
          <w:divBdr>
            <w:top w:val="none" w:sz="0" w:space="0" w:color="auto"/>
            <w:left w:val="none" w:sz="0" w:space="0" w:color="auto"/>
            <w:bottom w:val="none" w:sz="0" w:space="0" w:color="auto"/>
            <w:right w:val="none" w:sz="0" w:space="0" w:color="auto"/>
          </w:divBdr>
        </w:div>
        <w:div w:id="2022394617">
          <w:marLeft w:val="0"/>
          <w:marRight w:val="0"/>
          <w:marTop w:val="0"/>
          <w:marBottom w:val="0"/>
          <w:divBdr>
            <w:top w:val="none" w:sz="0" w:space="0" w:color="auto"/>
            <w:left w:val="none" w:sz="0" w:space="0" w:color="auto"/>
            <w:bottom w:val="none" w:sz="0" w:space="0" w:color="auto"/>
            <w:right w:val="none" w:sz="0" w:space="0" w:color="auto"/>
          </w:divBdr>
        </w:div>
        <w:div w:id="1463235371">
          <w:marLeft w:val="0"/>
          <w:marRight w:val="0"/>
          <w:marTop w:val="0"/>
          <w:marBottom w:val="0"/>
          <w:divBdr>
            <w:top w:val="none" w:sz="0" w:space="0" w:color="auto"/>
            <w:left w:val="none" w:sz="0" w:space="0" w:color="auto"/>
            <w:bottom w:val="none" w:sz="0" w:space="0" w:color="auto"/>
            <w:right w:val="none" w:sz="0" w:space="0" w:color="auto"/>
          </w:divBdr>
        </w:div>
        <w:div w:id="120194550">
          <w:marLeft w:val="0"/>
          <w:marRight w:val="0"/>
          <w:marTop w:val="0"/>
          <w:marBottom w:val="0"/>
          <w:divBdr>
            <w:top w:val="none" w:sz="0" w:space="0" w:color="auto"/>
            <w:left w:val="none" w:sz="0" w:space="0" w:color="auto"/>
            <w:bottom w:val="none" w:sz="0" w:space="0" w:color="auto"/>
            <w:right w:val="none" w:sz="0" w:space="0" w:color="auto"/>
          </w:divBdr>
        </w:div>
        <w:div w:id="633684412">
          <w:marLeft w:val="0"/>
          <w:marRight w:val="0"/>
          <w:marTop w:val="0"/>
          <w:marBottom w:val="0"/>
          <w:divBdr>
            <w:top w:val="none" w:sz="0" w:space="0" w:color="auto"/>
            <w:left w:val="none" w:sz="0" w:space="0" w:color="auto"/>
            <w:bottom w:val="none" w:sz="0" w:space="0" w:color="auto"/>
            <w:right w:val="none" w:sz="0" w:space="0" w:color="auto"/>
          </w:divBdr>
        </w:div>
        <w:div w:id="1928880089">
          <w:marLeft w:val="0"/>
          <w:marRight w:val="0"/>
          <w:marTop w:val="0"/>
          <w:marBottom w:val="0"/>
          <w:divBdr>
            <w:top w:val="none" w:sz="0" w:space="0" w:color="auto"/>
            <w:left w:val="none" w:sz="0" w:space="0" w:color="auto"/>
            <w:bottom w:val="none" w:sz="0" w:space="0" w:color="auto"/>
            <w:right w:val="none" w:sz="0" w:space="0" w:color="auto"/>
          </w:divBdr>
        </w:div>
        <w:div w:id="759722104">
          <w:marLeft w:val="0"/>
          <w:marRight w:val="0"/>
          <w:marTop w:val="0"/>
          <w:marBottom w:val="0"/>
          <w:divBdr>
            <w:top w:val="none" w:sz="0" w:space="0" w:color="auto"/>
            <w:left w:val="none" w:sz="0" w:space="0" w:color="auto"/>
            <w:bottom w:val="none" w:sz="0" w:space="0" w:color="auto"/>
            <w:right w:val="none" w:sz="0" w:space="0" w:color="auto"/>
          </w:divBdr>
        </w:div>
        <w:div w:id="1669096161">
          <w:marLeft w:val="0"/>
          <w:marRight w:val="0"/>
          <w:marTop w:val="0"/>
          <w:marBottom w:val="0"/>
          <w:divBdr>
            <w:top w:val="none" w:sz="0" w:space="0" w:color="auto"/>
            <w:left w:val="none" w:sz="0" w:space="0" w:color="auto"/>
            <w:bottom w:val="none" w:sz="0" w:space="0" w:color="auto"/>
            <w:right w:val="none" w:sz="0" w:space="0" w:color="auto"/>
          </w:divBdr>
        </w:div>
        <w:div w:id="96096201">
          <w:marLeft w:val="0"/>
          <w:marRight w:val="0"/>
          <w:marTop w:val="0"/>
          <w:marBottom w:val="0"/>
          <w:divBdr>
            <w:top w:val="none" w:sz="0" w:space="0" w:color="auto"/>
            <w:left w:val="none" w:sz="0" w:space="0" w:color="auto"/>
            <w:bottom w:val="none" w:sz="0" w:space="0" w:color="auto"/>
            <w:right w:val="none" w:sz="0" w:space="0" w:color="auto"/>
          </w:divBdr>
        </w:div>
        <w:div w:id="34045620">
          <w:marLeft w:val="0"/>
          <w:marRight w:val="0"/>
          <w:marTop w:val="0"/>
          <w:marBottom w:val="0"/>
          <w:divBdr>
            <w:top w:val="none" w:sz="0" w:space="0" w:color="auto"/>
            <w:left w:val="none" w:sz="0" w:space="0" w:color="auto"/>
            <w:bottom w:val="none" w:sz="0" w:space="0" w:color="auto"/>
            <w:right w:val="none" w:sz="0" w:space="0" w:color="auto"/>
          </w:divBdr>
        </w:div>
        <w:div w:id="2137215170">
          <w:marLeft w:val="0"/>
          <w:marRight w:val="0"/>
          <w:marTop w:val="0"/>
          <w:marBottom w:val="0"/>
          <w:divBdr>
            <w:top w:val="none" w:sz="0" w:space="0" w:color="auto"/>
            <w:left w:val="none" w:sz="0" w:space="0" w:color="auto"/>
            <w:bottom w:val="none" w:sz="0" w:space="0" w:color="auto"/>
            <w:right w:val="none" w:sz="0" w:space="0" w:color="auto"/>
          </w:divBdr>
        </w:div>
        <w:div w:id="955983587">
          <w:marLeft w:val="0"/>
          <w:marRight w:val="0"/>
          <w:marTop w:val="0"/>
          <w:marBottom w:val="0"/>
          <w:divBdr>
            <w:top w:val="none" w:sz="0" w:space="0" w:color="auto"/>
            <w:left w:val="none" w:sz="0" w:space="0" w:color="auto"/>
            <w:bottom w:val="none" w:sz="0" w:space="0" w:color="auto"/>
            <w:right w:val="none" w:sz="0" w:space="0" w:color="auto"/>
          </w:divBdr>
        </w:div>
        <w:div w:id="1935283594">
          <w:marLeft w:val="0"/>
          <w:marRight w:val="0"/>
          <w:marTop w:val="0"/>
          <w:marBottom w:val="0"/>
          <w:divBdr>
            <w:top w:val="none" w:sz="0" w:space="0" w:color="auto"/>
            <w:left w:val="none" w:sz="0" w:space="0" w:color="auto"/>
            <w:bottom w:val="none" w:sz="0" w:space="0" w:color="auto"/>
            <w:right w:val="none" w:sz="0" w:space="0" w:color="auto"/>
          </w:divBdr>
        </w:div>
        <w:div w:id="1627393126">
          <w:marLeft w:val="0"/>
          <w:marRight w:val="0"/>
          <w:marTop w:val="0"/>
          <w:marBottom w:val="0"/>
          <w:divBdr>
            <w:top w:val="none" w:sz="0" w:space="0" w:color="auto"/>
            <w:left w:val="none" w:sz="0" w:space="0" w:color="auto"/>
            <w:bottom w:val="none" w:sz="0" w:space="0" w:color="auto"/>
            <w:right w:val="none" w:sz="0" w:space="0" w:color="auto"/>
          </w:divBdr>
        </w:div>
        <w:div w:id="1122265121">
          <w:marLeft w:val="0"/>
          <w:marRight w:val="0"/>
          <w:marTop w:val="0"/>
          <w:marBottom w:val="0"/>
          <w:divBdr>
            <w:top w:val="none" w:sz="0" w:space="0" w:color="auto"/>
            <w:left w:val="none" w:sz="0" w:space="0" w:color="auto"/>
            <w:bottom w:val="none" w:sz="0" w:space="0" w:color="auto"/>
            <w:right w:val="none" w:sz="0" w:space="0" w:color="auto"/>
          </w:divBdr>
        </w:div>
        <w:div w:id="1373462250">
          <w:marLeft w:val="0"/>
          <w:marRight w:val="0"/>
          <w:marTop w:val="0"/>
          <w:marBottom w:val="0"/>
          <w:divBdr>
            <w:top w:val="none" w:sz="0" w:space="0" w:color="auto"/>
            <w:left w:val="none" w:sz="0" w:space="0" w:color="auto"/>
            <w:bottom w:val="none" w:sz="0" w:space="0" w:color="auto"/>
            <w:right w:val="none" w:sz="0" w:space="0" w:color="auto"/>
          </w:divBdr>
        </w:div>
        <w:div w:id="1248997320">
          <w:marLeft w:val="0"/>
          <w:marRight w:val="0"/>
          <w:marTop w:val="0"/>
          <w:marBottom w:val="0"/>
          <w:divBdr>
            <w:top w:val="none" w:sz="0" w:space="0" w:color="auto"/>
            <w:left w:val="none" w:sz="0" w:space="0" w:color="auto"/>
            <w:bottom w:val="none" w:sz="0" w:space="0" w:color="auto"/>
            <w:right w:val="none" w:sz="0" w:space="0" w:color="auto"/>
          </w:divBdr>
        </w:div>
        <w:div w:id="333266113">
          <w:marLeft w:val="0"/>
          <w:marRight w:val="0"/>
          <w:marTop w:val="0"/>
          <w:marBottom w:val="0"/>
          <w:divBdr>
            <w:top w:val="none" w:sz="0" w:space="0" w:color="auto"/>
            <w:left w:val="none" w:sz="0" w:space="0" w:color="auto"/>
            <w:bottom w:val="none" w:sz="0" w:space="0" w:color="auto"/>
            <w:right w:val="none" w:sz="0" w:space="0" w:color="auto"/>
          </w:divBdr>
        </w:div>
        <w:div w:id="1096444759">
          <w:marLeft w:val="0"/>
          <w:marRight w:val="0"/>
          <w:marTop w:val="0"/>
          <w:marBottom w:val="0"/>
          <w:divBdr>
            <w:top w:val="none" w:sz="0" w:space="0" w:color="auto"/>
            <w:left w:val="none" w:sz="0" w:space="0" w:color="auto"/>
            <w:bottom w:val="none" w:sz="0" w:space="0" w:color="auto"/>
            <w:right w:val="none" w:sz="0" w:space="0" w:color="auto"/>
          </w:divBdr>
        </w:div>
        <w:div w:id="347874955">
          <w:marLeft w:val="0"/>
          <w:marRight w:val="0"/>
          <w:marTop w:val="0"/>
          <w:marBottom w:val="0"/>
          <w:divBdr>
            <w:top w:val="none" w:sz="0" w:space="0" w:color="auto"/>
            <w:left w:val="none" w:sz="0" w:space="0" w:color="auto"/>
            <w:bottom w:val="none" w:sz="0" w:space="0" w:color="auto"/>
            <w:right w:val="none" w:sz="0" w:space="0" w:color="auto"/>
          </w:divBdr>
        </w:div>
        <w:div w:id="928386296">
          <w:marLeft w:val="0"/>
          <w:marRight w:val="0"/>
          <w:marTop w:val="0"/>
          <w:marBottom w:val="0"/>
          <w:divBdr>
            <w:top w:val="none" w:sz="0" w:space="0" w:color="auto"/>
            <w:left w:val="none" w:sz="0" w:space="0" w:color="auto"/>
            <w:bottom w:val="none" w:sz="0" w:space="0" w:color="auto"/>
            <w:right w:val="none" w:sz="0" w:space="0" w:color="auto"/>
          </w:divBdr>
        </w:div>
        <w:div w:id="353464624">
          <w:marLeft w:val="0"/>
          <w:marRight w:val="0"/>
          <w:marTop w:val="0"/>
          <w:marBottom w:val="0"/>
          <w:divBdr>
            <w:top w:val="none" w:sz="0" w:space="0" w:color="auto"/>
            <w:left w:val="none" w:sz="0" w:space="0" w:color="auto"/>
            <w:bottom w:val="none" w:sz="0" w:space="0" w:color="auto"/>
            <w:right w:val="none" w:sz="0" w:space="0" w:color="auto"/>
          </w:divBdr>
        </w:div>
        <w:div w:id="1451438756">
          <w:marLeft w:val="0"/>
          <w:marRight w:val="0"/>
          <w:marTop w:val="0"/>
          <w:marBottom w:val="0"/>
          <w:divBdr>
            <w:top w:val="none" w:sz="0" w:space="0" w:color="auto"/>
            <w:left w:val="none" w:sz="0" w:space="0" w:color="auto"/>
            <w:bottom w:val="none" w:sz="0" w:space="0" w:color="auto"/>
            <w:right w:val="none" w:sz="0" w:space="0" w:color="auto"/>
          </w:divBdr>
        </w:div>
        <w:div w:id="1118448357">
          <w:marLeft w:val="0"/>
          <w:marRight w:val="0"/>
          <w:marTop w:val="0"/>
          <w:marBottom w:val="0"/>
          <w:divBdr>
            <w:top w:val="none" w:sz="0" w:space="0" w:color="auto"/>
            <w:left w:val="none" w:sz="0" w:space="0" w:color="auto"/>
            <w:bottom w:val="none" w:sz="0" w:space="0" w:color="auto"/>
            <w:right w:val="none" w:sz="0" w:space="0" w:color="auto"/>
          </w:divBdr>
        </w:div>
        <w:div w:id="934020130">
          <w:marLeft w:val="0"/>
          <w:marRight w:val="0"/>
          <w:marTop w:val="0"/>
          <w:marBottom w:val="0"/>
          <w:divBdr>
            <w:top w:val="none" w:sz="0" w:space="0" w:color="auto"/>
            <w:left w:val="none" w:sz="0" w:space="0" w:color="auto"/>
            <w:bottom w:val="none" w:sz="0" w:space="0" w:color="auto"/>
            <w:right w:val="none" w:sz="0" w:space="0" w:color="auto"/>
          </w:divBdr>
        </w:div>
        <w:div w:id="438179663">
          <w:marLeft w:val="0"/>
          <w:marRight w:val="0"/>
          <w:marTop w:val="0"/>
          <w:marBottom w:val="0"/>
          <w:divBdr>
            <w:top w:val="none" w:sz="0" w:space="0" w:color="auto"/>
            <w:left w:val="none" w:sz="0" w:space="0" w:color="auto"/>
            <w:bottom w:val="none" w:sz="0" w:space="0" w:color="auto"/>
            <w:right w:val="none" w:sz="0" w:space="0" w:color="auto"/>
          </w:divBdr>
        </w:div>
        <w:div w:id="860896844">
          <w:marLeft w:val="0"/>
          <w:marRight w:val="0"/>
          <w:marTop w:val="0"/>
          <w:marBottom w:val="0"/>
          <w:divBdr>
            <w:top w:val="none" w:sz="0" w:space="0" w:color="auto"/>
            <w:left w:val="none" w:sz="0" w:space="0" w:color="auto"/>
            <w:bottom w:val="none" w:sz="0" w:space="0" w:color="auto"/>
            <w:right w:val="none" w:sz="0" w:space="0" w:color="auto"/>
          </w:divBdr>
        </w:div>
        <w:div w:id="2075274303">
          <w:marLeft w:val="0"/>
          <w:marRight w:val="0"/>
          <w:marTop w:val="0"/>
          <w:marBottom w:val="0"/>
          <w:divBdr>
            <w:top w:val="none" w:sz="0" w:space="0" w:color="auto"/>
            <w:left w:val="none" w:sz="0" w:space="0" w:color="auto"/>
            <w:bottom w:val="none" w:sz="0" w:space="0" w:color="auto"/>
            <w:right w:val="none" w:sz="0" w:space="0" w:color="auto"/>
          </w:divBdr>
        </w:div>
        <w:div w:id="125896721">
          <w:marLeft w:val="0"/>
          <w:marRight w:val="0"/>
          <w:marTop w:val="0"/>
          <w:marBottom w:val="0"/>
          <w:divBdr>
            <w:top w:val="none" w:sz="0" w:space="0" w:color="auto"/>
            <w:left w:val="none" w:sz="0" w:space="0" w:color="auto"/>
            <w:bottom w:val="none" w:sz="0" w:space="0" w:color="auto"/>
            <w:right w:val="none" w:sz="0" w:space="0" w:color="auto"/>
          </w:divBdr>
        </w:div>
        <w:div w:id="163203962">
          <w:marLeft w:val="0"/>
          <w:marRight w:val="0"/>
          <w:marTop w:val="0"/>
          <w:marBottom w:val="0"/>
          <w:divBdr>
            <w:top w:val="none" w:sz="0" w:space="0" w:color="auto"/>
            <w:left w:val="none" w:sz="0" w:space="0" w:color="auto"/>
            <w:bottom w:val="none" w:sz="0" w:space="0" w:color="auto"/>
            <w:right w:val="none" w:sz="0" w:space="0" w:color="auto"/>
          </w:divBdr>
        </w:div>
        <w:div w:id="757402932">
          <w:marLeft w:val="0"/>
          <w:marRight w:val="0"/>
          <w:marTop w:val="0"/>
          <w:marBottom w:val="0"/>
          <w:divBdr>
            <w:top w:val="none" w:sz="0" w:space="0" w:color="auto"/>
            <w:left w:val="none" w:sz="0" w:space="0" w:color="auto"/>
            <w:bottom w:val="none" w:sz="0" w:space="0" w:color="auto"/>
            <w:right w:val="none" w:sz="0" w:space="0" w:color="auto"/>
          </w:divBdr>
        </w:div>
        <w:div w:id="165753429">
          <w:marLeft w:val="0"/>
          <w:marRight w:val="0"/>
          <w:marTop w:val="0"/>
          <w:marBottom w:val="0"/>
          <w:divBdr>
            <w:top w:val="none" w:sz="0" w:space="0" w:color="auto"/>
            <w:left w:val="none" w:sz="0" w:space="0" w:color="auto"/>
            <w:bottom w:val="none" w:sz="0" w:space="0" w:color="auto"/>
            <w:right w:val="none" w:sz="0" w:space="0" w:color="auto"/>
          </w:divBdr>
        </w:div>
        <w:div w:id="1848671119">
          <w:marLeft w:val="0"/>
          <w:marRight w:val="0"/>
          <w:marTop w:val="0"/>
          <w:marBottom w:val="0"/>
          <w:divBdr>
            <w:top w:val="none" w:sz="0" w:space="0" w:color="auto"/>
            <w:left w:val="none" w:sz="0" w:space="0" w:color="auto"/>
            <w:bottom w:val="none" w:sz="0" w:space="0" w:color="auto"/>
            <w:right w:val="none" w:sz="0" w:space="0" w:color="auto"/>
          </w:divBdr>
        </w:div>
        <w:div w:id="1245528781">
          <w:marLeft w:val="0"/>
          <w:marRight w:val="0"/>
          <w:marTop w:val="0"/>
          <w:marBottom w:val="0"/>
          <w:divBdr>
            <w:top w:val="none" w:sz="0" w:space="0" w:color="auto"/>
            <w:left w:val="none" w:sz="0" w:space="0" w:color="auto"/>
            <w:bottom w:val="none" w:sz="0" w:space="0" w:color="auto"/>
            <w:right w:val="none" w:sz="0" w:space="0" w:color="auto"/>
          </w:divBdr>
        </w:div>
        <w:div w:id="1577132645">
          <w:marLeft w:val="0"/>
          <w:marRight w:val="0"/>
          <w:marTop w:val="0"/>
          <w:marBottom w:val="0"/>
          <w:divBdr>
            <w:top w:val="none" w:sz="0" w:space="0" w:color="auto"/>
            <w:left w:val="none" w:sz="0" w:space="0" w:color="auto"/>
            <w:bottom w:val="none" w:sz="0" w:space="0" w:color="auto"/>
            <w:right w:val="none" w:sz="0" w:space="0" w:color="auto"/>
          </w:divBdr>
        </w:div>
        <w:div w:id="469133512">
          <w:marLeft w:val="0"/>
          <w:marRight w:val="0"/>
          <w:marTop w:val="0"/>
          <w:marBottom w:val="0"/>
          <w:divBdr>
            <w:top w:val="none" w:sz="0" w:space="0" w:color="auto"/>
            <w:left w:val="none" w:sz="0" w:space="0" w:color="auto"/>
            <w:bottom w:val="none" w:sz="0" w:space="0" w:color="auto"/>
            <w:right w:val="none" w:sz="0" w:space="0" w:color="auto"/>
          </w:divBdr>
        </w:div>
        <w:div w:id="1481845519">
          <w:marLeft w:val="0"/>
          <w:marRight w:val="0"/>
          <w:marTop w:val="0"/>
          <w:marBottom w:val="0"/>
          <w:divBdr>
            <w:top w:val="none" w:sz="0" w:space="0" w:color="auto"/>
            <w:left w:val="none" w:sz="0" w:space="0" w:color="auto"/>
            <w:bottom w:val="none" w:sz="0" w:space="0" w:color="auto"/>
            <w:right w:val="none" w:sz="0" w:space="0" w:color="auto"/>
          </w:divBdr>
        </w:div>
        <w:div w:id="2139182725">
          <w:marLeft w:val="0"/>
          <w:marRight w:val="0"/>
          <w:marTop w:val="0"/>
          <w:marBottom w:val="0"/>
          <w:divBdr>
            <w:top w:val="none" w:sz="0" w:space="0" w:color="auto"/>
            <w:left w:val="none" w:sz="0" w:space="0" w:color="auto"/>
            <w:bottom w:val="none" w:sz="0" w:space="0" w:color="auto"/>
            <w:right w:val="none" w:sz="0" w:space="0" w:color="auto"/>
          </w:divBdr>
        </w:div>
        <w:div w:id="1256133722">
          <w:marLeft w:val="0"/>
          <w:marRight w:val="0"/>
          <w:marTop w:val="0"/>
          <w:marBottom w:val="0"/>
          <w:divBdr>
            <w:top w:val="none" w:sz="0" w:space="0" w:color="auto"/>
            <w:left w:val="none" w:sz="0" w:space="0" w:color="auto"/>
            <w:bottom w:val="none" w:sz="0" w:space="0" w:color="auto"/>
            <w:right w:val="none" w:sz="0" w:space="0" w:color="auto"/>
          </w:divBdr>
        </w:div>
        <w:div w:id="1154683274">
          <w:marLeft w:val="0"/>
          <w:marRight w:val="0"/>
          <w:marTop w:val="0"/>
          <w:marBottom w:val="0"/>
          <w:divBdr>
            <w:top w:val="none" w:sz="0" w:space="0" w:color="auto"/>
            <w:left w:val="none" w:sz="0" w:space="0" w:color="auto"/>
            <w:bottom w:val="none" w:sz="0" w:space="0" w:color="auto"/>
            <w:right w:val="none" w:sz="0" w:space="0" w:color="auto"/>
          </w:divBdr>
        </w:div>
        <w:div w:id="1912688061">
          <w:marLeft w:val="0"/>
          <w:marRight w:val="0"/>
          <w:marTop w:val="0"/>
          <w:marBottom w:val="0"/>
          <w:divBdr>
            <w:top w:val="none" w:sz="0" w:space="0" w:color="auto"/>
            <w:left w:val="none" w:sz="0" w:space="0" w:color="auto"/>
            <w:bottom w:val="none" w:sz="0" w:space="0" w:color="auto"/>
            <w:right w:val="none" w:sz="0" w:space="0" w:color="auto"/>
          </w:divBdr>
        </w:div>
        <w:div w:id="1969973318">
          <w:marLeft w:val="0"/>
          <w:marRight w:val="0"/>
          <w:marTop w:val="0"/>
          <w:marBottom w:val="0"/>
          <w:divBdr>
            <w:top w:val="none" w:sz="0" w:space="0" w:color="auto"/>
            <w:left w:val="none" w:sz="0" w:space="0" w:color="auto"/>
            <w:bottom w:val="none" w:sz="0" w:space="0" w:color="auto"/>
            <w:right w:val="none" w:sz="0" w:space="0" w:color="auto"/>
          </w:divBdr>
        </w:div>
        <w:div w:id="1753966604">
          <w:marLeft w:val="0"/>
          <w:marRight w:val="0"/>
          <w:marTop w:val="0"/>
          <w:marBottom w:val="0"/>
          <w:divBdr>
            <w:top w:val="none" w:sz="0" w:space="0" w:color="auto"/>
            <w:left w:val="none" w:sz="0" w:space="0" w:color="auto"/>
            <w:bottom w:val="none" w:sz="0" w:space="0" w:color="auto"/>
            <w:right w:val="none" w:sz="0" w:space="0" w:color="auto"/>
          </w:divBdr>
        </w:div>
        <w:div w:id="1101993566">
          <w:marLeft w:val="0"/>
          <w:marRight w:val="0"/>
          <w:marTop w:val="0"/>
          <w:marBottom w:val="0"/>
          <w:divBdr>
            <w:top w:val="none" w:sz="0" w:space="0" w:color="auto"/>
            <w:left w:val="none" w:sz="0" w:space="0" w:color="auto"/>
            <w:bottom w:val="none" w:sz="0" w:space="0" w:color="auto"/>
            <w:right w:val="none" w:sz="0" w:space="0" w:color="auto"/>
          </w:divBdr>
        </w:div>
        <w:div w:id="794252589">
          <w:marLeft w:val="0"/>
          <w:marRight w:val="0"/>
          <w:marTop w:val="0"/>
          <w:marBottom w:val="0"/>
          <w:divBdr>
            <w:top w:val="none" w:sz="0" w:space="0" w:color="auto"/>
            <w:left w:val="none" w:sz="0" w:space="0" w:color="auto"/>
            <w:bottom w:val="none" w:sz="0" w:space="0" w:color="auto"/>
            <w:right w:val="none" w:sz="0" w:space="0" w:color="auto"/>
          </w:divBdr>
        </w:div>
        <w:div w:id="1075586446">
          <w:marLeft w:val="0"/>
          <w:marRight w:val="0"/>
          <w:marTop w:val="0"/>
          <w:marBottom w:val="0"/>
          <w:divBdr>
            <w:top w:val="none" w:sz="0" w:space="0" w:color="auto"/>
            <w:left w:val="none" w:sz="0" w:space="0" w:color="auto"/>
            <w:bottom w:val="none" w:sz="0" w:space="0" w:color="auto"/>
            <w:right w:val="none" w:sz="0" w:space="0" w:color="auto"/>
          </w:divBdr>
        </w:div>
        <w:div w:id="1314988194">
          <w:marLeft w:val="0"/>
          <w:marRight w:val="0"/>
          <w:marTop w:val="0"/>
          <w:marBottom w:val="0"/>
          <w:divBdr>
            <w:top w:val="none" w:sz="0" w:space="0" w:color="auto"/>
            <w:left w:val="none" w:sz="0" w:space="0" w:color="auto"/>
            <w:bottom w:val="none" w:sz="0" w:space="0" w:color="auto"/>
            <w:right w:val="none" w:sz="0" w:space="0" w:color="auto"/>
          </w:divBdr>
        </w:div>
        <w:div w:id="1907447920">
          <w:marLeft w:val="0"/>
          <w:marRight w:val="0"/>
          <w:marTop w:val="0"/>
          <w:marBottom w:val="0"/>
          <w:divBdr>
            <w:top w:val="none" w:sz="0" w:space="0" w:color="auto"/>
            <w:left w:val="none" w:sz="0" w:space="0" w:color="auto"/>
            <w:bottom w:val="none" w:sz="0" w:space="0" w:color="auto"/>
            <w:right w:val="none" w:sz="0" w:space="0" w:color="auto"/>
          </w:divBdr>
        </w:div>
        <w:div w:id="1442527932">
          <w:marLeft w:val="0"/>
          <w:marRight w:val="0"/>
          <w:marTop w:val="0"/>
          <w:marBottom w:val="0"/>
          <w:divBdr>
            <w:top w:val="none" w:sz="0" w:space="0" w:color="auto"/>
            <w:left w:val="none" w:sz="0" w:space="0" w:color="auto"/>
            <w:bottom w:val="none" w:sz="0" w:space="0" w:color="auto"/>
            <w:right w:val="none" w:sz="0" w:space="0" w:color="auto"/>
          </w:divBdr>
        </w:div>
        <w:div w:id="1642274409">
          <w:marLeft w:val="0"/>
          <w:marRight w:val="0"/>
          <w:marTop w:val="0"/>
          <w:marBottom w:val="0"/>
          <w:divBdr>
            <w:top w:val="none" w:sz="0" w:space="0" w:color="auto"/>
            <w:left w:val="none" w:sz="0" w:space="0" w:color="auto"/>
            <w:bottom w:val="none" w:sz="0" w:space="0" w:color="auto"/>
            <w:right w:val="none" w:sz="0" w:space="0" w:color="auto"/>
          </w:divBdr>
        </w:div>
        <w:div w:id="622813565">
          <w:marLeft w:val="0"/>
          <w:marRight w:val="0"/>
          <w:marTop w:val="0"/>
          <w:marBottom w:val="0"/>
          <w:divBdr>
            <w:top w:val="none" w:sz="0" w:space="0" w:color="auto"/>
            <w:left w:val="none" w:sz="0" w:space="0" w:color="auto"/>
            <w:bottom w:val="none" w:sz="0" w:space="0" w:color="auto"/>
            <w:right w:val="none" w:sz="0" w:space="0" w:color="auto"/>
          </w:divBdr>
        </w:div>
        <w:div w:id="490292663">
          <w:marLeft w:val="0"/>
          <w:marRight w:val="0"/>
          <w:marTop w:val="0"/>
          <w:marBottom w:val="0"/>
          <w:divBdr>
            <w:top w:val="none" w:sz="0" w:space="0" w:color="auto"/>
            <w:left w:val="none" w:sz="0" w:space="0" w:color="auto"/>
            <w:bottom w:val="none" w:sz="0" w:space="0" w:color="auto"/>
            <w:right w:val="none" w:sz="0" w:space="0" w:color="auto"/>
          </w:divBdr>
        </w:div>
        <w:div w:id="133375434">
          <w:marLeft w:val="0"/>
          <w:marRight w:val="0"/>
          <w:marTop w:val="0"/>
          <w:marBottom w:val="0"/>
          <w:divBdr>
            <w:top w:val="none" w:sz="0" w:space="0" w:color="auto"/>
            <w:left w:val="none" w:sz="0" w:space="0" w:color="auto"/>
            <w:bottom w:val="none" w:sz="0" w:space="0" w:color="auto"/>
            <w:right w:val="none" w:sz="0" w:space="0" w:color="auto"/>
          </w:divBdr>
        </w:div>
        <w:div w:id="1042821698">
          <w:marLeft w:val="0"/>
          <w:marRight w:val="0"/>
          <w:marTop w:val="0"/>
          <w:marBottom w:val="0"/>
          <w:divBdr>
            <w:top w:val="none" w:sz="0" w:space="0" w:color="auto"/>
            <w:left w:val="none" w:sz="0" w:space="0" w:color="auto"/>
            <w:bottom w:val="none" w:sz="0" w:space="0" w:color="auto"/>
            <w:right w:val="none" w:sz="0" w:space="0" w:color="auto"/>
          </w:divBdr>
        </w:div>
        <w:div w:id="887490724">
          <w:marLeft w:val="0"/>
          <w:marRight w:val="0"/>
          <w:marTop w:val="0"/>
          <w:marBottom w:val="0"/>
          <w:divBdr>
            <w:top w:val="none" w:sz="0" w:space="0" w:color="auto"/>
            <w:left w:val="none" w:sz="0" w:space="0" w:color="auto"/>
            <w:bottom w:val="none" w:sz="0" w:space="0" w:color="auto"/>
            <w:right w:val="none" w:sz="0" w:space="0" w:color="auto"/>
          </w:divBdr>
        </w:div>
        <w:div w:id="380714650">
          <w:marLeft w:val="0"/>
          <w:marRight w:val="0"/>
          <w:marTop w:val="0"/>
          <w:marBottom w:val="0"/>
          <w:divBdr>
            <w:top w:val="none" w:sz="0" w:space="0" w:color="auto"/>
            <w:left w:val="none" w:sz="0" w:space="0" w:color="auto"/>
            <w:bottom w:val="none" w:sz="0" w:space="0" w:color="auto"/>
            <w:right w:val="none" w:sz="0" w:space="0" w:color="auto"/>
          </w:divBdr>
        </w:div>
        <w:div w:id="786776300">
          <w:marLeft w:val="0"/>
          <w:marRight w:val="0"/>
          <w:marTop w:val="0"/>
          <w:marBottom w:val="0"/>
          <w:divBdr>
            <w:top w:val="none" w:sz="0" w:space="0" w:color="auto"/>
            <w:left w:val="none" w:sz="0" w:space="0" w:color="auto"/>
            <w:bottom w:val="none" w:sz="0" w:space="0" w:color="auto"/>
            <w:right w:val="none" w:sz="0" w:space="0" w:color="auto"/>
          </w:divBdr>
        </w:div>
        <w:div w:id="1105344305">
          <w:marLeft w:val="0"/>
          <w:marRight w:val="0"/>
          <w:marTop w:val="0"/>
          <w:marBottom w:val="0"/>
          <w:divBdr>
            <w:top w:val="none" w:sz="0" w:space="0" w:color="auto"/>
            <w:left w:val="none" w:sz="0" w:space="0" w:color="auto"/>
            <w:bottom w:val="none" w:sz="0" w:space="0" w:color="auto"/>
            <w:right w:val="none" w:sz="0" w:space="0" w:color="auto"/>
          </w:divBdr>
        </w:div>
        <w:div w:id="1864397251">
          <w:marLeft w:val="0"/>
          <w:marRight w:val="0"/>
          <w:marTop w:val="0"/>
          <w:marBottom w:val="0"/>
          <w:divBdr>
            <w:top w:val="none" w:sz="0" w:space="0" w:color="auto"/>
            <w:left w:val="none" w:sz="0" w:space="0" w:color="auto"/>
            <w:bottom w:val="none" w:sz="0" w:space="0" w:color="auto"/>
            <w:right w:val="none" w:sz="0" w:space="0" w:color="auto"/>
          </w:divBdr>
        </w:div>
        <w:div w:id="1570843802">
          <w:marLeft w:val="0"/>
          <w:marRight w:val="0"/>
          <w:marTop w:val="0"/>
          <w:marBottom w:val="0"/>
          <w:divBdr>
            <w:top w:val="none" w:sz="0" w:space="0" w:color="auto"/>
            <w:left w:val="none" w:sz="0" w:space="0" w:color="auto"/>
            <w:bottom w:val="none" w:sz="0" w:space="0" w:color="auto"/>
            <w:right w:val="none" w:sz="0" w:space="0" w:color="auto"/>
          </w:divBdr>
        </w:div>
        <w:div w:id="1905871321">
          <w:marLeft w:val="0"/>
          <w:marRight w:val="0"/>
          <w:marTop w:val="0"/>
          <w:marBottom w:val="0"/>
          <w:divBdr>
            <w:top w:val="none" w:sz="0" w:space="0" w:color="auto"/>
            <w:left w:val="none" w:sz="0" w:space="0" w:color="auto"/>
            <w:bottom w:val="none" w:sz="0" w:space="0" w:color="auto"/>
            <w:right w:val="none" w:sz="0" w:space="0" w:color="auto"/>
          </w:divBdr>
        </w:div>
        <w:div w:id="551113886">
          <w:marLeft w:val="0"/>
          <w:marRight w:val="0"/>
          <w:marTop w:val="0"/>
          <w:marBottom w:val="0"/>
          <w:divBdr>
            <w:top w:val="none" w:sz="0" w:space="0" w:color="auto"/>
            <w:left w:val="none" w:sz="0" w:space="0" w:color="auto"/>
            <w:bottom w:val="none" w:sz="0" w:space="0" w:color="auto"/>
            <w:right w:val="none" w:sz="0" w:space="0" w:color="auto"/>
          </w:divBdr>
        </w:div>
        <w:div w:id="1689989353">
          <w:marLeft w:val="0"/>
          <w:marRight w:val="0"/>
          <w:marTop w:val="0"/>
          <w:marBottom w:val="0"/>
          <w:divBdr>
            <w:top w:val="none" w:sz="0" w:space="0" w:color="auto"/>
            <w:left w:val="none" w:sz="0" w:space="0" w:color="auto"/>
            <w:bottom w:val="none" w:sz="0" w:space="0" w:color="auto"/>
            <w:right w:val="none" w:sz="0" w:space="0" w:color="auto"/>
          </w:divBdr>
        </w:div>
        <w:div w:id="1897205488">
          <w:marLeft w:val="0"/>
          <w:marRight w:val="0"/>
          <w:marTop w:val="0"/>
          <w:marBottom w:val="0"/>
          <w:divBdr>
            <w:top w:val="none" w:sz="0" w:space="0" w:color="auto"/>
            <w:left w:val="none" w:sz="0" w:space="0" w:color="auto"/>
            <w:bottom w:val="none" w:sz="0" w:space="0" w:color="auto"/>
            <w:right w:val="none" w:sz="0" w:space="0" w:color="auto"/>
          </w:divBdr>
        </w:div>
        <w:div w:id="403070774">
          <w:marLeft w:val="0"/>
          <w:marRight w:val="0"/>
          <w:marTop w:val="0"/>
          <w:marBottom w:val="0"/>
          <w:divBdr>
            <w:top w:val="none" w:sz="0" w:space="0" w:color="auto"/>
            <w:left w:val="none" w:sz="0" w:space="0" w:color="auto"/>
            <w:bottom w:val="none" w:sz="0" w:space="0" w:color="auto"/>
            <w:right w:val="none" w:sz="0" w:space="0" w:color="auto"/>
          </w:divBdr>
        </w:div>
        <w:div w:id="1228960001">
          <w:marLeft w:val="0"/>
          <w:marRight w:val="0"/>
          <w:marTop w:val="0"/>
          <w:marBottom w:val="0"/>
          <w:divBdr>
            <w:top w:val="none" w:sz="0" w:space="0" w:color="auto"/>
            <w:left w:val="none" w:sz="0" w:space="0" w:color="auto"/>
            <w:bottom w:val="none" w:sz="0" w:space="0" w:color="auto"/>
            <w:right w:val="none" w:sz="0" w:space="0" w:color="auto"/>
          </w:divBdr>
        </w:div>
        <w:div w:id="1542204742">
          <w:marLeft w:val="0"/>
          <w:marRight w:val="0"/>
          <w:marTop w:val="0"/>
          <w:marBottom w:val="0"/>
          <w:divBdr>
            <w:top w:val="none" w:sz="0" w:space="0" w:color="auto"/>
            <w:left w:val="none" w:sz="0" w:space="0" w:color="auto"/>
            <w:bottom w:val="none" w:sz="0" w:space="0" w:color="auto"/>
            <w:right w:val="none" w:sz="0" w:space="0" w:color="auto"/>
          </w:divBdr>
        </w:div>
        <w:div w:id="1861817661">
          <w:marLeft w:val="0"/>
          <w:marRight w:val="0"/>
          <w:marTop w:val="0"/>
          <w:marBottom w:val="0"/>
          <w:divBdr>
            <w:top w:val="none" w:sz="0" w:space="0" w:color="auto"/>
            <w:left w:val="none" w:sz="0" w:space="0" w:color="auto"/>
            <w:bottom w:val="none" w:sz="0" w:space="0" w:color="auto"/>
            <w:right w:val="none" w:sz="0" w:space="0" w:color="auto"/>
          </w:divBdr>
        </w:div>
        <w:div w:id="1613779753">
          <w:marLeft w:val="0"/>
          <w:marRight w:val="0"/>
          <w:marTop w:val="0"/>
          <w:marBottom w:val="0"/>
          <w:divBdr>
            <w:top w:val="none" w:sz="0" w:space="0" w:color="auto"/>
            <w:left w:val="none" w:sz="0" w:space="0" w:color="auto"/>
            <w:bottom w:val="none" w:sz="0" w:space="0" w:color="auto"/>
            <w:right w:val="none" w:sz="0" w:space="0" w:color="auto"/>
          </w:divBdr>
        </w:div>
        <w:div w:id="2035302216">
          <w:marLeft w:val="0"/>
          <w:marRight w:val="0"/>
          <w:marTop w:val="0"/>
          <w:marBottom w:val="0"/>
          <w:divBdr>
            <w:top w:val="none" w:sz="0" w:space="0" w:color="auto"/>
            <w:left w:val="none" w:sz="0" w:space="0" w:color="auto"/>
            <w:bottom w:val="none" w:sz="0" w:space="0" w:color="auto"/>
            <w:right w:val="none" w:sz="0" w:space="0" w:color="auto"/>
          </w:divBdr>
        </w:div>
        <w:div w:id="1034961128">
          <w:marLeft w:val="0"/>
          <w:marRight w:val="0"/>
          <w:marTop w:val="0"/>
          <w:marBottom w:val="0"/>
          <w:divBdr>
            <w:top w:val="none" w:sz="0" w:space="0" w:color="auto"/>
            <w:left w:val="none" w:sz="0" w:space="0" w:color="auto"/>
            <w:bottom w:val="none" w:sz="0" w:space="0" w:color="auto"/>
            <w:right w:val="none" w:sz="0" w:space="0" w:color="auto"/>
          </w:divBdr>
        </w:div>
        <w:div w:id="472404614">
          <w:marLeft w:val="0"/>
          <w:marRight w:val="0"/>
          <w:marTop w:val="0"/>
          <w:marBottom w:val="0"/>
          <w:divBdr>
            <w:top w:val="none" w:sz="0" w:space="0" w:color="auto"/>
            <w:left w:val="none" w:sz="0" w:space="0" w:color="auto"/>
            <w:bottom w:val="none" w:sz="0" w:space="0" w:color="auto"/>
            <w:right w:val="none" w:sz="0" w:space="0" w:color="auto"/>
          </w:divBdr>
        </w:div>
        <w:div w:id="226110165">
          <w:marLeft w:val="0"/>
          <w:marRight w:val="0"/>
          <w:marTop w:val="0"/>
          <w:marBottom w:val="0"/>
          <w:divBdr>
            <w:top w:val="none" w:sz="0" w:space="0" w:color="auto"/>
            <w:left w:val="none" w:sz="0" w:space="0" w:color="auto"/>
            <w:bottom w:val="none" w:sz="0" w:space="0" w:color="auto"/>
            <w:right w:val="none" w:sz="0" w:space="0" w:color="auto"/>
          </w:divBdr>
        </w:div>
        <w:div w:id="1251088356">
          <w:marLeft w:val="0"/>
          <w:marRight w:val="0"/>
          <w:marTop w:val="0"/>
          <w:marBottom w:val="0"/>
          <w:divBdr>
            <w:top w:val="none" w:sz="0" w:space="0" w:color="auto"/>
            <w:left w:val="none" w:sz="0" w:space="0" w:color="auto"/>
            <w:bottom w:val="none" w:sz="0" w:space="0" w:color="auto"/>
            <w:right w:val="none" w:sz="0" w:space="0" w:color="auto"/>
          </w:divBdr>
        </w:div>
        <w:div w:id="498155660">
          <w:marLeft w:val="0"/>
          <w:marRight w:val="0"/>
          <w:marTop w:val="0"/>
          <w:marBottom w:val="0"/>
          <w:divBdr>
            <w:top w:val="none" w:sz="0" w:space="0" w:color="auto"/>
            <w:left w:val="none" w:sz="0" w:space="0" w:color="auto"/>
            <w:bottom w:val="none" w:sz="0" w:space="0" w:color="auto"/>
            <w:right w:val="none" w:sz="0" w:space="0" w:color="auto"/>
          </w:divBdr>
        </w:div>
        <w:div w:id="1136534192">
          <w:marLeft w:val="0"/>
          <w:marRight w:val="0"/>
          <w:marTop w:val="0"/>
          <w:marBottom w:val="0"/>
          <w:divBdr>
            <w:top w:val="none" w:sz="0" w:space="0" w:color="auto"/>
            <w:left w:val="none" w:sz="0" w:space="0" w:color="auto"/>
            <w:bottom w:val="none" w:sz="0" w:space="0" w:color="auto"/>
            <w:right w:val="none" w:sz="0" w:space="0" w:color="auto"/>
          </w:divBdr>
        </w:div>
        <w:div w:id="1403261237">
          <w:marLeft w:val="0"/>
          <w:marRight w:val="0"/>
          <w:marTop w:val="0"/>
          <w:marBottom w:val="0"/>
          <w:divBdr>
            <w:top w:val="none" w:sz="0" w:space="0" w:color="auto"/>
            <w:left w:val="none" w:sz="0" w:space="0" w:color="auto"/>
            <w:bottom w:val="none" w:sz="0" w:space="0" w:color="auto"/>
            <w:right w:val="none" w:sz="0" w:space="0" w:color="auto"/>
          </w:divBdr>
        </w:div>
        <w:div w:id="575819226">
          <w:marLeft w:val="0"/>
          <w:marRight w:val="0"/>
          <w:marTop w:val="0"/>
          <w:marBottom w:val="0"/>
          <w:divBdr>
            <w:top w:val="none" w:sz="0" w:space="0" w:color="auto"/>
            <w:left w:val="none" w:sz="0" w:space="0" w:color="auto"/>
            <w:bottom w:val="none" w:sz="0" w:space="0" w:color="auto"/>
            <w:right w:val="none" w:sz="0" w:space="0" w:color="auto"/>
          </w:divBdr>
        </w:div>
        <w:div w:id="1346711805">
          <w:marLeft w:val="0"/>
          <w:marRight w:val="0"/>
          <w:marTop w:val="0"/>
          <w:marBottom w:val="0"/>
          <w:divBdr>
            <w:top w:val="none" w:sz="0" w:space="0" w:color="auto"/>
            <w:left w:val="none" w:sz="0" w:space="0" w:color="auto"/>
            <w:bottom w:val="none" w:sz="0" w:space="0" w:color="auto"/>
            <w:right w:val="none" w:sz="0" w:space="0" w:color="auto"/>
          </w:divBdr>
        </w:div>
        <w:div w:id="2037192768">
          <w:marLeft w:val="0"/>
          <w:marRight w:val="0"/>
          <w:marTop w:val="0"/>
          <w:marBottom w:val="0"/>
          <w:divBdr>
            <w:top w:val="none" w:sz="0" w:space="0" w:color="auto"/>
            <w:left w:val="none" w:sz="0" w:space="0" w:color="auto"/>
            <w:bottom w:val="none" w:sz="0" w:space="0" w:color="auto"/>
            <w:right w:val="none" w:sz="0" w:space="0" w:color="auto"/>
          </w:divBdr>
        </w:div>
        <w:div w:id="1637683791">
          <w:marLeft w:val="0"/>
          <w:marRight w:val="0"/>
          <w:marTop w:val="0"/>
          <w:marBottom w:val="0"/>
          <w:divBdr>
            <w:top w:val="none" w:sz="0" w:space="0" w:color="auto"/>
            <w:left w:val="none" w:sz="0" w:space="0" w:color="auto"/>
            <w:bottom w:val="none" w:sz="0" w:space="0" w:color="auto"/>
            <w:right w:val="none" w:sz="0" w:space="0" w:color="auto"/>
          </w:divBdr>
        </w:div>
        <w:div w:id="2025860700">
          <w:marLeft w:val="0"/>
          <w:marRight w:val="0"/>
          <w:marTop w:val="0"/>
          <w:marBottom w:val="0"/>
          <w:divBdr>
            <w:top w:val="none" w:sz="0" w:space="0" w:color="auto"/>
            <w:left w:val="none" w:sz="0" w:space="0" w:color="auto"/>
            <w:bottom w:val="none" w:sz="0" w:space="0" w:color="auto"/>
            <w:right w:val="none" w:sz="0" w:space="0" w:color="auto"/>
          </w:divBdr>
        </w:div>
        <w:div w:id="133720817">
          <w:marLeft w:val="0"/>
          <w:marRight w:val="0"/>
          <w:marTop w:val="0"/>
          <w:marBottom w:val="0"/>
          <w:divBdr>
            <w:top w:val="none" w:sz="0" w:space="0" w:color="auto"/>
            <w:left w:val="none" w:sz="0" w:space="0" w:color="auto"/>
            <w:bottom w:val="none" w:sz="0" w:space="0" w:color="auto"/>
            <w:right w:val="none" w:sz="0" w:space="0" w:color="auto"/>
          </w:divBdr>
        </w:div>
        <w:div w:id="949118802">
          <w:marLeft w:val="0"/>
          <w:marRight w:val="0"/>
          <w:marTop w:val="0"/>
          <w:marBottom w:val="0"/>
          <w:divBdr>
            <w:top w:val="none" w:sz="0" w:space="0" w:color="auto"/>
            <w:left w:val="none" w:sz="0" w:space="0" w:color="auto"/>
            <w:bottom w:val="none" w:sz="0" w:space="0" w:color="auto"/>
            <w:right w:val="none" w:sz="0" w:space="0" w:color="auto"/>
          </w:divBdr>
        </w:div>
        <w:div w:id="1671178333">
          <w:marLeft w:val="0"/>
          <w:marRight w:val="0"/>
          <w:marTop w:val="0"/>
          <w:marBottom w:val="0"/>
          <w:divBdr>
            <w:top w:val="none" w:sz="0" w:space="0" w:color="auto"/>
            <w:left w:val="none" w:sz="0" w:space="0" w:color="auto"/>
            <w:bottom w:val="none" w:sz="0" w:space="0" w:color="auto"/>
            <w:right w:val="none" w:sz="0" w:space="0" w:color="auto"/>
          </w:divBdr>
        </w:div>
        <w:div w:id="516895880">
          <w:marLeft w:val="0"/>
          <w:marRight w:val="0"/>
          <w:marTop w:val="0"/>
          <w:marBottom w:val="0"/>
          <w:divBdr>
            <w:top w:val="none" w:sz="0" w:space="0" w:color="auto"/>
            <w:left w:val="none" w:sz="0" w:space="0" w:color="auto"/>
            <w:bottom w:val="none" w:sz="0" w:space="0" w:color="auto"/>
            <w:right w:val="none" w:sz="0" w:space="0" w:color="auto"/>
          </w:divBdr>
        </w:div>
        <w:div w:id="1283612435">
          <w:marLeft w:val="0"/>
          <w:marRight w:val="0"/>
          <w:marTop w:val="0"/>
          <w:marBottom w:val="0"/>
          <w:divBdr>
            <w:top w:val="none" w:sz="0" w:space="0" w:color="auto"/>
            <w:left w:val="none" w:sz="0" w:space="0" w:color="auto"/>
            <w:bottom w:val="none" w:sz="0" w:space="0" w:color="auto"/>
            <w:right w:val="none" w:sz="0" w:space="0" w:color="auto"/>
          </w:divBdr>
        </w:div>
        <w:div w:id="2079595235">
          <w:marLeft w:val="0"/>
          <w:marRight w:val="0"/>
          <w:marTop w:val="0"/>
          <w:marBottom w:val="0"/>
          <w:divBdr>
            <w:top w:val="none" w:sz="0" w:space="0" w:color="auto"/>
            <w:left w:val="none" w:sz="0" w:space="0" w:color="auto"/>
            <w:bottom w:val="none" w:sz="0" w:space="0" w:color="auto"/>
            <w:right w:val="none" w:sz="0" w:space="0" w:color="auto"/>
          </w:divBdr>
        </w:div>
        <w:div w:id="342585491">
          <w:marLeft w:val="0"/>
          <w:marRight w:val="0"/>
          <w:marTop w:val="0"/>
          <w:marBottom w:val="0"/>
          <w:divBdr>
            <w:top w:val="none" w:sz="0" w:space="0" w:color="auto"/>
            <w:left w:val="none" w:sz="0" w:space="0" w:color="auto"/>
            <w:bottom w:val="none" w:sz="0" w:space="0" w:color="auto"/>
            <w:right w:val="none" w:sz="0" w:space="0" w:color="auto"/>
          </w:divBdr>
        </w:div>
        <w:div w:id="1421295013">
          <w:marLeft w:val="0"/>
          <w:marRight w:val="0"/>
          <w:marTop w:val="0"/>
          <w:marBottom w:val="0"/>
          <w:divBdr>
            <w:top w:val="none" w:sz="0" w:space="0" w:color="auto"/>
            <w:left w:val="none" w:sz="0" w:space="0" w:color="auto"/>
            <w:bottom w:val="none" w:sz="0" w:space="0" w:color="auto"/>
            <w:right w:val="none" w:sz="0" w:space="0" w:color="auto"/>
          </w:divBdr>
        </w:div>
        <w:div w:id="2118403040">
          <w:marLeft w:val="0"/>
          <w:marRight w:val="0"/>
          <w:marTop w:val="0"/>
          <w:marBottom w:val="0"/>
          <w:divBdr>
            <w:top w:val="none" w:sz="0" w:space="0" w:color="auto"/>
            <w:left w:val="none" w:sz="0" w:space="0" w:color="auto"/>
            <w:bottom w:val="none" w:sz="0" w:space="0" w:color="auto"/>
            <w:right w:val="none" w:sz="0" w:space="0" w:color="auto"/>
          </w:divBdr>
        </w:div>
        <w:div w:id="1988197347">
          <w:marLeft w:val="0"/>
          <w:marRight w:val="0"/>
          <w:marTop w:val="0"/>
          <w:marBottom w:val="0"/>
          <w:divBdr>
            <w:top w:val="none" w:sz="0" w:space="0" w:color="auto"/>
            <w:left w:val="none" w:sz="0" w:space="0" w:color="auto"/>
            <w:bottom w:val="none" w:sz="0" w:space="0" w:color="auto"/>
            <w:right w:val="none" w:sz="0" w:space="0" w:color="auto"/>
          </w:divBdr>
        </w:div>
        <w:div w:id="1888027023">
          <w:marLeft w:val="0"/>
          <w:marRight w:val="0"/>
          <w:marTop w:val="0"/>
          <w:marBottom w:val="0"/>
          <w:divBdr>
            <w:top w:val="none" w:sz="0" w:space="0" w:color="auto"/>
            <w:left w:val="none" w:sz="0" w:space="0" w:color="auto"/>
            <w:bottom w:val="none" w:sz="0" w:space="0" w:color="auto"/>
            <w:right w:val="none" w:sz="0" w:space="0" w:color="auto"/>
          </w:divBdr>
        </w:div>
        <w:div w:id="1271818529">
          <w:marLeft w:val="0"/>
          <w:marRight w:val="0"/>
          <w:marTop w:val="0"/>
          <w:marBottom w:val="0"/>
          <w:divBdr>
            <w:top w:val="none" w:sz="0" w:space="0" w:color="auto"/>
            <w:left w:val="none" w:sz="0" w:space="0" w:color="auto"/>
            <w:bottom w:val="none" w:sz="0" w:space="0" w:color="auto"/>
            <w:right w:val="none" w:sz="0" w:space="0" w:color="auto"/>
          </w:divBdr>
        </w:div>
        <w:div w:id="1384981812">
          <w:marLeft w:val="0"/>
          <w:marRight w:val="0"/>
          <w:marTop w:val="0"/>
          <w:marBottom w:val="0"/>
          <w:divBdr>
            <w:top w:val="none" w:sz="0" w:space="0" w:color="auto"/>
            <w:left w:val="none" w:sz="0" w:space="0" w:color="auto"/>
            <w:bottom w:val="none" w:sz="0" w:space="0" w:color="auto"/>
            <w:right w:val="none" w:sz="0" w:space="0" w:color="auto"/>
          </w:divBdr>
        </w:div>
        <w:div w:id="1466697781">
          <w:marLeft w:val="0"/>
          <w:marRight w:val="0"/>
          <w:marTop w:val="0"/>
          <w:marBottom w:val="0"/>
          <w:divBdr>
            <w:top w:val="none" w:sz="0" w:space="0" w:color="auto"/>
            <w:left w:val="none" w:sz="0" w:space="0" w:color="auto"/>
            <w:bottom w:val="none" w:sz="0" w:space="0" w:color="auto"/>
            <w:right w:val="none" w:sz="0" w:space="0" w:color="auto"/>
          </w:divBdr>
        </w:div>
        <w:div w:id="1384448699">
          <w:marLeft w:val="0"/>
          <w:marRight w:val="0"/>
          <w:marTop w:val="0"/>
          <w:marBottom w:val="0"/>
          <w:divBdr>
            <w:top w:val="none" w:sz="0" w:space="0" w:color="auto"/>
            <w:left w:val="none" w:sz="0" w:space="0" w:color="auto"/>
            <w:bottom w:val="none" w:sz="0" w:space="0" w:color="auto"/>
            <w:right w:val="none" w:sz="0" w:space="0" w:color="auto"/>
          </w:divBdr>
        </w:div>
        <w:div w:id="1359359049">
          <w:marLeft w:val="0"/>
          <w:marRight w:val="0"/>
          <w:marTop w:val="0"/>
          <w:marBottom w:val="0"/>
          <w:divBdr>
            <w:top w:val="none" w:sz="0" w:space="0" w:color="auto"/>
            <w:left w:val="none" w:sz="0" w:space="0" w:color="auto"/>
            <w:bottom w:val="none" w:sz="0" w:space="0" w:color="auto"/>
            <w:right w:val="none" w:sz="0" w:space="0" w:color="auto"/>
          </w:divBdr>
        </w:div>
        <w:div w:id="116725215">
          <w:marLeft w:val="0"/>
          <w:marRight w:val="0"/>
          <w:marTop w:val="0"/>
          <w:marBottom w:val="0"/>
          <w:divBdr>
            <w:top w:val="none" w:sz="0" w:space="0" w:color="auto"/>
            <w:left w:val="none" w:sz="0" w:space="0" w:color="auto"/>
            <w:bottom w:val="none" w:sz="0" w:space="0" w:color="auto"/>
            <w:right w:val="none" w:sz="0" w:space="0" w:color="auto"/>
          </w:divBdr>
        </w:div>
        <w:div w:id="566887776">
          <w:marLeft w:val="0"/>
          <w:marRight w:val="0"/>
          <w:marTop w:val="0"/>
          <w:marBottom w:val="0"/>
          <w:divBdr>
            <w:top w:val="none" w:sz="0" w:space="0" w:color="auto"/>
            <w:left w:val="none" w:sz="0" w:space="0" w:color="auto"/>
            <w:bottom w:val="none" w:sz="0" w:space="0" w:color="auto"/>
            <w:right w:val="none" w:sz="0" w:space="0" w:color="auto"/>
          </w:divBdr>
        </w:div>
        <w:div w:id="1265919508">
          <w:marLeft w:val="0"/>
          <w:marRight w:val="0"/>
          <w:marTop w:val="0"/>
          <w:marBottom w:val="0"/>
          <w:divBdr>
            <w:top w:val="none" w:sz="0" w:space="0" w:color="auto"/>
            <w:left w:val="none" w:sz="0" w:space="0" w:color="auto"/>
            <w:bottom w:val="none" w:sz="0" w:space="0" w:color="auto"/>
            <w:right w:val="none" w:sz="0" w:space="0" w:color="auto"/>
          </w:divBdr>
        </w:div>
        <w:div w:id="604457055">
          <w:marLeft w:val="0"/>
          <w:marRight w:val="0"/>
          <w:marTop w:val="0"/>
          <w:marBottom w:val="0"/>
          <w:divBdr>
            <w:top w:val="none" w:sz="0" w:space="0" w:color="auto"/>
            <w:left w:val="none" w:sz="0" w:space="0" w:color="auto"/>
            <w:bottom w:val="none" w:sz="0" w:space="0" w:color="auto"/>
            <w:right w:val="none" w:sz="0" w:space="0" w:color="auto"/>
          </w:divBdr>
        </w:div>
        <w:div w:id="1934704958">
          <w:marLeft w:val="0"/>
          <w:marRight w:val="0"/>
          <w:marTop w:val="0"/>
          <w:marBottom w:val="0"/>
          <w:divBdr>
            <w:top w:val="none" w:sz="0" w:space="0" w:color="auto"/>
            <w:left w:val="none" w:sz="0" w:space="0" w:color="auto"/>
            <w:bottom w:val="none" w:sz="0" w:space="0" w:color="auto"/>
            <w:right w:val="none" w:sz="0" w:space="0" w:color="auto"/>
          </w:divBdr>
        </w:div>
        <w:div w:id="152141352">
          <w:marLeft w:val="0"/>
          <w:marRight w:val="0"/>
          <w:marTop w:val="0"/>
          <w:marBottom w:val="0"/>
          <w:divBdr>
            <w:top w:val="none" w:sz="0" w:space="0" w:color="auto"/>
            <w:left w:val="none" w:sz="0" w:space="0" w:color="auto"/>
            <w:bottom w:val="none" w:sz="0" w:space="0" w:color="auto"/>
            <w:right w:val="none" w:sz="0" w:space="0" w:color="auto"/>
          </w:divBdr>
        </w:div>
        <w:div w:id="1733505655">
          <w:marLeft w:val="0"/>
          <w:marRight w:val="0"/>
          <w:marTop w:val="0"/>
          <w:marBottom w:val="0"/>
          <w:divBdr>
            <w:top w:val="none" w:sz="0" w:space="0" w:color="auto"/>
            <w:left w:val="none" w:sz="0" w:space="0" w:color="auto"/>
            <w:bottom w:val="none" w:sz="0" w:space="0" w:color="auto"/>
            <w:right w:val="none" w:sz="0" w:space="0" w:color="auto"/>
          </w:divBdr>
        </w:div>
        <w:div w:id="266694298">
          <w:marLeft w:val="0"/>
          <w:marRight w:val="0"/>
          <w:marTop w:val="0"/>
          <w:marBottom w:val="0"/>
          <w:divBdr>
            <w:top w:val="none" w:sz="0" w:space="0" w:color="auto"/>
            <w:left w:val="none" w:sz="0" w:space="0" w:color="auto"/>
            <w:bottom w:val="none" w:sz="0" w:space="0" w:color="auto"/>
            <w:right w:val="none" w:sz="0" w:space="0" w:color="auto"/>
          </w:divBdr>
        </w:div>
        <w:div w:id="761219185">
          <w:marLeft w:val="0"/>
          <w:marRight w:val="0"/>
          <w:marTop w:val="0"/>
          <w:marBottom w:val="0"/>
          <w:divBdr>
            <w:top w:val="none" w:sz="0" w:space="0" w:color="auto"/>
            <w:left w:val="none" w:sz="0" w:space="0" w:color="auto"/>
            <w:bottom w:val="none" w:sz="0" w:space="0" w:color="auto"/>
            <w:right w:val="none" w:sz="0" w:space="0" w:color="auto"/>
          </w:divBdr>
        </w:div>
        <w:div w:id="602570627">
          <w:marLeft w:val="0"/>
          <w:marRight w:val="0"/>
          <w:marTop w:val="0"/>
          <w:marBottom w:val="0"/>
          <w:divBdr>
            <w:top w:val="none" w:sz="0" w:space="0" w:color="auto"/>
            <w:left w:val="none" w:sz="0" w:space="0" w:color="auto"/>
            <w:bottom w:val="none" w:sz="0" w:space="0" w:color="auto"/>
            <w:right w:val="none" w:sz="0" w:space="0" w:color="auto"/>
          </w:divBdr>
        </w:div>
        <w:div w:id="1780026315">
          <w:marLeft w:val="0"/>
          <w:marRight w:val="0"/>
          <w:marTop w:val="0"/>
          <w:marBottom w:val="0"/>
          <w:divBdr>
            <w:top w:val="none" w:sz="0" w:space="0" w:color="auto"/>
            <w:left w:val="none" w:sz="0" w:space="0" w:color="auto"/>
            <w:bottom w:val="none" w:sz="0" w:space="0" w:color="auto"/>
            <w:right w:val="none" w:sz="0" w:space="0" w:color="auto"/>
          </w:divBdr>
        </w:div>
        <w:div w:id="3368391">
          <w:marLeft w:val="0"/>
          <w:marRight w:val="0"/>
          <w:marTop w:val="0"/>
          <w:marBottom w:val="0"/>
          <w:divBdr>
            <w:top w:val="none" w:sz="0" w:space="0" w:color="auto"/>
            <w:left w:val="none" w:sz="0" w:space="0" w:color="auto"/>
            <w:bottom w:val="none" w:sz="0" w:space="0" w:color="auto"/>
            <w:right w:val="none" w:sz="0" w:space="0" w:color="auto"/>
          </w:divBdr>
        </w:div>
        <w:div w:id="425737289">
          <w:marLeft w:val="0"/>
          <w:marRight w:val="0"/>
          <w:marTop w:val="0"/>
          <w:marBottom w:val="0"/>
          <w:divBdr>
            <w:top w:val="none" w:sz="0" w:space="0" w:color="auto"/>
            <w:left w:val="none" w:sz="0" w:space="0" w:color="auto"/>
            <w:bottom w:val="none" w:sz="0" w:space="0" w:color="auto"/>
            <w:right w:val="none" w:sz="0" w:space="0" w:color="auto"/>
          </w:divBdr>
        </w:div>
        <w:div w:id="1243487666">
          <w:marLeft w:val="0"/>
          <w:marRight w:val="0"/>
          <w:marTop w:val="0"/>
          <w:marBottom w:val="0"/>
          <w:divBdr>
            <w:top w:val="none" w:sz="0" w:space="0" w:color="auto"/>
            <w:left w:val="none" w:sz="0" w:space="0" w:color="auto"/>
            <w:bottom w:val="none" w:sz="0" w:space="0" w:color="auto"/>
            <w:right w:val="none" w:sz="0" w:space="0" w:color="auto"/>
          </w:divBdr>
        </w:div>
        <w:div w:id="1062944424">
          <w:marLeft w:val="0"/>
          <w:marRight w:val="0"/>
          <w:marTop w:val="0"/>
          <w:marBottom w:val="0"/>
          <w:divBdr>
            <w:top w:val="none" w:sz="0" w:space="0" w:color="auto"/>
            <w:left w:val="none" w:sz="0" w:space="0" w:color="auto"/>
            <w:bottom w:val="none" w:sz="0" w:space="0" w:color="auto"/>
            <w:right w:val="none" w:sz="0" w:space="0" w:color="auto"/>
          </w:divBdr>
        </w:div>
        <w:div w:id="1619949194">
          <w:marLeft w:val="0"/>
          <w:marRight w:val="0"/>
          <w:marTop w:val="0"/>
          <w:marBottom w:val="0"/>
          <w:divBdr>
            <w:top w:val="none" w:sz="0" w:space="0" w:color="auto"/>
            <w:left w:val="none" w:sz="0" w:space="0" w:color="auto"/>
            <w:bottom w:val="none" w:sz="0" w:space="0" w:color="auto"/>
            <w:right w:val="none" w:sz="0" w:space="0" w:color="auto"/>
          </w:divBdr>
        </w:div>
        <w:div w:id="1089081035">
          <w:marLeft w:val="0"/>
          <w:marRight w:val="0"/>
          <w:marTop w:val="0"/>
          <w:marBottom w:val="0"/>
          <w:divBdr>
            <w:top w:val="none" w:sz="0" w:space="0" w:color="auto"/>
            <w:left w:val="none" w:sz="0" w:space="0" w:color="auto"/>
            <w:bottom w:val="none" w:sz="0" w:space="0" w:color="auto"/>
            <w:right w:val="none" w:sz="0" w:space="0" w:color="auto"/>
          </w:divBdr>
        </w:div>
        <w:div w:id="28770941">
          <w:marLeft w:val="0"/>
          <w:marRight w:val="0"/>
          <w:marTop w:val="0"/>
          <w:marBottom w:val="0"/>
          <w:divBdr>
            <w:top w:val="none" w:sz="0" w:space="0" w:color="auto"/>
            <w:left w:val="none" w:sz="0" w:space="0" w:color="auto"/>
            <w:bottom w:val="none" w:sz="0" w:space="0" w:color="auto"/>
            <w:right w:val="none" w:sz="0" w:space="0" w:color="auto"/>
          </w:divBdr>
        </w:div>
        <w:div w:id="93136885">
          <w:marLeft w:val="0"/>
          <w:marRight w:val="0"/>
          <w:marTop w:val="0"/>
          <w:marBottom w:val="0"/>
          <w:divBdr>
            <w:top w:val="none" w:sz="0" w:space="0" w:color="auto"/>
            <w:left w:val="none" w:sz="0" w:space="0" w:color="auto"/>
            <w:bottom w:val="none" w:sz="0" w:space="0" w:color="auto"/>
            <w:right w:val="none" w:sz="0" w:space="0" w:color="auto"/>
          </w:divBdr>
        </w:div>
        <w:div w:id="3440278">
          <w:marLeft w:val="0"/>
          <w:marRight w:val="0"/>
          <w:marTop w:val="0"/>
          <w:marBottom w:val="0"/>
          <w:divBdr>
            <w:top w:val="none" w:sz="0" w:space="0" w:color="auto"/>
            <w:left w:val="none" w:sz="0" w:space="0" w:color="auto"/>
            <w:bottom w:val="none" w:sz="0" w:space="0" w:color="auto"/>
            <w:right w:val="none" w:sz="0" w:space="0" w:color="auto"/>
          </w:divBdr>
        </w:div>
        <w:div w:id="1787383275">
          <w:marLeft w:val="0"/>
          <w:marRight w:val="0"/>
          <w:marTop w:val="0"/>
          <w:marBottom w:val="0"/>
          <w:divBdr>
            <w:top w:val="none" w:sz="0" w:space="0" w:color="auto"/>
            <w:left w:val="none" w:sz="0" w:space="0" w:color="auto"/>
            <w:bottom w:val="none" w:sz="0" w:space="0" w:color="auto"/>
            <w:right w:val="none" w:sz="0" w:space="0" w:color="auto"/>
          </w:divBdr>
        </w:div>
        <w:div w:id="1112820537">
          <w:marLeft w:val="0"/>
          <w:marRight w:val="0"/>
          <w:marTop w:val="0"/>
          <w:marBottom w:val="0"/>
          <w:divBdr>
            <w:top w:val="none" w:sz="0" w:space="0" w:color="auto"/>
            <w:left w:val="none" w:sz="0" w:space="0" w:color="auto"/>
            <w:bottom w:val="none" w:sz="0" w:space="0" w:color="auto"/>
            <w:right w:val="none" w:sz="0" w:space="0" w:color="auto"/>
          </w:divBdr>
        </w:div>
        <w:div w:id="1645812512">
          <w:marLeft w:val="0"/>
          <w:marRight w:val="0"/>
          <w:marTop w:val="0"/>
          <w:marBottom w:val="0"/>
          <w:divBdr>
            <w:top w:val="none" w:sz="0" w:space="0" w:color="auto"/>
            <w:left w:val="none" w:sz="0" w:space="0" w:color="auto"/>
            <w:bottom w:val="none" w:sz="0" w:space="0" w:color="auto"/>
            <w:right w:val="none" w:sz="0" w:space="0" w:color="auto"/>
          </w:divBdr>
        </w:div>
        <w:div w:id="666519149">
          <w:marLeft w:val="0"/>
          <w:marRight w:val="0"/>
          <w:marTop w:val="0"/>
          <w:marBottom w:val="0"/>
          <w:divBdr>
            <w:top w:val="none" w:sz="0" w:space="0" w:color="auto"/>
            <w:left w:val="none" w:sz="0" w:space="0" w:color="auto"/>
            <w:bottom w:val="none" w:sz="0" w:space="0" w:color="auto"/>
            <w:right w:val="none" w:sz="0" w:space="0" w:color="auto"/>
          </w:divBdr>
        </w:div>
        <w:div w:id="1453553841">
          <w:marLeft w:val="0"/>
          <w:marRight w:val="0"/>
          <w:marTop w:val="0"/>
          <w:marBottom w:val="0"/>
          <w:divBdr>
            <w:top w:val="none" w:sz="0" w:space="0" w:color="auto"/>
            <w:left w:val="none" w:sz="0" w:space="0" w:color="auto"/>
            <w:bottom w:val="none" w:sz="0" w:space="0" w:color="auto"/>
            <w:right w:val="none" w:sz="0" w:space="0" w:color="auto"/>
          </w:divBdr>
        </w:div>
        <w:div w:id="1113749448">
          <w:marLeft w:val="0"/>
          <w:marRight w:val="0"/>
          <w:marTop w:val="0"/>
          <w:marBottom w:val="0"/>
          <w:divBdr>
            <w:top w:val="none" w:sz="0" w:space="0" w:color="auto"/>
            <w:left w:val="none" w:sz="0" w:space="0" w:color="auto"/>
            <w:bottom w:val="none" w:sz="0" w:space="0" w:color="auto"/>
            <w:right w:val="none" w:sz="0" w:space="0" w:color="auto"/>
          </w:divBdr>
        </w:div>
        <w:div w:id="1601638965">
          <w:marLeft w:val="0"/>
          <w:marRight w:val="0"/>
          <w:marTop w:val="0"/>
          <w:marBottom w:val="0"/>
          <w:divBdr>
            <w:top w:val="none" w:sz="0" w:space="0" w:color="auto"/>
            <w:left w:val="none" w:sz="0" w:space="0" w:color="auto"/>
            <w:bottom w:val="none" w:sz="0" w:space="0" w:color="auto"/>
            <w:right w:val="none" w:sz="0" w:space="0" w:color="auto"/>
          </w:divBdr>
        </w:div>
        <w:div w:id="262996687">
          <w:marLeft w:val="0"/>
          <w:marRight w:val="0"/>
          <w:marTop w:val="0"/>
          <w:marBottom w:val="0"/>
          <w:divBdr>
            <w:top w:val="none" w:sz="0" w:space="0" w:color="auto"/>
            <w:left w:val="none" w:sz="0" w:space="0" w:color="auto"/>
            <w:bottom w:val="none" w:sz="0" w:space="0" w:color="auto"/>
            <w:right w:val="none" w:sz="0" w:space="0" w:color="auto"/>
          </w:divBdr>
        </w:div>
        <w:div w:id="1447195341">
          <w:marLeft w:val="0"/>
          <w:marRight w:val="0"/>
          <w:marTop w:val="0"/>
          <w:marBottom w:val="0"/>
          <w:divBdr>
            <w:top w:val="none" w:sz="0" w:space="0" w:color="auto"/>
            <w:left w:val="none" w:sz="0" w:space="0" w:color="auto"/>
            <w:bottom w:val="none" w:sz="0" w:space="0" w:color="auto"/>
            <w:right w:val="none" w:sz="0" w:space="0" w:color="auto"/>
          </w:divBdr>
        </w:div>
        <w:div w:id="1376929445">
          <w:marLeft w:val="0"/>
          <w:marRight w:val="0"/>
          <w:marTop w:val="0"/>
          <w:marBottom w:val="0"/>
          <w:divBdr>
            <w:top w:val="none" w:sz="0" w:space="0" w:color="auto"/>
            <w:left w:val="none" w:sz="0" w:space="0" w:color="auto"/>
            <w:bottom w:val="none" w:sz="0" w:space="0" w:color="auto"/>
            <w:right w:val="none" w:sz="0" w:space="0" w:color="auto"/>
          </w:divBdr>
        </w:div>
        <w:div w:id="1452557773">
          <w:marLeft w:val="0"/>
          <w:marRight w:val="0"/>
          <w:marTop w:val="0"/>
          <w:marBottom w:val="0"/>
          <w:divBdr>
            <w:top w:val="none" w:sz="0" w:space="0" w:color="auto"/>
            <w:left w:val="none" w:sz="0" w:space="0" w:color="auto"/>
            <w:bottom w:val="none" w:sz="0" w:space="0" w:color="auto"/>
            <w:right w:val="none" w:sz="0" w:space="0" w:color="auto"/>
          </w:divBdr>
        </w:div>
        <w:div w:id="2016959386">
          <w:marLeft w:val="0"/>
          <w:marRight w:val="0"/>
          <w:marTop w:val="0"/>
          <w:marBottom w:val="0"/>
          <w:divBdr>
            <w:top w:val="none" w:sz="0" w:space="0" w:color="auto"/>
            <w:left w:val="none" w:sz="0" w:space="0" w:color="auto"/>
            <w:bottom w:val="none" w:sz="0" w:space="0" w:color="auto"/>
            <w:right w:val="none" w:sz="0" w:space="0" w:color="auto"/>
          </w:divBdr>
        </w:div>
        <w:div w:id="1491024258">
          <w:marLeft w:val="0"/>
          <w:marRight w:val="0"/>
          <w:marTop w:val="0"/>
          <w:marBottom w:val="0"/>
          <w:divBdr>
            <w:top w:val="none" w:sz="0" w:space="0" w:color="auto"/>
            <w:left w:val="none" w:sz="0" w:space="0" w:color="auto"/>
            <w:bottom w:val="none" w:sz="0" w:space="0" w:color="auto"/>
            <w:right w:val="none" w:sz="0" w:space="0" w:color="auto"/>
          </w:divBdr>
        </w:div>
        <w:div w:id="1482110884">
          <w:marLeft w:val="0"/>
          <w:marRight w:val="0"/>
          <w:marTop w:val="0"/>
          <w:marBottom w:val="0"/>
          <w:divBdr>
            <w:top w:val="none" w:sz="0" w:space="0" w:color="auto"/>
            <w:left w:val="none" w:sz="0" w:space="0" w:color="auto"/>
            <w:bottom w:val="none" w:sz="0" w:space="0" w:color="auto"/>
            <w:right w:val="none" w:sz="0" w:space="0" w:color="auto"/>
          </w:divBdr>
        </w:div>
        <w:div w:id="486361386">
          <w:marLeft w:val="0"/>
          <w:marRight w:val="0"/>
          <w:marTop w:val="0"/>
          <w:marBottom w:val="0"/>
          <w:divBdr>
            <w:top w:val="none" w:sz="0" w:space="0" w:color="auto"/>
            <w:left w:val="none" w:sz="0" w:space="0" w:color="auto"/>
            <w:bottom w:val="none" w:sz="0" w:space="0" w:color="auto"/>
            <w:right w:val="none" w:sz="0" w:space="0" w:color="auto"/>
          </w:divBdr>
        </w:div>
        <w:div w:id="1539512671">
          <w:marLeft w:val="0"/>
          <w:marRight w:val="0"/>
          <w:marTop w:val="0"/>
          <w:marBottom w:val="0"/>
          <w:divBdr>
            <w:top w:val="none" w:sz="0" w:space="0" w:color="auto"/>
            <w:left w:val="none" w:sz="0" w:space="0" w:color="auto"/>
            <w:bottom w:val="none" w:sz="0" w:space="0" w:color="auto"/>
            <w:right w:val="none" w:sz="0" w:space="0" w:color="auto"/>
          </w:divBdr>
        </w:div>
        <w:div w:id="1900550965">
          <w:marLeft w:val="0"/>
          <w:marRight w:val="0"/>
          <w:marTop w:val="0"/>
          <w:marBottom w:val="0"/>
          <w:divBdr>
            <w:top w:val="none" w:sz="0" w:space="0" w:color="auto"/>
            <w:left w:val="none" w:sz="0" w:space="0" w:color="auto"/>
            <w:bottom w:val="none" w:sz="0" w:space="0" w:color="auto"/>
            <w:right w:val="none" w:sz="0" w:space="0" w:color="auto"/>
          </w:divBdr>
        </w:div>
        <w:div w:id="1542015725">
          <w:marLeft w:val="0"/>
          <w:marRight w:val="0"/>
          <w:marTop w:val="0"/>
          <w:marBottom w:val="0"/>
          <w:divBdr>
            <w:top w:val="none" w:sz="0" w:space="0" w:color="auto"/>
            <w:left w:val="none" w:sz="0" w:space="0" w:color="auto"/>
            <w:bottom w:val="none" w:sz="0" w:space="0" w:color="auto"/>
            <w:right w:val="none" w:sz="0" w:space="0" w:color="auto"/>
          </w:divBdr>
        </w:div>
        <w:div w:id="1937404343">
          <w:marLeft w:val="0"/>
          <w:marRight w:val="0"/>
          <w:marTop w:val="0"/>
          <w:marBottom w:val="0"/>
          <w:divBdr>
            <w:top w:val="none" w:sz="0" w:space="0" w:color="auto"/>
            <w:left w:val="none" w:sz="0" w:space="0" w:color="auto"/>
            <w:bottom w:val="none" w:sz="0" w:space="0" w:color="auto"/>
            <w:right w:val="none" w:sz="0" w:space="0" w:color="auto"/>
          </w:divBdr>
        </w:div>
        <w:div w:id="432366243">
          <w:marLeft w:val="0"/>
          <w:marRight w:val="0"/>
          <w:marTop w:val="0"/>
          <w:marBottom w:val="0"/>
          <w:divBdr>
            <w:top w:val="none" w:sz="0" w:space="0" w:color="auto"/>
            <w:left w:val="none" w:sz="0" w:space="0" w:color="auto"/>
            <w:bottom w:val="none" w:sz="0" w:space="0" w:color="auto"/>
            <w:right w:val="none" w:sz="0" w:space="0" w:color="auto"/>
          </w:divBdr>
        </w:div>
        <w:div w:id="914626622">
          <w:marLeft w:val="0"/>
          <w:marRight w:val="0"/>
          <w:marTop w:val="0"/>
          <w:marBottom w:val="0"/>
          <w:divBdr>
            <w:top w:val="none" w:sz="0" w:space="0" w:color="auto"/>
            <w:left w:val="none" w:sz="0" w:space="0" w:color="auto"/>
            <w:bottom w:val="none" w:sz="0" w:space="0" w:color="auto"/>
            <w:right w:val="none" w:sz="0" w:space="0" w:color="auto"/>
          </w:divBdr>
        </w:div>
        <w:div w:id="259728651">
          <w:marLeft w:val="0"/>
          <w:marRight w:val="0"/>
          <w:marTop w:val="0"/>
          <w:marBottom w:val="0"/>
          <w:divBdr>
            <w:top w:val="none" w:sz="0" w:space="0" w:color="auto"/>
            <w:left w:val="none" w:sz="0" w:space="0" w:color="auto"/>
            <w:bottom w:val="none" w:sz="0" w:space="0" w:color="auto"/>
            <w:right w:val="none" w:sz="0" w:space="0" w:color="auto"/>
          </w:divBdr>
        </w:div>
        <w:div w:id="560016756">
          <w:marLeft w:val="0"/>
          <w:marRight w:val="0"/>
          <w:marTop w:val="0"/>
          <w:marBottom w:val="0"/>
          <w:divBdr>
            <w:top w:val="none" w:sz="0" w:space="0" w:color="auto"/>
            <w:left w:val="none" w:sz="0" w:space="0" w:color="auto"/>
            <w:bottom w:val="none" w:sz="0" w:space="0" w:color="auto"/>
            <w:right w:val="none" w:sz="0" w:space="0" w:color="auto"/>
          </w:divBdr>
        </w:div>
        <w:div w:id="1454131562">
          <w:marLeft w:val="0"/>
          <w:marRight w:val="0"/>
          <w:marTop w:val="0"/>
          <w:marBottom w:val="0"/>
          <w:divBdr>
            <w:top w:val="none" w:sz="0" w:space="0" w:color="auto"/>
            <w:left w:val="none" w:sz="0" w:space="0" w:color="auto"/>
            <w:bottom w:val="none" w:sz="0" w:space="0" w:color="auto"/>
            <w:right w:val="none" w:sz="0" w:space="0" w:color="auto"/>
          </w:divBdr>
        </w:div>
        <w:div w:id="240024525">
          <w:marLeft w:val="0"/>
          <w:marRight w:val="0"/>
          <w:marTop w:val="0"/>
          <w:marBottom w:val="0"/>
          <w:divBdr>
            <w:top w:val="none" w:sz="0" w:space="0" w:color="auto"/>
            <w:left w:val="none" w:sz="0" w:space="0" w:color="auto"/>
            <w:bottom w:val="none" w:sz="0" w:space="0" w:color="auto"/>
            <w:right w:val="none" w:sz="0" w:space="0" w:color="auto"/>
          </w:divBdr>
        </w:div>
        <w:div w:id="30495283">
          <w:marLeft w:val="0"/>
          <w:marRight w:val="0"/>
          <w:marTop w:val="0"/>
          <w:marBottom w:val="0"/>
          <w:divBdr>
            <w:top w:val="none" w:sz="0" w:space="0" w:color="auto"/>
            <w:left w:val="none" w:sz="0" w:space="0" w:color="auto"/>
            <w:bottom w:val="none" w:sz="0" w:space="0" w:color="auto"/>
            <w:right w:val="none" w:sz="0" w:space="0" w:color="auto"/>
          </w:divBdr>
        </w:div>
        <w:div w:id="175508644">
          <w:marLeft w:val="0"/>
          <w:marRight w:val="0"/>
          <w:marTop w:val="0"/>
          <w:marBottom w:val="0"/>
          <w:divBdr>
            <w:top w:val="none" w:sz="0" w:space="0" w:color="auto"/>
            <w:left w:val="none" w:sz="0" w:space="0" w:color="auto"/>
            <w:bottom w:val="none" w:sz="0" w:space="0" w:color="auto"/>
            <w:right w:val="none" w:sz="0" w:space="0" w:color="auto"/>
          </w:divBdr>
        </w:div>
        <w:div w:id="1862814176">
          <w:marLeft w:val="0"/>
          <w:marRight w:val="0"/>
          <w:marTop w:val="0"/>
          <w:marBottom w:val="0"/>
          <w:divBdr>
            <w:top w:val="none" w:sz="0" w:space="0" w:color="auto"/>
            <w:left w:val="none" w:sz="0" w:space="0" w:color="auto"/>
            <w:bottom w:val="none" w:sz="0" w:space="0" w:color="auto"/>
            <w:right w:val="none" w:sz="0" w:space="0" w:color="auto"/>
          </w:divBdr>
        </w:div>
        <w:div w:id="783422262">
          <w:marLeft w:val="0"/>
          <w:marRight w:val="0"/>
          <w:marTop w:val="0"/>
          <w:marBottom w:val="0"/>
          <w:divBdr>
            <w:top w:val="none" w:sz="0" w:space="0" w:color="auto"/>
            <w:left w:val="none" w:sz="0" w:space="0" w:color="auto"/>
            <w:bottom w:val="none" w:sz="0" w:space="0" w:color="auto"/>
            <w:right w:val="none" w:sz="0" w:space="0" w:color="auto"/>
          </w:divBdr>
        </w:div>
        <w:div w:id="183860620">
          <w:marLeft w:val="0"/>
          <w:marRight w:val="0"/>
          <w:marTop w:val="0"/>
          <w:marBottom w:val="0"/>
          <w:divBdr>
            <w:top w:val="none" w:sz="0" w:space="0" w:color="auto"/>
            <w:left w:val="none" w:sz="0" w:space="0" w:color="auto"/>
            <w:bottom w:val="none" w:sz="0" w:space="0" w:color="auto"/>
            <w:right w:val="none" w:sz="0" w:space="0" w:color="auto"/>
          </w:divBdr>
        </w:div>
        <w:div w:id="325474906">
          <w:marLeft w:val="0"/>
          <w:marRight w:val="0"/>
          <w:marTop w:val="0"/>
          <w:marBottom w:val="0"/>
          <w:divBdr>
            <w:top w:val="none" w:sz="0" w:space="0" w:color="auto"/>
            <w:left w:val="none" w:sz="0" w:space="0" w:color="auto"/>
            <w:bottom w:val="none" w:sz="0" w:space="0" w:color="auto"/>
            <w:right w:val="none" w:sz="0" w:space="0" w:color="auto"/>
          </w:divBdr>
        </w:div>
        <w:div w:id="1289823477">
          <w:marLeft w:val="0"/>
          <w:marRight w:val="0"/>
          <w:marTop w:val="0"/>
          <w:marBottom w:val="0"/>
          <w:divBdr>
            <w:top w:val="none" w:sz="0" w:space="0" w:color="auto"/>
            <w:left w:val="none" w:sz="0" w:space="0" w:color="auto"/>
            <w:bottom w:val="none" w:sz="0" w:space="0" w:color="auto"/>
            <w:right w:val="none" w:sz="0" w:space="0" w:color="auto"/>
          </w:divBdr>
        </w:div>
        <w:div w:id="1745953983">
          <w:marLeft w:val="0"/>
          <w:marRight w:val="0"/>
          <w:marTop w:val="0"/>
          <w:marBottom w:val="0"/>
          <w:divBdr>
            <w:top w:val="none" w:sz="0" w:space="0" w:color="auto"/>
            <w:left w:val="none" w:sz="0" w:space="0" w:color="auto"/>
            <w:bottom w:val="none" w:sz="0" w:space="0" w:color="auto"/>
            <w:right w:val="none" w:sz="0" w:space="0" w:color="auto"/>
          </w:divBdr>
        </w:div>
        <w:div w:id="1439718925">
          <w:marLeft w:val="0"/>
          <w:marRight w:val="0"/>
          <w:marTop w:val="0"/>
          <w:marBottom w:val="0"/>
          <w:divBdr>
            <w:top w:val="none" w:sz="0" w:space="0" w:color="auto"/>
            <w:left w:val="none" w:sz="0" w:space="0" w:color="auto"/>
            <w:bottom w:val="none" w:sz="0" w:space="0" w:color="auto"/>
            <w:right w:val="none" w:sz="0" w:space="0" w:color="auto"/>
          </w:divBdr>
        </w:div>
        <w:div w:id="939065724">
          <w:marLeft w:val="0"/>
          <w:marRight w:val="0"/>
          <w:marTop w:val="0"/>
          <w:marBottom w:val="0"/>
          <w:divBdr>
            <w:top w:val="none" w:sz="0" w:space="0" w:color="auto"/>
            <w:left w:val="none" w:sz="0" w:space="0" w:color="auto"/>
            <w:bottom w:val="none" w:sz="0" w:space="0" w:color="auto"/>
            <w:right w:val="none" w:sz="0" w:space="0" w:color="auto"/>
          </w:divBdr>
        </w:div>
        <w:div w:id="1935478061">
          <w:marLeft w:val="0"/>
          <w:marRight w:val="0"/>
          <w:marTop w:val="0"/>
          <w:marBottom w:val="0"/>
          <w:divBdr>
            <w:top w:val="none" w:sz="0" w:space="0" w:color="auto"/>
            <w:left w:val="none" w:sz="0" w:space="0" w:color="auto"/>
            <w:bottom w:val="none" w:sz="0" w:space="0" w:color="auto"/>
            <w:right w:val="none" w:sz="0" w:space="0" w:color="auto"/>
          </w:divBdr>
        </w:div>
        <w:div w:id="260571246">
          <w:marLeft w:val="0"/>
          <w:marRight w:val="0"/>
          <w:marTop w:val="0"/>
          <w:marBottom w:val="0"/>
          <w:divBdr>
            <w:top w:val="none" w:sz="0" w:space="0" w:color="auto"/>
            <w:left w:val="none" w:sz="0" w:space="0" w:color="auto"/>
            <w:bottom w:val="none" w:sz="0" w:space="0" w:color="auto"/>
            <w:right w:val="none" w:sz="0" w:space="0" w:color="auto"/>
          </w:divBdr>
        </w:div>
        <w:div w:id="2037850964">
          <w:marLeft w:val="0"/>
          <w:marRight w:val="0"/>
          <w:marTop w:val="0"/>
          <w:marBottom w:val="0"/>
          <w:divBdr>
            <w:top w:val="none" w:sz="0" w:space="0" w:color="auto"/>
            <w:left w:val="none" w:sz="0" w:space="0" w:color="auto"/>
            <w:bottom w:val="none" w:sz="0" w:space="0" w:color="auto"/>
            <w:right w:val="none" w:sz="0" w:space="0" w:color="auto"/>
          </w:divBdr>
        </w:div>
        <w:div w:id="1432503803">
          <w:marLeft w:val="0"/>
          <w:marRight w:val="0"/>
          <w:marTop w:val="0"/>
          <w:marBottom w:val="0"/>
          <w:divBdr>
            <w:top w:val="none" w:sz="0" w:space="0" w:color="auto"/>
            <w:left w:val="none" w:sz="0" w:space="0" w:color="auto"/>
            <w:bottom w:val="none" w:sz="0" w:space="0" w:color="auto"/>
            <w:right w:val="none" w:sz="0" w:space="0" w:color="auto"/>
          </w:divBdr>
        </w:div>
        <w:div w:id="1577007901">
          <w:marLeft w:val="0"/>
          <w:marRight w:val="0"/>
          <w:marTop w:val="0"/>
          <w:marBottom w:val="0"/>
          <w:divBdr>
            <w:top w:val="none" w:sz="0" w:space="0" w:color="auto"/>
            <w:left w:val="none" w:sz="0" w:space="0" w:color="auto"/>
            <w:bottom w:val="none" w:sz="0" w:space="0" w:color="auto"/>
            <w:right w:val="none" w:sz="0" w:space="0" w:color="auto"/>
          </w:divBdr>
        </w:div>
        <w:div w:id="1646814284">
          <w:marLeft w:val="0"/>
          <w:marRight w:val="0"/>
          <w:marTop w:val="0"/>
          <w:marBottom w:val="0"/>
          <w:divBdr>
            <w:top w:val="none" w:sz="0" w:space="0" w:color="auto"/>
            <w:left w:val="none" w:sz="0" w:space="0" w:color="auto"/>
            <w:bottom w:val="none" w:sz="0" w:space="0" w:color="auto"/>
            <w:right w:val="none" w:sz="0" w:space="0" w:color="auto"/>
          </w:divBdr>
        </w:div>
        <w:div w:id="1728189287">
          <w:marLeft w:val="0"/>
          <w:marRight w:val="0"/>
          <w:marTop w:val="0"/>
          <w:marBottom w:val="0"/>
          <w:divBdr>
            <w:top w:val="none" w:sz="0" w:space="0" w:color="auto"/>
            <w:left w:val="none" w:sz="0" w:space="0" w:color="auto"/>
            <w:bottom w:val="none" w:sz="0" w:space="0" w:color="auto"/>
            <w:right w:val="none" w:sz="0" w:space="0" w:color="auto"/>
          </w:divBdr>
        </w:div>
        <w:div w:id="1900898026">
          <w:marLeft w:val="0"/>
          <w:marRight w:val="0"/>
          <w:marTop w:val="0"/>
          <w:marBottom w:val="0"/>
          <w:divBdr>
            <w:top w:val="none" w:sz="0" w:space="0" w:color="auto"/>
            <w:left w:val="none" w:sz="0" w:space="0" w:color="auto"/>
            <w:bottom w:val="none" w:sz="0" w:space="0" w:color="auto"/>
            <w:right w:val="none" w:sz="0" w:space="0" w:color="auto"/>
          </w:divBdr>
        </w:div>
        <w:div w:id="1103451930">
          <w:marLeft w:val="0"/>
          <w:marRight w:val="0"/>
          <w:marTop w:val="0"/>
          <w:marBottom w:val="0"/>
          <w:divBdr>
            <w:top w:val="none" w:sz="0" w:space="0" w:color="auto"/>
            <w:left w:val="none" w:sz="0" w:space="0" w:color="auto"/>
            <w:bottom w:val="none" w:sz="0" w:space="0" w:color="auto"/>
            <w:right w:val="none" w:sz="0" w:space="0" w:color="auto"/>
          </w:divBdr>
        </w:div>
        <w:div w:id="365759377">
          <w:marLeft w:val="0"/>
          <w:marRight w:val="0"/>
          <w:marTop w:val="0"/>
          <w:marBottom w:val="0"/>
          <w:divBdr>
            <w:top w:val="none" w:sz="0" w:space="0" w:color="auto"/>
            <w:left w:val="none" w:sz="0" w:space="0" w:color="auto"/>
            <w:bottom w:val="none" w:sz="0" w:space="0" w:color="auto"/>
            <w:right w:val="none" w:sz="0" w:space="0" w:color="auto"/>
          </w:divBdr>
        </w:div>
        <w:div w:id="988557629">
          <w:marLeft w:val="0"/>
          <w:marRight w:val="0"/>
          <w:marTop w:val="0"/>
          <w:marBottom w:val="0"/>
          <w:divBdr>
            <w:top w:val="none" w:sz="0" w:space="0" w:color="auto"/>
            <w:left w:val="none" w:sz="0" w:space="0" w:color="auto"/>
            <w:bottom w:val="none" w:sz="0" w:space="0" w:color="auto"/>
            <w:right w:val="none" w:sz="0" w:space="0" w:color="auto"/>
          </w:divBdr>
        </w:div>
        <w:div w:id="81225878">
          <w:marLeft w:val="0"/>
          <w:marRight w:val="0"/>
          <w:marTop w:val="0"/>
          <w:marBottom w:val="0"/>
          <w:divBdr>
            <w:top w:val="none" w:sz="0" w:space="0" w:color="auto"/>
            <w:left w:val="none" w:sz="0" w:space="0" w:color="auto"/>
            <w:bottom w:val="none" w:sz="0" w:space="0" w:color="auto"/>
            <w:right w:val="none" w:sz="0" w:space="0" w:color="auto"/>
          </w:divBdr>
        </w:div>
        <w:div w:id="2091850467">
          <w:marLeft w:val="0"/>
          <w:marRight w:val="0"/>
          <w:marTop w:val="0"/>
          <w:marBottom w:val="0"/>
          <w:divBdr>
            <w:top w:val="none" w:sz="0" w:space="0" w:color="auto"/>
            <w:left w:val="none" w:sz="0" w:space="0" w:color="auto"/>
            <w:bottom w:val="none" w:sz="0" w:space="0" w:color="auto"/>
            <w:right w:val="none" w:sz="0" w:space="0" w:color="auto"/>
          </w:divBdr>
        </w:div>
        <w:div w:id="201793779">
          <w:marLeft w:val="0"/>
          <w:marRight w:val="0"/>
          <w:marTop w:val="0"/>
          <w:marBottom w:val="0"/>
          <w:divBdr>
            <w:top w:val="none" w:sz="0" w:space="0" w:color="auto"/>
            <w:left w:val="none" w:sz="0" w:space="0" w:color="auto"/>
            <w:bottom w:val="none" w:sz="0" w:space="0" w:color="auto"/>
            <w:right w:val="none" w:sz="0" w:space="0" w:color="auto"/>
          </w:divBdr>
        </w:div>
        <w:div w:id="185796761">
          <w:marLeft w:val="0"/>
          <w:marRight w:val="0"/>
          <w:marTop w:val="0"/>
          <w:marBottom w:val="0"/>
          <w:divBdr>
            <w:top w:val="none" w:sz="0" w:space="0" w:color="auto"/>
            <w:left w:val="none" w:sz="0" w:space="0" w:color="auto"/>
            <w:bottom w:val="none" w:sz="0" w:space="0" w:color="auto"/>
            <w:right w:val="none" w:sz="0" w:space="0" w:color="auto"/>
          </w:divBdr>
        </w:div>
        <w:div w:id="1763186085">
          <w:marLeft w:val="0"/>
          <w:marRight w:val="0"/>
          <w:marTop w:val="0"/>
          <w:marBottom w:val="0"/>
          <w:divBdr>
            <w:top w:val="none" w:sz="0" w:space="0" w:color="auto"/>
            <w:left w:val="none" w:sz="0" w:space="0" w:color="auto"/>
            <w:bottom w:val="none" w:sz="0" w:space="0" w:color="auto"/>
            <w:right w:val="none" w:sz="0" w:space="0" w:color="auto"/>
          </w:divBdr>
        </w:div>
        <w:div w:id="1686713514">
          <w:marLeft w:val="0"/>
          <w:marRight w:val="0"/>
          <w:marTop w:val="0"/>
          <w:marBottom w:val="0"/>
          <w:divBdr>
            <w:top w:val="none" w:sz="0" w:space="0" w:color="auto"/>
            <w:left w:val="none" w:sz="0" w:space="0" w:color="auto"/>
            <w:bottom w:val="none" w:sz="0" w:space="0" w:color="auto"/>
            <w:right w:val="none" w:sz="0" w:space="0" w:color="auto"/>
          </w:divBdr>
        </w:div>
        <w:div w:id="1739475751">
          <w:marLeft w:val="0"/>
          <w:marRight w:val="0"/>
          <w:marTop w:val="0"/>
          <w:marBottom w:val="0"/>
          <w:divBdr>
            <w:top w:val="none" w:sz="0" w:space="0" w:color="auto"/>
            <w:left w:val="none" w:sz="0" w:space="0" w:color="auto"/>
            <w:bottom w:val="none" w:sz="0" w:space="0" w:color="auto"/>
            <w:right w:val="none" w:sz="0" w:space="0" w:color="auto"/>
          </w:divBdr>
        </w:div>
        <w:div w:id="2021083119">
          <w:marLeft w:val="0"/>
          <w:marRight w:val="0"/>
          <w:marTop w:val="0"/>
          <w:marBottom w:val="0"/>
          <w:divBdr>
            <w:top w:val="none" w:sz="0" w:space="0" w:color="auto"/>
            <w:left w:val="none" w:sz="0" w:space="0" w:color="auto"/>
            <w:bottom w:val="none" w:sz="0" w:space="0" w:color="auto"/>
            <w:right w:val="none" w:sz="0" w:space="0" w:color="auto"/>
          </w:divBdr>
        </w:div>
        <w:div w:id="937177953">
          <w:marLeft w:val="0"/>
          <w:marRight w:val="0"/>
          <w:marTop w:val="0"/>
          <w:marBottom w:val="0"/>
          <w:divBdr>
            <w:top w:val="none" w:sz="0" w:space="0" w:color="auto"/>
            <w:left w:val="none" w:sz="0" w:space="0" w:color="auto"/>
            <w:bottom w:val="none" w:sz="0" w:space="0" w:color="auto"/>
            <w:right w:val="none" w:sz="0" w:space="0" w:color="auto"/>
          </w:divBdr>
        </w:div>
        <w:div w:id="712777200">
          <w:marLeft w:val="0"/>
          <w:marRight w:val="0"/>
          <w:marTop w:val="0"/>
          <w:marBottom w:val="0"/>
          <w:divBdr>
            <w:top w:val="none" w:sz="0" w:space="0" w:color="auto"/>
            <w:left w:val="none" w:sz="0" w:space="0" w:color="auto"/>
            <w:bottom w:val="none" w:sz="0" w:space="0" w:color="auto"/>
            <w:right w:val="none" w:sz="0" w:space="0" w:color="auto"/>
          </w:divBdr>
        </w:div>
        <w:div w:id="421948141">
          <w:marLeft w:val="0"/>
          <w:marRight w:val="0"/>
          <w:marTop w:val="0"/>
          <w:marBottom w:val="0"/>
          <w:divBdr>
            <w:top w:val="none" w:sz="0" w:space="0" w:color="auto"/>
            <w:left w:val="none" w:sz="0" w:space="0" w:color="auto"/>
            <w:bottom w:val="none" w:sz="0" w:space="0" w:color="auto"/>
            <w:right w:val="none" w:sz="0" w:space="0" w:color="auto"/>
          </w:divBdr>
        </w:div>
        <w:div w:id="628362299">
          <w:marLeft w:val="0"/>
          <w:marRight w:val="0"/>
          <w:marTop w:val="0"/>
          <w:marBottom w:val="0"/>
          <w:divBdr>
            <w:top w:val="none" w:sz="0" w:space="0" w:color="auto"/>
            <w:left w:val="none" w:sz="0" w:space="0" w:color="auto"/>
            <w:bottom w:val="none" w:sz="0" w:space="0" w:color="auto"/>
            <w:right w:val="none" w:sz="0" w:space="0" w:color="auto"/>
          </w:divBdr>
        </w:div>
        <w:div w:id="972297658">
          <w:marLeft w:val="0"/>
          <w:marRight w:val="0"/>
          <w:marTop w:val="0"/>
          <w:marBottom w:val="0"/>
          <w:divBdr>
            <w:top w:val="none" w:sz="0" w:space="0" w:color="auto"/>
            <w:left w:val="none" w:sz="0" w:space="0" w:color="auto"/>
            <w:bottom w:val="none" w:sz="0" w:space="0" w:color="auto"/>
            <w:right w:val="none" w:sz="0" w:space="0" w:color="auto"/>
          </w:divBdr>
        </w:div>
      </w:divsChild>
    </w:div>
    <w:div w:id="502548200">
      <w:bodyDiv w:val="1"/>
      <w:marLeft w:val="0"/>
      <w:marRight w:val="0"/>
      <w:marTop w:val="0"/>
      <w:marBottom w:val="0"/>
      <w:divBdr>
        <w:top w:val="none" w:sz="0" w:space="0" w:color="auto"/>
        <w:left w:val="none" w:sz="0" w:space="0" w:color="auto"/>
        <w:bottom w:val="none" w:sz="0" w:space="0" w:color="auto"/>
        <w:right w:val="none" w:sz="0" w:space="0" w:color="auto"/>
      </w:divBdr>
    </w:div>
    <w:div w:id="503471783">
      <w:bodyDiv w:val="1"/>
      <w:marLeft w:val="0"/>
      <w:marRight w:val="0"/>
      <w:marTop w:val="0"/>
      <w:marBottom w:val="0"/>
      <w:divBdr>
        <w:top w:val="none" w:sz="0" w:space="0" w:color="auto"/>
        <w:left w:val="none" w:sz="0" w:space="0" w:color="auto"/>
        <w:bottom w:val="none" w:sz="0" w:space="0" w:color="auto"/>
        <w:right w:val="none" w:sz="0" w:space="0" w:color="auto"/>
      </w:divBdr>
    </w:div>
    <w:div w:id="504782681">
      <w:bodyDiv w:val="1"/>
      <w:marLeft w:val="0"/>
      <w:marRight w:val="0"/>
      <w:marTop w:val="0"/>
      <w:marBottom w:val="0"/>
      <w:divBdr>
        <w:top w:val="none" w:sz="0" w:space="0" w:color="auto"/>
        <w:left w:val="none" w:sz="0" w:space="0" w:color="auto"/>
        <w:bottom w:val="none" w:sz="0" w:space="0" w:color="auto"/>
        <w:right w:val="none" w:sz="0" w:space="0" w:color="auto"/>
      </w:divBdr>
    </w:div>
    <w:div w:id="506020395">
      <w:bodyDiv w:val="1"/>
      <w:marLeft w:val="0"/>
      <w:marRight w:val="0"/>
      <w:marTop w:val="0"/>
      <w:marBottom w:val="0"/>
      <w:divBdr>
        <w:top w:val="none" w:sz="0" w:space="0" w:color="auto"/>
        <w:left w:val="none" w:sz="0" w:space="0" w:color="auto"/>
        <w:bottom w:val="none" w:sz="0" w:space="0" w:color="auto"/>
        <w:right w:val="none" w:sz="0" w:space="0" w:color="auto"/>
      </w:divBdr>
    </w:div>
    <w:div w:id="507529035">
      <w:bodyDiv w:val="1"/>
      <w:marLeft w:val="0"/>
      <w:marRight w:val="0"/>
      <w:marTop w:val="0"/>
      <w:marBottom w:val="0"/>
      <w:divBdr>
        <w:top w:val="none" w:sz="0" w:space="0" w:color="auto"/>
        <w:left w:val="none" w:sz="0" w:space="0" w:color="auto"/>
        <w:bottom w:val="none" w:sz="0" w:space="0" w:color="auto"/>
        <w:right w:val="none" w:sz="0" w:space="0" w:color="auto"/>
      </w:divBdr>
    </w:div>
    <w:div w:id="521624783">
      <w:bodyDiv w:val="1"/>
      <w:marLeft w:val="0"/>
      <w:marRight w:val="0"/>
      <w:marTop w:val="0"/>
      <w:marBottom w:val="0"/>
      <w:divBdr>
        <w:top w:val="none" w:sz="0" w:space="0" w:color="auto"/>
        <w:left w:val="none" w:sz="0" w:space="0" w:color="auto"/>
        <w:bottom w:val="none" w:sz="0" w:space="0" w:color="auto"/>
        <w:right w:val="none" w:sz="0" w:space="0" w:color="auto"/>
      </w:divBdr>
    </w:div>
    <w:div w:id="522944191">
      <w:bodyDiv w:val="1"/>
      <w:marLeft w:val="0"/>
      <w:marRight w:val="0"/>
      <w:marTop w:val="0"/>
      <w:marBottom w:val="0"/>
      <w:divBdr>
        <w:top w:val="none" w:sz="0" w:space="0" w:color="auto"/>
        <w:left w:val="none" w:sz="0" w:space="0" w:color="auto"/>
        <w:bottom w:val="none" w:sz="0" w:space="0" w:color="auto"/>
        <w:right w:val="none" w:sz="0" w:space="0" w:color="auto"/>
      </w:divBdr>
    </w:div>
    <w:div w:id="522979003">
      <w:bodyDiv w:val="1"/>
      <w:marLeft w:val="0"/>
      <w:marRight w:val="0"/>
      <w:marTop w:val="0"/>
      <w:marBottom w:val="0"/>
      <w:divBdr>
        <w:top w:val="none" w:sz="0" w:space="0" w:color="auto"/>
        <w:left w:val="none" w:sz="0" w:space="0" w:color="auto"/>
        <w:bottom w:val="none" w:sz="0" w:space="0" w:color="auto"/>
        <w:right w:val="none" w:sz="0" w:space="0" w:color="auto"/>
      </w:divBdr>
      <w:divsChild>
        <w:div w:id="1166214382">
          <w:marLeft w:val="0"/>
          <w:marRight w:val="0"/>
          <w:marTop w:val="0"/>
          <w:marBottom w:val="0"/>
          <w:divBdr>
            <w:top w:val="none" w:sz="0" w:space="0" w:color="auto"/>
            <w:left w:val="none" w:sz="0" w:space="0" w:color="auto"/>
            <w:bottom w:val="none" w:sz="0" w:space="0" w:color="auto"/>
            <w:right w:val="none" w:sz="0" w:space="0" w:color="auto"/>
          </w:divBdr>
          <w:divsChild>
            <w:div w:id="1226725137">
              <w:marLeft w:val="0"/>
              <w:marRight w:val="0"/>
              <w:marTop w:val="0"/>
              <w:marBottom w:val="0"/>
              <w:divBdr>
                <w:top w:val="none" w:sz="0" w:space="0" w:color="auto"/>
                <w:left w:val="none" w:sz="0" w:space="0" w:color="auto"/>
                <w:bottom w:val="none" w:sz="0" w:space="0" w:color="auto"/>
                <w:right w:val="none" w:sz="0" w:space="0" w:color="auto"/>
              </w:divBdr>
              <w:divsChild>
                <w:div w:id="20607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24770">
      <w:bodyDiv w:val="1"/>
      <w:marLeft w:val="0"/>
      <w:marRight w:val="0"/>
      <w:marTop w:val="0"/>
      <w:marBottom w:val="0"/>
      <w:divBdr>
        <w:top w:val="none" w:sz="0" w:space="0" w:color="auto"/>
        <w:left w:val="none" w:sz="0" w:space="0" w:color="auto"/>
        <w:bottom w:val="none" w:sz="0" w:space="0" w:color="auto"/>
        <w:right w:val="none" w:sz="0" w:space="0" w:color="auto"/>
      </w:divBdr>
    </w:div>
    <w:div w:id="548347101">
      <w:bodyDiv w:val="1"/>
      <w:marLeft w:val="0"/>
      <w:marRight w:val="0"/>
      <w:marTop w:val="0"/>
      <w:marBottom w:val="0"/>
      <w:divBdr>
        <w:top w:val="none" w:sz="0" w:space="0" w:color="auto"/>
        <w:left w:val="none" w:sz="0" w:space="0" w:color="auto"/>
        <w:bottom w:val="none" w:sz="0" w:space="0" w:color="auto"/>
        <w:right w:val="none" w:sz="0" w:space="0" w:color="auto"/>
      </w:divBdr>
    </w:div>
    <w:div w:id="555357153">
      <w:bodyDiv w:val="1"/>
      <w:marLeft w:val="0"/>
      <w:marRight w:val="0"/>
      <w:marTop w:val="0"/>
      <w:marBottom w:val="0"/>
      <w:divBdr>
        <w:top w:val="none" w:sz="0" w:space="0" w:color="auto"/>
        <w:left w:val="none" w:sz="0" w:space="0" w:color="auto"/>
        <w:bottom w:val="none" w:sz="0" w:space="0" w:color="auto"/>
        <w:right w:val="none" w:sz="0" w:space="0" w:color="auto"/>
      </w:divBdr>
    </w:div>
    <w:div w:id="575283580">
      <w:bodyDiv w:val="1"/>
      <w:marLeft w:val="0"/>
      <w:marRight w:val="0"/>
      <w:marTop w:val="0"/>
      <w:marBottom w:val="0"/>
      <w:divBdr>
        <w:top w:val="none" w:sz="0" w:space="0" w:color="auto"/>
        <w:left w:val="none" w:sz="0" w:space="0" w:color="auto"/>
        <w:bottom w:val="none" w:sz="0" w:space="0" w:color="auto"/>
        <w:right w:val="none" w:sz="0" w:space="0" w:color="auto"/>
      </w:divBdr>
    </w:div>
    <w:div w:id="583106381">
      <w:bodyDiv w:val="1"/>
      <w:marLeft w:val="0"/>
      <w:marRight w:val="0"/>
      <w:marTop w:val="0"/>
      <w:marBottom w:val="0"/>
      <w:divBdr>
        <w:top w:val="none" w:sz="0" w:space="0" w:color="auto"/>
        <w:left w:val="none" w:sz="0" w:space="0" w:color="auto"/>
        <w:bottom w:val="none" w:sz="0" w:space="0" w:color="auto"/>
        <w:right w:val="none" w:sz="0" w:space="0" w:color="auto"/>
      </w:divBdr>
    </w:div>
    <w:div w:id="586572447">
      <w:bodyDiv w:val="1"/>
      <w:marLeft w:val="0"/>
      <w:marRight w:val="0"/>
      <w:marTop w:val="0"/>
      <w:marBottom w:val="0"/>
      <w:divBdr>
        <w:top w:val="none" w:sz="0" w:space="0" w:color="auto"/>
        <w:left w:val="none" w:sz="0" w:space="0" w:color="auto"/>
        <w:bottom w:val="none" w:sz="0" w:space="0" w:color="auto"/>
        <w:right w:val="none" w:sz="0" w:space="0" w:color="auto"/>
      </w:divBdr>
    </w:div>
    <w:div w:id="588123657">
      <w:bodyDiv w:val="1"/>
      <w:marLeft w:val="0"/>
      <w:marRight w:val="0"/>
      <w:marTop w:val="0"/>
      <w:marBottom w:val="0"/>
      <w:divBdr>
        <w:top w:val="none" w:sz="0" w:space="0" w:color="auto"/>
        <w:left w:val="none" w:sz="0" w:space="0" w:color="auto"/>
        <w:bottom w:val="none" w:sz="0" w:space="0" w:color="auto"/>
        <w:right w:val="none" w:sz="0" w:space="0" w:color="auto"/>
      </w:divBdr>
    </w:div>
    <w:div w:id="591279387">
      <w:bodyDiv w:val="1"/>
      <w:marLeft w:val="0"/>
      <w:marRight w:val="0"/>
      <w:marTop w:val="0"/>
      <w:marBottom w:val="0"/>
      <w:divBdr>
        <w:top w:val="none" w:sz="0" w:space="0" w:color="auto"/>
        <w:left w:val="none" w:sz="0" w:space="0" w:color="auto"/>
        <w:bottom w:val="none" w:sz="0" w:space="0" w:color="auto"/>
        <w:right w:val="none" w:sz="0" w:space="0" w:color="auto"/>
      </w:divBdr>
    </w:div>
    <w:div w:id="592933346">
      <w:bodyDiv w:val="1"/>
      <w:marLeft w:val="0"/>
      <w:marRight w:val="0"/>
      <w:marTop w:val="0"/>
      <w:marBottom w:val="0"/>
      <w:divBdr>
        <w:top w:val="none" w:sz="0" w:space="0" w:color="auto"/>
        <w:left w:val="none" w:sz="0" w:space="0" w:color="auto"/>
        <w:bottom w:val="none" w:sz="0" w:space="0" w:color="auto"/>
        <w:right w:val="none" w:sz="0" w:space="0" w:color="auto"/>
      </w:divBdr>
    </w:div>
    <w:div w:id="594246527">
      <w:bodyDiv w:val="1"/>
      <w:marLeft w:val="0"/>
      <w:marRight w:val="0"/>
      <w:marTop w:val="0"/>
      <w:marBottom w:val="0"/>
      <w:divBdr>
        <w:top w:val="none" w:sz="0" w:space="0" w:color="auto"/>
        <w:left w:val="none" w:sz="0" w:space="0" w:color="auto"/>
        <w:bottom w:val="none" w:sz="0" w:space="0" w:color="auto"/>
        <w:right w:val="none" w:sz="0" w:space="0" w:color="auto"/>
      </w:divBdr>
    </w:div>
    <w:div w:id="595753311">
      <w:bodyDiv w:val="1"/>
      <w:marLeft w:val="0"/>
      <w:marRight w:val="0"/>
      <w:marTop w:val="0"/>
      <w:marBottom w:val="0"/>
      <w:divBdr>
        <w:top w:val="none" w:sz="0" w:space="0" w:color="auto"/>
        <w:left w:val="none" w:sz="0" w:space="0" w:color="auto"/>
        <w:bottom w:val="none" w:sz="0" w:space="0" w:color="auto"/>
        <w:right w:val="none" w:sz="0" w:space="0" w:color="auto"/>
      </w:divBdr>
    </w:div>
    <w:div w:id="598029438">
      <w:bodyDiv w:val="1"/>
      <w:marLeft w:val="0"/>
      <w:marRight w:val="0"/>
      <w:marTop w:val="0"/>
      <w:marBottom w:val="0"/>
      <w:divBdr>
        <w:top w:val="none" w:sz="0" w:space="0" w:color="auto"/>
        <w:left w:val="none" w:sz="0" w:space="0" w:color="auto"/>
        <w:bottom w:val="none" w:sz="0" w:space="0" w:color="auto"/>
        <w:right w:val="none" w:sz="0" w:space="0" w:color="auto"/>
      </w:divBdr>
    </w:div>
    <w:div w:id="599485253">
      <w:bodyDiv w:val="1"/>
      <w:marLeft w:val="0"/>
      <w:marRight w:val="0"/>
      <w:marTop w:val="0"/>
      <w:marBottom w:val="0"/>
      <w:divBdr>
        <w:top w:val="none" w:sz="0" w:space="0" w:color="auto"/>
        <w:left w:val="none" w:sz="0" w:space="0" w:color="auto"/>
        <w:bottom w:val="none" w:sz="0" w:space="0" w:color="auto"/>
        <w:right w:val="none" w:sz="0" w:space="0" w:color="auto"/>
      </w:divBdr>
    </w:div>
    <w:div w:id="605817532">
      <w:bodyDiv w:val="1"/>
      <w:marLeft w:val="0"/>
      <w:marRight w:val="0"/>
      <w:marTop w:val="0"/>
      <w:marBottom w:val="0"/>
      <w:divBdr>
        <w:top w:val="none" w:sz="0" w:space="0" w:color="auto"/>
        <w:left w:val="none" w:sz="0" w:space="0" w:color="auto"/>
        <w:bottom w:val="none" w:sz="0" w:space="0" w:color="auto"/>
        <w:right w:val="none" w:sz="0" w:space="0" w:color="auto"/>
      </w:divBdr>
    </w:div>
    <w:div w:id="611136029">
      <w:bodyDiv w:val="1"/>
      <w:marLeft w:val="0"/>
      <w:marRight w:val="0"/>
      <w:marTop w:val="0"/>
      <w:marBottom w:val="0"/>
      <w:divBdr>
        <w:top w:val="none" w:sz="0" w:space="0" w:color="auto"/>
        <w:left w:val="none" w:sz="0" w:space="0" w:color="auto"/>
        <w:bottom w:val="none" w:sz="0" w:space="0" w:color="auto"/>
        <w:right w:val="none" w:sz="0" w:space="0" w:color="auto"/>
      </w:divBdr>
    </w:div>
    <w:div w:id="614482693">
      <w:bodyDiv w:val="1"/>
      <w:marLeft w:val="0"/>
      <w:marRight w:val="0"/>
      <w:marTop w:val="0"/>
      <w:marBottom w:val="0"/>
      <w:divBdr>
        <w:top w:val="none" w:sz="0" w:space="0" w:color="auto"/>
        <w:left w:val="none" w:sz="0" w:space="0" w:color="auto"/>
        <w:bottom w:val="none" w:sz="0" w:space="0" w:color="auto"/>
        <w:right w:val="none" w:sz="0" w:space="0" w:color="auto"/>
      </w:divBdr>
    </w:div>
    <w:div w:id="614756568">
      <w:bodyDiv w:val="1"/>
      <w:marLeft w:val="0"/>
      <w:marRight w:val="0"/>
      <w:marTop w:val="0"/>
      <w:marBottom w:val="0"/>
      <w:divBdr>
        <w:top w:val="none" w:sz="0" w:space="0" w:color="auto"/>
        <w:left w:val="none" w:sz="0" w:space="0" w:color="auto"/>
        <w:bottom w:val="none" w:sz="0" w:space="0" w:color="auto"/>
        <w:right w:val="none" w:sz="0" w:space="0" w:color="auto"/>
      </w:divBdr>
    </w:div>
    <w:div w:id="623847673">
      <w:bodyDiv w:val="1"/>
      <w:marLeft w:val="0"/>
      <w:marRight w:val="0"/>
      <w:marTop w:val="0"/>
      <w:marBottom w:val="0"/>
      <w:divBdr>
        <w:top w:val="none" w:sz="0" w:space="0" w:color="auto"/>
        <w:left w:val="none" w:sz="0" w:space="0" w:color="auto"/>
        <w:bottom w:val="none" w:sz="0" w:space="0" w:color="auto"/>
        <w:right w:val="none" w:sz="0" w:space="0" w:color="auto"/>
      </w:divBdr>
    </w:div>
    <w:div w:id="628360602">
      <w:bodyDiv w:val="1"/>
      <w:marLeft w:val="0"/>
      <w:marRight w:val="0"/>
      <w:marTop w:val="0"/>
      <w:marBottom w:val="0"/>
      <w:divBdr>
        <w:top w:val="none" w:sz="0" w:space="0" w:color="auto"/>
        <w:left w:val="none" w:sz="0" w:space="0" w:color="auto"/>
        <w:bottom w:val="none" w:sz="0" w:space="0" w:color="auto"/>
        <w:right w:val="none" w:sz="0" w:space="0" w:color="auto"/>
      </w:divBdr>
    </w:div>
    <w:div w:id="628826325">
      <w:bodyDiv w:val="1"/>
      <w:marLeft w:val="0"/>
      <w:marRight w:val="0"/>
      <w:marTop w:val="0"/>
      <w:marBottom w:val="0"/>
      <w:divBdr>
        <w:top w:val="none" w:sz="0" w:space="0" w:color="auto"/>
        <w:left w:val="none" w:sz="0" w:space="0" w:color="auto"/>
        <w:bottom w:val="none" w:sz="0" w:space="0" w:color="auto"/>
        <w:right w:val="none" w:sz="0" w:space="0" w:color="auto"/>
      </w:divBdr>
    </w:div>
    <w:div w:id="630983192">
      <w:bodyDiv w:val="1"/>
      <w:marLeft w:val="0"/>
      <w:marRight w:val="0"/>
      <w:marTop w:val="0"/>
      <w:marBottom w:val="0"/>
      <w:divBdr>
        <w:top w:val="none" w:sz="0" w:space="0" w:color="auto"/>
        <w:left w:val="none" w:sz="0" w:space="0" w:color="auto"/>
        <w:bottom w:val="none" w:sz="0" w:space="0" w:color="auto"/>
        <w:right w:val="none" w:sz="0" w:space="0" w:color="auto"/>
      </w:divBdr>
    </w:div>
    <w:div w:id="632826622">
      <w:bodyDiv w:val="1"/>
      <w:marLeft w:val="0"/>
      <w:marRight w:val="0"/>
      <w:marTop w:val="0"/>
      <w:marBottom w:val="0"/>
      <w:divBdr>
        <w:top w:val="none" w:sz="0" w:space="0" w:color="auto"/>
        <w:left w:val="none" w:sz="0" w:space="0" w:color="auto"/>
        <w:bottom w:val="none" w:sz="0" w:space="0" w:color="auto"/>
        <w:right w:val="none" w:sz="0" w:space="0" w:color="auto"/>
      </w:divBdr>
    </w:div>
    <w:div w:id="639265967">
      <w:bodyDiv w:val="1"/>
      <w:marLeft w:val="0"/>
      <w:marRight w:val="0"/>
      <w:marTop w:val="0"/>
      <w:marBottom w:val="0"/>
      <w:divBdr>
        <w:top w:val="none" w:sz="0" w:space="0" w:color="auto"/>
        <w:left w:val="none" w:sz="0" w:space="0" w:color="auto"/>
        <w:bottom w:val="none" w:sz="0" w:space="0" w:color="auto"/>
        <w:right w:val="none" w:sz="0" w:space="0" w:color="auto"/>
      </w:divBdr>
    </w:div>
    <w:div w:id="640232966">
      <w:bodyDiv w:val="1"/>
      <w:marLeft w:val="0"/>
      <w:marRight w:val="0"/>
      <w:marTop w:val="0"/>
      <w:marBottom w:val="0"/>
      <w:divBdr>
        <w:top w:val="none" w:sz="0" w:space="0" w:color="auto"/>
        <w:left w:val="none" w:sz="0" w:space="0" w:color="auto"/>
        <w:bottom w:val="none" w:sz="0" w:space="0" w:color="auto"/>
        <w:right w:val="none" w:sz="0" w:space="0" w:color="auto"/>
      </w:divBdr>
    </w:div>
    <w:div w:id="644353112">
      <w:bodyDiv w:val="1"/>
      <w:marLeft w:val="0"/>
      <w:marRight w:val="0"/>
      <w:marTop w:val="0"/>
      <w:marBottom w:val="0"/>
      <w:divBdr>
        <w:top w:val="none" w:sz="0" w:space="0" w:color="auto"/>
        <w:left w:val="none" w:sz="0" w:space="0" w:color="auto"/>
        <w:bottom w:val="none" w:sz="0" w:space="0" w:color="auto"/>
        <w:right w:val="none" w:sz="0" w:space="0" w:color="auto"/>
      </w:divBdr>
    </w:div>
    <w:div w:id="644699968">
      <w:bodyDiv w:val="1"/>
      <w:marLeft w:val="0"/>
      <w:marRight w:val="0"/>
      <w:marTop w:val="0"/>
      <w:marBottom w:val="0"/>
      <w:divBdr>
        <w:top w:val="none" w:sz="0" w:space="0" w:color="auto"/>
        <w:left w:val="none" w:sz="0" w:space="0" w:color="auto"/>
        <w:bottom w:val="none" w:sz="0" w:space="0" w:color="auto"/>
        <w:right w:val="none" w:sz="0" w:space="0" w:color="auto"/>
      </w:divBdr>
    </w:div>
    <w:div w:id="645359496">
      <w:bodyDiv w:val="1"/>
      <w:marLeft w:val="0"/>
      <w:marRight w:val="0"/>
      <w:marTop w:val="0"/>
      <w:marBottom w:val="0"/>
      <w:divBdr>
        <w:top w:val="none" w:sz="0" w:space="0" w:color="auto"/>
        <w:left w:val="none" w:sz="0" w:space="0" w:color="auto"/>
        <w:bottom w:val="none" w:sz="0" w:space="0" w:color="auto"/>
        <w:right w:val="none" w:sz="0" w:space="0" w:color="auto"/>
      </w:divBdr>
    </w:div>
    <w:div w:id="648676128">
      <w:bodyDiv w:val="1"/>
      <w:marLeft w:val="0"/>
      <w:marRight w:val="0"/>
      <w:marTop w:val="0"/>
      <w:marBottom w:val="0"/>
      <w:divBdr>
        <w:top w:val="none" w:sz="0" w:space="0" w:color="auto"/>
        <w:left w:val="none" w:sz="0" w:space="0" w:color="auto"/>
        <w:bottom w:val="none" w:sz="0" w:space="0" w:color="auto"/>
        <w:right w:val="none" w:sz="0" w:space="0" w:color="auto"/>
      </w:divBdr>
    </w:div>
    <w:div w:id="652104280">
      <w:bodyDiv w:val="1"/>
      <w:marLeft w:val="0"/>
      <w:marRight w:val="0"/>
      <w:marTop w:val="0"/>
      <w:marBottom w:val="0"/>
      <w:divBdr>
        <w:top w:val="none" w:sz="0" w:space="0" w:color="auto"/>
        <w:left w:val="none" w:sz="0" w:space="0" w:color="auto"/>
        <w:bottom w:val="none" w:sz="0" w:space="0" w:color="auto"/>
        <w:right w:val="none" w:sz="0" w:space="0" w:color="auto"/>
      </w:divBdr>
    </w:div>
    <w:div w:id="663047288">
      <w:bodyDiv w:val="1"/>
      <w:marLeft w:val="0"/>
      <w:marRight w:val="0"/>
      <w:marTop w:val="0"/>
      <w:marBottom w:val="0"/>
      <w:divBdr>
        <w:top w:val="none" w:sz="0" w:space="0" w:color="auto"/>
        <w:left w:val="none" w:sz="0" w:space="0" w:color="auto"/>
        <w:bottom w:val="none" w:sz="0" w:space="0" w:color="auto"/>
        <w:right w:val="none" w:sz="0" w:space="0" w:color="auto"/>
      </w:divBdr>
      <w:divsChild>
        <w:div w:id="2044212256">
          <w:marLeft w:val="0"/>
          <w:marRight w:val="0"/>
          <w:marTop w:val="0"/>
          <w:marBottom w:val="0"/>
          <w:divBdr>
            <w:top w:val="none" w:sz="0" w:space="0" w:color="auto"/>
            <w:left w:val="none" w:sz="0" w:space="0" w:color="auto"/>
            <w:bottom w:val="none" w:sz="0" w:space="0" w:color="auto"/>
            <w:right w:val="none" w:sz="0" w:space="0" w:color="auto"/>
          </w:divBdr>
        </w:div>
        <w:div w:id="761952589">
          <w:marLeft w:val="0"/>
          <w:marRight w:val="0"/>
          <w:marTop w:val="0"/>
          <w:marBottom w:val="0"/>
          <w:divBdr>
            <w:top w:val="none" w:sz="0" w:space="0" w:color="auto"/>
            <w:left w:val="none" w:sz="0" w:space="0" w:color="auto"/>
            <w:bottom w:val="none" w:sz="0" w:space="0" w:color="auto"/>
            <w:right w:val="none" w:sz="0" w:space="0" w:color="auto"/>
          </w:divBdr>
          <w:divsChild>
            <w:div w:id="524950158">
              <w:marLeft w:val="0"/>
              <w:marRight w:val="0"/>
              <w:marTop w:val="0"/>
              <w:marBottom w:val="0"/>
              <w:divBdr>
                <w:top w:val="none" w:sz="0" w:space="0" w:color="auto"/>
                <w:left w:val="none" w:sz="0" w:space="0" w:color="auto"/>
                <w:bottom w:val="none" w:sz="0" w:space="0" w:color="auto"/>
                <w:right w:val="none" w:sz="0" w:space="0" w:color="auto"/>
              </w:divBdr>
              <w:divsChild>
                <w:div w:id="1347751237">
                  <w:marLeft w:val="0"/>
                  <w:marRight w:val="0"/>
                  <w:marTop w:val="0"/>
                  <w:marBottom w:val="0"/>
                  <w:divBdr>
                    <w:top w:val="none" w:sz="0" w:space="0" w:color="auto"/>
                    <w:left w:val="none" w:sz="0" w:space="0" w:color="auto"/>
                    <w:bottom w:val="none" w:sz="0" w:space="0" w:color="auto"/>
                    <w:right w:val="none" w:sz="0" w:space="0" w:color="auto"/>
                  </w:divBdr>
                </w:div>
              </w:divsChild>
            </w:div>
            <w:div w:id="1873299866">
              <w:marLeft w:val="0"/>
              <w:marRight w:val="0"/>
              <w:marTop w:val="0"/>
              <w:marBottom w:val="0"/>
              <w:divBdr>
                <w:top w:val="none" w:sz="0" w:space="0" w:color="auto"/>
                <w:left w:val="none" w:sz="0" w:space="0" w:color="auto"/>
                <w:bottom w:val="none" w:sz="0" w:space="0" w:color="auto"/>
                <w:right w:val="none" w:sz="0" w:space="0" w:color="auto"/>
              </w:divBdr>
              <w:divsChild>
                <w:div w:id="140969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668084">
      <w:bodyDiv w:val="1"/>
      <w:marLeft w:val="0"/>
      <w:marRight w:val="0"/>
      <w:marTop w:val="0"/>
      <w:marBottom w:val="0"/>
      <w:divBdr>
        <w:top w:val="none" w:sz="0" w:space="0" w:color="auto"/>
        <w:left w:val="none" w:sz="0" w:space="0" w:color="auto"/>
        <w:bottom w:val="none" w:sz="0" w:space="0" w:color="auto"/>
        <w:right w:val="none" w:sz="0" w:space="0" w:color="auto"/>
      </w:divBdr>
    </w:div>
    <w:div w:id="668757788">
      <w:bodyDiv w:val="1"/>
      <w:marLeft w:val="0"/>
      <w:marRight w:val="0"/>
      <w:marTop w:val="0"/>
      <w:marBottom w:val="0"/>
      <w:divBdr>
        <w:top w:val="none" w:sz="0" w:space="0" w:color="auto"/>
        <w:left w:val="none" w:sz="0" w:space="0" w:color="auto"/>
        <w:bottom w:val="none" w:sz="0" w:space="0" w:color="auto"/>
        <w:right w:val="none" w:sz="0" w:space="0" w:color="auto"/>
      </w:divBdr>
    </w:div>
    <w:div w:id="677927213">
      <w:bodyDiv w:val="1"/>
      <w:marLeft w:val="0"/>
      <w:marRight w:val="0"/>
      <w:marTop w:val="0"/>
      <w:marBottom w:val="0"/>
      <w:divBdr>
        <w:top w:val="none" w:sz="0" w:space="0" w:color="auto"/>
        <w:left w:val="none" w:sz="0" w:space="0" w:color="auto"/>
        <w:bottom w:val="none" w:sz="0" w:space="0" w:color="auto"/>
        <w:right w:val="none" w:sz="0" w:space="0" w:color="auto"/>
      </w:divBdr>
    </w:div>
    <w:div w:id="679619846">
      <w:bodyDiv w:val="1"/>
      <w:marLeft w:val="0"/>
      <w:marRight w:val="0"/>
      <w:marTop w:val="0"/>
      <w:marBottom w:val="0"/>
      <w:divBdr>
        <w:top w:val="none" w:sz="0" w:space="0" w:color="auto"/>
        <w:left w:val="none" w:sz="0" w:space="0" w:color="auto"/>
        <w:bottom w:val="none" w:sz="0" w:space="0" w:color="auto"/>
        <w:right w:val="none" w:sz="0" w:space="0" w:color="auto"/>
      </w:divBdr>
    </w:div>
    <w:div w:id="688608683">
      <w:bodyDiv w:val="1"/>
      <w:marLeft w:val="0"/>
      <w:marRight w:val="0"/>
      <w:marTop w:val="0"/>
      <w:marBottom w:val="0"/>
      <w:divBdr>
        <w:top w:val="none" w:sz="0" w:space="0" w:color="auto"/>
        <w:left w:val="none" w:sz="0" w:space="0" w:color="auto"/>
        <w:bottom w:val="none" w:sz="0" w:space="0" w:color="auto"/>
        <w:right w:val="none" w:sz="0" w:space="0" w:color="auto"/>
      </w:divBdr>
    </w:div>
    <w:div w:id="689532160">
      <w:bodyDiv w:val="1"/>
      <w:marLeft w:val="0"/>
      <w:marRight w:val="0"/>
      <w:marTop w:val="0"/>
      <w:marBottom w:val="0"/>
      <w:divBdr>
        <w:top w:val="none" w:sz="0" w:space="0" w:color="auto"/>
        <w:left w:val="none" w:sz="0" w:space="0" w:color="auto"/>
        <w:bottom w:val="none" w:sz="0" w:space="0" w:color="auto"/>
        <w:right w:val="none" w:sz="0" w:space="0" w:color="auto"/>
      </w:divBdr>
    </w:div>
    <w:div w:id="690692345">
      <w:bodyDiv w:val="1"/>
      <w:marLeft w:val="0"/>
      <w:marRight w:val="0"/>
      <w:marTop w:val="0"/>
      <w:marBottom w:val="0"/>
      <w:divBdr>
        <w:top w:val="none" w:sz="0" w:space="0" w:color="auto"/>
        <w:left w:val="none" w:sz="0" w:space="0" w:color="auto"/>
        <w:bottom w:val="none" w:sz="0" w:space="0" w:color="auto"/>
        <w:right w:val="none" w:sz="0" w:space="0" w:color="auto"/>
      </w:divBdr>
    </w:div>
    <w:div w:id="695892727">
      <w:bodyDiv w:val="1"/>
      <w:marLeft w:val="0"/>
      <w:marRight w:val="0"/>
      <w:marTop w:val="0"/>
      <w:marBottom w:val="0"/>
      <w:divBdr>
        <w:top w:val="none" w:sz="0" w:space="0" w:color="auto"/>
        <w:left w:val="none" w:sz="0" w:space="0" w:color="auto"/>
        <w:bottom w:val="none" w:sz="0" w:space="0" w:color="auto"/>
        <w:right w:val="none" w:sz="0" w:space="0" w:color="auto"/>
      </w:divBdr>
    </w:div>
    <w:div w:id="698941817">
      <w:bodyDiv w:val="1"/>
      <w:marLeft w:val="0"/>
      <w:marRight w:val="0"/>
      <w:marTop w:val="0"/>
      <w:marBottom w:val="0"/>
      <w:divBdr>
        <w:top w:val="none" w:sz="0" w:space="0" w:color="auto"/>
        <w:left w:val="none" w:sz="0" w:space="0" w:color="auto"/>
        <w:bottom w:val="none" w:sz="0" w:space="0" w:color="auto"/>
        <w:right w:val="none" w:sz="0" w:space="0" w:color="auto"/>
      </w:divBdr>
    </w:div>
    <w:div w:id="699402759">
      <w:bodyDiv w:val="1"/>
      <w:marLeft w:val="0"/>
      <w:marRight w:val="0"/>
      <w:marTop w:val="0"/>
      <w:marBottom w:val="0"/>
      <w:divBdr>
        <w:top w:val="none" w:sz="0" w:space="0" w:color="auto"/>
        <w:left w:val="none" w:sz="0" w:space="0" w:color="auto"/>
        <w:bottom w:val="none" w:sz="0" w:space="0" w:color="auto"/>
        <w:right w:val="none" w:sz="0" w:space="0" w:color="auto"/>
      </w:divBdr>
    </w:div>
    <w:div w:id="702170943">
      <w:bodyDiv w:val="1"/>
      <w:marLeft w:val="0"/>
      <w:marRight w:val="0"/>
      <w:marTop w:val="0"/>
      <w:marBottom w:val="0"/>
      <w:divBdr>
        <w:top w:val="none" w:sz="0" w:space="0" w:color="auto"/>
        <w:left w:val="none" w:sz="0" w:space="0" w:color="auto"/>
        <w:bottom w:val="none" w:sz="0" w:space="0" w:color="auto"/>
        <w:right w:val="none" w:sz="0" w:space="0" w:color="auto"/>
      </w:divBdr>
    </w:div>
    <w:div w:id="714155635">
      <w:bodyDiv w:val="1"/>
      <w:marLeft w:val="0"/>
      <w:marRight w:val="0"/>
      <w:marTop w:val="0"/>
      <w:marBottom w:val="0"/>
      <w:divBdr>
        <w:top w:val="none" w:sz="0" w:space="0" w:color="auto"/>
        <w:left w:val="none" w:sz="0" w:space="0" w:color="auto"/>
        <w:bottom w:val="none" w:sz="0" w:space="0" w:color="auto"/>
        <w:right w:val="none" w:sz="0" w:space="0" w:color="auto"/>
      </w:divBdr>
    </w:div>
    <w:div w:id="720831495">
      <w:bodyDiv w:val="1"/>
      <w:marLeft w:val="0"/>
      <w:marRight w:val="0"/>
      <w:marTop w:val="0"/>
      <w:marBottom w:val="0"/>
      <w:divBdr>
        <w:top w:val="none" w:sz="0" w:space="0" w:color="auto"/>
        <w:left w:val="none" w:sz="0" w:space="0" w:color="auto"/>
        <w:bottom w:val="none" w:sz="0" w:space="0" w:color="auto"/>
        <w:right w:val="none" w:sz="0" w:space="0" w:color="auto"/>
      </w:divBdr>
    </w:div>
    <w:div w:id="723410140">
      <w:bodyDiv w:val="1"/>
      <w:marLeft w:val="0"/>
      <w:marRight w:val="0"/>
      <w:marTop w:val="0"/>
      <w:marBottom w:val="0"/>
      <w:divBdr>
        <w:top w:val="none" w:sz="0" w:space="0" w:color="auto"/>
        <w:left w:val="none" w:sz="0" w:space="0" w:color="auto"/>
        <w:bottom w:val="none" w:sz="0" w:space="0" w:color="auto"/>
        <w:right w:val="none" w:sz="0" w:space="0" w:color="auto"/>
      </w:divBdr>
    </w:div>
    <w:div w:id="735398175">
      <w:bodyDiv w:val="1"/>
      <w:marLeft w:val="0"/>
      <w:marRight w:val="0"/>
      <w:marTop w:val="0"/>
      <w:marBottom w:val="0"/>
      <w:divBdr>
        <w:top w:val="none" w:sz="0" w:space="0" w:color="auto"/>
        <w:left w:val="none" w:sz="0" w:space="0" w:color="auto"/>
        <w:bottom w:val="none" w:sz="0" w:space="0" w:color="auto"/>
        <w:right w:val="none" w:sz="0" w:space="0" w:color="auto"/>
      </w:divBdr>
    </w:div>
    <w:div w:id="735981967">
      <w:bodyDiv w:val="1"/>
      <w:marLeft w:val="0"/>
      <w:marRight w:val="0"/>
      <w:marTop w:val="0"/>
      <w:marBottom w:val="0"/>
      <w:divBdr>
        <w:top w:val="none" w:sz="0" w:space="0" w:color="auto"/>
        <w:left w:val="none" w:sz="0" w:space="0" w:color="auto"/>
        <w:bottom w:val="none" w:sz="0" w:space="0" w:color="auto"/>
        <w:right w:val="none" w:sz="0" w:space="0" w:color="auto"/>
      </w:divBdr>
    </w:div>
    <w:div w:id="740638017">
      <w:bodyDiv w:val="1"/>
      <w:marLeft w:val="0"/>
      <w:marRight w:val="0"/>
      <w:marTop w:val="0"/>
      <w:marBottom w:val="0"/>
      <w:divBdr>
        <w:top w:val="none" w:sz="0" w:space="0" w:color="auto"/>
        <w:left w:val="none" w:sz="0" w:space="0" w:color="auto"/>
        <w:bottom w:val="none" w:sz="0" w:space="0" w:color="auto"/>
        <w:right w:val="none" w:sz="0" w:space="0" w:color="auto"/>
      </w:divBdr>
    </w:div>
    <w:div w:id="740639829">
      <w:bodyDiv w:val="1"/>
      <w:marLeft w:val="0"/>
      <w:marRight w:val="0"/>
      <w:marTop w:val="0"/>
      <w:marBottom w:val="0"/>
      <w:divBdr>
        <w:top w:val="none" w:sz="0" w:space="0" w:color="auto"/>
        <w:left w:val="none" w:sz="0" w:space="0" w:color="auto"/>
        <w:bottom w:val="none" w:sz="0" w:space="0" w:color="auto"/>
        <w:right w:val="none" w:sz="0" w:space="0" w:color="auto"/>
      </w:divBdr>
    </w:div>
    <w:div w:id="745614296">
      <w:bodyDiv w:val="1"/>
      <w:marLeft w:val="0"/>
      <w:marRight w:val="0"/>
      <w:marTop w:val="0"/>
      <w:marBottom w:val="0"/>
      <w:divBdr>
        <w:top w:val="none" w:sz="0" w:space="0" w:color="auto"/>
        <w:left w:val="none" w:sz="0" w:space="0" w:color="auto"/>
        <w:bottom w:val="none" w:sz="0" w:space="0" w:color="auto"/>
        <w:right w:val="none" w:sz="0" w:space="0" w:color="auto"/>
      </w:divBdr>
    </w:div>
    <w:div w:id="748039521">
      <w:bodyDiv w:val="1"/>
      <w:marLeft w:val="0"/>
      <w:marRight w:val="0"/>
      <w:marTop w:val="0"/>
      <w:marBottom w:val="0"/>
      <w:divBdr>
        <w:top w:val="none" w:sz="0" w:space="0" w:color="auto"/>
        <w:left w:val="none" w:sz="0" w:space="0" w:color="auto"/>
        <w:bottom w:val="none" w:sz="0" w:space="0" w:color="auto"/>
        <w:right w:val="none" w:sz="0" w:space="0" w:color="auto"/>
      </w:divBdr>
    </w:div>
    <w:div w:id="752554938">
      <w:bodyDiv w:val="1"/>
      <w:marLeft w:val="0"/>
      <w:marRight w:val="0"/>
      <w:marTop w:val="0"/>
      <w:marBottom w:val="0"/>
      <w:divBdr>
        <w:top w:val="none" w:sz="0" w:space="0" w:color="auto"/>
        <w:left w:val="none" w:sz="0" w:space="0" w:color="auto"/>
        <w:bottom w:val="none" w:sz="0" w:space="0" w:color="auto"/>
        <w:right w:val="none" w:sz="0" w:space="0" w:color="auto"/>
      </w:divBdr>
    </w:div>
    <w:div w:id="752581487">
      <w:bodyDiv w:val="1"/>
      <w:marLeft w:val="0"/>
      <w:marRight w:val="0"/>
      <w:marTop w:val="0"/>
      <w:marBottom w:val="0"/>
      <w:divBdr>
        <w:top w:val="none" w:sz="0" w:space="0" w:color="auto"/>
        <w:left w:val="none" w:sz="0" w:space="0" w:color="auto"/>
        <w:bottom w:val="none" w:sz="0" w:space="0" w:color="auto"/>
        <w:right w:val="none" w:sz="0" w:space="0" w:color="auto"/>
      </w:divBdr>
    </w:div>
    <w:div w:id="753163025">
      <w:bodyDiv w:val="1"/>
      <w:marLeft w:val="0"/>
      <w:marRight w:val="0"/>
      <w:marTop w:val="0"/>
      <w:marBottom w:val="0"/>
      <w:divBdr>
        <w:top w:val="none" w:sz="0" w:space="0" w:color="auto"/>
        <w:left w:val="none" w:sz="0" w:space="0" w:color="auto"/>
        <w:bottom w:val="none" w:sz="0" w:space="0" w:color="auto"/>
        <w:right w:val="none" w:sz="0" w:space="0" w:color="auto"/>
      </w:divBdr>
    </w:div>
    <w:div w:id="754478388">
      <w:bodyDiv w:val="1"/>
      <w:marLeft w:val="0"/>
      <w:marRight w:val="0"/>
      <w:marTop w:val="0"/>
      <w:marBottom w:val="0"/>
      <w:divBdr>
        <w:top w:val="none" w:sz="0" w:space="0" w:color="auto"/>
        <w:left w:val="none" w:sz="0" w:space="0" w:color="auto"/>
        <w:bottom w:val="none" w:sz="0" w:space="0" w:color="auto"/>
        <w:right w:val="none" w:sz="0" w:space="0" w:color="auto"/>
      </w:divBdr>
    </w:div>
    <w:div w:id="756636252">
      <w:bodyDiv w:val="1"/>
      <w:marLeft w:val="0"/>
      <w:marRight w:val="0"/>
      <w:marTop w:val="0"/>
      <w:marBottom w:val="0"/>
      <w:divBdr>
        <w:top w:val="none" w:sz="0" w:space="0" w:color="auto"/>
        <w:left w:val="none" w:sz="0" w:space="0" w:color="auto"/>
        <w:bottom w:val="none" w:sz="0" w:space="0" w:color="auto"/>
        <w:right w:val="none" w:sz="0" w:space="0" w:color="auto"/>
      </w:divBdr>
    </w:div>
    <w:div w:id="763184414">
      <w:bodyDiv w:val="1"/>
      <w:marLeft w:val="0"/>
      <w:marRight w:val="0"/>
      <w:marTop w:val="0"/>
      <w:marBottom w:val="0"/>
      <w:divBdr>
        <w:top w:val="none" w:sz="0" w:space="0" w:color="auto"/>
        <w:left w:val="none" w:sz="0" w:space="0" w:color="auto"/>
        <w:bottom w:val="none" w:sz="0" w:space="0" w:color="auto"/>
        <w:right w:val="none" w:sz="0" w:space="0" w:color="auto"/>
      </w:divBdr>
    </w:div>
    <w:div w:id="764300348">
      <w:bodyDiv w:val="1"/>
      <w:marLeft w:val="0"/>
      <w:marRight w:val="0"/>
      <w:marTop w:val="0"/>
      <w:marBottom w:val="0"/>
      <w:divBdr>
        <w:top w:val="none" w:sz="0" w:space="0" w:color="auto"/>
        <w:left w:val="none" w:sz="0" w:space="0" w:color="auto"/>
        <w:bottom w:val="none" w:sz="0" w:space="0" w:color="auto"/>
        <w:right w:val="none" w:sz="0" w:space="0" w:color="auto"/>
      </w:divBdr>
    </w:div>
    <w:div w:id="766078970">
      <w:bodyDiv w:val="1"/>
      <w:marLeft w:val="0"/>
      <w:marRight w:val="0"/>
      <w:marTop w:val="0"/>
      <w:marBottom w:val="0"/>
      <w:divBdr>
        <w:top w:val="none" w:sz="0" w:space="0" w:color="auto"/>
        <w:left w:val="none" w:sz="0" w:space="0" w:color="auto"/>
        <w:bottom w:val="none" w:sz="0" w:space="0" w:color="auto"/>
        <w:right w:val="none" w:sz="0" w:space="0" w:color="auto"/>
      </w:divBdr>
    </w:div>
    <w:div w:id="766460413">
      <w:bodyDiv w:val="1"/>
      <w:marLeft w:val="0"/>
      <w:marRight w:val="0"/>
      <w:marTop w:val="0"/>
      <w:marBottom w:val="0"/>
      <w:divBdr>
        <w:top w:val="none" w:sz="0" w:space="0" w:color="auto"/>
        <w:left w:val="none" w:sz="0" w:space="0" w:color="auto"/>
        <w:bottom w:val="none" w:sz="0" w:space="0" w:color="auto"/>
        <w:right w:val="none" w:sz="0" w:space="0" w:color="auto"/>
      </w:divBdr>
    </w:div>
    <w:div w:id="768617851">
      <w:bodyDiv w:val="1"/>
      <w:marLeft w:val="0"/>
      <w:marRight w:val="0"/>
      <w:marTop w:val="0"/>
      <w:marBottom w:val="0"/>
      <w:divBdr>
        <w:top w:val="none" w:sz="0" w:space="0" w:color="auto"/>
        <w:left w:val="none" w:sz="0" w:space="0" w:color="auto"/>
        <w:bottom w:val="none" w:sz="0" w:space="0" w:color="auto"/>
        <w:right w:val="none" w:sz="0" w:space="0" w:color="auto"/>
      </w:divBdr>
    </w:div>
    <w:div w:id="768893595">
      <w:bodyDiv w:val="1"/>
      <w:marLeft w:val="0"/>
      <w:marRight w:val="0"/>
      <w:marTop w:val="0"/>
      <w:marBottom w:val="0"/>
      <w:divBdr>
        <w:top w:val="none" w:sz="0" w:space="0" w:color="auto"/>
        <w:left w:val="none" w:sz="0" w:space="0" w:color="auto"/>
        <w:bottom w:val="none" w:sz="0" w:space="0" w:color="auto"/>
        <w:right w:val="none" w:sz="0" w:space="0" w:color="auto"/>
      </w:divBdr>
    </w:div>
    <w:div w:id="776681831">
      <w:bodyDiv w:val="1"/>
      <w:marLeft w:val="0"/>
      <w:marRight w:val="0"/>
      <w:marTop w:val="0"/>
      <w:marBottom w:val="0"/>
      <w:divBdr>
        <w:top w:val="none" w:sz="0" w:space="0" w:color="auto"/>
        <w:left w:val="none" w:sz="0" w:space="0" w:color="auto"/>
        <w:bottom w:val="none" w:sz="0" w:space="0" w:color="auto"/>
        <w:right w:val="none" w:sz="0" w:space="0" w:color="auto"/>
      </w:divBdr>
    </w:div>
    <w:div w:id="781412811">
      <w:bodyDiv w:val="1"/>
      <w:marLeft w:val="0"/>
      <w:marRight w:val="0"/>
      <w:marTop w:val="0"/>
      <w:marBottom w:val="0"/>
      <w:divBdr>
        <w:top w:val="none" w:sz="0" w:space="0" w:color="auto"/>
        <w:left w:val="none" w:sz="0" w:space="0" w:color="auto"/>
        <w:bottom w:val="none" w:sz="0" w:space="0" w:color="auto"/>
        <w:right w:val="none" w:sz="0" w:space="0" w:color="auto"/>
      </w:divBdr>
    </w:div>
    <w:div w:id="783690819">
      <w:bodyDiv w:val="1"/>
      <w:marLeft w:val="0"/>
      <w:marRight w:val="0"/>
      <w:marTop w:val="0"/>
      <w:marBottom w:val="0"/>
      <w:divBdr>
        <w:top w:val="none" w:sz="0" w:space="0" w:color="auto"/>
        <w:left w:val="none" w:sz="0" w:space="0" w:color="auto"/>
        <w:bottom w:val="none" w:sz="0" w:space="0" w:color="auto"/>
        <w:right w:val="none" w:sz="0" w:space="0" w:color="auto"/>
      </w:divBdr>
    </w:div>
    <w:div w:id="784539968">
      <w:bodyDiv w:val="1"/>
      <w:marLeft w:val="0"/>
      <w:marRight w:val="0"/>
      <w:marTop w:val="0"/>
      <w:marBottom w:val="0"/>
      <w:divBdr>
        <w:top w:val="none" w:sz="0" w:space="0" w:color="auto"/>
        <w:left w:val="none" w:sz="0" w:space="0" w:color="auto"/>
        <w:bottom w:val="none" w:sz="0" w:space="0" w:color="auto"/>
        <w:right w:val="none" w:sz="0" w:space="0" w:color="auto"/>
      </w:divBdr>
    </w:div>
    <w:div w:id="802191327">
      <w:bodyDiv w:val="1"/>
      <w:marLeft w:val="0"/>
      <w:marRight w:val="0"/>
      <w:marTop w:val="0"/>
      <w:marBottom w:val="0"/>
      <w:divBdr>
        <w:top w:val="none" w:sz="0" w:space="0" w:color="auto"/>
        <w:left w:val="none" w:sz="0" w:space="0" w:color="auto"/>
        <w:bottom w:val="none" w:sz="0" w:space="0" w:color="auto"/>
        <w:right w:val="none" w:sz="0" w:space="0" w:color="auto"/>
      </w:divBdr>
    </w:div>
    <w:div w:id="804084536">
      <w:bodyDiv w:val="1"/>
      <w:marLeft w:val="0"/>
      <w:marRight w:val="0"/>
      <w:marTop w:val="0"/>
      <w:marBottom w:val="0"/>
      <w:divBdr>
        <w:top w:val="none" w:sz="0" w:space="0" w:color="auto"/>
        <w:left w:val="none" w:sz="0" w:space="0" w:color="auto"/>
        <w:bottom w:val="none" w:sz="0" w:space="0" w:color="auto"/>
        <w:right w:val="none" w:sz="0" w:space="0" w:color="auto"/>
      </w:divBdr>
    </w:div>
    <w:div w:id="811673224">
      <w:bodyDiv w:val="1"/>
      <w:marLeft w:val="0"/>
      <w:marRight w:val="0"/>
      <w:marTop w:val="0"/>
      <w:marBottom w:val="0"/>
      <w:divBdr>
        <w:top w:val="none" w:sz="0" w:space="0" w:color="auto"/>
        <w:left w:val="none" w:sz="0" w:space="0" w:color="auto"/>
        <w:bottom w:val="none" w:sz="0" w:space="0" w:color="auto"/>
        <w:right w:val="none" w:sz="0" w:space="0" w:color="auto"/>
      </w:divBdr>
    </w:div>
    <w:div w:id="816647800">
      <w:bodyDiv w:val="1"/>
      <w:marLeft w:val="0"/>
      <w:marRight w:val="0"/>
      <w:marTop w:val="0"/>
      <w:marBottom w:val="0"/>
      <w:divBdr>
        <w:top w:val="none" w:sz="0" w:space="0" w:color="auto"/>
        <w:left w:val="none" w:sz="0" w:space="0" w:color="auto"/>
        <w:bottom w:val="none" w:sz="0" w:space="0" w:color="auto"/>
        <w:right w:val="none" w:sz="0" w:space="0" w:color="auto"/>
      </w:divBdr>
    </w:div>
    <w:div w:id="820734837">
      <w:bodyDiv w:val="1"/>
      <w:marLeft w:val="0"/>
      <w:marRight w:val="0"/>
      <w:marTop w:val="0"/>
      <w:marBottom w:val="0"/>
      <w:divBdr>
        <w:top w:val="none" w:sz="0" w:space="0" w:color="auto"/>
        <w:left w:val="none" w:sz="0" w:space="0" w:color="auto"/>
        <w:bottom w:val="none" w:sz="0" w:space="0" w:color="auto"/>
        <w:right w:val="none" w:sz="0" w:space="0" w:color="auto"/>
      </w:divBdr>
    </w:div>
    <w:div w:id="821308245">
      <w:bodyDiv w:val="1"/>
      <w:marLeft w:val="0"/>
      <w:marRight w:val="0"/>
      <w:marTop w:val="0"/>
      <w:marBottom w:val="0"/>
      <w:divBdr>
        <w:top w:val="none" w:sz="0" w:space="0" w:color="auto"/>
        <w:left w:val="none" w:sz="0" w:space="0" w:color="auto"/>
        <w:bottom w:val="none" w:sz="0" w:space="0" w:color="auto"/>
        <w:right w:val="none" w:sz="0" w:space="0" w:color="auto"/>
      </w:divBdr>
    </w:div>
    <w:div w:id="826164986">
      <w:bodyDiv w:val="1"/>
      <w:marLeft w:val="0"/>
      <w:marRight w:val="0"/>
      <w:marTop w:val="0"/>
      <w:marBottom w:val="0"/>
      <w:divBdr>
        <w:top w:val="none" w:sz="0" w:space="0" w:color="auto"/>
        <w:left w:val="none" w:sz="0" w:space="0" w:color="auto"/>
        <w:bottom w:val="none" w:sz="0" w:space="0" w:color="auto"/>
        <w:right w:val="none" w:sz="0" w:space="0" w:color="auto"/>
      </w:divBdr>
    </w:div>
    <w:div w:id="833108731">
      <w:bodyDiv w:val="1"/>
      <w:marLeft w:val="0"/>
      <w:marRight w:val="0"/>
      <w:marTop w:val="0"/>
      <w:marBottom w:val="0"/>
      <w:divBdr>
        <w:top w:val="none" w:sz="0" w:space="0" w:color="auto"/>
        <w:left w:val="none" w:sz="0" w:space="0" w:color="auto"/>
        <w:bottom w:val="none" w:sz="0" w:space="0" w:color="auto"/>
        <w:right w:val="none" w:sz="0" w:space="0" w:color="auto"/>
      </w:divBdr>
    </w:div>
    <w:div w:id="835221866">
      <w:bodyDiv w:val="1"/>
      <w:marLeft w:val="0"/>
      <w:marRight w:val="0"/>
      <w:marTop w:val="0"/>
      <w:marBottom w:val="0"/>
      <w:divBdr>
        <w:top w:val="none" w:sz="0" w:space="0" w:color="auto"/>
        <w:left w:val="none" w:sz="0" w:space="0" w:color="auto"/>
        <w:bottom w:val="none" w:sz="0" w:space="0" w:color="auto"/>
        <w:right w:val="none" w:sz="0" w:space="0" w:color="auto"/>
      </w:divBdr>
    </w:div>
    <w:div w:id="839269577">
      <w:bodyDiv w:val="1"/>
      <w:marLeft w:val="0"/>
      <w:marRight w:val="0"/>
      <w:marTop w:val="0"/>
      <w:marBottom w:val="0"/>
      <w:divBdr>
        <w:top w:val="none" w:sz="0" w:space="0" w:color="auto"/>
        <w:left w:val="none" w:sz="0" w:space="0" w:color="auto"/>
        <w:bottom w:val="none" w:sz="0" w:space="0" w:color="auto"/>
        <w:right w:val="none" w:sz="0" w:space="0" w:color="auto"/>
      </w:divBdr>
    </w:div>
    <w:div w:id="853112774">
      <w:bodyDiv w:val="1"/>
      <w:marLeft w:val="0"/>
      <w:marRight w:val="0"/>
      <w:marTop w:val="0"/>
      <w:marBottom w:val="0"/>
      <w:divBdr>
        <w:top w:val="none" w:sz="0" w:space="0" w:color="auto"/>
        <w:left w:val="none" w:sz="0" w:space="0" w:color="auto"/>
        <w:bottom w:val="none" w:sz="0" w:space="0" w:color="auto"/>
        <w:right w:val="none" w:sz="0" w:space="0" w:color="auto"/>
      </w:divBdr>
    </w:div>
    <w:div w:id="854804162">
      <w:bodyDiv w:val="1"/>
      <w:marLeft w:val="0"/>
      <w:marRight w:val="0"/>
      <w:marTop w:val="0"/>
      <w:marBottom w:val="0"/>
      <w:divBdr>
        <w:top w:val="none" w:sz="0" w:space="0" w:color="auto"/>
        <w:left w:val="none" w:sz="0" w:space="0" w:color="auto"/>
        <w:bottom w:val="none" w:sz="0" w:space="0" w:color="auto"/>
        <w:right w:val="none" w:sz="0" w:space="0" w:color="auto"/>
      </w:divBdr>
    </w:div>
    <w:div w:id="858272697">
      <w:bodyDiv w:val="1"/>
      <w:marLeft w:val="0"/>
      <w:marRight w:val="0"/>
      <w:marTop w:val="0"/>
      <w:marBottom w:val="0"/>
      <w:divBdr>
        <w:top w:val="none" w:sz="0" w:space="0" w:color="auto"/>
        <w:left w:val="none" w:sz="0" w:space="0" w:color="auto"/>
        <w:bottom w:val="none" w:sz="0" w:space="0" w:color="auto"/>
        <w:right w:val="none" w:sz="0" w:space="0" w:color="auto"/>
      </w:divBdr>
    </w:div>
    <w:div w:id="869144115">
      <w:bodyDiv w:val="1"/>
      <w:marLeft w:val="0"/>
      <w:marRight w:val="0"/>
      <w:marTop w:val="0"/>
      <w:marBottom w:val="0"/>
      <w:divBdr>
        <w:top w:val="none" w:sz="0" w:space="0" w:color="auto"/>
        <w:left w:val="none" w:sz="0" w:space="0" w:color="auto"/>
        <w:bottom w:val="none" w:sz="0" w:space="0" w:color="auto"/>
        <w:right w:val="none" w:sz="0" w:space="0" w:color="auto"/>
      </w:divBdr>
    </w:div>
    <w:div w:id="875968544">
      <w:bodyDiv w:val="1"/>
      <w:marLeft w:val="0"/>
      <w:marRight w:val="0"/>
      <w:marTop w:val="0"/>
      <w:marBottom w:val="0"/>
      <w:divBdr>
        <w:top w:val="none" w:sz="0" w:space="0" w:color="auto"/>
        <w:left w:val="none" w:sz="0" w:space="0" w:color="auto"/>
        <w:bottom w:val="none" w:sz="0" w:space="0" w:color="auto"/>
        <w:right w:val="none" w:sz="0" w:space="0" w:color="auto"/>
      </w:divBdr>
    </w:div>
    <w:div w:id="880366235">
      <w:bodyDiv w:val="1"/>
      <w:marLeft w:val="0"/>
      <w:marRight w:val="0"/>
      <w:marTop w:val="0"/>
      <w:marBottom w:val="0"/>
      <w:divBdr>
        <w:top w:val="none" w:sz="0" w:space="0" w:color="auto"/>
        <w:left w:val="none" w:sz="0" w:space="0" w:color="auto"/>
        <w:bottom w:val="none" w:sz="0" w:space="0" w:color="auto"/>
        <w:right w:val="none" w:sz="0" w:space="0" w:color="auto"/>
      </w:divBdr>
    </w:div>
    <w:div w:id="880746637">
      <w:bodyDiv w:val="1"/>
      <w:marLeft w:val="0"/>
      <w:marRight w:val="0"/>
      <w:marTop w:val="0"/>
      <w:marBottom w:val="0"/>
      <w:divBdr>
        <w:top w:val="none" w:sz="0" w:space="0" w:color="auto"/>
        <w:left w:val="none" w:sz="0" w:space="0" w:color="auto"/>
        <w:bottom w:val="none" w:sz="0" w:space="0" w:color="auto"/>
        <w:right w:val="none" w:sz="0" w:space="0" w:color="auto"/>
      </w:divBdr>
    </w:div>
    <w:div w:id="891117888">
      <w:bodyDiv w:val="1"/>
      <w:marLeft w:val="0"/>
      <w:marRight w:val="0"/>
      <w:marTop w:val="0"/>
      <w:marBottom w:val="0"/>
      <w:divBdr>
        <w:top w:val="none" w:sz="0" w:space="0" w:color="auto"/>
        <w:left w:val="none" w:sz="0" w:space="0" w:color="auto"/>
        <w:bottom w:val="none" w:sz="0" w:space="0" w:color="auto"/>
        <w:right w:val="none" w:sz="0" w:space="0" w:color="auto"/>
      </w:divBdr>
    </w:div>
    <w:div w:id="899899910">
      <w:bodyDiv w:val="1"/>
      <w:marLeft w:val="0"/>
      <w:marRight w:val="0"/>
      <w:marTop w:val="0"/>
      <w:marBottom w:val="0"/>
      <w:divBdr>
        <w:top w:val="none" w:sz="0" w:space="0" w:color="auto"/>
        <w:left w:val="none" w:sz="0" w:space="0" w:color="auto"/>
        <w:bottom w:val="none" w:sz="0" w:space="0" w:color="auto"/>
        <w:right w:val="none" w:sz="0" w:space="0" w:color="auto"/>
      </w:divBdr>
    </w:div>
    <w:div w:id="903293954">
      <w:bodyDiv w:val="1"/>
      <w:marLeft w:val="0"/>
      <w:marRight w:val="0"/>
      <w:marTop w:val="0"/>
      <w:marBottom w:val="0"/>
      <w:divBdr>
        <w:top w:val="none" w:sz="0" w:space="0" w:color="auto"/>
        <w:left w:val="none" w:sz="0" w:space="0" w:color="auto"/>
        <w:bottom w:val="none" w:sz="0" w:space="0" w:color="auto"/>
        <w:right w:val="none" w:sz="0" w:space="0" w:color="auto"/>
      </w:divBdr>
    </w:div>
    <w:div w:id="904223117">
      <w:bodyDiv w:val="1"/>
      <w:marLeft w:val="0"/>
      <w:marRight w:val="0"/>
      <w:marTop w:val="0"/>
      <w:marBottom w:val="0"/>
      <w:divBdr>
        <w:top w:val="none" w:sz="0" w:space="0" w:color="auto"/>
        <w:left w:val="none" w:sz="0" w:space="0" w:color="auto"/>
        <w:bottom w:val="none" w:sz="0" w:space="0" w:color="auto"/>
        <w:right w:val="none" w:sz="0" w:space="0" w:color="auto"/>
      </w:divBdr>
    </w:div>
    <w:div w:id="906066470">
      <w:bodyDiv w:val="1"/>
      <w:marLeft w:val="0"/>
      <w:marRight w:val="0"/>
      <w:marTop w:val="0"/>
      <w:marBottom w:val="0"/>
      <w:divBdr>
        <w:top w:val="none" w:sz="0" w:space="0" w:color="auto"/>
        <w:left w:val="none" w:sz="0" w:space="0" w:color="auto"/>
        <w:bottom w:val="none" w:sz="0" w:space="0" w:color="auto"/>
        <w:right w:val="none" w:sz="0" w:space="0" w:color="auto"/>
      </w:divBdr>
    </w:div>
    <w:div w:id="908885514">
      <w:bodyDiv w:val="1"/>
      <w:marLeft w:val="0"/>
      <w:marRight w:val="0"/>
      <w:marTop w:val="0"/>
      <w:marBottom w:val="0"/>
      <w:divBdr>
        <w:top w:val="none" w:sz="0" w:space="0" w:color="auto"/>
        <w:left w:val="none" w:sz="0" w:space="0" w:color="auto"/>
        <w:bottom w:val="none" w:sz="0" w:space="0" w:color="auto"/>
        <w:right w:val="none" w:sz="0" w:space="0" w:color="auto"/>
      </w:divBdr>
    </w:div>
    <w:div w:id="910849027">
      <w:bodyDiv w:val="1"/>
      <w:marLeft w:val="0"/>
      <w:marRight w:val="0"/>
      <w:marTop w:val="0"/>
      <w:marBottom w:val="0"/>
      <w:divBdr>
        <w:top w:val="none" w:sz="0" w:space="0" w:color="auto"/>
        <w:left w:val="none" w:sz="0" w:space="0" w:color="auto"/>
        <w:bottom w:val="none" w:sz="0" w:space="0" w:color="auto"/>
        <w:right w:val="none" w:sz="0" w:space="0" w:color="auto"/>
      </w:divBdr>
    </w:div>
    <w:div w:id="913704785">
      <w:bodyDiv w:val="1"/>
      <w:marLeft w:val="0"/>
      <w:marRight w:val="0"/>
      <w:marTop w:val="0"/>
      <w:marBottom w:val="0"/>
      <w:divBdr>
        <w:top w:val="none" w:sz="0" w:space="0" w:color="auto"/>
        <w:left w:val="none" w:sz="0" w:space="0" w:color="auto"/>
        <w:bottom w:val="none" w:sz="0" w:space="0" w:color="auto"/>
        <w:right w:val="none" w:sz="0" w:space="0" w:color="auto"/>
      </w:divBdr>
    </w:div>
    <w:div w:id="925920538">
      <w:bodyDiv w:val="1"/>
      <w:marLeft w:val="0"/>
      <w:marRight w:val="0"/>
      <w:marTop w:val="0"/>
      <w:marBottom w:val="0"/>
      <w:divBdr>
        <w:top w:val="none" w:sz="0" w:space="0" w:color="auto"/>
        <w:left w:val="none" w:sz="0" w:space="0" w:color="auto"/>
        <w:bottom w:val="none" w:sz="0" w:space="0" w:color="auto"/>
        <w:right w:val="none" w:sz="0" w:space="0" w:color="auto"/>
      </w:divBdr>
    </w:div>
    <w:div w:id="926117156">
      <w:bodyDiv w:val="1"/>
      <w:marLeft w:val="0"/>
      <w:marRight w:val="0"/>
      <w:marTop w:val="0"/>
      <w:marBottom w:val="0"/>
      <w:divBdr>
        <w:top w:val="none" w:sz="0" w:space="0" w:color="auto"/>
        <w:left w:val="none" w:sz="0" w:space="0" w:color="auto"/>
        <w:bottom w:val="none" w:sz="0" w:space="0" w:color="auto"/>
        <w:right w:val="none" w:sz="0" w:space="0" w:color="auto"/>
      </w:divBdr>
    </w:div>
    <w:div w:id="932129462">
      <w:bodyDiv w:val="1"/>
      <w:marLeft w:val="0"/>
      <w:marRight w:val="0"/>
      <w:marTop w:val="0"/>
      <w:marBottom w:val="0"/>
      <w:divBdr>
        <w:top w:val="none" w:sz="0" w:space="0" w:color="auto"/>
        <w:left w:val="none" w:sz="0" w:space="0" w:color="auto"/>
        <w:bottom w:val="none" w:sz="0" w:space="0" w:color="auto"/>
        <w:right w:val="none" w:sz="0" w:space="0" w:color="auto"/>
      </w:divBdr>
    </w:div>
    <w:div w:id="935092084">
      <w:bodyDiv w:val="1"/>
      <w:marLeft w:val="0"/>
      <w:marRight w:val="0"/>
      <w:marTop w:val="0"/>
      <w:marBottom w:val="0"/>
      <w:divBdr>
        <w:top w:val="none" w:sz="0" w:space="0" w:color="auto"/>
        <w:left w:val="none" w:sz="0" w:space="0" w:color="auto"/>
        <w:bottom w:val="none" w:sz="0" w:space="0" w:color="auto"/>
        <w:right w:val="none" w:sz="0" w:space="0" w:color="auto"/>
      </w:divBdr>
    </w:div>
    <w:div w:id="935288546">
      <w:bodyDiv w:val="1"/>
      <w:marLeft w:val="0"/>
      <w:marRight w:val="0"/>
      <w:marTop w:val="0"/>
      <w:marBottom w:val="0"/>
      <w:divBdr>
        <w:top w:val="none" w:sz="0" w:space="0" w:color="auto"/>
        <w:left w:val="none" w:sz="0" w:space="0" w:color="auto"/>
        <w:bottom w:val="none" w:sz="0" w:space="0" w:color="auto"/>
        <w:right w:val="none" w:sz="0" w:space="0" w:color="auto"/>
      </w:divBdr>
    </w:div>
    <w:div w:id="936793164">
      <w:bodyDiv w:val="1"/>
      <w:marLeft w:val="0"/>
      <w:marRight w:val="0"/>
      <w:marTop w:val="0"/>
      <w:marBottom w:val="0"/>
      <w:divBdr>
        <w:top w:val="none" w:sz="0" w:space="0" w:color="auto"/>
        <w:left w:val="none" w:sz="0" w:space="0" w:color="auto"/>
        <w:bottom w:val="none" w:sz="0" w:space="0" w:color="auto"/>
        <w:right w:val="none" w:sz="0" w:space="0" w:color="auto"/>
      </w:divBdr>
      <w:divsChild>
        <w:div w:id="1950775106">
          <w:marLeft w:val="0"/>
          <w:marRight w:val="0"/>
          <w:marTop w:val="0"/>
          <w:marBottom w:val="0"/>
          <w:divBdr>
            <w:top w:val="none" w:sz="0" w:space="0" w:color="auto"/>
            <w:left w:val="none" w:sz="0" w:space="0" w:color="auto"/>
            <w:bottom w:val="none" w:sz="0" w:space="0" w:color="auto"/>
            <w:right w:val="none" w:sz="0" w:space="0" w:color="auto"/>
          </w:divBdr>
          <w:divsChild>
            <w:div w:id="10350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3620">
      <w:bodyDiv w:val="1"/>
      <w:marLeft w:val="0"/>
      <w:marRight w:val="0"/>
      <w:marTop w:val="0"/>
      <w:marBottom w:val="0"/>
      <w:divBdr>
        <w:top w:val="none" w:sz="0" w:space="0" w:color="auto"/>
        <w:left w:val="none" w:sz="0" w:space="0" w:color="auto"/>
        <w:bottom w:val="none" w:sz="0" w:space="0" w:color="auto"/>
        <w:right w:val="none" w:sz="0" w:space="0" w:color="auto"/>
      </w:divBdr>
    </w:div>
    <w:div w:id="937257275">
      <w:bodyDiv w:val="1"/>
      <w:marLeft w:val="0"/>
      <w:marRight w:val="0"/>
      <w:marTop w:val="0"/>
      <w:marBottom w:val="0"/>
      <w:divBdr>
        <w:top w:val="none" w:sz="0" w:space="0" w:color="auto"/>
        <w:left w:val="none" w:sz="0" w:space="0" w:color="auto"/>
        <w:bottom w:val="none" w:sz="0" w:space="0" w:color="auto"/>
        <w:right w:val="none" w:sz="0" w:space="0" w:color="auto"/>
      </w:divBdr>
    </w:div>
    <w:div w:id="942034646">
      <w:bodyDiv w:val="1"/>
      <w:marLeft w:val="0"/>
      <w:marRight w:val="0"/>
      <w:marTop w:val="0"/>
      <w:marBottom w:val="0"/>
      <w:divBdr>
        <w:top w:val="none" w:sz="0" w:space="0" w:color="auto"/>
        <w:left w:val="none" w:sz="0" w:space="0" w:color="auto"/>
        <w:bottom w:val="none" w:sz="0" w:space="0" w:color="auto"/>
        <w:right w:val="none" w:sz="0" w:space="0" w:color="auto"/>
      </w:divBdr>
    </w:div>
    <w:div w:id="942498218">
      <w:bodyDiv w:val="1"/>
      <w:marLeft w:val="0"/>
      <w:marRight w:val="0"/>
      <w:marTop w:val="0"/>
      <w:marBottom w:val="0"/>
      <w:divBdr>
        <w:top w:val="none" w:sz="0" w:space="0" w:color="auto"/>
        <w:left w:val="none" w:sz="0" w:space="0" w:color="auto"/>
        <w:bottom w:val="none" w:sz="0" w:space="0" w:color="auto"/>
        <w:right w:val="none" w:sz="0" w:space="0" w:color="auto"/>
      </w:divBdr>
    </w:div>
    <w:div w:id="948315135">
      <w:bodyDiv w:val="1"/>
      <w:marLeft w:val="0"/>
      <w:marRight w:val="0"/>
      <w:marTop w:val="0"/>
      <w:marBottom w:val="0"/>
      <w:divBdr>
        <w:top w:val="none" w:sz="0" w:space="0" w:color="auto"/>
        <w:left w:val="none" w:sz="0" w:space="0" w:color="auto"/>
        <w:bottom w:val="none" w:sz="0" w:space="0" w:color="auto"/>
        <w:right w:val="none" w:sz="0" w:space="0" w:color="auto"/>
      </w:divBdr>
      <w:divsChild>
        <w:div w:id="1024554410">
          <w:marLeft w:val="0"/>
          <w:marRight w:val="0"/>
          <w:marTop w:val="0"/>
          <w:marBottom w:val="0"/>
          <w:divBdr>
            <w:top w:val="none" w:sz="0" w:space="0" w:color="auto"/>
            <w:left w:val="none" w:sz="0" w:space="0" w:color="auto"/>
            <w:bottom w:val="none" w:sz="0" w:space="0" w:color="auto"/>
            <w:right w:val="none" w:sz="0" w:space="0" w:color="auto"/>
          </w:divBdr>
          <w:divsChild>
            <w:div w:id="20561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3500">
      <w:bodyDiv w:val="1"/>
      <w:marLeft w:val="0"/>
      <w:marRight w:val="0"/>
      <w:marTop w:val="0"/>
      <w:marBottom w:val="0"/>
      <w:divBdr>
        <w:top w:val="none" w:sz="0" w:space="0" w:color="auto"/>
        <w:left w:val="none" w:sz="0" w:space="0" w:color="auto"/>
        <w:bottom w:val="none" w:sz="0" w:space="0" w:color="auto"/>
        <w:right w:val="none" w:sz="0" w:space="0" w:color="auto"/>
      </w:divBdr>
    </w:div>
    <w:div w:id="952632059">
      <w:bodyDiv w:val="1"/>
      <w:marLeft w:val="0"/>
      <w:marRight w:val="0"/>
      <w:marTop w:val="0"/>
      <w:marBottom w:val="0"/>
      <w:divBdr>
        <w:top w:val="none" w:sz="0" w:space="0" w:color="auto"/>
        <w:left w:val="none" w:sz="0" w:space="0" w:color="auto"/>
        <w:bottom w:val="none" w:sz="0" w:space="0" w:color="auto"/>
        <w:right w:val="none" w:sz="0" w:space="0" w:color="auto"/>
      </w:divBdr>
    </w:div>
    <w:div w:id="953172256">
      <w:bodyDiv w:val="1"/>
      <w:marLeft w:val="0"/>
      <w:marRight w:val="0"/>
      <w:marTop w:val="0"/>
      <w:marBottom w:val="0"/>
      <w:divBdr>
        <w:top w:val="none" w:sz="0" w:space="0" w:color="auto"/>
        <w:left w:val="none" w:sz="0" w:space="0" w:color="auto"/>
        <w:bottom w:val="none" w:sz="0" w:space="0" w:color="auto"/>
        <w:right w:val="none" w:sz="0" w:space="0" w:color="auto"/>
      </w:divBdr>
    </w:div>
    <w:div w:id="961620559">
      <w:bodyDiv w:val="1"/>
      <w:marLeft w:val="0"/>
      <w:marRight w:val="0"/>
      <w:marTop w:val="0"/>
      <w:marBottom w:val="0"/>
      <w:divBdr>
        <w:top w:val="none" w:sz="0" w:space="0" w:color="auto"/>
        <w:left w:val="none" w:sz="0" w:space="0" w:color="auto"/>
        <w:bottom w:val="none" w:sz="0" w:space="0" w:color="auto"/>
        <w:right w:val="none" w:sz="0" w:space="0" w:color="auto"/>
      </w:divBdr>
    </w:div>
    <w:div w:id="963076167">
      <w:bodyDiv w:val="1"/>
      <w:marLeft w:val="0"/>
      <w:marRight w:val="0"/>
      <w:marTop w:val="0"/>
      <w:marBottom w:val="0"/>
      <w:divBdr>
        <w:top w:val="none" w:sz="0" w:space="0" w:color="auto"/>
        <w:left w:val="none" w:sz="0" w:space="0" w:color="auto"/>
        <w:bottom w:val="none" w:sz="0" w:space="0" w:color="auto"/>
        <w:right w:val="none" w:sz="0" w:space="0" w:color="auto"/>
      </w:divBdr>
    </w:div>
    <w:div w:id="965165722">
      <w:bodyDiv w:val="1"/>
      <w:marLeft w:val="0"/>
      <w:marRight w:val="0"/>
      <w:marTop w:val="0"/>
      <w:marBottom w:val="0"/>
      <w:divBdr>
        <w:top w:val="none" w:sz="0" w:space="0" w:color="auto"/>
        <w:left w:val="none" w:sz="0" w:space="0" w:color="auto"/>
        <w:bottom w:val="none" w:sz="0" w:space="0" w:color="auto"/>
        <w:right w:val="none" w:sz="0" w:space="0" w:color="auto"/>
      </w:divBdr>
    </w:div>
    <w:div w:id="970402087">
      <w:bodyDiv w:val="1"/>
      <w:marLeft w:val="0"/>
      <w:marRight w:val="0"/>
      <w:marTop w:val="0"/>
      <w:marBottom w:val="0"/>
      <w:divBdr>
        <w:top w:val="none" w:sz="0" w:space="0" w:color="auto"/>
        <w:left w:val="none" w:sz="0" w:space="0" w:color="auto"/>
        <w:bottom w:val="none" w:sz="0" w:space="0" w:color="auto"/>
        <w:right w:val="none" w:sz="0" w:space="0" w:color="auto"/>
      </w:divBdr>
    </w:div>
    <w:div w:id="971592997">
      <w:bodyDiv w:val="1"/>
      <w:marLeft w:val="0"/>
      <w:marRight w:val="0"/>
      <w:marTop w:val="0"/>
      <w:marBottom w:val="0"/>
      <w:divBdr>
        <w:top w:val="none" w:sz="0" w:space="0" w:color="auto"/>
        <w:left w:val="none" w:sz="0" w:space="0" w:color="auto"/>
        <w:bottom w:val="none" w:sz="0" w:space="0" w:color="auto"/>
        <w:right w:val="none" w:sz="0" w:space="0" w:color="auto"/>
      </w:divBdr>
      <w:divsChild>
        <w:div w:id="1146510643">
          <w:marLeft w:val="0"/>
          <w:marRight w:val="0"/>
          <w:marTop w:val="0"/>
          <w:marBottom w:val="0"/>
          <w:divBdr>
            <w:top w:val="none" w:sz="0" w:space="0" w:color="auto"/>
            <w:left w:val="none" w:sz="0" w:space="0" w:color="auto"/>
            <w:bottom w:val="none" w:sz="0" w:space="0" w:color="auto"/>
            <w:right w:val="none" w:sz="0" w:space="0" w:color="auto"/>
          </w:divBdr>
          <w:divsChild>
            <w:div w:id="1218206727">
              <w:marLeft w:val="0"/>
              <w:marRight w:val="0"/>
              <w:marTop w:val="0"/>
              <w:marBottom w:val="0"/>
              <w:divBdr>
                <w:top w:val="none" w:sz="0" w:space="0" w:color="auto"/>
                <w:left w:val="none" w:sz="0" w:space="0" w:color="auto"/>
                <w:bottom w:val="none" w:sz="0" w:space="0" w:color="auto"/>
                <w:right w:val="none" w:sz="0" w:space="0" w:color="auto"/>
              </w:divBdr>
              <w:divsChild>
                <w:div w:id="350839390">
                  <w:marLeft w:val="0"/>
                  <w:marRight w:val="0"/>
                  <w:marTop w:val="0"/>
                  <w:marBottom w:val="0"/>
                  <w:divBdr>
                    <w:top w:val="none" w:sz="0" w:space="0" w:color="auto"/>
                    <w:left w:val="none" w:sz="0" w:space="0" w:color="auto"/>
                    <w:bottom w:val="none" w:sz="0" w:space="0" w:color="auto"/>
                    <w:right w:val="none" w:sz="0" w:space="0" w:color="auto"/>
                  </w:divBdr>
                  <w:divsChild>
                    <w:div w:id="339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8128">
              <w:marLeft w:val="0"/>
              <w:marRight w:val="0"/>
              <w:marTop w:val="0"/>
              <w:marBottom w:val="0"/>
              <w:divBdr>
                <w:top w:val="none" w:sz="0" w:space="0" w:color="auto"/>
                <w:left w:val="none" w:sz="0" w:space="0" w:color="auto"/>
                <w:bottom w:val="none" w:sz="0" w:space="0" w:color="auto"/>
                <w:right w:val="none" w:sz="0" w:space="0" w:color="auto"/>
              </w:divBdr>
              <w:divsChild>
                <w:div w:id="7563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5464">
          <w:marLeft w:val="0"/>
          <w:marRight w:val="0"/>
          <w:marTop w:val="0"/>
          <w:marBottom w:val="0"/>
          <w:divBdr>
            <w:top w:val="none" w:sz="0" w:space="0" w:color="auto"/>
            <w:left w:val="none" w:sz="0" w:space="0" w:color="auto"/>
            <w:bottom w:val="none" w:sz="0" w:space="0" w:color="auto"/>
            <w:right w:val="none" w:sz="0" w:space="0" w:color="auto"/>
          </w:divBdr>
        </w:div>
        <w:div w:id="524631772">
          <w:marLeft w:val="0"/>
          <w:marRight w:val="0"/>
          <w:marTop w:val="0"/>
          <w:marBottom w:val="0"/>
          <w:divBdr>
            <w:top w:val="none" w:sz="0" w:space="0" w:color="auto"/>
            <w:left w:val="none" w:sz="0" w:space="0" w:color="auto"/>
            <w:bottom w:val="none" w:sz="0" w:space="0" w:color="auto"/>
            <w:right w:val="none" w:sz="0" w:space="0" w:color="auto"/>
          </w:divBdr>
        </w:div>
        <w:div w:id="529925612">
          <w:marLeft w:val="0"/>
          <w:marRight w:val="0"/>
          <w:marTop w:val="0"/>
          <w:marBottom w:val="0"/>
          <w:divBdr>
            <w:top w:val="none" w:sz="0" w:space="0" w:color="auto"/>
            <w:left w:val="none" w:sz="0" w:space="0" w:color="auto"/>
            <w:bottom w:val="none" w:sz="0" w:space="0" w:color="auto"/>
            <w:right w:val="none" w:sz="0" w:space="0" w:color="auto"/>
          </w:divBdr>
        </w:div>
      </w:divsChild>
    </w:div>
    <w:div w:id="985008919">
      <w:bodyDiv w:val="1"/>
      <w:marLeft w:val="0"/>
      <w:marRight w:val="0"/>
      <w:marTop w:val="0"/>
      <w:marBottom w:val="0"/>
      <w:divBdr>
        <w:top w:val="none" w:sz="0" w:space="0" w:color="auto"/>
        <w:left w:val="none" w:sz="0" w:space="0" w:color="auto"/>
        <w:bottom w:val="none" w:sz="0" w:space="0" w:color="auto"/>
        <w:right w:val="none" w:sz="0" w:space="0" w:color="auto"/>
      </w:divBdr>
    </w:div>
    <w:div w:id="993026708">
      <w:bodyDiv w:val="1"/>
      <w:marLeft w:val="0"/>
      <w:marRight w:val="0"/>
      <w:marTop w:val="0"/>
      <w:marBottom w:val="0"/>
      <w:divBdr>
        <w:top w:val="none" w:sz="0" w:space="0" w:color="auto"/>
        <w:left w:val="none" w:sz="0" w:space="0" w:color="auto"/>
        <w:bottom w:val="none" w:sz="0" w:space="0" w:color="auto"/>
        <w:right w:val="none" w:sz="0" w:space="0" w:color="auto"/>
      </w:divBdr>
    </w:div>
    <w:div w:id="1005593392">
      <w:bodyDiv w:val="1"/>
      <w:marLeft w:val="0"/>
      <w:marRight w:val="0"/>
      <w:marTop w:val="0"/>
      <w:marBottom w:val="0"/>
      <w:divBdr>
        <w:top w:val="none" w:sz="0" w:space="0" w:color="auto"/>
        <w:left w:val="none" w:sz="0" w:space="0" w:color="auto"/>
        <w:bottom w:val="none" w:sz="0" w:space="0" w:color="auto"/>
        <w:right w:val="none" w:sz="0" w:space="0" w:color="auto"/>
      </w:divBdr>
    </w:div>
    <w:div w:id="1008217549">
      <w:bodyDiv w:val="1"/>
      <w:marLeft w:val="0"/>
      <w:marRight w:val="0"/>
      <w:marTop w:val="0"/>
      <w:marBottom w:val="0"/>
      <w:divBdr>
        <w:top w:val="none" w:sz="0" w:space="0" w:color="auto"/>
        <w:left w:val="none" w:sz="0" w:space="0" w:color="auto"/>
        <w:bottom w:val="none" w:sz="0" w:space="0" w:color="auto"/>
        <w:right w:val="none" w:sz="0" w:space="0" w:color="auto"/>
      </w:divBdr>
    </w:div>
    <w:div w:id="1013916106">
      <w:bodyDiv w:val="1"/>
      <w:marLeft w:val="0"/>
      <w:marRight w:val="0"/>
      <w:marTop w:val="0"/>
      <w:marBottom w:val="0"/>
      <w:divBdr>
        <w:top w:val="none" w:sz="0" w:space="0" w:color="auto"/>
        <w:left w:val="none" w:sz="0" w:space="0" w:color="auto"/>
        <w:bottom w:val="none" w:sz="0" w:space="0" w:color="auto"/>
        <w:right w:val="none" w:sz="0" w:space="0" w:color="auto"/>
      </w:divBdr>
      <w:divsChild>
        <w:div w:id="1267617832">
          <w:marLeft w:val="0"/>
          <w:marRight w:val="0"/>
          <w:marTop w:val="0"/>
          <w:marBottom w:val="0"/>
          <w:divBdr>
            <w:top w:val="none" w:sz="0" w:space="0" w:color="auto"/>
            <w:left w:val="none" w:sz="0" w:space="0" w:color="auto"/>
            <w:bottom w:val="none" w:sz="0" w:space="0" w:color="auto"/>
            <w:right w:val="none" w:sz="0" w:space="0" w:color="auto"/>
          </w:divBdr>
          <w:divsChild>
            <w:div w:id="17581306">
              <w:marLeft w:val="0"/>
              <w:marRight w:val="0"/>
              <w:marTop w:val="0"/>
              <w:marBottom w:val="0"/>
              <w:divBdr>
                <w:top w:val="none" w:sz="0" w:space="0" w:color="auto"/>
                <w:left w:val="none" w:sz="0" w:space="0" w:color="auto"/>
                <w:bottom w:val="none" w:sz="0" w:space="0" w:color="auto"/>
                <w:right w:val="none" w:sz="0" w:space="0" w:color="auto"/>
              </w:divBdr>
              <w:divsChild>
                <w:div w:id="2102605387">
                  <w:marLeft w:val="0"/>
                  <w:marRight w:val="0"/>
                  <w:marTop w:val="0"/>
                  <w:marBottom w:val="0"/>
                  <w:divBdr>
                    <w:top w:val="none" w:sz="0" w:space="0" w:color="auto"/>
                    <w:left w:val="none" w:sz="0" w:space="0" w:color="auto"/>
                    <w:bottom w:val="none" w:sz="0" w:space="0" w:color="auto"/>
                    <w:right w:val="none" w:sz="0" w:space="0" w:color="auto"/>
                  </w:divBdr>
                  <w:divsChild>
                    <w:div w:id="8614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052818">
      <w:bodyDiv w:val="1"/>
      <w:marLeft w:val="0"/>
      <w:marRight w:val="0"/>
      <w:marTop w:val="0"/>
      <w:marBottom w:val="0"/>
      <w:divBdr>
        <w:top w:val="none" w:sz="0" w:space="0" w:color="auto"/>
        <w:left w:val="none" w:sz="0" w:space="0" w:color="auto"/>
        <w:bottom w:val="none" w:sz="0" w:space="0" w:color="auto"/>
        <w:right w:val="none" w:sz="0" w:space="0" w:color="auto"/>
      </w:divBdr>
      <w:divsChild>
        <w:div w:id="2040625409">
          <w:marLeft w:val="0"/>
          <w:marRight w:val="0"/>
          <w:marTop w:val="0"/>
          <w:marBottom w:val="0"/>
          <w:divBdr>
            <w:top w:val="none" w:sz="0" w:space="0" w:color="auto"/>
            <w:left w:val="none" w:sz="0" w:space="0" w:color="auto"/>
            <w:bottom w:val="none" w:sz="0" w:space="0" w:color="auto"/>
            <w:right w:val="none" w:sz="0" w:space="0" w:color="auto"/>
          </w:divBdr>
          <w:divsChild>
            <w:div w:id="16669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57187">
      <w:bodyDiv w:val="1"/>
      <w:marLeft w:val="0"/>
      <w:marRight w:val="0"/>
      <w:marTop w:val="0"/>
      <w:marBottom w:val="0"/>
      <w:divBdr>
        <w:top w:val="none" w:sz="0" w:space="0" w:color="auto"/>
        <w:left w:val="none" w:sz="0" w:space="0" w:color="auto"/>
        <w:bottom w:val="none" w:sz="0" w:space="0" w:color="auto"/>
        <w:right w:val="none" w:sz="0" w:space="0" w:color="auto"/>
      </w:divBdr>
    </w:div>
    <w:div w:id="1028988207">
      <w:bodyDiv w:val="1"/>
      <w:marLeft w:val="0"/>
      <w:marRight w:val="0"/>
      <w:marTop w:val="0"/>
      <w:marBottom w:val="0"/>
      <w:divBdr>
        <w:top w:val="none" w:sz="0" w:space="0" w:color="auto"/>
        <w:left w:val="none" w:sz="0" w:space="0" w:color="auto"/>
        <w:bottom w:val="none" w:sz="0" w:space="0" w:color="auto"/>
        <w:right w:val="none" w:sz="0" w:space="0" w:color="auto"/>
      </w:divBdr>
    </w:div>
    <w:div w:id="1030764240">
      <w:bodyDiv w:val="1"/>
      <w:marLeft w:val="0"/>
      <w:marRight w:val="0"/>
      <w:marTop w:val="0"/>
      <w:marBottom w:val="0"/>
      <w:divBdr>
        <w:top w:val="none" w:sz="0" w:space="0" w:color="auto"/>
        <w:left w:val="none" w:sz="0" w:space="0" w:color="auto"/>
        <w:bottom w:val="none" w:sz="0" w:space="0" w:color="auto"/>
        <w:right w:val="none" w:sz="0" w:space="0" w:color="auto"/>
      </w:divBdr>
    </w:div>
    <w:div w:id="1046376310">
      <w:bodyDiv w:val="1"/>
      <w:marLeft w:val="0"/>
      <w:marRight w:val="0"/>
      <w:marTop w:val="0"/>
      <w:marBottom w:val="0"/>
      <w:divBdr>
        <w:top w:val="none" w:sz="0" w:space="0" w:color="auto"/>
        <w:left w:val="none" w:sz="0" w:space="0" w:color="auto"/>
        <w:bottom w:val="none" w:sz="0" w:space="0" w:color="auto"/>
        <w:right w:val="none" w:sz="0" w:space="0" w:color="auto"/>
      </w:divBdr>
    </w:div>
    <w:div w:id="1050809646">
      <w:bodyDiv w:val="1"/>
      <w:marLeft w:val="0"/>
      <w:marRight w:val="0"/>
      <w:marTop w:val="0"/>
      <w:marBottom w:val="0"/>
      <w:divBdr>
        <w:top w:val="none" w:sz="0" w:space="0" w:color="auto"/>
        <w:left w:val="none" w:sz="0" w:space="0" w:color="auto"/>
        <w:bottom w:val="none" w:sz="0" w:space="0" w:color="auto"/>
        <w:right w:val="none" w:sz="0" w:space="0" w:color="auto"/>
      </w:divBdr>
    </w:div>
    <w:div w:id="1051002502">
      <w:bodyDiv w:val="1"/>
      <w:marLeft w:val="0"/>
      <w:marRight w:val="0"/>
      <w:marTop w:val="0"/>
      <w:marBottom w:val="0"/>
      <w:divBdr>
        <w:top w:val="none" w:sz="0" w:space="0" w:color="auto"/>
        <w:left w:val="none" w:sz="0" w:space="0" w:color="auto"/>
        <w:bottom w:val="none" w:sz="0" w:space="0" w:color="auto"/>
        <w:right w:val="none" w:sz="0" w:space="0" w:color="auto"/>
      </w:divBdr>
    </w:div>
    <w:div w:id="1052580992">
      <w:bodyDiv w:val="1"/>
      <w:marLeft w:val="0"/>
      <w:marRight w:val="0"/>
      <w:marTop w:val="0"/>
      <w:marBottom w:val="0"/>
      <w:divBdr>
        <w:top w:val="none" w:sz="0" w:space="0" w:color="auto"/>
        <w:left w:val="none" w:sz="0" w:space="0" w:color="auto"/>
        <w:bottom w:val="none" w:sz="0" w:space="0" w:color="auto"/>
        <w:right w:val="none" w:sz="0" w:space="0" w:color="auto"/>
      </w:divBdr>
    </w:div>
    <w:div w:id="1053500306">
      <w:bodyDiv w:val="1"/>
      <w:marLeft w:val="0"/>
      <w:marRight w:val="0"/>
      <w:marTop w:val="0"/>
      <w:marBottom w:val="0"/>
      <w:divBdr>
        <w:top w:val="none" w:sz="0" w:space="0" w:color="auto"/>
        <w:left w:val="none" w:sz="0" w:space="0" w:color="auto"/>
        <w:bottom w:val="none" w:sz="0" w:space="0" w:color="auto"/>
        <w:right w:val="none" w:sz="0" w:space="0" w:color="auto"/>
      </w:divBdr>
    </w:div>
    <w:div w:id="1053850256">
      <w:bodyDiv w:val="1"/>
      <w:marLeft w:val="0"/>
      <w:marRight w:val="0"/>
      <w:marTop w:val="0"/>
      <w:marBottom w:val="0"/>
      <w:divBdr>
        <w:top w:val="none" w:sz="0" w:space="0" w:color="auto"/>
        <w:left w:val="none" w:sz="0" w:space="0" w:color="auto"/>
        <w:bottom w:val="none" w:sz="0" w:space="0" w:color="auto"/>
        <w:right w:val="none" w:sz="0" w:space="0" w:color="auto"/>
      </w:divBdr>
    </w:div>
    <w:div w:id="1072115949">
      <w:bodyDiv w:val="1"/>
      <w:marLeft w:val="0"/>
      <w:marRight w:val="0"/>
      <w:marTop w:val="0"/>
      <w:marBottom w:val="0"/>
      <w:divBdr>
        <w:top w:val="none" w:sz="0" w:space="0" w:color="auto"/>
        <w:left w:val="none" w:sz="0" w:space="0" w:color="auto"/>
        <w:bottom w:val="none" w:sz="0" w:space="0" w:color="auto"/>
        <w:right w:val="none" w:sz="0" w:space="0" w:color="auto"/>
      </w:divBdr>
    </w:div>
    <w:div w:id="1077047962">
      <w:bodyDiv w:val="1"/>
      <w:marLeft w:val="0"/>
      <w:marRight w:val="0"/>
      <w:marTop w:val="0"/>
      <w:marBottom w:val="0"/>
      <w:divBdr>
        <w:top w:val="none" w:sz="0" w:space="0" w:color="auto"/>
        <w:left w:val="none" w:sz="0" w:space="0" w:color="auto"/>
        <w:bottom w:val="none" w:sz="0" w:space="0" w:color="auto"/>
        <w:right w:val="none" w:sz="0" w:space="0" w:color="auto"/>
      </w:divBdr>
    </w:div>
    <w:div w:id="1077244535">
      <w:bodyDiv w:val="1"/>
      <w:marLeft w:val="0"/>
      <w:marRight w:val="0"/>
      <w:marTop w:val="0"/>
      <w:marBottom w:val="0"/>
      <w:divBdr>
        <w:top w:val="none" w:sz="0" w:space="0" w:color="auto"/>
        <w:left w:val="none" w:sz="0" w:space="0" w:color="auto"/>
        <w:bottom w:val="none" w:sz="0" w:space="0" w:color="auto"/>
        <w:right w:val="none" w:sz="0" w:space="0" w:color="auto"/>
      </w:divBdr>
    </w:div>
    <w:div w:id="1084455465">
      <w:bodyDiv w:val="1"/>
      <w:marLeft w:val="0"/>
      <w:marRight w:val="0"/>
      <w:marTop w:val="0"/>
      <w:marBottom w:val="0"/>
      <w:divBdr>
        <w:top w:val="none" w:sz="0" w:space="0" w:color="auto"/>
        <w:left w:val="none" w:sz="0" w:space="0" w:color="auto"/>
        <w:bottom w:val="none" w:sz="0" w:space="0" w:color="auto"/>
        <w:right w:val="none" w:sz="0" w:space="0" w:color="auto"/>
      </w:divBdr>
    </w:div>
    <w:div w:id="1087265061">
      <w:bodyDiv w:val="1"/>
      <w:marLeft w:val="0"/>
      <w:marRight w:val="0"/>
      <w:marTop w:val="0"/>
      <w:marBottom w:val="0"/>
      <w:divBdr>
        <w:top w:val="none" w:sz="0" w:space="0" w:color="auto"/>
        <w:left w:val="none" w:sz="0" w:space="0" w:color="auto"/>
        <w:bottom w:val="none" w:sz="0" w:space="0" w:color="auto"/>
        <w:right w:val="none" w:sz="0" w:space="0" w:color="auto"/>
      </w:divBdr>
    </w:div>
    <w:div w:id="1087312645">
      <w:bodyDiv w:val="1"/>
      <w:marLeft w:val="0"/>
      <w:marRight w:val="0"/>
      <w:marTop w:val="0"/>
      <w:marBottom w:val="0"/>
      <w:divBdr>
        <w:top w:val="none" w:sz="0" w:space="0" w:color="auto"/>
        <w:left w:val="none" w:sz="0" w:space="0" w:color="auto"/>
        <w:bottom w:val="none" w:sz="0" w:space="0" w:color="auto"/>
        <w:right w:val="none" w:sz="0" w:space="0" w:color="auto"/>
      </w:divBdr>
    </w:div>
    <w:div w:id="1093434705">
      <w:bodyDiv w:val="1"/>
      <w:marLeft w:val="0"/>
      <w:marRight w:val="0"/>
      <w:marTop w:val="0"/>
      <w:marBottom w:val="0"/>
      <w:divBdr>
        <w:top w:val="none" w:sz="0" w:space="0" w:color="auto"/>
        <w:left w:val="none" w:sz="0" w:space="0" w:color="auto"/>
        <w:bottom w:val="none" w:sz="0" w:space="0" w:color="auto"/>
        <w:right w:val="none" w:sz="0" w:space="0" w:color="auto"/>
      </w:divBdr>
    </w:div>
    <w:div w:id="1096438303">
      <w:bodyDiv w:val="1"/>
      <w:marLeft w:val="0"/>
      <w:marRight w:val="0"/>
      <w:marTop w:val="0"/>
      <w:marBottom w:val="0"/>
      <w:divBdr>
        <w:top w:val="none" w:sz="0" w:space="0" w:color="auto"/>
        <w:left w:val="none" w:sz="0" w:space="0" w:color="auto"/>
        <w:bottom w:val="none" w:sz="0" w:space="0" w:color="auto"/>
        <w:right w:val="none" w:sz="0" w:space="0" w:color="auto"/>
      </w:divBdr>
    </w:div>
    <w:div w:id="1100830994">
      <w:bodyDiv w:val="1"/>
      <w:marLeft w:val="0"/>
      <w:marRight w:val="0"/>
      <w:marTop w:val="0"/>
      <w:marBottom w:val="0"/>
      <w:divBdr>
        <w:top w:val="none" w:sz="0" w:space="0" w:color="auto"/>
        <w:left w:val="none" w:sz="0" w:space="0" w:color="auto"/>
        <w:bottom w:val="none" w:sz="0" w:space="0" w:color="auto"/>
        <w:right w:val="none" w:sz="0" w:space="0" w:color="auto"/>
      </w:divBdr>
    </w:div>
    <w:div w:id="1102993740">
      <w:bodyDiv w:val="1"/>
      <w:marLeft w:val="0"/>
      <w:marRight w:val="0"/>
      <w:marTop w:val="0"/>
      <w:marBottom w:val="0"/>
      <w:divBdr>
        <w:top w:val="none" w:sz="0" w:space="0" w:color="auto"/>
        <w:left w:val="none" w:sz="0" w:space="0" w:color="auto"/>
        <w:bottom w:val="none" w:sz="0" w:space="0" w:color="auto"/>
        <w:right w:val="none" w:sz="0" w:space="0" w:color="auto"/>
      </w:divBdr>
    </w:div>
    <w:div w:id="1108356363">
      <w:bodyDiv w:val="1"/>
      <w:marLeft w:val="0"/>
      <w:marRight w:val="0"/>
      <w:marTop w:val="0"/>
      <w:marBottom w:val="0"/>
      <w:divBdr>
        <w:top w:val="none" w:sz="0" w:space="0" w:color="auto"/>
        <w:left w:val="none" w:sz="0" w:space="0" w:color="auto"/>
        <w:bottom w:val="none" w:sz="0" w:space="0" w:color="auto"/>
        <w:right w:val="none" w:sz="0" w:space="0" w:color="auto"/>
      </w:divBdr>
    </w:div>
    <w:div w:id="1114834752">
      <w:bodyDiv w:val="1"/>
      <w:marLeft w:val="0"/>
      <w:marRight w:val="0"/>
      <w:marTop w:val="0"/>
      <w:marBottom w:val="0"/>
      <w:divBdr>
        <w:top w:val="none" w:sz="0" w:space="0" w:color="auto"/>
        <w:left w:val="none" w:sz="0" w:space="0" w:color="auto"/>
        <w:bottom w:val="none" w:sz="0" w:space="0" w:color="auto"/>
        <w:right w:val="none" w:sz="0" w:space="0" w:color="auto"/>
      </w:divBdr>
    </w:div>
    <w:div w:id="1120495550">
      <w:bodyDiv w:val="1"/>
      <w:marLeft w:val="0"/>
      <w:marRight w:val="0"/>
      <w:marTop w:val="0"/>
      <w:marBottom w:val="0"/>
      <w:divBdr>
        <w:top w:val="none" w:sz="0" w:space="0" w:color="auto"/>
        <w:left w:val="none" w:sz="0" w:space="0" w:color="auto"/>
        <w:bottom w:val="none" w:sz="0" w:space="0" w:color="auto"/>
        <w:right w:val="none" w:sz="0" w:space="0" w:color="auto"/>
      </w:divBdr>
    </w:div>
    <w:div w:id="1122532162">
      <w:bodyDiv w:val="1"/>
      <w:marLeft w:val="0"/>
      <w:marRight w:val="0"/>
      <w:marTop w:val="0"/>
      <w:marBottom w:val="0"/>
      <w:divBdr>
        <w:top w:val="none" w:sz="0" w:space="0" w:color="auto"/>
        <w:left w:val="none" w:sz="0" w:space="0" w:color="auto"/>
        <w:bottom w:val="none" w:sz="0" w:space="0" w:color="auto"/>
        <w:right w:val="none" w:sz="0" w:space="0" w:color="auto"/>
      </w:divBdr>
    </w:div>
    <w:div w:id="1123576012">
      <w:bodyDiv w:val="1"/>
      <w:marLeft w:val="0"/>
      <w:marRight w:val="0"/>
      <w:marTop w:val="0"/>
      <w:marBottom w:val="0"/>
      <w:divBdr>
        <w:top w:val="none" w:sz="0" w:space="0" w:color="auto"/>
        <w:left w:val="none" w:sz="0" w:space="0" w:color="auto"/>
        <w:bottom w:val="none" w:sz="0" w:space="0" w:color="auto"/>
        <w:right w:val="none" w:sz="0" w:space="0" w:color="auto"/>
      </w:divBdr>
    </w:div>
    <w:div w:id="1129392627">
      <w:bodyDiv w:val="1"/>
      <w:marLeft w:val="0"/>
      <w:marRight w:val="0"/>
      <w:marTop w:val="0"/>
      <w:marBottom w:val="0"/>
      <w:divBdr>
        <w:top w:val="none" w:sz="0" w:space="0" w:color="auto"/>
        <w:left w:val="none" w:sz="0" w:space="0" w:color="auto"/>
        <w:bottom w:val="none" w:sz="0" w:space="0" w:color="auto"/>
        <w:right w:val="none" w:sz="0" w:space="0" w:color="auto"/>
      </w:divBdr>
    </w:div>
    <w:div w:id="1130785524">
      <w:bodyDiv w:val="1"/>
      <w:marLeft w:val="0"/>
      <w:marRight w:val="0"/>
      <w:marTop w:val="0"/>
      <w:marBottom w:val="0"/>
      <w:divBdr>
        <w:top w:val="none" w:sz="0" w:space="0" w:color="auto"/>
        <w:left w:val="none" w:sz="0" w:space="0" w:color="auto"/>
        <w:bottom w:val="none" w:sz="0" w:space="0" w:color="auto"/>
        <w:right w:val="none" w:sz="0" w:space="0" w:color="auto"/>
      </w:divBdr>
    </w:div>
    <w:div w:id="1130904227">
      <w:bodyDiv w:val="1"/>
      <w:marLeft w:val="0"/>
      <w:marRight w:val="0"/>
      <w:marTop w:val="0"/>
      <w:marBottom w:val="0"/>
      <w:divBdr>
        <w:top w:val="none" w:sz="0" w:space="0" w:color="auto"/>
        <w:left w:val="none" w:sz="0" w:space="0" w:color="auto"/>
        <w:bottom w:val="none" w:sz="0" w:space="0" w:color="auto"/>
        <w:right w:val="none" w:sz="0" w:space="0" w:color="auto"/>
      </w:divBdr>
    </w:div>
    <w:div w:id="1133400334">
      <w:bodyDiv w:val="1"/>
      <w:marLeft w:val="0"/>
      <w:marRight w:val="0"/>
      <w:marTop w:val="0"/>
      <w:marBottom w:val="0"/>
      <w:divBdr>
        <w:top w:val="none" w:sz="0" w:space="0" w:color="auto"/>
        <w:left w:val="none" w:sz="0" w:space="0" w:color="auto"/>
        <w:bottom w:val="none" w:sz="0" w:space="0" w:color="auto"/>
        <w:right w:val="none" w:sz="0" w:space="0" w:color="auto"/>
      </w:divBdr>
      <w:divsChild>
        <w:div w:id="311368796">
          <w:marLeft w:val="0"/>
          <w:marRight w:val="0"/>
          <w:marTop w:val="0"/>
          <w:marBottom w:val="0"/>
          <w:divBdr>
            <w:top w:val="none" w:sz="0" w:space="0" w:color="auto"/>
            <w:left w:val="none" w:sz="0" w:space="0" w:color="auto"/>
            <w:bottom w:val="none" w:sz="0" w:space="0" w:color="auto"/>
            <w:right w:val="none" w:sz="0" w:space="0" w:color="auto"/>
          </w:divBdr>
        </w:div>
        <w:div w:id="1924796028">
          <w:marLeft w:val="0"/>
          <w:marRight w:val="0"/>
          <w:marTop w:val="0"/>
          <w:marBottom w:val="0"/>
          <w:divBdr>
            <w:top w:val="none" w:sz="0" w:space="0" w:color="auto"/>
            <w:left w:val="none" w:sz="0" w:space="0" w:color="auto"/>
            <w:bottom w:val="none" w:sz="0" w:space="0" w:color="auto"/>
            <w:right w:val="none" w:sz="0" w:space="0" w:color="auto"/>
          </w:divBdr>
        </w:div>
      </w:divsChild>
    </w:div>
    <w:div w:id="1133447478">
      <w:bodyDiv w:val="1"/>
      <w:marLeft w:val="0"/>
      <w:marRight w:val="0"/>
      <w:marTop w:val="0"/>
      <w:marBottom w:val="0"/>
      <w:divBdr>
        <w:top w:val="none" w:sz="0" w:space="0" w:color="auto"/>
        <w:left w:val="none" w:sz="0" w:space="0" w:color="auto"/>
        <w:bottom w:val="none" w:sz="0" w:space="0" w:color="auto"/>
        <w:right w:val="none" w:sz="0" w:space="0" w:color="auto"/>
      </w:divBdr>
    </w:div>
    <w:div w:id="1133595342">
      <w:bodyDiv w:val="1"/>
      <w:marLeft w:val="0"/>
      <w:marRight w:val="0"/>
      <w:marTop w:val="0"/>
      <w:marBottom w:val="0"/>
      <w:divBdr>
        <w:top w:val="none" w:sz="0" w:space="0" w:color="auto"/>
        <w:left w:val="none" w:sz="0" w:space="0" w:color="auto"/>
        <w:bottom w:val="none" w:sz="0" w:space="0" w:color="auto"/>
        <w:right w:val="none" w:sz="0" w:space="0" w:color="auto"/>
      </w:divBdr>
    </w:div>
    <w:div w:id="1134637413">
      <w:bodyDiv w:val="1"/>
      <w:marLeft w:val="0"/>
      <w:marRight w:val="0"/>
      <w:marTop w:val="0"/>
      <w:marBottom w:val="0"/>
      <w:divBdr>
        <w:top w:val="none" w:sz="0" w:space="0" w:color="auto"/>
        <w:left w:val="none" w:sz="0" w:space="0" w:color="auto"/>
        <w:bottom w:val="none" w:sz="0" w:space="0" w:color="auto"/>
        <w:right w:val="none" w:sz="0" w:space="0" w:color="auto"/>
      </w:divBdr>
    </w:div>
    <w:div w:id="1136601000">
      <w:bodyDiv w:val="1"/>
      <w:marLeft w:val="0"/>
      <w:marRight w:val="0"/>
      <w:marTop w:val="0"/>
      <w:marBottom w:val="0"/>
      <w:divBdr>
        <w:top w:val="none" w:sz="0" w:space="0" w:color="auto"/>
        <w:left w:val="none" w:sz="0" w:space="0" w:color="auto"/>
        <w:bottom w:val="none" w:sz="0" w:space="0" w:color="auto"/>
        <w:right w:val="none" w:sz="0" w:space="0" w:color="auto"/>
      </w:divBdr>
    </w:div>
    <w:div w:id="1137072292">
      <w:bodyDiv w:val="1"/>
      <w:marLeft w:val="0"/>
      <w:marRight w:val="0"/>
      <w:marTop w:val="0"/>
      <w:marBottom w:val="0"/>
      <w:divBdr>
        <w:top w:val="none" w:sz="0" w:space="0" w:color="auto"/>
        <w:left w:val="none" w:sz="0" w:space="0" w:color="auto"/>
        <w:bottom w:val="none" w:sz="0" w:space="0" w:color="auto"/>
        <w:right w:val="none" w:sz="0" w:space="0" w:color="auto"/>
      </w:divBdr>
    </w:div>
    <w:div w:id="1141968821">
      <w:bodyDiv w:val="1"/>
      <w:marLeft w:val="0"/>
      <w:marRight w:val="0"/>
      <w:marTop w:val="0"/>
      <w:marBottom w:val="0"/>
      <w:divBdr>
        <w:top w:val="none" w:sz="0" w:space="0" w:color="auto"/>
        <w:left w:val="none" w:sz="0" w:space="0" w:color="auto"/>
        <w:bottom w:val="none" w:sz="0" w:space="0" w:color="auto"/>
        <w:right w:val="none" w:sz="0" w:space="0" w:color="auto"/>
      </w:divBdr>
    </w:div>
    <w:div w:id="1147434021">
      <w:bodyDiv w:val="1"/>
      <w:marLeft w:val="0"/>
      <w:marRight w:val="0"/>
      <w:marTop w:val="0"/>
      <w:marBottom w:val="0"/>
      <w:divBdr>
        <w:top w:val="none" w:sz="0" w:space="0" w:color="auto"/>
        <w:left w:val="none" w:sz="0" w:space="0" w:color="auto"/>
        <w:bottom w:val="none" w:sz="0" w:space="0" w:color="auto"/>
        <w:right w:val="none" w:sz="0" w:space="0" w:color="auto"/>
      </w:divBdr>
      <w:divsChild>
        <w:div w:id="1374306964">
          <w:marLeft w:val="0"/>
          <w:marRight w:val="0"/>
          <w:marTop w:val="0"/>
          <w:marBottom w:val="0"/>
          <w:divBdr>
            <w:top w:val="none" w:sz="0" w:space="0" w:color="auto"/>
            <w:left w:val="none" w:sz="0" w:space="0" w:color="auto"/>
            <w:bottom w:val="none" w:sz="0" w:space="0" w:color="auto"/>
            <w:right w:val="none" w:sz="0" w:space="0" w:color="auto"/>
          </w:divBdr>
          <w:divsChild>
            <w:div w:id="193882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5260">
      <w:bodyDiv w:val="1"/>
      <w:marLeft w:val="0"/>
      <w:marRight w:val="0"/>
      <w:marTop w:val="0"/>
      <w:marBottom w:val="0"/>
      <w:divBdr>
        <w:top w:val="none" w:sz="0" w:space="0" w:color="auto"/>
        <w:left w:val="none" w:sz="0" w:space="0" w:color="auto"/>
        <w:bottom w:val="none" w:sz="0" w:space="0" w:color="auto"/>
        <w:right w:val="none" w:sz="0" w:space="0" w:color="auto"/>
      </w:divBdr>
    </w:div>
    <w:div w:id="1152914653">
      <w:bodyDiv w:val="1"/>
      <w:marLeft w:val="0"/>
      <w:marRight w:val="0"/>
      <w:marTop w:val="0"/>
      <w:marBottom w:val="0"/>
      <w:divBdr>
        <w:top w:val="none" w:sz="0" w:space="0" w:color="auto"/>
        <w:left w:val="none" w:sz="0" w:space="0" w:color="auto"/>
        <w:bottom w:val="none" w:sz="0" w:space="0" w:color="auto"/>
        <w:right w:val="none" w:sz="0" w:space="0" w:color="auto"/>
      </w:divBdr>
    </w:div>
    <w:div w:id="1173301801">
      <w:bodyDiv w:val="1"/>
      <w:marLeft w:val="0"/>
      <w:marRight w:val="0"/>
      <w:marTop w:val="0"/>
      <w:marBottom w:val="0"/>
      <w:divBdr>
        <w:top w:val="none" w:sz="0" w:space="0" w:color="auto"/>
        <w:left w:val="none" w:sz="0" w:space="0" w:color="auto"/>
        <w:bottom w:val="none" w:sz="0" w:space="0" w:color="auto"/>
        <w:right w:val="none" w:sz="0" w:space="0" w:color="auto"/>
      </w:divBdr>
    </w:div>
    <w:div w:id="1175657620">
      <w:bodyDiv w:val="1"/>
      <w:marLeft w:val="0"/>
      <w:marRight w:val="0"/>
      <w:marTop w:val="0"/>
      <w:marBottom w:val="0"/>
      <w:divBdr>
        <w:top w:val="none" w:sz="0" w:space="0" w:color="auto"/>
        <w:left w:val="none" w:sz="0" w:space="0" w:color="auto"/>
        <w:bottom w:val="none" w:sz="0" w:space="0" w:color="auto"/>
        <w:right w:val="none" w:sz="0" w:space="0" w:color="auto"/>
      </w:divBdr>
    </w:div>
    <w:div w:id="1176533612">
      <w:bodyDiv w:val="1"/>
      <w:marLeft w:val="0"/>
      <w:marRight w:val="0"/>
      <w:marTop w:val="0"/>
      <w:marBottom w:val="0"/>
      <w:divBdr>
        <w:top w:val="none" w:sz="0" w:space="0" w:color="auto"/>
        <w:left w:val="none" w:sz="0" w:space="0" w:color="auto"/>
        <w:bottom w:val="none" w:sz="0" w:space="0" w:color="auto"/>
        <w:right w:val="none" w:sz="0" w:space="0" w:color="auto"/>
      </w:divBdr>
    </w:div>
    <w:div w:id="1180237838">
      <w:bodyDiv w:val="1"/>
      <w:marLeft w:val="0"/>
      <w:marRight w:val="0"/>
      <w:marTop w:val="0"/>
      <w:marBottom w:val="0"/>
      <w:divBdr>
        <w:top w:val="none" w:sz="0" w:space="0" w:color="auto"/>
        <w:left w:val="none" w:sz="0" w:space="0" w:color="auto"/>
        <w:bottom w:val="none" w:sz="0" w:space="0" w:color="auto"/>
        <w:right w:val="none" w:sz="0" w:space="0" w:color="auto"/>
      </w:divBdr>
    </w:div>
    <w:div w:id="1180780503">
      <w:bodyDiv w:val="1"/>
      <w:marLeft w:val="0"/>
      <w:marRight w:val="0"/>
      <w:marTop w:val="0"/>
      <w:marBottom w:val="0"/>
      <w:divBdr>
        <w:top w:val="none" w:sz="0" w:space="0" w:color="auto"/>
        <w:left w:val="none" w:sz="0" w:space="0" w:color="auto"/>
        <w:bottom w:val="none" w:sz="0" w:space="0" w:color="auto"/>
        <w:right w:val="none" w:sz="0" w:space="0" w:color="auto"/>
      </w:divBdr>
    </w:div>
    <w:div w:id="1181240218">
      <w:bodyDiv w:val="1"/>
      <w:marLeft w:val="0"/>
      <w:marRight w:val="0"/>
      <w:marTop w:val="0"/>
      <w:marBottom w:val="0"/>
      <w:divBdr>
        <w:top w:val="none" w:sz="0" w:space="0" w:color="auto"/>
        <w:left w:val="none" w:sz="0" w:space="0" w:color="auto"/>
        <w:bottom w:val="none" w:sz="0" w:space="0" w:color="auto"/>
        <w:right w:val="none" w:sz="0" w:space="0" w:color="auto"/>
      </w:divBdr>
    </w:div>
    <w:div w:id="1187325658">
      <w:bodyDiv w:val="1"/>
      <w:marLeft w:val="0"/>
      <w:marRight w:val="0"/>
      <w:marTop w:val="0"/>
      <w:marBottom w:val="0"/>
      <w:divBdr>
        <w:top w:val="none" w:sz="0" w:space="0" w:color="auto"/>
        <w:left w:val="none" w:sz="0" w:space="0" w:color="auto"/>
        <w:bottom w:val="none" w:sz="0" w:space="0" w:color="auto"/>
        <w:right w:val="none" w:sz="0" w:space="0" w:color="auto"/>
      </w:divBdr>
    </w:div>
    <w:div w:id="1190875836">
      <w:bodyDiv w:val="1"/>
      <w:marLeft w:val="0"/>
      <w:marRight w:val="0"/>
      <w:marTop w:val="0"/>
      <w:marBottom w:val="0"/>
      <w:divBdr>
        <w:top w:val="none" w:sz="0" w:space="0" w:color="auto"/>
        <w:left w:val="none" w:sz="0" w:space="0" w:color="auto"/>
        <w:bottom w:val="none" w:sz="0" w:space="0" w:color="auto"/>
        <w:right w:val="none" w:sz="0" w:space="0" w:color="auto"/>
      </w:divBdr>
    </w:div>
    <w:div w:id="1191147918">
      <w:bodyDiv w:val="1"/>
      <w:marLeft w:val="0"/>
      <w:marRight w:val="0"/>
      <w:marTop w:val="0"/>
      <w:marBottom w:val="0"/>
      <w:divBdr>
        <w:top w:val="none" w:sz="0" w:space="0" w:color="auto"/>
        <w:left w:val="none" w:sz="0" w:space="0" w:color="auto"/>
        <w:bottom w:val="none" w:sz="0" w:space="0" w:color="auto"/>
        <w:right w:val="none" w:sz="0" w:space="0" w:color="auto"/>
      </w:divBdr>
    </w:div>
    <w:div w:id="1191838705">
      <w:bodyDiv w:val="1"/>
      <w:marLeft w:val="0"/>
      <w:marRight w:val="0"/>
      <w:marTop w:val="0"/>
      <w:marBottom w:val="0"/>
      <w:divBdr>
        <w:top w:val="none" w:sz="0" w:space="0" w:color="auto"/>
        <w:left w:val="none" w:sz="0" w:space="0" w:color="auto"/>
        <w:bottom w:val="none" w:sz="0" w:space="0" w:color="auto"/>
        <w:right w:val="none" w:sz="0" w:space="0" w:color="auto"/>
      </w:divBdr>
    </w:div>
    <w:div w:id="1194420692">
      <w:bodyDiv w:val="1"/>
      <w:marLeft w:val="0"/>
      <w:marRight w:val="0"/>
      <w:marTop w:val="0"/>
      <w:marBottom w:val="0"/>
      <w:divBdr>
        <w:top w:val="none" w:sz="0" w:space="0" w:color="auto"/>
        <w:left w:val="none" w:sz="0" w:space="0" w:color="auto"/>
        <w:bottom w:val="none" w:sz="0" w:space="0" w:color="auto"/>
        <w:right w:val="none" w:sz="0" w:space="0" w:color="auto"/>
      </w:divBdr>
    </w:div>
    <w:div w:id="1197615901">
      <w:bodyDiv w:val="1"/>
      <w:marLeft w:val="0"/>
      <w:marRight w:val="0"/>
      <w:marTop w:val="0"/>
      <w:marBottom w:val="0"/>
      <w:divBdr>
        <w:top w:val="none" w:sz="0" w:space="0" w:color="auto"/>
        <w:left w:val="none" w:sz="0" w:space="0" w:color="auto"/>
        <w:bottom w:val="none" w:sz="0" w:space="0" w:color="auto"/>
        <w:right w:val="none" w:sz="0" w:space="0" w:color="auto"/>
      </w:divBdr>
    </w:div>
    <w:div w:id="1199389866">
      <w:bodyDiv w:val="1"/>
      <w:marLeft w:val="0"/>
      <w:marRight w:val="0"/>
      <w:marTop w:val="0"/>
      <w:marBottom w:val="0"/>
      <w:divBdr>
        <w:top w:val="none" w:sz="0" w:space="0" w:color="auto"/>
        <w:left w:val="none" w:sz="0" w:space="0" w:color="auto"/>
        <w:bottom w:val="none" w:sz="0" w:space="0" w:color="auto"/>
        <w:right w:val="none" w:sz="0" w:space="0" w:color="auto"/>
      </w:divBdr>
    </w:div>
    <w:div w:id="1213882019">
      <w:bodyDiv w:val="1"/>
      <w:marLeft w:val="0"/>
      <w:marRight w:val="0"/>
      <w:marTop w:val="0"/>
      <w:marBottom w:val="0"/>
      <w:divBdr>
        <w:top w:val="none" w:sz="0" w:space="0" w:color="auto"/>
        <w:left w:val="none" w:sz="0" w:space="0" w:color="auto"/>
        <w:bottom w:val="none" w:sz="0" w:space="0" w:color="auto"/>
        <w:right w:val="none" w:sz="0" w:space="0" w:color="auto"/>
      </w:divBdr>
    </w:div>
    <w:div w:id="1219124911">
      <w:bodyDiv w:val="1"/>
      <w:marLeft w:val="0"/>
      <w:marRight w:val="0"/>
      <w:marTop w:val="0"/>
      <w:marBottom w:val="0"/>
      <w:divBdr>
        <w:top w:val="none" w:sz="0" w:space="0" w:color="auto"/>
        <w:left w:val="none" w:sz="0" w:space="0" w:color="auto"/>
        <w:bottom w:val="none" w:sz="0" w:space="0" w:color="auto"/>
        <w:right w:val="none" w:sz="0" w:space="0" w:color="auto"/>
      </w:divBdr>
      <w:divsChild>
        <w:div w:id="1909918147">
          <w:marLeft w:val="0"/>
          <w:marRight w:val="0"/>
          <w:marTop w:val="0"/>
          <w:marBottom w:val="0"/>
          <w:divBdr>
            <w:top w:val="none" w:sz="0" w:space="0" w:color="auto"/>
            <w:left w:val="none" w:sz="0" w:space="0" w:color="auto"/>
            <w:bottom w:val="none" w:sz="0" w:space="0" w:color="auto"/>
            <w:right w:val="none" w:sz="0" w:space="0" w:color="auto"/>
          </w:divBdr>
          <w:divsChild>
            <w:div w:id="994263037">
              <w:marLeft w:val="0"/>
              <w:marRight w:val="0"/>
              <w:marTop w:val="0"/>
              <w:marBottom w:val="0"/>
              <w:divBdr>
                <w:top w:val="none" w:sz="0" w:space="0" w:color="auto"/>
                <w:left w:val="none" w:sz="0" w:space="0" w:color="auto"/>
                <w:bottom w:val="none" w:sz="0" w:space="0" w:color="auto"/>
                <w:right w:val="none" w:sz="0" w:space="0" w:color="auto"/>
              </w:divBdr>
            </w:div>
          </w:divsChild>
        </w:div>
        <w:div w:id="465122041">
          <w:marLeft w:val="0"/>
          <w:marRight w:val="0"/>
          <w:marTop w:val="0"/>
          <w:marBottom w:val="0"/>
          <w:divBdr>
            <w:top w:val="none" w:sz="0" w:space="0" w:color="auto"/>
            <w:left w:val="none" w:sz="0" w:space="0" w:color="auto"/>
            <w:bottom w:val="none" w:sz="0" w:space="0" w:color="auto"/>
            <w:right w:val="none" w:sz="0" w:space="0" w:color="auto"/>
          </w:divBdr>
        </w:div>
        <w:div w:id="77213503">
          <w:marLeft w:val="0"/>
          <w:marRight w:val="0"/>
          <w:marTop w:val="0"/>
          <w:marBottom w:val="0"/>
          <w:divBdr>
            <w:top w:val="none" w:sz="0" w:space="0" w:color="auto"/>
            <w:left w:val="none" w:sz="0" w:space="0" w:color="auto"/>
            <w:bottom w:val="none" w:sz="0" w:space="0" w:color="auto"/>
            <w:right w:val="none" w:sz="0" w:space="0" w:color="auto"/>
          </w:divBdr>
        </w:div>
        <w:div w:id="467238512">
          <w:marLeft w:val="0"/>
          <w:marRight w:val="0"/>
          <w:marTop w:val="0"/>
          <w:marBottom w:val="0"/>
          <w:divBdr>
            <w:top w:val="none" w:sz="0" w:space="0" w:color="auto"/>
            <w:left w:val="none" w:sz="0" w:space="0" w:color="auto"/>
            <w:bottom w:val="none" w:sz="0" w:space="0" w:color="auto"/>
            <w:right w:val="none" w:sz="0" w:space="0" w:color="auto"/>
          </w:divBdr>
        </w:div>
        <w:div w:id="1134829290">
          <w:marLeft w:val="0"/>
          <w:marRight w:val="0"/>
          <w:marTop w:val="0"/>
          <w:marBottom w:val="0"/>
          <w:divBdr>
            <w:top w:val="none" w:sz="0" w:space="0" w:color="auto"/>
            <w:left w:val="none" w:sz="0" w:space="0" w:color="auto"/>
            <w:bottom w:val="none" w:sz="0" w:space="0" w:color="auto"/>
            <w:right w:val="none" w:sz="0" w:space="0" w:color="auto"/>
          </w:divBdr>
        </w:div>
        <w:div w:id="78140167">
          <w:marLeft w:val="0"/>
          <w:marRight w:val="0"/>
          <w:marTop w:val="0"/>
          <w:marBottom w:val="0"/>
          <w:divBdr>
            <w:top w:val="none" w:sz="0" w:space="0" w:color="auto"/>
            <w:left w:val="none" w:sz="0" w:space="0" w:color="auto"/>
            <w:bottom w:val="none" w:sz="0" w:space="0" w:color="auto"/>
            <w:right w:val="none" w:sz="0" w:space="0" w:color="auto"/>
          </w:divBdr>
        </w:div>
      </w:divsChild>
    </w:div>
    <w:div w:id="1222717048">
      <w:bodyDiv w:val="1"/>
      <w:marLeft w:val="0"/>
      <w:marRight w:val="0"/>
      <w:marTop w:val="0"/>
      <w:marBottom w:val="0"/>
      <w:divBdr>
        <w:top w:val="none" w:sz="0" w:space="0" w:color="auto"/>
        <w:left w:val="none" w:sz="0" w:space="0" w:color="auto"/>
        <w:bottom w:val="none" w:sz="0" w:space="0" w:color="auto"/>
        <w:right w:val="none" w:sz="0" w:space="0" w:color="auto"/>
      </w:divBdr>
    </w:div>
    <w:div w:id="1224752408">
      <w:bodyDiv w:val="1"/>
      <w:marLeft w:val="0"/>
      <w:marRight w:val="0"/>
      <w:marTop w:val="0"/>
      <w:marBottom w:val="0"/>
      <w:divBdr>
        <w:top w:val="none" w:sz="0" w:space="0" w:color="auto"/>
        <w:left w:val="none" w:sz="0" w:space="0" w:color="auto"/>
        <w:bottom w:val="none" w:sz="0" w:space="0" w:color="auto"/>
        <w:right w:val="none" w:sz="0" w:space="0" w:color="auto"/>
      </w:divBdr>
    </w:div>
    <w:div w:id="1225721558">
      <w:bodyDiv w:val="1"/>
      <w:marLeft w:val="0"/>
      <w:marRight w:val="0"/>
      <w:marTop w:val="0"/>
      <w:marBottom w:val="0"/>
      <w:divBdr>
        <w:top w:val="none" w:sz="0" w:space="0" w:color="auto"/>
        <w:left w:val="none" w:sz="0" w:space="0" w:color="auto"/>
        <w:bottom w:val="none" w:sz="0" w:space="0" w:color="auto"/>
        <w:right w:val="none" w:sz="0" w:space="0" w:color="auto"/>
      </w:divBdr>
    </w:div>
    <w:div w:id="1230194178">
      <w:bodyDiv w:val="1"/>
      <w:marLeft w:val="0"/>
      <w:marRight w:val="0"/>
      <w:marTop w:val="0"/>
      <w:marBottom w:val="0"/>
      <w:divBdr>
        <w:top w:val="none" w:sz="0" w:space="0" w:color="auto"/>
        <w:left w:val="none" w:sz="0" w:space="0" w:color="auto"/>
        <w:bottom w:val="none" w:sz="0" w:space="0" w:color="auto"/>
        <w:right w:val="none" w:sz="0" w:space="0" w:color="auto"/>
      </w:divBdr>
    </w:div>
    <w:div w:id="1235823415">
      <w:bodyDiv w:val="1"/>
      <w:marLeft w:val="0"/>
      <w:marRight w:val="0"/>
      <w:marTop w:val="0"/>
      <w:marBottom w:val="0"/>
      <w:divBdr>
        <w:top w:val="none" w:sz="0" w:space="0" w:color="auto"/>
        <w:left w:val="none" w:sz="0" w:space="0" w:color="auto"/>
        <w:bottom w:val="none" w:sz="0" w:space="0" w:color="auto"/>
        <w:right w:val="none" w:sz="0" w:space="0" w:color="auto"/>
      </w:divBdr>
    </w:div>
    <w:div w:id="1239822791">
      <w:bodyDiv w:val="1"/>
      <w:marLeft w:val="0"/>
      <w:marRight w:val="0"/>
      <w:marTop w:val="0"/>
      <w:marBottom w:val="0"/>
      <w:divBdr>
        <w:top w:val="none" w:sz="0" w:space="0" w:color="auto"/>
        <w:left w:val="none" w:sz="0" w:space="0" w:color="auto"/>
        <w:bottom w:val="none" w:sz="0" w:space="0" w:color="auto"/>
        <w:right w:val="none" w:sz="0" w:space="0" w:color="auto"/>
      </w:divBdr>
    </w:div>
    <w:div w:id="1241987004">
      <w:bodyDiv w:val="1"/>
      <w:marLeft w:val="0"/>
      <w:marRight w:val="0"/>
      <w:marTop w:val="0"/>
      <w:marBottom w:val="0"/>
      <w:divBdr>
        <w:top w:val="none" w:sz="0" w:space="0" w:color="auto"/>
        <w:left w:val="none" w:sz="0" w:space="0" w:color="auto"/>
        <w:bottom w:val="none" w:sz="0" w:space="0" w:color="auto"/>
        <w:right w:val="none" w:sz="0" w:space="0" w:color="auto"/>
      </w:divBdr>
    </w:div>
    <w:div w:id="1255941923">
      <w:bodyDiv w:val="1"/>
      <w:marLeft w:val="0"/>
      <w:marRight w:val="0"/>
      <w:marTop w:val="0"/>
      <w:marBottom w:val="0"/>
      <w:divBdr>
        <w:top w:val="none" w:sz="0" w:space="0" w:color="auto"/>
        <w:left w:val="none" w:sz="0" w:space="0" w:color="auto"/>
        <w:bottom w:val="none" w:sz="0" w:space="0" w:color="auto"/>
        <w:right w:val="none" w:sz="0" w:space="0" w:color="auto"/>
      </w:divBdr>
    </w:div>
    <w:div w:id="1256212228">
      <w:bodyDiv w:val="1"/>
      <w:marLeft w:val="0"/>
      <w:marRight w:val="0"/>
      <w:marTop w:val="0"/>
      <w:marBottom w:val="0"/>
      <w:divBdr>
        <w:top w:val="none" w:sz="0" w:space="0" w:color="auto"/>
        <w:left w:val="none" w:sz="0" w:space="0" w:color="auto"/>
        <w:bottom w:val="none" w:sz="0" w:space="0" w:color="auto"/>
        <w:right w:val="none" w:sz="0" w:space="0" w:color="auto"/>
      </w:divBdr>
    </w:div>
    <w:div w:id="1256591580">
      <w:bodyDiv w:val="1"/>
      <w:marLeft w:val="0"/>
      <w:marRight w:val="0"/>
      <w:marTop w:val="0"/>
      <w:marBottom w:val="0"/>
      <w:divBdr>
        <w:top w:val="none" w:sz="0" w:space="0" w:color="auto"/>
        <w:left w:val="none" w:sz="0" w:space="0" w:color="auto"/>
        <w:bottom w:val="none" w:sz="0" w:space="0" w:color="auto"/>
        <w:right w:val="none" w:sz="0" w:space="0" w:color="auto"/>
      </w:divBdr>
    </w:div>
    <w:div w:id="1262028836">
      <w:bodyDiv w:val="1"/>
      <w:marLeft w:val="0"/>
      <w:marRight w:val="0"/>
      <w:marTop w:val="0"/>
      <w:marBottom w:val="0"/>
      <w:divBdr>
        <w:top w:val="none" w:sz="0" w:space="0" w:color="auto"/>
        <w:left w:val="none" w:sz="0" w:space="0" w:color="auto"/>
        <w:bottom w:val="none" w:sz="0" w:space="0" w:color="auto"/>
        <w:right w:val="none" w:sz="0" w:space="0" w:color="auto"/>
      </w:divBdr>
    </w:div>
    <w:div w:id="1265041470">
      <w:bodyDiv w:val="1"/>
      <w:marLeft w:val="0"/>
      <w:marRight w:val="0"/>
      <w:marTop w:val="0"/>
      <w:marBottom w:val="0"/>
      <w:divBdr>
        <w:top w:val="none" w:sz="0" w:space="0" w:color="auto"/>
        <w:left w:val="none" w:sz="0" w:space="0" w:color="auto"/>
        <w:bottom w:val="none" w:sz="0" w:space="0" w:color="auto"/>
        <w:right w:val="none" w:sz="0" w:space="0" w:color="auto"/>
      </w:divBdr>
    </w:div>
    <w:div w:id="1266185056">
      <w:bodyDiv w:val="1"/>
      <w:marLeft w:val="0"/>
      <w:marRight w:val="0"/>
      <w:marTop w:val="0"/>
      <w:marBottom w:val="0"/>
      <w:divBdr>
        <w:top w:val="none" w:sz="0" w:space="0" w:color="auto"/>
        <w:left w:val="none" w:sz="0" w:space="0" w:color="auto"/>
        <w:bottom w:val="none" w:sz="0" w:space="0" w:color="auto"/>
        <w:right w:val="none" w:sz="0" w:space="0" w:color="auto"/>
      </w:divBdr>
    </w:div>
    <w:div w:id="1269968028">
      <w:bodyDiv w:val="1"/>
      <w:marLeft w:val="0"/>
      <w:marRight w:val="0"/>
      <w:marTop w:val="0"/>
      <w:marBottom w:val="0"/>
      <w:divBdr>
        <w:top w:val="none" w:sz="0" w:space="0" w:color="auto"/>
        <w:left w:val="none" w:sz="0" w:space="0" w:color="auto"/>
        <w:bottom w:val="none" w:sz="0" w:space="0" w:color="auto"/>
        <w:right w:val="none" w:sz="0" w:space="0" w:color="auto"/>
      </w:divBdr>
    </w:div>
    <w:div w:id="1285117621">
      <w:bodyDiv w:val="1"/>
      <w:marLeft w:val="0"/>
      <w:marRight w:val="0"/>
      <w:marTop w:val="0"/>
      <w:marBottom w:val="0"/>
      <w:divBdr>
        <w:top w:val="none" w:sz="0" w:space="0" w:color="auto"/>
        <w:left w:val="none" w:sz="0" w:space="0" w:color="auto"/>
        <w:bottom w:val="none" w:sz="0" w:space="0" w:color="auto"/>
        <w:right w:val="none" w:sz="0" w:space="0" w:color="auto"/>
      </w:divBdr>
    </w:div>
    <w:div w:id="1288707620">
      <w:bodyDiv w:val="1"/>
      <w:marLeft w:val="0"/>
      <w:marRight w:val="0"/>
      <w:marTop w:val="0"/>
      <w:marBottom w:val="0"/>
      <w:divBdr>
        <w:top w:val="none" w:sz="0" w:space="0" w:color="auto"/>
        <w:left w:val="none" w:sz="0" w:space="0" w:color="auto"/>
        <w:bottom w:val="none" w:sz="0" w:space="0" w:color="auto"/>
        <w:right w:val="none" w:sz="0" w:space="0" w:color="auto"/>
      </w:divBdr>
    </w:div>
    <w:div w:id="1298144928">
      <w:bodyDiv w:val="1"/>
      <w:marLeft w:val="0"/>
      <w:marRight w:val="0"/>
      <w:marTop w:val="0"/>
      <w:marBottom w:val="0"/>
      <w:divBdr>
        <w:top w:val="none" w:sz="0" w:space="0" w:color="auto"/>
        <w:left w:val="none" w:sz="0" w:space="0" w:color="auto"/>
        <w:bottom w:val="none" w:sz="0" w:space="0" w:color="auto"/>
        <w:right w:val="none" w:sz="0" w:space="0" w:color="auto"/>
      </w:divBdr>
    </w:div>
    <w:div w:id="1300573265">
      <w:bodyDiv w:val="1"/>
      <w:marLeft w:val="0"/>
      <w:marRight w:val="0"/>
      <w:marTop w:val="0"/>
      <w:marBottom w:val="0"/>
      <w:divBdr>
        <w:top w:val="none" w:sz="0" w:space="0" w:color="auto"/>
        <w:left w:val="none" w:sz="0" w:space="0" w:color="auto"/>
        <w:bottom w:val="none" w:sz="0" w:space="0" w:color="auto"/>
        <w:right w:val="none" w:sz="0" w:space="0" w:color="auto"/>
      </w:divBdr>
    </w:div>
    <w:div w:id="1309819889">
      <w:bodyDiv w:val="1"/>
      <w:marLeft w:val="0"/>
      <w:marRight w:val="0"/>
      <w:marTop w:val="0"/>
      <w:marBottom w:val="0"/>
      <w:divBdr>
        <w:top w:val="none" w:sz="0" w:space="0" w:color="auto"/>
        <w:left w:val="none" w:sz="0" w:space="0" w:color="auto"/>
        <w:bottom w:val="none" w:sz="0" w:space="0" w:color="auto"/>
        <w:right w:val="none" w:sz="0" w:space="0" w:color="auto"/>
      </w:divBdr>
    </w:div>
    <w:div w:id="1313218915">
      <w:bodyDiv w:val="1"/>
      <w:marLeft w:val="0"/>
      <w:marRight w:val="0"/>
      <w:marTop w:val="0"/>
      <w:marBottom w:val="0"/>
      <w:divBdr>
        <w:top w:val="none" w:sz="0" w:space="0" w:color="auto"/>
        <w:left w:val="none" w:sz="0" w:space="0" w:color="auto"/>
        <w:bottom w:val="none" w:sz="0" w:space="0" w:color="auto"/>
        <w:right w:val="none" w:sz="0" w:space="0" w:color="auto"/>
      </w:divBdr>
    </w:div>
    <w:div w:id="1316641631">
      <w:bodyDiv w:val="1"/>
      <w:marLeft w:val="0"/>
      <w:marRight w:val="0"/>
      <w:marTop w:val="0"/>
      <w:marBottom w:val="0"/>
      <w:divBdr>
        <w:top w:val="none" w:sz="0" w:space="0" w:color="auto"/>
        <w:left w:val="none" w:sz="0" w:space="0" w:color="auto"/>
        <w:bottom w:val="none" w:sz="0" w:space="0" w:color="auto"/>
        <w:right w:val="none" w:sz="0" w:space="0" w:color="auto"/>
      </w:divBdr>
    </w:div>
    <w:div w:id="1342124600">
      <w:bodyDiv w:val="1"/>
      <w:marLeft w:val="0"/>
      <w:marRight w:val="0"/>
      <w:marTop w:val="0"/>
      <w:marBottom w:val="0"/>
      <w:divBdr>
        <w:top w:val="none" w:sz="0" w:space="0" w:color="auto"/>
        <w:left w:val="none" w:sz="0" w:space="0" w:color="auto"/>
        <w:bottom w:val="none" w:sz="0" w:space="0" w:color="auto"/>
        <w:right w:val="none" w:sz="0" w:space="0" w:color="auto"/>
      </w:divBdr>
    </w:div>
    <w:div w:id="1345746119">
      <w:bodyDiv w:val="1"/>
      <w:marLeft w:val="0"/>
      <w:marRight w:val="0"/>
      <w:marTop w:val="0"/>
      <w:marBottom w:val="0"/>
      <w:divBdr>
        <w:top w:val="none" w:sz="0" w:space="0" w:color="auto"/>
        <w:left w:val="none" w:sz="0" w:space="0" w:color="auto"/>
        <w:bottom w:val="none" w:sz="0" w:space="0" w:color="auto"/>
        <w:right w:val="none" w:sz="0" w:space="0" w:color="auto"/>
      </w:divBdr>
    </w:div>
    <w:div w:id="1360280740">
      <w:bodyDiv w:val="1"/>
      <w:marLeft w:val="0"/>
      <w:marRight w:val="0"/>
      <w:marTop w:val="0"/>
      <w:marBottom w:val="0"/>
      <w:divBdr>
        <w:top w:val="none" w:sz="0" w:space="0" w:color="auto"/>
        <w:left w:val="none" w:sz="0" w:space="0" w:color="auto"/>
        <w:bottom w:val="none" w:sz="0" w:space="0" w:color="auto"/>
        <w:right w:val="none" w:sz="0" w:space="0" w:color="auto"/>
      </w:divBdr>
    </w:div>
    <w:div w:id="1360861952">
      <w:bodyDiv w:val="1"/>
      <w:marLeft w:val="0"/>
      <w:marRight w:val="0"/>
      <w:marTop w:val="0"/>
      <w:marBottom w:val="0"/>
      <w:divBdr>
        <w:top w:val="none" w:sz="0" w:space="0" w:color="auto"/>
        <w:left w:val="none" w:sz="0" w:space="0" w:color="auto"/>
        <w:bottom w:val="none" w:sz="0" w:space="0" w:color="auto"/>
        <w:right w:val="none" w:sz="0" w:space="0" w:color="auto"/>
      </w:divBdr>
    </w:div>
    <w:div w:id="1365599244">
      <w:bodyDiv w:val="1"/>
      <w:marLeft w:val="0"/>
      <w:marRight w:val="0"/>
      <w:marTop w:val="0"/>
      <w:marBottom w:val="0"/>
      <w:divBdr>
        <w:top w:val="none" w:sz="0" w:space="0" w:color="auto"/>
        <w:left w:val="none" w:sz="0" w:space="0" w:color="auto"/>
        <w:bottom w:val="none" w:sz="0" w:space="0" w:color="auto"/>
        <w:right w:val="none" w:sz="0" w:space="0" w:color="auto"/>
      </w:divBdr>
    </w:div>
    <w:div w:id="1383483688">
      <w:bodyDiv w:val="1"/>
      <w:marLeft w:val="0"/>
      <w:marRight w:val="0"/>
      <w:marTop w:val="0"/>
      <w:marBottom w:val="0"/>
      <w:divBdr>
        <w:top w:val="none" w:sz="0" w:space="0" w:color="auto"/>
        <w:left w:val="none" w:sz="0" w:space="0" w:color="auto"/>
        <w:bottom w:val="none" w:sz="0" w:space="0" w:color="auto"/>
        <w:right w:val="none" w:sz="0" w:space="0" w:color="auto"/>
      </w:divBdr>
    </w:div>
    <w:div w:id="1387803419">
      <w:bodyDiv w:val="1"/>
      <w:marLeft w:val="0"/>
      <w:marRight w:val="0"/>
      <w:marTop w:val="0"/>
      <w:marBottom w:val="0"/>
      <w:divBdr>
        <w:top w:val="none" w:sz="0" w:space="0" w:color="auto"/>
        <w:left w:val="none" w:sz="0" w:space="0" w:color="auto"/>
        <w:bottom w:val="none" w:sz="0" w:space="0" w:color="auto"/>
        <w:right w:val="none" w:sz="0" w:space="0" w:color="auto"/>
      </w:divBdr>
    </w:div>
    <w:div w:id="1394161870">
      <w:bodyDiv w:val="1"/>
      <w:marLeft w:val="0"/>
      <w:marRight w:val="0"/>
      <w:marTop w:val="0"/>
      <w:marBottom w:val="0"/>
      <w:divBdr>
        <w:top w:val="none" w:sz="0" w:space="0" w:color="auto"/>
        <w:left w:val="none" w:sz="0" w:space="0" w:color="auto"/>
        <w:bottom w:val="none" w:sz="0" w:space="0" w:color="auto"/>
        <w:right w:val="none" w:sz="0" w:space="0" w:color="auto"/>
      </w:divBdr>
    </w:div>
    <w:div w:id="1396002808">
      <w:bodyDiv w:val="1"/>
      <w:marLeft w:val="0"/>
      <w:marRight w:val="0"/>
      <w:marTop w:val="0"/>
      <w:marBottom w:val="0"/>
      <w:divBdr>
        <w:top w:val="none" w:sz="0" w:space="0" w:color="auto"/>
        <w:left w:val="none" w:sz="0" w:space="0" w:color="auto"/>
        <w:bottom w:val="none" w:sz="0" w:space="0" w:color="auto"/>
        <w:right w:val="none" w:sz="0" w:space="0" w:color="auto"/>
      </w:divBdr>
    </w:div>
    <w:div w:id="1396658292">
      <w:bodyDiv w:val="1"/>
      <w:marLeft w:val="0"/>
      <w:marRight w:val="0"/>
      <w:marTop w:val="0"/>
      <w:marBottom w:val="0"/>
      <w:divBdr>
        <w:top w:val="none" w:sz="0" w:space="0" w:color="auto"/>
        <w:left w:val="none" w:sz="0" w:space="0" w:color="auto"/>
        <w:bottom w:val="none" w:sz="0" w:space="0" w:color="auto"/>
        <w:right w:val="none" w:sz="0" w:space="0" w:color="auto"/>
      </w:divBdr>
    </w:div>
    <w:div w:id="1397361248">
      <w:bodyDiv w:val="1"/>
      <w:marLeft w:val="0"/>
      <w:marRight w:val="0"/>
      <w:marTop w:val="0"/>
      <w:marBottom w:val="0"/>
      <w:divBdr>
        <w:top w:val="none" w:sz="0" w:space="0" w:color="auto"/>
        <w:left w:val="none" w:sz="0" w:space="0" w:color="auto"/>
        <w:bottom w:val="none" w:sz="0" w:space="0" w:color="auto"/>
        <w:right w:val="none" w:sz="0" w:space="0" w:color="auto"/>
      </w:divBdr>
      <w:divsChild>
        <w:div w:id="1236817384">
          <w:marLeft w:val="0"/>
          <w:marRight w:val="0"/>
          <w:marTop w:val="0"/>
          <w:marBottom w:val="0"/>
          <w:divBdr>
            <w:top w:val="none" w:sz="0" w:space="0" w:color="auto"/>
            <w:left w:val="none" w:sz="0" w:space="0" w:color="auto"/>
            <w:bottom w:val="none" w:sz="0" w:space="0" w:color="auto"/>
            <w:right w:val="none" w:sz="0" w:space="0" w:color="auto"/>
          </w:divBdr>
          <w:divsChild>
            <w:div w:id="13720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476">
      <w:bodyDiv w:val="1"/>
      <w:marLeft w:val="0"/>
      <w:marRight w:val="0"/>
      <w:marTop w:val="0"/>
      <w:marBottom w:val="0"/>
      <w:divBdr>
        <w:top w:val="none" w:sz="0" w:space="0" w:color="auto"/>
        <w:left w:val="none" w:sz="0" w:space="0" w:color="auto"/>
        <w:bottom w:val="none" w:sz="0" w:space="0" w:color="auto"/>
        <w:right w:val="none" w:sz="0" w:space="0" w:color="auto"/>
      </w:divBdr>
    </w:div>
    <w:div w:id="1408188237">
      <w:bodyDiv w:val="1"/>
      <w:marLeft w:val="0"/>
      <w:marRight w:val="0"/>
      <w:marTop w:val="0"/>
      <w:marBottom w:val="0"/>
      <w:divBdr>
        <w:top w:val="none" w:sz="0" w:space="0" w:color="auto"/>
        <w:left w:val="none" w:sz="0" w:space="0" w:color="auto"/>
        <w:bottom w:val="none" w:sz="0" w:space="0" w:color="auto"/>
        <w:right w:val="none" w:sz="0" w:space="0" w:color="auto"/>
      </w:divBdr>
    </w:div>
    <w:div w:id="1409306439">
      <w:bodyDiv w:val="1"/>
      <w:marLeft w:val="0"/>
      <w:marRight w:val="0"/>
      <w:marTop w:val="0"/>
      <w:marBottom w:val="0"/>
      <w:divBdr>
        <w:top w:val="none" w:sz="0" w:space="0" w:color="auto"/>
        <w:left w:val="none" w:sz="0" w:space="0" w:color="auto"/>
        <w:bottom w:val="none" w:sz="0" w:space="0" w:color="auto"/>
        <w:right w:val="none" w:sz="0" w:space="0" w:color="auto"/>
      </w:divBdr>
    </w:div>
    <w:div w:id="1411544546">
      <w:bodyDiv w:val="1"/>
      <w:marLeft w:val="0"/>
      <w:marRight w:val="0"/>
      <w:marTop w:val="0"/>
      <w:marBottom w:val="0"/>
      <w:divBdr>
        <w:top w:val="none" w:sz="0" w:space="0" w:color="auto"/>
        <w:left w:val="none" w:sz="0" w:space="0" w:color="auto"/>
        <w:bottom w:val="none" w:sz="0" w:space="0" w:color="auto"/>
        <w:right w:val="none" w:sz="0" w:space="0" w:color="auto"/>
      </w:divBdr>
      <w:divsChild>
        <w:div w:id="728498368">
          <w:marLeft w:val="0"/>
          <w:marRight w:val="0"/>
          <w:marTop w:val="0"/>
          <w:marBottom w:val="0"/>
          <w:divBdr>
            <w:top w:val="none" w:sz="0" w:space="0" w:color="auto"/>
            <w:left w:val="none" w:sz="0" w:space="0" w:color="auto"/>
            <w:bottom w:val="none" w:sz="0" w:space="0" w:color="auto"/>
            <w:right w:val="none" w:sz="0" w:space="0" w:color="auto"/>
          </w:divBdr>
        </w:div>
      </w:divsChild>
    </w:div>
    <w:div w:id="1422723676">
      <w:bodyDiv w:val="1"/>
      <w:marLeft w:val="0"/>
      <w:marRight w:val="0"/>
      <w:marTop w:val="0"/>
      <w:marBottom w:val="0"/>
      <w:divBdr>
        <w:top w:val="none" w:sz="0" w:space="0" w:color="auto"/>
        <w:left w:val="none" w:sz="0" w:space="0" w:color="auto"/>
        <w:bottom w:val="none" w:sz="0" w:space="0" w:color="auto"/>
        <w:right w:val="none" w:sz="0" w:space="0" w:color="auto"/>
      </w:divBdr>
    </w:div>
    <w:div w:id="1423183386">
      <w:bodyDiv w:val="1"/>
      <w:marLeft w:val="0"/>
      <w:marRight w:val="0"/>
      <w:marTop w:val="0"/>
      <w:marBottom w:val="0"/>
      <w:divBdr>
        <w:top w:val="none" w:sz="0" w:space="0" w:color="auto"/>
        <w:left w:val="none" w:sz="0" w:space="0" w:color="auto"/>
        <w:bottom w:val="none" w:sz="0" w:space="0" w:color="auto"/>
        <w:right w:val="none" w:sz="0" w:space="0" w:color="auto"/>
      </w:divBdr>
    </w:div>
    <w:div w:id="1432240544">
      <w:bodyDiv w:val="1"/>
      <w:marLeft w:val="0"/>
      <w:marRight w:val="0"/>
      <w:marTop w:val="0"/>
      <w:marBottom w:val="0"/>
      <w:divBdr>
        <w:top w:val="none" w:sz="0" w:space="0" w:color="auto"/>
        <w:left w:val="none" w:sz="0" w:space="0" w:color="auto"/>
        <w:bottom w:val="none" w:sz="0" w:space="0" w:color="auto"/>
        <w:right w:val="none" w:sz="0" w:space="0" w:color="auto"/>
      </w:divBdr>
    </w:div>
    <w:div w:id="1435437532">
      <w:bodyDiv w:val="1"/>
      <w:marLeft w:val="0"/>
      <w:marRight w:val="0"/>
      <w:marTop w:val="0"/>
      <w:marBottom w:val="0"/>
      <w:divBdr>
        <w:top w:val="none" w:sz="0" w:space="0" w:color="auto"/>
        <w:left w:val="none" w:sz="0" w:space="0" w:color="auto"/>
        <w:bottom w:val="none" w:sz="0" w:space="0" w:color="auto"/>
        <w:right w:val="none" w:sz="0" w:space="0" w:color="auto"/>
      </w:divBdr>
    </w:div>
    <w:div w:id="1436364235">
      <w:bodyDiv w:val="1"/>
      <w:marLeft w:val="0"/>
      <w:marRight w:val="0"/>
      <w:marTop w:val="0"/>
      <w:marBottom w:val="0"/>
      <w:divBdr>
        <w:top w:val="none" w:sz="0" w:space="0" w:color="auto"/>
        <w:left w:val="none" w:sz="0" w:space="0" w:color="auto"/>
        <w:bottom w:val="none" w:sz="0" w:space="0" w:color="auto"/>
        <w:right w:val="none" w:sz="0" w:space="0" w:color="auto"/>
      </w:divBdr>
    </w:div>
    <w:div w:id="1439106087">
      <w:bodyDiv w:val="1"/>
      <w:marLeft w:val="0"/>
      <w:marRight w:val="0"/>
      <w:marTop w:val="0"/>
      <w:marBottom w:val="0"/>
      <w:divBdr>
        <w:top w:val="none" w:sz="0" w:space="0" w:color="auto"/>
        <w:left w:val="none" w:sz="0" w:space="0" w:color="auto"/>
        <w:bottom w:val="none" w:sz="0" w:space="0" w:color="auto"/>
        <w:right w:val="none" w:sz="0" w:space="0" w:color="auto"/>
      </w:divBdr>
    </w:div>
    <w:div w:id="1439256789">
      <w:bodyDiv w:val="1"/>
      <w:marLeft w:val="0"/>
      <w:marRight w:val="0"/>
      <w:marTop w:val="0"/>
      <w:marBottom w:val="0"/>
      <w:divBdr>
        <w:top w:val="none" w:sz="0" w:space="0" w:color="auto"/>
        <w:left w:val="none" w:sz="0" w:space="0" w:color="auto"/>
        <w:bottom w:val="none" w:sz="0" w:space="0" w:color="auto"/>
        <w:right w:val="none" w:sz="0" w:space="0" w:color="auto"/>
      </w:divBdr>
    </w:div>
    <w:div w:id="1443525535">
      <w:bodyDiv w:val="1"/>
      <w:marLeft w:val="0"/>
      <w:marRight w:val="0"/>
      <w:marTop w:val="0"/>
      <w:marBottom w:val="0"/>
      <w:divBdr>
        <w:top w:val="none" w:sz="0" w:space="0" w:color="auto"/>
        <w:left w:val="none" w:sz="0" w:space="0" w:color="auto"/>
        <w:bottom w:val="none" w:sz="0" w:space="0" w:color="auto"/>
        <w:right w:val="none" w:sz="0" w:space="0" w:color="auto"/>
      </w:divBdr>
    </w:div>
    <w:div w:id="1446266531">
      <w:bodyDiv w:val="1"/>
      <w:marLeft w:val="0"/>
      <w:marRight w:val="0"/>
      <w:marTop w:val="0"/>
      <w:marBottom w:val="0"/>
      <w:divBdr>
        <w:top w:val="none" w:sz="0" w:space="0" w:color="auto"/>
        <w:left w:val="none" w:sz="0" w:space="0" w:color="auto"/>
        <w:bottom w:val="none" w:sz="0" w:space="0" w:color="auto"/>
        <w:right w:val="none" w:sz="0" w:space="0" w:color="auto"/>
      </w:divBdr>
    </w:div>
    <w:div w:id="1455365458">
      <w:bodyDiv w:val="1"/>
      <w:marLeft w:val="0"/>
      <w:marRight w:val="0"/>
      <w:marTop w:val="0"/>
      <w:marBottom w:val="0"/>
      <w:divBdr>
        <w:top w:val="none" w:sz="0" w:space="0" w:color="auto"/>
        <w:left w:val="none" w:sz="0" w:space="0" w:color="auto"/>
        <w:bottom w:val="none" w:sz="0" w:space="0" w:color="auto"/>
        <w:right w:val="none" w:sz="0" w:space="0" w:color="auto"/>
      </w:divBdr>
    </w:div>
    <w:div w:id="1455635003">
      <w:bodyDiv w:val="1"/>
      <w:marLeft w:val="0"/>
      <w:marRight w:val="0"/>
      <w:marTop w:val="0"/>
      <w:marBottom w:val="0"/>
      <w:divBdr>
        <w:top w:val="none" w:sz="0" w:space="0" w:color="auto"/>
        <w:left w:val="none" w:sz="0" w:space="0" w:color="auto"/>
        <w:bottom w:val="none" w:sz="0" w:space="0" w:color="auto"/>
        <w:right w:val="none" w:sz="0" w:space="0" w:color="auto"/>
      </w:divBdr>
    </w:div>
    <w:div w:id="1466388967">
      <w:bodyDiv w:val="1"/>
      <w:marLeft w:val="0"/>
      <w:marRight w:val="0"/>
      <w:marTop w:val="0"/>
      <w:marBottom w:val="0"/>
      <w:divBdr>
        <w:top w:val="none" w:sz="0" w:space="0" w:color="auto"/>
        <w:left w:val="none" w:sz="0" w:space="0" w:color="auto"/>
        <w:bottom w:val="none" w:sz="0" w:space="0" w:color="auto"/>
        <w:right w:val="none" w:sz="0" w:space="0" w:color="auto"/>
      </w:divBdr>
    </w:div>
    <w:div w:id="1471090084">
      <w:bodyDiv w:val="1"/>
      <w:marLeft w:val="0"/>
      <w:marRight w:val="0"/>
      <w:marTop w:val="0"/>
      <w:marBottom w:val="0"/>
      <w:divBdr>
        <w:top w:val="none" w:sz="0" w:space="0" w:color="auto"/>
        <w:left w:val="none" w:sz="0" w:space="0" w:color="auto"/>
        <w:bottom w:val="none" w:sz="0" w:space="0" w:color="auto"/>
        <w:right w:val="none" w:sz="0" w:space="0" w:color="auto"/>
      </w:divBdr>
    </w:div>
    <w:div w:id="1473210033">
      <w:bodyDiv w:val="1"/>
      <w:marLeft w:val="0"/>
      <w:marRight w:val="0"/>
      <w:marTop w:val="0"/>
      <w:marBottom w:val="0"/>
      <w:divBdr>
        <w:top w:val="none" w:sz="0" w:space="0" w:color="auto"/>
        <w:left w:val="none" w:sz="0" w:space="0" w:color="auto"/>
        <w:bottom w:val="none" w:sz="0" w:space="0" w:color="auto"/>
        <w:right w:val="none" w:sz="0" w:space="0" w:color="auto"/>
      </w:divBdr>
    </w:div>
    <w:div w:id="1475412649">
      <w:bodyDiv w:val="1"/>
      <w:marLeft w:val="0"/>
      <w:marRight w:val="0"/>
      <w:marTop w:val="0"/>
      <w:marBottom w:val="0"/>
      <w:divBdr>
        <w:top w:val="none" w:sz="0" w:space="0" w:color="auto"/>
        <w:left w:val="none" w:sz="0" w:space="0" w:color="auto"/>
        <w:bottom w:val="none" w:sz="0" w:space="0" w:color="auto"/>
        <w:right w:val="none" w:sz="0" w:space="0" w:color="auto"/>
      </w:divBdr>
    </w:div>
    <w:div w:id="1476920152">
      <w:bodyDiv w:val="1"/>
      <w:marLeft w:val="0"/>
      <w:marRight w:val="0"/>
      <w:marTop w:val="0"/>
      <w:marBottom w:val="0"/>
      <w:divBdr>
        <w:top w:val="none" w:sz="0" w:space="0" w:color="auto"/>
        <w:left w:val="none" w:sz="0" w:space="0" w:color="auto"/>
        <w:bottom w:val="none" w:sz="0" w:space="0" w:color="auto"/>
        <w:right w:val="none" w:sz="0" w:space="0" w:color="auto"/>
      </w:divBdr>
    </w:div>
    <w:div w:id="1479372839">
      <w:bodyDiv w:val="1"/>
      <w:marLeft w:val="0"/>
      <w:marRight w:val="0"/>
      <w:marTop w:val="0"/>
      <w:marBottom w:val="0"/>
      <w:divBdr>
        <w:top w:val="none" w:sz="0" w:space="0" w:color="auto"/>
        <w:left w:val="none" w:sz="0" w:space="0" w:color="auto"/>
        <w:bottom w:val="none" w:sz="0" w:space="0" w:color="auto"/>
        <w:right w:val="none" w:sz="0" w:space="0" w:color="auto"/>
      </w:divBdr>
    </w:div>
    <w:div w:id="1484465980">
      <w:bodyDiv w:val="1"/>
      <w:marLeft w:val="0"/>
      <w:marRight w:val="0"/>
      <w:marTop w:val="0"/>
      <w:marBottom w:val="0"/>
      <w:divBdr>
        <w:top w:val="none" w:sz="0" w:space="0" w:color="auto"/>
        <w:left w:val="none" w:sz="0" w:space="0" w:color="auto"/>
        <w:bottom w:val="none" w:sz="0" w:space="0" w:color="auto"/>
        <w:right w:val="none" w:sz="0" w:space="0" w:color="auto"/>
      </w:divBdr>
    </w:div>
    <w:div w:id="1492720150">
      <w:bodyDiv w:val="1"/>
      <w:marLeft w:val="0"/>
      <w:marRight w:val="0"/>
      <w:marTop w:val="0"/>
      <w:marBottom w:val="0"/>
      <w:divBdr>
        <w:top w:val="none" w:sz="0" w:space="0" w:color="auto"/>
        <w:left w:val="none" w:sz="0" w:space="0" w:color="auto"/>
        <w:bottom w:val="none" w:sz="0" w:space="0" w:color="auto"/>
        <w:right w:val="none" w:sz="0" w:space="0" w:color="auto"/>
      </w:divBdr>
    </w:div>
    <w:div w:id="1497115870">
      <w:bodyDiv w:val="1"/>
      <w:marLeft w:val="0"/>
      <w:marRight w:val="0"/>
      <w:marTop w:val="0"/>
      <w:marBottom w:val="0"/>
      <w:divBdr>
        <w:top w:val="none" w:sz="0" w:space="0" w:color="auto"/>
        <w:left w:val="none" w:sz="0" w:space="0" w:color="auto"/>
        <w:bottom w:val="none" w:sz="0" w:space="0" w:color="auto"/>
        <w:right w:val="none" w:sz="0" w:space="0" w:color="auto"/>
      </w:divBdr>
    </w:div>
    <w:div w:id="1499729585">
      <w:bodyDiv w:val="1"/>
      <w:marLeft w:val="0"/>
      <w:marRight w:val="0"/>
      <w:marTop w:val="0"/>
      <w:marBottom w:val="0"/>
      <w:divBdr>
        <w:top w:val="none" w:sz="0" w:space="0" w:color="auto"/>
        <w:left w:val="none" w:sz="0" w:space="0" w:color="auto"/>
        <w:bottom w:val="none" w:sz="0" w:space="0" w:color="auto"/>
        <w:right w:val="none" w:sz="0" w:space="0" w:color="auto"/>
      </w:divBdr>
    </w:div>
    <w:div w:id="1499805277">
      <w:bodyDiv w:val="1"/>
      <w:marLeft w:val="0"/>
      <w:marRight w:val="0"/>
      <w:marTop w:val="0"/>
      <w:marBottom w:val="0"/>
      <w:divBdr>
        <w:top w:val="none" w:sz="0" w:space="0" w:color="auto"/>
        <w:left w:val="none" w:sz="0" w:space="0" w:color="auto"/>
        <w:bottom w:val="none" w:sz="0" w:space="0" w:color="auto"/>
        <w:right w:val="none" w:sz="0" w:space="0" w:color="auto"/>
      </w:divBdr>
    </w:div>
    <w:div w:id="1501776690">
      <w:bodyDiv w:val="1"/>
      <w:marLeft w:val="0"/>
      <w:marRight w:val="0"/>
      <w:marTop w:val="0"/>
      <w:marBottom w:val="0"/>
      <w:divBdr>
        <w:top w:val="none" w:sz="0" w:space="0" w:color="auto"/>
        <w:left w:val="none" w:sz="0" w:space="0" w:color="auto"/>
        <w:bottom w:val="none" w:sz="0" w:space="0" w:color="auto"/>
        <w:right w:val="none" w:sz="0" w:space="0" w:color="auto"/>
      </w:divBdr>
    </w:div>
    <w:div w:id="1508398423">
      <w:bodyDiv w:val="1"/>
      <w:marLeft w:val="0"/>
      <w:marRight w:val="0"/>
      <w:marTop w:val="0"/>
      <w:marBottom w:val="0"/>
      <w:divBdr>
        <w:top w:val="none" w:sz="0" w:space="0" w:color="auto"/>
        <w:left w:val="none" w:sz="0" w:space="0" w:color="auto"/>
        <w:bottom w:val="none" w:sz="0" w:space="0" w:color="auto"/>
        <w:right w:val="none" w:sz="0" w:space="0" w:color="auto"/>
      </w:divBdr>
    </w:div>
    <w:div w:id="1514101465">
      <w:bodyDiv w:val="1"/>
      <w:marLeft w:val="0"/>
      <w:marRight w:val="0"/>
      <w:marTop w:val="0"/>
      <w:marBottom w:val="0"/>
      <w:divBdr>
        <w:top w:val="none" w:sz="0" w:space="0" w:color="auto"/>
        <w:left w:val="none" w:sz="0" w:space="0" w:color="auto"/>
        <w:bottom w:val="none" w:sz="0" w:space="0" w:color="auto"/>
        <w:right w:val="none" w:sz="0" w:space="0" w:color="auto"/>
      </w:divBdr>
    </w:div>
    <w:div w:id="1516263044">
      <w:bodyDiv w:val="1"/>
      <w:marLeft w:val="0"/>
      <w:marRight w:val="0"/>
      <w:marTop w:val="0"/>
      <w:marBottom w:val="0"/>
      <w:divBdr>
        <w:top w:val="none" w:sz="0" w:space="0" w:color="auto"/>
        <w:left w:val="none" w:sz="0" w:space="0" w:color="auto"/>
        <w:bottom w:val="none" w:sz="0" w:space="0" w:color="auto"/>
        <w:right w:val="none" w:sz="0" w:space="0" w:color="auto"/>
      </w:divBdr>
    </w:div>
    <w:div w:id="1516579599">
      <w:bodyDiv w:val="1"/>
      <w:marLeft w:val="0"/>
      <w:marRight w:val="0"/>
      <w:marTop w:val="0"/>
      <w:marBottom w:val="0"/>
      <w:divBdr>
        <w:top w:val="none" w:sz="0" w:space="0" w:color="auto"/>
        <w:left w:val="none" w:sz="0" w:space="0" w:color="auto"/>
        <w:bottom w:val="none" w:sz="0" w:space="0" w:color="auto"/>
        <w:right w:val="none" w:sz="0" w:space="0" w:color="auto"/>
      </w:divBdr>
    </w:div>
    <w:div w:id="1527527050">
      <w:bodyDiv w:val="1"/>
      <w:marLeft w:val="0"/>
      <w:marRight w:val="0"/>
      <w:marTop w:val="0"/>
      <w:marBottom w:val="0"/>
      <w:divBdr>
        <w:top w:val="none" w:sz="0" w:space="0" w:color="auto"/>
        <w:left w:val="none" w:sz="0" w:space="0" w:color="auto"/>
        <w:bottom w:val="none" w:sz="0" w:space="0" w:color="auto"/>
        <w:right w:val="none" w:sz="0" w:space="0" w:color="auto"/>
      </w:divBdr>
    </w:div>
    <w:div w:id="1527713873">
      <w:bodyDiv w:val="1"/>
      <w:marLeft w:val="0"/>
      <w:marRight w:val="0"/>
      <w:marTop w:val="0"/>
      <w:marBottom w:val="0"/>
      <w:divBdr>
        <w:top w:val="none" w:sz="0" w:space="0" w:color="auto"/>
        <w:left w:val="none" w:sz="0" w:space="0" w:color="auto"/>
        <w:bottom w:val="none" w:sz="0" w:space="0" w:color="auto"/>
        <w:right w:val="none" w:sz="0" w:space="0" w:color="auto"/>
      </w:divBdr>
    </w:div>
    <w:div w:id="1535270079">
      <w:bodyDiv w:val="1"/>
      <w:marLeft w:val="0"/>
      <w:marRight w:val="0"/>
      <w:marTop w:val="0"/>
      <w:marBottom w:val="0"/>
      <w:divBdr>
        <w:top w:val="none" w:sz="0" w:space="0" w:color="auto"/>
        <w:left w:val="none" w:sz="0" w:space="0" w:color="auto"/>
        <w:bottom w:val="none" w:sz="0" w:space="0" w:color="auto"/>
        <w:right w:val="none" w:sz="0" w:space="0" w:color="auto"/>
      </w:divBdr>
    </w:div>
    <w:div w:id="1546484100">
      <w:bodyDiv w:val="1"/>
      <w:marLeft w:val="0"/>
      <w:marRight w:val="0"/>
      <w:marTop w:val="0"/>
      <w:marBottom w:val="0"/>
      <w:divBdr>
        <w:top w:val="none" w:sz="0" w:space="0" w:color="auto"/>
        <w:left w:val="none" w:sz="0" w:space="0" w:color="auto"/>
        <w:bottom w:val="none" w:sz="0" w:space="0" w:color="auto"/>
        <w:right w:val="none" w:sz="0" w:space="0" w:color="auto"/>
      </w:divBdr>
    </w:div>
    <w:div w:id="1551381463">
      <w:bodyDiv w:val="1"/>
      <w:marLeft w:val="0"/>
      <w:marRight w:val="0"/>
      <w:marTop w:val="0"/>
      <w:marBottom w:val="0"/>
      <w:divBdr>
        <w:top w:val="none" w:sz="0" w:space="0" w:color="auto"/>
        <w:left w:val="none" w:sz="0" w:space="0" w:color="auto"/>
        <w:bottom w:val="none" w:sz="0" w:space="0" w:color="auto"/>
        <w:right w:val="none" w:sz="0" w:space="0" w:color="auto"/>
      </w:divBdr>
    </w:div>
    <w:div w:id="1556157178">
      <w:bodyDiv w:val="1"/>
      <w:marLeft w:val="0"/>
      <w:marRight w:val="0"/>
      <w:marTop w:val="0"/>
      <w:marBottom w:val="0"/>
      <w:divBdr>
        <w:top w:val="none" w:sz="0" w:space="0" w:color="auto"/>
        <w:left w:val="none" w:sz="0" w:space="0" w:color="auto"/>
        <w:bottom w:val="none" w:sz="0" w:space="0" w:color="auto"/>
        <w:right w:val="none" w:sz="0" w:space="0" w:color="auto"/>
      </w:divBdr>
    </w:div>
    <w:div w:id="1556887643">
      <w:bodyDiv w:val="1"/>
      <w:marLeft w:val="0"/>
      <w:marRight w:val="0"/>
      <w:marTop w:val="0"/>
      <w:marBottom w:val="0"/>
      <w:divBdr>
        <w:top w:val="none" w:sz="0" w:space="0" w:color="auto"/>
        <w:left w:val="none" w:sz="0" w:space="0" w:color="auto"/>
        <w:bottom w:val="none" w:sz="0" w:space="0" w:color="auto"/>
        <w:right w:val="none" w:sz="0" w:space="0" w:color="auto"/>
      </w:divBdr>
    </w:div>
    <w:div w:id="1568998289">
      <w:bodyDiv w:val="1"/>
      <w:marLeft w:val="0"/>
      <w:marRight w:val="0"/>
      <w:marTop w:val="0"/>
      <w:marBottom w:val="0"/>
      <w:divBdr>
        <w:top w:val="none" w:sz="0" w:space="0" w:color="auto"/>
        <w:left w:val="none" w:sz="0" w:space="0" w:color="auto"/>
        <w:bottom w:val="none" w:sz="0" w:space="0" w:color="auto"/>
        <w:right w:val="none" w:sz="0" w:space="0" w:color="auto"/>
      </w:divBdr>
    </w:div>
    <w:div w:id="1569226003">
      <w:bodyDiv w:val="1"/>
      <w:marLeft w:val="0"/>
      <w:marRight w:val="0"/>
      <w:marTop w:val="0"/>
      <w:marBottom w:val="0"/>
      <w:divBdr>
        <w:top w:val="none" w:sz="0" w:space="0" w:color="auto"/>
        <w:left w:val="none" w:sz="0" w:space="0" w:color="auto"/>
        <w:bottom w:val="none" w:sz="0" w:space="0" w:color="auto"/>
        <w:right w:val="none" w:sz="0" w:space="0" w:color="auto"/>
      </w:divBdr>
    </w:div>
    <w:div w:id="1575890000">
      <w:bodyDiv w:val="1"/>
      <w:marLeft w:val="0"/>
      <w:marRight w:val="0"/>
      <w:marTop w:val="0"/>
      <w:marBottom w:val="0"/>
      <w:divBdr>
        <w:top w:val="none" w:sz="0" w:space="0" w:color="auto"/>
        <w:left w:val="none" w:sz="0" w:space="0" w:color="auto"/>
        <w:bottom w:val="none" w:sz="0" w:space="0" w:color="auto"/>
        <w:right w:val="none" w:sz="0" w:space="0" w:color="auto"/>
      </w:divBdr>
    </w:div>
    <w:div w:id="1582833179">
      <w:bodyDiv w:val="1"/>
      <w:marLeft w:val="0"/>
      <w:marRight w:val="0"/>
      <w:marTop w:val="0"/>
      <w:marBottom w:val="0"/>
      <w:divBdr>
        <w:top w:val="none" w:sz="0" w:space="0" w:color="auto"/>
        <w:left w:val="none" w:sz="0" w:space="0" w:color="auto"/>
        <w:bottom w:val="none" w:sz="0" w:space="0" w:color="auto"/>
        <w:right w:val="none" w:sz="0" w:space="0" w:color="auto"/>
      </w:divBdr>
    </w:div>
    <w:div w:id="1583293489">
      <w:bodyDiv w:val="1"/>
      <w:marLeft w:val="0"/>
      <w:marRight w:val="0"/>
      <w:marTop w:val="0"/>
      <w:marBottom w:val="0"/>
      <w:divBdr>
        <w:top w:val="none" w:sz="0" w:space="0" w:color="auto"/>
        <w:left w:val="none" w:sz="0" w:space="0" w:color="auto"/>
        <w:bottom w:val="none" w:sz="0" w:space="0" w:color="auto"/>
        <w:right w:val="none" w:sz="0" w:space="0" w:color="auto"/>
      </w:divBdr>
    </w:div>
    <w:div w:id="1610622876">
      <w:bodyDiv w:val="1"/>
      <w:marLeft w:val="0"/>
      <w:marRight w:val="0"/>
      <w:marTop w:val="0"/>
      <w:marBottom w:val="0"/>
      <w:divBdr>
        <w:top w:val="none" w:sz="0" w:space="0" w:color="auto"/>
        <w:left w:val="none" w:sz="0" w:space="0" w:color="auto"/>
        <w:bottom w:val="none" w:sz="0" w:space="0" w:color="auto"/>
        <w:right w:val="none" w:sz="0" w:space="0" w:color="auto"/>
      </w:divBdr>
    </w:div>
    <w:div w:id="1610771778">
      <w:bodyDiv w:val="1"/>
      <w:marLeft w:val="0"/>
      <w:marRight w:val="0"/>
      <w:marTop w:val="0"/>
      <w:marBottom w:val="0"/>
      <w:divBdr>
        <w:top w:val="none" w:sz="0" w:space="0" w:color="auto"/>
        <w:left w:val="none" w:sz="0" w:space="0" w:color="auto"/>
        <w:bottom w:val="none" w:sz="0" w:space="0" w:color="auto"/>
        <w:right w:val="none" w:sz="0" w:space="0" w:color="auto"/>
      </w:divBdr>
    </w:div>
    <w:div w:id="1616054780">
      <w:bodyDiv w:val="1"/>
      <w:marLeft w:val="0"/>
      <w:marRight w:val="0"/>
      <w:marTop w:val="0"/>
      <w:marBottom w:val="0"/>
      <w:divBdr>
        <w:top w:val="none" w:sz="0" w:space="0" w:color="auto"/>
        <w:left w:val="none" w:sz="0" w:space="0" w:color="auto"/>
        <w:bottom w:val="none" w:sz="0" w:space="0" w:color="auto"/>
        <w:right w:val="none" w:sz="0" w:space="0" w:color="auto"/>
      </w:divBdr>
    </w:div>
    <w:div w:id="1616401137">
      <w:bodyDiv w:val="1"/>
      <w:marLeft w:val="0"/>
      <w:marRight w:val="0"/>
      <w:marTop w:val="0"/>
      <w:marBottom w:val="0"/>
      <w:divBdr>
        <w:top w:val="none" w:sz="0" w:space="0" w:color="auto"/>
        <w:left w:val="none" w:sz="0" w:space="0" w:color="auto"/>
        <w:bottom w:val="none" w:sz="0" w:space="0" w:color="auto"/>
        <w:right w:val="none" w:sz="0" w:space="0" w:color="auto"/>
      </w:divBdr>
    </w:div>
    <w:div w:id="1625622789">
      <w:bodyDiv w:val="1"/>
      <w:marLeft w:val="0"/>
      <w:marRight w:val="0"/>
      <w:marTop w:val="0"/>
      <w:marBottom w:val="0"/>
      <w:divBdr>
        <w:top w:val="none" w:sz="0" w:space="0" w:color="auto"/>
        <w:left w:val="none" w:sz="0" w:space="0" w:color="auto"/>
        <w:bottom w:val="none" w:sz="0" w:space="0" w:color="auto"/>
        <w:right w:val="none" w:sz="0" w:space="0" w:color="auto"/>
      </w:divBdr>
    </w:div>
    <w:div w:id="1627199470">
      <w:bodyDiv w:val="1"/>
      <w:marLeft w:val="0"/>
      <w:marRight w:val="0"/>
      <w:marTop w:val="0"/>
      <w:marBottom w:val="0"/>
      <w:divBdr>
        <w:top w:val="none" w:sz="0" w:space="0" w:color="auto"/>
        <w:left w:val="none" w:sz="0" w:space="0" w:color="auto"/>
        <w:bottom w:val="none" w:sz="0" w:space="0" w:color="auto"/>
        <w:right w:val="none" w:sz="0" w:space="0" w:color="auto"/>
      </w:divBdr>
    </w:div>
    <w:div w:id="1628731524">
      <w:bodyDiv w:val="1"/>
      <w:marLeft w:val="0"/>
      <w:marRight w:val="0"/>
      <w:marTop w:val="0"/>
      <w:marBottom w:val="0"/>
      <w:divBdr>
        <w:top w:val="none" w:sz="0" w:space="0" w:color="auto"/>
        <w:left w:val="none" w:sz="0" w:space="0" w:color="auto"/>
        <w:bottom w:val="none" w:sz="0" w:space="0" w:color="auto"/>
        <w:right w:val="none" w:sz="0" w:space="0" w:color="auto"/>
      </w:divBdr>
      <w:divsChild>
        <w:div w:id="1664427197">
          <w:marLeft w:val="0"/>
          <w:marRight w:val="0"/>
          <w:marTop w:val="0"/>
          <w:marBottom w:val="0"/>
          <w:divBdr>
            <w:top w:val="none" w:sz="0" w:space="0" w:color="auto"/>
            <w:left w:val="none" w:sz="0" w:space="0" w:color="auto"/>
            <w:bottom w:val="none" w:sz="0" w:space="0" w:color="auto"/>
            <w:right w:val="none" w:sz="0" w:space="0" w:color="auto"/>
          </w:divBdr>
        </w:div>
        <w:div w:id="5595584">
          <w:marLeft w:val="0"/>
          <w:marRight w:val="0"/>
          <w:marTop w:val="0"/>
          <w:marBottom w:val="0"/>
          <w:divBdr>
            <w:top w:val="none" w:sz="0" w:space="0" w:color="auto"/>
            <w:left w:val="none" w:sz="0" w:space="0" w:color="auto"/>
            <w:bottom w:val="none" w:sz="0" w:space="0" w:color="auto"/>
            <w:right w:val="none" w:sz="0" w:space="0" w:color="auto"/>
          </w:divBdr>
        </w:div>
        <w:div w:id="466123944">
          <w:marLeft w:val="0"/>
          <w:marRight w:val="0"/>
          <w:marTop w:val="0"/>
          <w:marBottom w:val="0"/>
          <w:divBdr>
            <w:top w:val="none" w:sz="0" w:space="0" w:color="auto"/>
            <w:left w:val="none" w:sz="0" w:space="0" w:color="auto"/>
            <w:bottom w:val="none" w:sz="0" w:space="0" w:color="auto"/>
            <w:right w:val="none" w:sz="0" w:space="0" w:color="auto"/>
          </w:divBdr>
        </w:div>
        <w:div w:id="1469282475">
          <w:marLeft w:val="0"/>
          <w:marRight w:val="0"/>
          <w:marTop w:val="0"/>
          <w:marBottom w:val="0"/>
          <w:divBdr>
            <w:top w:val="none" w:sz="0" w:space="0" w:color="auto"/>
            <w:left w:val="none" w:sz="0" w:space="0" w:color="auto"/>
            <w:bottom w:val="none" w:sz="0" w:space="0" w:color="auto"/>
            <w:right w:val="none" w:sz="0" w:space="0" w:color="auto"/>
          </w:divBdr>
        </w:div>
        <w:div w:id="1980451929">
          <w:marLeft w:val="0"/>
          <w:marRight w:val="0"/>
          <w:marTop w:val="0"/>
          <w:marBottom w:val="0"/>
          <w:divBdr>
            <w:top w:val="none" w:sz="0" w:space="0" w:color="auto"/>
            <w:left w:val="none" w:sz="0" w:space="0" w:color="auto"/>
            <w:bottom w:val="none" w:sz="0" w:space="0" w:color="auto"/>
            <w:right w:val="none" w:sz="0" w:space="0" w:color="auto"/>
          </w:divBdr>
        </w:div>
        <w:div w:id="57290542">
          <w:marLeft w:val="0"/>
          <w:marRight w:val="0"/>
          <w:marTop w:val="0"/>
          <w:marBottom w:val="0"/>
          <w:divBdr>
            <w:top w:val="none" w:sz="0" w:space="0" w:color="auto"/>
            <w:left w:val="none" w:sz="0" w:space="0" w:color="auto"/>
            <w:bottom w:val="none" w:sz="0" w:space="0" w:color="auto"/>
            <w:right w:val="none" w:sz="0" w:space="0" w:color="auto"/>
          </w:divBdr>
        </w:div>
        <w:div w:id="92868021">
          <w:marLeft w:val="0"/>
          <w:marRight w:val="0"/>
          <w:marTop w:val="0"/>
          <w:marBottom w:val="0"/>
          <w:divBdr>
            <w:top w:val="none" w:sz="0" w:space="0" w:color="auto"/>
            <w:left w:val="none" w:sz="0" w:space="0" w:color="auto"/>
            <w:bottom w:val="none" w:sz="0" w:space="0" w:color="auto"/>
            <w:right w:val="none" w:sz="0" w:space="0" w:color="auto"/>
          </w:divBdr>
        </w:div>
        <w:div w:id="1890263833">
          <w:marLeft w:val="0"/>
          <w:marRight w:val="0"/>
          <w:marTop w:val="0"/>
          <w:marBottom w:val="0"/>
          <w:divBdr>
            <w:top w:val="none" w:sz="0" w:space="0" w:color="auto"/>
            <w:left w:val="none" w:sz="0" w:space="0" w:color="auto"/>
            <w:bottom w:val="none" w:sz="0" w:space="0" w:color="auto"/>
            <w:right w:val="none" w:sz="0" w:space="0" w:color="auto"/>
          </w:divBdr>
        </w:div>
        <w:div w:id="333075759">
          <w:marLeft w:val="0"/>
          <w:marRight w:val="0"/>
          <w:marTop w:val="0"/>
          <w:marBottom w:val="0"/>
          <w:divBdr>
            <w:top w:val="none" w:sz="0" w:space="0" w:color="auto"/>
            <w:left w:val="none" w:sz="0" w:space="0" w:color="auto"/>
            <w:bottom w:val="none" w:sz="0" w:space="0" w:color="auto"/>
            <w:right w:val="none" w:sz="0" w:space="0" w:color="auto"/>
          </w:divBdr>
        </w:div>
        <w:div w:id="134563719">
          <w:marLeft w:val="0"/>
          <w:marRight w:val="0"/>
          <w:marTop w:val="0"/>
          <w:marBottom w:val="0"/>
          <w:divBdr>
            <w:top w:val="none" w:sz="0" w:space="0" w:color="auto"/>
            <w:left w:val="none" w:sz="0" w:space="0" w:color="auto"/>
            <w:bottom w:val="none" w:sz="0" w:space="0" w:color="auto"/>
            <w:right w:val="none" w:sz="0" w:space="0" w:color="auto"/>
          </w:divBdr>
        </w:div>
        <w:div w:id="812792507">
          <w:marLeft w:val="0"/>
          <w:marRight w:val="0"/>
          <w:marTop w:val="0"/>
          <w:marBottom w:val="0"/>
          <w:divBdr>
            <w:top w:val="none" w:sz="0" w:space="0" w:color="auto"/>
            <w:left w:val="none" w:sz="0" w:space="0" w:color="auto"/>
            <w:bottom w:val="none" w:sz="0" w:space="0" w:color="auto"/>
            <w:right w:val="none" w:sz="0" w:space="0" w:color="auto"/>
          </w:divBdr>
        </w:div>
        <w:div w:id="1028799261">
          <w:marLeft w:val="0"/>
          <w:marRight w:val="0"/>
          <w:marTop w:val="0"/>
          <w:marBottom w:val="0"/>
          <w:divBdr>
            <w:top w:val="none" w:sz="0" w:space="0" w:color="auto"/>
            <w:left w:val="none" w:sz="0" w:space="0" w:color="auto"/>
            <w:bottom w:val="none" w:sz="0" w:space="0" w:color="auto"/>
            <w:right w:val="none" w:sz="0" w:space="0" w:color="auto"/>
          </w:divBdr>
        </w:div>
        <w:div w:id="1874265387">
          <w:marLeft w:val="0"/>
          <w:marRight w:val="0"/>
          <w:marTop w:val="0"/>
          <w:marBottom w:val="0"/>
          <w:divBdr>
            <w:top w:val="none" w:sz="0" w:space="0" w:color="auto"/>
            <w:left w:val="none" w:sz="0" w:space="0" w:color="auto"/>
            <w:bottom w:val="none" w:sz="0" w:space="0" w:color="auto"/>
            <w:right w:val="none" w:sz="0" w:space="0" w:color="auto"/>
          </w:divBdr>
        </w:div>
        <w:div w:id="1008022388">
          <w:marLeft w:val="0"/>
          <w:marRight w:val="0"/>
          <w:marTop w:val="0"/>
          <w:marBottom w:val="0"/>
          <w:divBdr>
            <w:top w:val="none" w:sz="0" w:space="0" w:color="auto"/>
            <w:left w:val="none" w:sz="0" w:space="0" w:color="auto"/>
            <w:bottom w:val="none" w:sz="0" w:space="0" w:color="auto"/>
            <w:right w:val="none" w:sz="0" w:space="0" w:color="auto"/>
          </w:divBdr>
        </w:div>
        <w:div w:id="2026055243">
          <w:marLeft w:val="0"/>
          <w:marRight w:val="0"/>
          <w:marTop w:val="0"/>
          <w:marBottom w:val="0"/>
          <w:divBdr>
            <w:top w:val="none" w:sz="0" w:space="0" w:color="auto"/>
            <w:left w:val="none" w:sz="0" w:space="0" w:color="auto"/>
            <w:bottom w:val="none" w:sz="0" w:space="0" w:color="auto"/>
            <w:right w:val="none" w:sz="0" w:space="0" w:color="auto"/>
          </w:divBdr>
        </w:div>
        <w:div w:id="640961623">
          <w:marLeft w:val="0"/>
          <w:marRight w:val="0"/>
          <w:marTop w:val="0"/>
          <w:marBottom w:val="0"/>
          <w:divBdr>
            <w:top w:val="none" w:sz="0" w:space="0" w:color="auto"/>
            <w:left w:val="none" w:sz="0" w:space="0" w:color="auto"/>
            <w:bottom w:val="none" w:sz="0" w:space="0" w:color="auto"/>
            <w:right w:val="none" w:sz="0" w:space="0" w:color="auto"/>
          </w:divBdr>
        </w:div>
        <w:div w:id="1367220237">
          <w:marLeft w:val="0"/>
          <w:marRight w:val="0"/>
          <w:marTop w:val="0"/>
          <w:marBottom w:val="0"/>
          <w:divBdr>
            <w:top w:val="none" w:sz="0" w:space="0" w:color="auto"/>
            <w:left w:val="none" w:sz="0" w:space="0" w:color="auto"/>
            <w:bottom w:val="none" w:sz="0" w:space="0" w:color="auto"/>
            <w:right w:val="none" w:sz="0" w:space="0" w:color="auto"/>
          </w:divBdr>
        </w:div>
        <w:div w:id="371149119">
          <w:marLeft w:val="0"/>
          <w:marRight w:val="0"/>
          <w:marTop w:val="0"/>
          <w:marBottom w:val="0"/>
          <w:divBdr>
            <w:top w:val="none" w:sz="0" w:space="0" w:color="auto"/>
            <w:left w:val="none" w:sz="0" w:space="0" w:color="auto"/>
            <w:bottom w:val="none" w:sz="0" w:space="0" w:color="auto"/>
            <w:right w:val="none" w:sz="0" w:space="0" w:color="auto"/>
          </w:divBdr>
        </w:div>
        <w:div w:id="298658862">
          <w:marLeft w:val="0"/>
          <w:marRight w:val="0"/>
          <w:marTop w:val="0"/>
          <w:marBottom w:val="0"/>
          <w:divBdr>
            <w:top w:val="none" w:sz="0" w:space="0" w:color="auto"/>
            <w:left w:val="none" w:sz="0" w:space="0" w:color="auto"/>
            <w:bottom w:val="none" w:sz="0" w:space="0" w:color="auto"/>
            <w:right w:val="none" w:sz="0" w:space="0" w:color="auto"/>
          </w:divBdr>
        </w:div>
        <w:div w:id="2046560041">
          <w:marLeft w:val="0"/>
          <w:marRight w:val="0"/>
          <w:marTop w:val="0"/>
          <w:marBottom w:val="0"/>
          <w:divBdr>
            <w:top w:val="none" w:sz="0" w:space="0" w:color="auto"/>
            <w:left w:val="none" w:sz="0" w:space="0" w:color="auto"/>
            <w:bottom w:val="none" w:sz="0" w:space="0" w:color="auto"/>
            <w:right w:val="none" w:sz="0" w:space="0" w:color="auto"/>
          </w:divBdr>
        </w:div>
        <w:div w:id="691615135">
          <w:marLeft w:val="0"/>
          <w:marRight w:val="0"/>
          <w:marTop w:val="0"/>
          <w:marBottom w:val="0"/>
          <w:divBdr>
            <w:top w:val="none" w:sz="0" w:space="0" w:color="auto"/>
            <w:left w:val="none" w:sz="0" w:space="0" w:color="auto"/>
            <w:bottom w:val="none" w:sz="0" w:space="0" w:color="auto"/>
            <w:right w:val="none" w:sz="0" w:space="0" w:color="auto"/>
          </w:divBdr>
        </w:div>
        <w:div w:id="932124882">
          <w:marLeft w:val="0"/>
          <w:marRight w:val="0"/>
          <w:marTop w:val="0"/>
          <w:marBottom w:val="0"/>
          <w:divBdr>
            <w:top w:val="none" w:sz="0" w:space="0" w:color="auto"/>
            <w:left w:val="none" w:sz="0" w:space="0" w:color="auto"/>
            <w:bottom w:val="none" w:sz="0" w:space="0" w:color="auto"/>
            <w:right w:val="none" w:sz="0" w:space="0" w:color="auto"/>
          </w:divBdr>
        </w:div>
        <w:div w:id="1120759004">
          <w:marLeft w:val="0"/>
          <w:marRight w:val="0"/>
          <w:marTop w:val="0"/>
          <w:marBottom w:val="0"/>
          <w:divBdr>
            <w:top w:val="none" w:sz="0" w:space="0" w:color="auto"/>
            <w:left w:val="none" w:sz="0" w:space="0" w:color="auto"/>
            <w:bottom w:val="none" w:sz="0" w:space="0" w:color="auto"/>
            <w:right w:val="none" w:sz="0" w:space="0" w:color="auto"/>
          </w:divBdr>
        </w:div>
        <w:div w:id="1793865238">
          <w:marLeft w:val="0"/>
          <w:marRight w:val="0"/>
          <w:marTop w:val="0"/>
          <w:marBottom w:val="0"/>
          <w:divBdr>
            <w:top w:val="none" w:sz="0" w:space="0" w:color="auto"/>
            <w:left w:val="none" w:sz="0" w:space="0" w:color="auto"/>
            <w:bottom w:val="none" w:sz="0" w:space="0" w:color="auto"/>
            <w:right w:val="none" w:sz="0" w:space="0" w:color="auto"/>
          </w:divBdr>
        </w:div>
        <w:div w:id="2038118945">
          <w:marLeft w:val="0"/>
          <w:marRight w:val="0"/>
          <w:marTop w:val="0"/>
          <w:marBottom w:val="0"/>
          <w:divBdr>
            <w:top w:val="none" w:sz="0" w:space="0" w:color="auto"/>
            <w:left w:val="none" w:sz="0" w:space="0" w:color="auto"/>
            <w:bottom w:val="none" w:sz="0" w:space="0" w:color="auto"/>
            <w:right w:val="none" w:sz="0" w:space="0" w:color="auto"/>
          </w:divBdr>
        </w:div>
        <w:div w:id="608776828">
          <w:marLeft w:val="0"/>
          <w:marRight w:val="0"/>
          <w:marTop w:val="0"/>
          <w:marBottom w:val="0"/>
          <w:divBdr>
            <w:top w:val="none" w:sz="0" w:space="0" w:color="auto"/>
            <w:left w:val="none" w:sz="0" w:space="0" w:color="auto"/>
            <w:bottom w:val="none" w:sz="0" w:space="0" w:color="auto"/>
            <w:right w:val="none" w:sz="0" w:space="0" w:color="auto"/>
          </w:divBdr>
        </w:div>
        <w:div w:id="1350763094">
          <w:marLeft w:val="0"/>
          <w:marRight w:val="0"/>
          <w:marTop w:val="0"/>
          <w:marBottom w:val="0"/>
          <w:divBdr>
            <w:top w:val="none" w:sz="0" w:space="0" w:color="auto"/>
            <w:left w:val="none" w:sz="0" w:space="0" w:color="auto"/>
            <w:bottom w:val="none" w:sz="0" w:space="0" w:color="auto"/>
            <w:right w:val="none" w:sz="0" w:space="0" w:color="auto"/>
          </w:divBdr>
        </w:div>
        <w:div w:id="648100230">
          <w:marLeft w:val="0"/>
          <w:marRight w:val="0"/>
          <w:marTop w:val="0"/>
          <w:marBottom w:val="0"/>
          <w:divBdr>
            <w:top w:val="none" w:sz="0" w:space="0" w:color="auto"/>
            <w:left w:val="none" w:sz="0" w:space="0" w:color="auto"/>
            <w:bottom w:val="none" w:sz="0" w:space="0" w:color="auto"/>
            <w:right w:val="none" w:sz="0" w:space="0" w:color="auto"/>
          </w:divBdr>
        </w:div>
      </w:divsChild>
    </w:div>
    <w:div w:id="1629169416">
      <w:bodyDiv w:val="1"/>
      <w:marLeft w:val="0"/>
      <w:marRight w:val="0"/>
      <w:marTop w:val="0"/>
      <w:marBottom w:val="0"/>
      <w:divBdr>
        <w:top w:val="none" w:sz="0" w:space="0" w:color="auto"/>
        <w:left w:val="none" w:sz="0" w:space="0" w:color="auto"/>
        <w:bottom w:val="none" w:sz="0" w:space="0" w:color="auto"/>
        <w:right w:val="none" w:sz="0" w:space="0" w:color="auto"/>
      </w:divBdr>
    </w:div>
    <w:div w:id="1629243386">
      <w:bodyDiv w:val="1"/>
      <w:marLeft w:val="0"/>
      <w:marRight w:val="0"/>
      <w:marTop w:val="0"/>
      <w:marBottom w:val="0"/>
      <w:divBdr>
        <w:top w:val="none" w:sz="0" w:space="0" w:color="auto"/>
        <w:left w:val="none" w:sz="0" w:space="0" w:color="auto"/>
        <w:bottom w:val="none" w:sz="0" w:space="0" w:color="auto"/>
        <w:right w:val="none" w:sz="0" w:space="0" w:color="auto"/>
      </w:divBdr>
    </w:div>
    <w:div w:id="1636447829">
      <w:bodyDiv w:val="1"/>
      <w:marLeft w:val="0"/>
      <w:marRight w:val="0"/>
      <w:marTop w:val="0"/>
      <w:marBottom w:val="0"/>
      <w:divBdr>
        <w:top w:val="none" w:sz="0" w:space="0" w:color="auto"/>
        <w:left w:val="none" w:sz="0" w:space="0" w:color="auto"/>
        <w:bottom w:val="none" w:sz="0" w:space="0" w:color="auto"/>
        <w:right w:val="none" w:sz="0" w:space="0" w:color="auto"/>
      </w:divBdr>
    </w:div>
    <w:div w:id="1650793187">
      <w:bodyDiv w:val="1"/>
      <w:marLeft w:val="0"/>
      <w:marRight w:val="0"/>
      <w:marTop w:val="0"/>
      <w:marBottom w:val="0"/>
      <w:divBdr>
        <w:top w:val="none" w:sz="0" w:space="0" w:color="auto"/>
        <w:left w:val="none" w:sz="0" w:space="0" w:color="auto"/>
        <w:bottom w:val="none" w:sz="0" w:space="0" w:color="auto"/>
        <w:right w:val="none" w:sz="0" w:space="0" w:color="auto"/>
      </w:divBdr>
    </w:div>
    <w:div w:id="1655256881">
      <w:bodyDiv w:val="1"/>
      <w:marLeft w:val="0"/>
      <w:marRight w:val="0"/>
      <w:marTop w:val="0"/>
      <w:marBottom w:val="0"/>
      <w:divBdr>
        <w:top w:val="none" w:sz="0" w:space="0" w:color="auto"/>
        <w:left w:val="none" w:sz="0" w:space="0" w:color="auto"/>
        <w:bottom w:val="none" w:sz="0" w:space="0" w:color="auto"/>
        <w:right w:val="none" w:sz="0" w:space="0" w:color="auto"/>
      </w:divBdr>
    </w:div>
    <w:div w:id="1657104295">
      <w:bodyDiv w:val="1"/>
      <w:marLeft w:val="0"/>
      <w:marRight w:val="0"/>
      <w:marTop w:val="0"/>
      <w:marBottom w:val="0"/>
      <w:divBdr>
        <w:top w:val="none" w:sz="0" w:space="0" w:color="auto"/>
        <w:left w:val="none" w:sz="0" w:space="0" w:color="auto"/>
        <w:bottom w:val="none" w:sz="0" w:space="0" w:color="auto"/>
        <w:right w:val="none" w:sz="0" w:space="0" w:color="auto"/>
      </w:divBdr>
    </w:div>
    <w:div w:id="1657301129">
      <w:bodyDiv w:val="1"/>
      <w:marLeft w:val="0"/>
      <w:marRight w:val="0"/>
      <w:marTop w:val="0"/>
      <w:marBottom w:val="0"/>
      <w:divBdr>
        <w:top w:val="none" w:sz="0" w:space="0" w:color="auto"/>
        <w:left w:val="none" w:sz="0" w:space="0" w:color="auto"/>
        <w:bottom w:val="none" w:sz="0" w:space="0" w:color="auto"/>
        <w:right w:val="none" w:sz="0" w:space="0" w:color="auto"/>
      </w:divBdr>
    </w:div>
    <w:div w:id="1667049621">
      <w:bodyDiv w:val="1"/>
      <w:marLeft w:val="0"/>
      <w:marRight w:val="0"/>
      <w:marTop w:val="0"/>
      <w:marBottom w:val="0"/>
      <w:divBdr>
        <w:top w:val="none" w:sz="0" w:space="0" w:color="auto"/>
        <w:left w:val="none" w:sz="0" w:space="0" w:color="auto"/>
        <w:bottom w:val="none" w:sz="0" w:space="0" w:color="auto"/>
        <w:right w:val="none" w:sz="0" w:space="0" w:color="auto"/>
      </w:divBdr>
    </w:div>
    <w:div w:id="1669677607">
      <w:bodyDiv w:val="1"/>
      <w:marLeft w:val="0"/>
      <w:marRight w:val="0"/>
      <w:marTop w:val="0"/>
      <w:marBottom w:val="0"/>
      <w:divBdr>
        <w:top w:val="none" w:sz="0" w:space="0" w:color="auto"/>
        <w:left w:val="none" w:sz="0" w:space="0" w:color="auto"/>
        <w:bottom w:val="none" w:sz="0" w:space="0" w:color="auto"/>
        <w:right w:val="none" w:sz="0" w:space="0" w:color="auto"/>
      </w:divBdr>
    </w:div>
    <w:div w:id="1674527529">
      <w:bodyDiv w:val="1"/>
      <w:marLeft w:val="0"/>
      <w:marRight w:val="0"/>
      <w:marTop w:val="0"/>
      <w:marBottom w:val="0"/>
      <w:divBdr>
        <w:top w:val="none" w:sz="0" w:space="0" w:color="auto"/>
        <w:left w:val="none" w:sz="0" w:space="0" w:color="auto"/>
        <w:bottom w:val="none" w:sz="0" w:space="0" w:color="auto"/>
        <w:right w:val="none" w:sz="0" w:space="0" w:color="auto"/>
      </w:divBdr>
    </w:div>
    <w:div w:id="1681348693">
      <w:bodyDiv w:val="1"/>
      <w:marLeft w:val="0"/>
      <w:marRight w:val="0"/>
      <w:marTop w:val="0"/>
      <w:marBottom w:val="0"/>
      <w:divBdr>
        <w:top w:val="none" w:sz="0" w:space="0" w:color="auto"/>
        <w:left w:val="none" w:sz="0" w:space="0" w:color="auto"/>
        <w:bottom w:val="none" w:sz="0" w:space="0" w:color="auto"/>
        <w:right w:val="none" w:sz="0" w:space="0" w:color="auto"/>
      </w:divBdr>
    </w:div>
    <w:div w:id="1685941912">
      <w:bodyDiv w:val="1"/>
      <w:marLeft w:val="0"/>
      <w:marRight w:val="0"/>
      <w:marTop w:val="0"/>
      <w:marBottom w:val="0"/>
      <w:divBdr>
        <w:top w:val="none" w:sz="0" w:space="0" w:color="auto"/>
        <w:left w:val="none" w:sz="0" w:space="0" w:color="auto"/>
        <w:bottom w:val="none" w:sz="0" w:space="0" w:color="auto"/>
        <w:right w:val="none" w:sz="0" w:space="0" w:color="auto"/>
      </w:divBdr>
    </w:div>
    <w:div w:id="1691836807">
      <w:bodyDiv w:val="1"/>
      <w:marLeft w:val="0"/>
      <w:marRight w:val="0"/>
      <w:marTop w:val="0"/>
      <w:marBottom w:val="0"/>
      <w:divBdr>
        <w:top w:val="none" w:sz="0" w:space="0" w:color="auto"/>
        <w:left w:val="none" w:sz="0" w:space="0" w:color="auto"/>
        <w:bottom w:val="none" w:sz="0" w:space="0" w:color="auto"/>
        <w:right w:val="none" w:sz="0" w:space="0" w:color="auto"/>
      </w:divBdr>
      <w:divsChild>
        <w:div w:id="1339843799">
          <w:marLeft w:val="0"/>
          <w:marRight w:val="0"/>
          <w:marTop w:val="0"/>
          <w:marBottom w:val="0"/>
          <w:divBdr>
            <w:top w:val="none" w:sz="0" w:space="0" w:color="auto"/>
            <w:left w:val="none" w:sz="0" w:space="0" w:color="auto"/>
            <w:bottom w:val="none" w:sz="0" w:space="0" w:color="auto"/>
            <w:right w:val="none" w:sz="0" w:space="0" w:color="auto"/>
          </w:divBdr>
        </w:div>
        <w:div w:id="1012301282">
          <w:marLeft w:val="0"/>
          <w:marRight w:val="0"/>
          <w:marTop w:val="0"/>
          <w:marBottom w:val="0"/>
          <w:divBdr>
            <w:top w:val="none" w:sz="0" w:space="0" w:color="auto"/>
            <w:left w:val="none" w:sz="0" w:space="0" w:color="auto"/>
            <w:bottom w:val="none" w:sz="0" w:space="0" w:color="auto"/>
            <w:right w:val="none" w:sz="0" w:space="0" w:color="auto"/>
          </w:divBdr>
        </w:div>
      </w:divsChild>
    </w:div>
    <w:div w:id="1694839120">
      <w:bodyDiv w:val="1"/>
      <w:marLeft w:val="0"/>
      <w:marRight w:val="0"/>
      <w:marTop w:val="0"/>
      <w:marBottom w:val="0"/>
      <w:divBdr>
        <w:top w:val="none" w:sz="0" w:space="0" w:color="auto"/>
        <w:left w:val="none" w:sz="0" w:space="0" w:color="auto"/>
        <w:bottom w:val="none" w:sz="0" w:space="0" w:color="auto"/>
        <w:right w:val="none" w:sz="0" w:space="0" w:color="auto"/>
      </w:divBdr>
    </w:div>
    <w:div w:id="1695499422">
      <w:bodyDiv w:val="1"/>
      <w:marLeft w:val="0"/>
      <w:marRight w:val="0"/>
      <w:marTop w:val="0"/>
      <w:marBottom w:val="0"/>
      <w:divBdr>
        <w:top w:val="none" w:sz="0" w:space="0" w:color="auto"/>
        <w:left w:val="none" w:sz="0" w:space="0" w:color="auto"/>
        <w:bottom w:val="none" w:sz="0" w:space="0" w:color="auto"/>
        <w:right w:val="none" w:sz="0" w:space="0" w:color="auto"/>
      </w:divBdr>
    </w:div>
    <w:div w:id="1696612711">
      <w:bodyDiv w:val="1"/>
      <w:marLeft w:val="0"/>
      <w:marRight w:val="0"/>
      <w:marTop w:val="0"/>
      <w:marBottom w:val="0"/>
      <w:divBdr>
        <w:top w:val="none" w:sz="0" w:space="0" w:color="auto"/>
        <w:left w:val="none" w:sz="0" w:space="0" w:color="auto"/>
        <w:bottom w:val="none" w:sz="0" w:space="0" w:color="auto"/>
        <w:right w:val="none" w:sz="0" w:space="0" w:color="auto"/>
      </w:divBdr>
    </w:div>
    <w:div w:id="1703477961">
      <w:bodyDiv w:val="1"/>
      <w:marLeft w:val="0"/>
      <w:marRight w:val="0"/>
      <w:marTop w:val="0"/>
      <w:marBottom w:val="0"/>
      <w:divBdr>
        <w:top w:val="none" w:sz="0" w:space="0" w:color="auto"/>
        <w:left w:val="none" w:sz="0" w:space="0" w:color="auto"/>
        <w:bottom w:val="none" w:sz="0" w:space="0" w:color="auto"/>
        <w:right w:val="none" w:sz="0" w:space="0" w:color="auto"/>
      </w:divBdr>
    </w:div>
    <w:div w:id="1704133026">
      <w:bodyDiv w:val="1"/>
      <w:marLeft w:val="0"/>
      <w:marRight w:val="0"/>
      <w:marTop w:val="0"/>
      <w:marBottom w:val="0"/>
      <w:divBdr>
        <w:top w:val="none" w:sz="0" w:space="0" w:color="auto"/>
        <w:left w:val="none" w:sz="0" w:space="0" w:color="auto"/>
        <w:bottom w:val="none" w:sz="0" w:space="0" w:color="auto"/>
        <w:right w:val="none" w:sz="0" w:space="0" w:color="auto"/>
      </w:divBdr>
    </w:div>
    <w:div w:id="1707367505">
      <w:bodyDiv w:val="1"/>
      <w:marLeft w:val="0"/>
      <w:marRight w:val="0"/>
      <w:marTop w:val="0"/>
      <w:marBottom w:val="0"/>
      <w:divBdr>
        <w:top w:val="none" w:sz="0" w:space="0" w:color="auto"/>
        <w:left w:val="none" w:sz="0" w:space="0" w:color="auto"/>
        <w:bottom w:val="none" w:sz="0" w:space="0" w:color="auto"/>
        <w:right w:val="none" w:sz="0" w:space="0" w:color="auto"/>
      </w:divBdr>
    </w:div>
    <w:div w:id="1710495553">
      <w:bodyDiv w:val="1"/>
      <w:marLeft w:val="0"/>
      <w:marRight w:val="0"/>
      <w:marTop w:val="0"/>
      <w:marBottom w:val="0"/>
      <w:divBdr>
        <w:top w:val="none" w:sz="0" w:space="0" w:color="auto"/>
        <w:left w:val="none" w:sz="0" w:space="0" w:color="auto"/>
        <w:bottom w:val="none" w:sz="0" w:space="0" w:color="auto"/>
        <w:right w:val="none" w:sz="0" w:space="0" w:color="auto"/>
      </w:divBdr>
    </w:div>
    <w:div w:id="1715544491">
      <w:bodyDiv w:val="1"/>
      <w:marLeft w:val="0"/>
      <w:marRight w:val="0"/>
      <w:marTop w:val="0"/>
      <w:marBottom w:val="0"/>
      <w:divBdr>
        <w:top w:val="none" w:sz="0" w:space="0" w:color="auto"/>
        <w:left w:val="none" w:sz="0" w:space="0" w:color="auto"/>
        <w:bottom w:val="none" w:sz="0" w:space="0" w:color="auto"/>
        <w:right w:val="none" w:sz="0" w:space="0" w:color="auto"/>
      </w:divBdr>
    </w:div>
    <w:div w:id="1716781323">
      <w:bodyDiv w:val="1"/>
      <w:marLeft w:val="0"/>
      <w:marRight w:val="0"/>
      <w:marTop w:val="0"/>
      <w:marBottom w:val="0"/>
      <w:divBdr>
        <w:top w:val="none" w:sz="0" w:space="0" w:color="auto"/>
        <w:left w:val="none" w:sz="0" w:space="0" w:color="auto"/>
        <w:bottom w:val="none" w:sz="0" w:space="0" w:color="auto"/>
        <w:right w:val="none" w:sz="0" w:space="0" w:color="auto"/>
      </w:divBdr>
    </w:div>
    <w:div w:id="1717119834">
      <w:bodyDiv w:val="1"/>
      <w:marLeft w:val="0"/>
      <w:marRight w:val="0"/>
      <w:marTop w:val="0"/>
      <w:marBottom w:val="0"/>
      <w:divBdr>
        <w:top w:val="none" w:sz="0" w:space="0" w:color="auto"/>
        <w:left w:val="none" w:sz="0" w:space="0" w:color="auto"/>
        <w:bottom w:val="none" w:sz="0" w:space="0" w:color="auto"/>
        <w:right w:val="none" w:sz="0" w:space="0" w:color="auto"/>
      </w:divBdr>
    </w:div>
    <w:div w:id="1719281703">
      <w:bodyDiv w:val="1"/>
      <w:marLeft w:val="0"/>
      <w:marRight w:val="0"/>
      <w:marTop w:val="0"/>
      <w:marBottom w:val="0"/>
      <w:divBdr>
        <w:top w:val="none" w:sz="0" w:space="0" w:color="auto"/>
        <w:left w:val="none" w:sz="0" w:space="0" w:color="auto"/>
        <w:bottom w:val="none" w:sz="0" w:space="0" w:color="auto"/>
        <w:right w:val="none" w:sz="0" w:space="0" w:color="auto"/>
      </w:divBdr>
    </w:div>
    <w:div w:id="1723358246">
      <w:bodyDiv w:val="1"/>
      <w:marLeft w:val="0"/>
      <w:marRight w:val="0"/>
      <w:marTop w:val="0"/>
      <w:marBottom w:val="0"/>
      <w:divBdr>
        <w:top w:val="none" w:sz="0" w:space="0" w:color="auto"/>
        <w:left w:val="none" w:sz="0" w:space="0" w:color="auto"/>
        <w:bottom w:val="none" w:sz="0" w:space="0" w:color="auto"/>
        <w:right w:val="none" w:sz="0" w:space="0" w:color="auto"/>
      </w:divBdr>
    </w:div>
    <w:div w:id="1724593411">
      <w:bodyDiv w:val="1"/>
      <w:marLeft w:val="0"/>
      <w:marRight w:val="0"/>
      <w:marTop w:val="0"/>
      <w:marBottom w:val="0"/>
      <w:divBdr>
        <w:top w:val="none" w:sz="0" w:space="0" w:color="auto"/>
        <w:left w:val="none" w:sz="0" w:space="0" w:color="auto"/>
        <w:bottom w:val="none" w:sz="0" w:space="0" w:color="auto"/>
        <w:right w:val="none" w:sz="0" w:space="0" w:color="auto"/>
      </w:divBdr>
    </w:div>
    <w:div w:id="1725640421">
      <w:bodyDiv w:val="1"/>
      <w:marLeft w:val="0"/>
      <w:marRight w:val="0"/>
      <w:marTop w:val="0"/>
      <w:marBottom w:val="0"/>
      <w:divBdr>
        <w:top w:val="none" w:sz="0" w:space="0" w:color="auto"/>
        <w:left w:val="none" w:sz="0" w:space="0" w:color="auto"/>
        <w:bottom w:val="none" w:sz="0" w:space="0" w:color="auto"/>
        <w:right w:val="none" w:sz="0" w:space="0" w:color="auto"/>
      </w:divBdr>
    </w:div>
    <w:div w:id="1739278026">
      <w:bodyDiv w:val="1"/>
      <w:marLeft w:val="0"/>
      <w:marRight w:val="0"/>
      <w:marTop w:val="0"/>
      <w:marBottom w:val="0"/>
      <w:divBdr>
        <w:top w:val="none" w:sz="0" w:space="0" w:color="auto"/>
        <w:left w:val="none" w:sz="0" w:space="0" w:color="auto"/>
        <w:bottom w:val="none" w:sz="0" w:space="0" w:color="auto"/>
        <w:right w:val="none" w:sz="0" w:space="0" w:color="auto"/>
      </w:divBdr>
    </w:div>
    <w:div w:id="1740327510">
      <w:bodyDiv w:val="1"/>
      <w:marLeft w:val="0"/>
      <w:marRight w:val="0"/>
      <w:marTop w:val="0"/>
      <w:marBottom w:val="0"/>
      <w:divBdr>
        <w:top w:val="none" w:sz="0" w:space="0" w:color="auto"/>
        <w:left w:val="none" w:sz="0" w:space="0" w:color="auto"/>
        <w:bottom w:val="none" w:sz="0" w:space="0" w:color="auto"/>
        <w:right w:val="none" w:sz="0" w:space="0" w:color="auto"/>
      </w:divBdr>
    </w:div>
    <w:div w:id="1740706876">
      <w:bodyDiv w:val="1"/>
      <w:marLeft w:val="0"/>
      <w:marRight w:val="0"/>
      <w:marTop w:val="0"/>
      <w:marBottom w:val="0"/>
      <w:divBdr>
        <w:top w:val="none" w:sz="0" w:space="0" w:color="auto"/>
        <w:left w:val="none" w:sz="0" w:space="0" w:color="auto"/>
        <w:bottom w:val="none" w:sz="0" w:space="0" w:color="auto"/>
        <w:right w:val="none" w:sz="0" w:space="0" w:color="auto"/>
      </w:divBdr>
    </w:div>
    <w:div w:id="1742865298">
      <w:bodyDiv w:val="1"/>
      <w:marLeft w:val="0"/>
      <w:marRight w:val="0"/>
      <w:marTop w:val="0"/>
      <w:marBottom w:val="0"/>
      <w:divBdr>
        <w:top w:val="none" w:sz="0" w:space="0" w:color="auto"/>
        <w:left w:val="none" w:sz="0" w:space="0" w:color="auto"/>
        <w:bottom w:val="none" w:sz="0" w:space="0" w:color="auto"/>
        <w:right w:val="none" w:sz="0" w:space="0" w:color="auto"/>
      </w:divBdr>
    </w:div>
    <w:div w:id="1745370083">
      <w:bodyDiv w:val="1"/>
      <w:marLeft w:val="0"/>
      <w:marRight w:val="0"/>
      <w:marTop w:val="0"/>
      <w:marBottom w:val="0"/>
      <w:divBdr>
        <w:top w:val="none" w:sz="0" w:space="0" w:color="auto"/>
        <w:left w:val="none" w:sz="0" w:space="0" w:color="auto"/>
        <w:bottom w:val="none" w:sz="0" w:space="0" w:color="auto"/>
        <w:right w:val="none" w:sz="0" w:space="0" w:color="auto"/>
      </w:divBdr>
    </w:div>
    <w:div w:id="1750957628">
      <w:bodyDiv w:val="1"/>
      <w:marLeft w:val="0"/>
      <w:marRight w:val="0"/>
      <w:marTop w:val="0"/>
      <w:marBottom w:val="0"/>
      <w:divBdr>
        <w:top w:val="none" w:sz="0" w:space="0" w:color="auto"/>
        <w:left w:val="none" w:sz="0" w:space="0" w:color="auto"/>
        <w:bottom w:val="none" w:sz="0" w:space="0" w:color="auto"/>
        <w:right w:val="none" w:sz="0" w:space="0" w:color="auto"/>
      </w:divBdr>
    </w:div>
    <w:div w:id="1753622263">
      <w:bodyDiv w:val="1"/>
      <w:marLeft w:val="0"/>
      <w:marRight w:val="0"/>
      <w:marTop w:val="0"/>
      <w:marBottom w:val="0"/>
      <w:divBdr>
        <w:top w:val="none" w:sz="0" w:space="0" w:color="auto"/>
        <w:left w:val="none" w:sz="0" w:space="0" w:color="auto"/>
        <w:bottom w:val="none" w:sz="0" w:space="0" w:color="auto"/>
        <w:right w:val="none" w:sz="0" w:space="0" w:color="auto"/>
      </w:divBdr>
    </w:div>
    <w:div w:id="1767773138">
      <w:bodyDiv w:val="1"/>
      <w:marLeft w:val="0"/>
      <w:marRight w:val="0"/>
      <w:marTop w:val="0"/>
      <w:marBottom w:val="0"/>
      <w:divBdr>
        <w:top w:val="none" w:sz="0" w:space="0" w:color="auto"/>
        <w:left w:val="none" w:sz="0" w:space="0" w:color="auto"/>
        <w:bottom w:val="none" w:sz="0" w:space="0" w:color="auto"/>
        <w:right w:val="none" w:sz="0" w:space="0" w:color="auto"/>
      </w:divBdr>
    </w:div>
    <w:div w:id="1775857486">
      <w:bodyDiv w:val="1"/>
      <w:marLeft w:val="0"/>
      <w:marRight w:val="0"/>
      <w:marTop w:val="0"/>
      <w:marBottom w:val="0"/>
      <w:divBdr>
        <w:top w:val="none" w:sz="0" w:space="0" w:color="auto"/>
        <w:left w:val="none" w:sz="0" w:space="0" w:color="auto"/>
        <w:bottom w:val="none" w:sz="0" w:space="0" w:color="auto"/>
        <w:right w:val="none" w:sz="0" w:space="0" w:color="auto"/>
      </w:divBdr>
    </w:div>
    <w:div w:id="1777480024">
      <w:bodyDiv w:val="1"/>
      <w:marLeft w:val="0"/>
      <w:marRight w:val="0"/>
      <w:marTop w:val="0"/>
      <w:marBottom w:val="0"/>
      <w:divBdr>
        <w:top w:val="none" w:sz="0" w:space="0" w:color="auto"/>
        <w:left w:val="none" w:sz="0" w:space="0" w:color="auto"/>
        <w:bottom w:val="none" w:sz="0" w:space="0" w:color="auto"/>
        <w:right w:val="none" w:sz="0" w:space="0" w:color="auto"/>
      </w:divBdr>
    </w:div>
    <w:div w:id="1777559041">
      <w:bodyDiv w:val="1"/>
      <w:marLeft w:val="0"/>
      <w:marRight w:val="0"/>
      <w:marTop w:val="0"/>
      <w:marBottom w:val="0"/>
      <w:divBdr>
        <w:top w:val="none" w:sz="0" w:space="0" w:color="auto"/>
        <w:left w:val="none" w:sz="0" w:space="0" w:color="auto"/>
        <w:bottom w:val="none" w:sz="0" w:space="0" w:color="auto"/>
        <w:right w:val="none" w:sz="0" w:space="0" w:color="auto"/>
      </w:divBdr>
    </w:div>
    <w:div w:id="1777823427">
      <w:bodyDiv w:val="1"/>
      <w:marLeft w:val="0"/>
      <w:marRight w:val="0"/>
      <w:marTop w:val="0"/>
      <w:marBottom w:val="0"/>
      <w:divBdr>
        <w:top w:val="none" w:sz="0" w:space="0" w:color="auto"/>
        <w:left w:val="none" w:sz="0" w:space="0" w:color="auto"/>
        <w:bottom w:val="none" w:sz="0" w:space="0" w:color="auto"/>
        <w:right w:val="none" w:sz="0" w:space="0" w:color="auto"/>
      </w:divBdr>
    </w:div>
    <w:div w:id="1783576867">
      <w:bodyDiv w:val="1"/>
      <w:marLeft w:val="0"/>
      <w:marRight w:val="0"/>
      <w:marTop w:val="0"/>
      <w:marBottom w:val="0"/>
      <w:divBdr>
        <w:top w:val="none" w:sz="0" w:space="0" w:color="auto"/>
        <w:left w:val="none" w:sz="0" w:space="0" w:color="auto"/>
        <w:bottom w:val="none" w:sz="0" w:space="0" w:color="auto"/>
        <w:right w:val="none" w:sz="0" w:space="0" w:color="auto"/>
      </w:divBdr>
    </w:div>
    <w:div w:id="1801801944">
      <w:bodyDiv w:val="1"/>
      <w:marLeft w:val="0"/>
      <w:marRight w:val="0"/>
      <w:marTop w:val="0"/>
      <w:marBottom w:val="0"/>
      <w:divBdr>
        <w:top w:val="none" w:sz="0" w:space="0" w:color="auto"/>
        <w:left w:val="none" w:sz="0" w:space="0" w:color="auto"/>
        <w:bottom w:val="none" w:sz="0" w:space="0" w:color="auto"/>
        <w:right w:val="none" w:sz="0" w:space="0" w:color="auto"/>
      </w:divBdr>
    </w:div>
    <w:div w:id="1804888136">
      <w:bodyDiv w:val="1"/>
      <w:marLeft w:val="0"/>
      <w:marRight w:val="0"/>
      <w:marTop w:val="0"/>
      <w:marBottom w:val="0"/>
      <w:divBdr>
        <w:top w:val="none" w:sz="0" w:space="0" w:color="auto"/>
        <w:left w:val="none" w:sz="0" w:space="0" w:color="auto"/>
        <w:bottom w:val="none" w:sz="0" w:space="0" w:color="auto"/>
        <w:right w:val="none" w:sz="0" w:space="0" w:color="auto"/>
      </w:divBdr>
    </w:div>
    <w:div w:id="1807354012">
      <w:bodyDiv w:val="1"/>
      <w:marLeft w:val="0"/>
      <w:marRight w:val="0"/>
      <w:marTop w:val="0"/>
      <w:marBottom w:val="0"/>
      <w:divBdr>
        <w:top w:val="none" w:sz="0" w:space="0" w:color="auto"/>
        <w:left w:val="none" w:sz="0" w:space="0" w:color="auto"/>
        <w:bottom w:val="none" w:sz="0" w:space="0" w:color="auto"/>
        <w:right w:val="none" w:sz="0" w:space="0" w:color="auto"/>
      </w:divBdr>
    </w:div>
    <w:div w:id="1808862756">
      <w:bodyDiv w:val="1"/>
      <w:marLeft w:val="0"/>
      <w:marRight w:val="0"/>
      <w:marTop w:val="0"/>
      <w:marBottom w:val="0"/>
      <w:divBdr>
        <w:top w:val="none" w:sz="0" w:space="0" w:color="auto"/>
        <w:left w:val="none" w:sz="0" w:space="0" w:color="auto"/>
        <w:bottom w:val="none" w:sz="0" w:space="0" w:color="auto"/>
        <w:right w:val="none" w:sz="0" w:space="0" w:color="auto"/>
      </w:divBdr>
    </w:div>
    <w:div w:id="1811902633">
      <w:bodyDiv w:val="1"/>
      <w:marLeft w:val="0"/>
      <w:marRight w:val="0"/>
      <w:marTop w:val="0"/>
      <w:marBottom w:val="0"/>
      <w:divBdr>
        <w:top w:val="none" w:sz="0" w:space="0" w:color="auto"/>
        <w:left w:val="none" w:sz="0" w:space="0" w:color="auto"/>
        <w:bottom w:val="none" w:sz="0" w:space="0" w:color="auto"/>
        <w:right w:val="none" w:sz="0" w:space="0" w:color="auto"/>
      </w:divBdr>
    </w:div>
    <w:div w:id="1819036272">
      <w:bodyDiv w:val="1"/>
      <w:marLeft w:val="0"/>
      <w:marRight w:val="0"/>
      <w:marTop w:val="0"/>
      <w:marBottom w:val="0"/>
      <w:divBdr>
        <w:top w:val="none" w:sz="0" w:space="0" w:color="auto"/>
        <w:left w:val="none" w:sz="0" w:space="0" w:color="auto"/>
        <w:bottom w:val="none" w:sz="0" w:space="0" w:color="auto"/>
        <w:right w:val="none" w:sz="0" w:space="0" w:color="auto"/>
      </w:divBdr>
    </w:div>
    <w:div w:id="1820339170">
      <w:bodyDiv w:val="1"/>
      <w:marLeft w:val="0"/>
      <w:marRight w:val="0"/>
      <w:marTop w:val="0"/>
      <w:marBottom w:val="0"/>
      <w:divBdr>
        <w:top w:val="none" w:sz="0" w:space="0" w:color="auto"/>
        <w:left w:val="none" w:sz="0" w:space="0" w:color="auto"/>
        <w:bottom w:val="none" w:sz="0" w:space="0" w:color="auto"/>
        <w:right w:val="none" w:sz="0" w:space="0" w:color="auto"/>
      </w:divBdr>
    </w:div>
    <w:div w:id="1822961114">
      <w:bodyDiv w:val="1"/>
      <w:marLeft w:val="0"/>
      <w:marRight w:val="0"/>
      <w:marTop w:val="0"/>
      <w:marBottom w:val="0"/>
      <w:divBdr>
        <w:top w:val="none" w:sz="0" w:space="0" w:color="auto"/>
        <w:left w:val="none" w:sz="0" w:space="0" w:color="auto"/>
        <w:bottom w:val="none" w:sz="0" w:space="0" w:color="auto"/>
        <w:right w:val="none" w:sz="0" w:space="0" w:color="auto"/>
      </w:divBdr>
    </w:div>
    <w:div w:id="1832525078">
      <w:bodyDiv w:val="1"/>
      <w:marLeft w:val="0"/>
      <w:marRight w:val="0"/>
      <w:marTop w:val="0"/>
      <w:marBottom w:val="0"/>
      <w:divBdr>
        <w:top w:val="none" w:sz="0" w:space="0" w:color="auto"/>
        <w:left w:val="none" w:sz="0" w:space="0" w:color="auto"/>
        <w:bottom w:val="none" w:sz="0" w:space="0" w:color="auto"/>
        <w:right w:val="none" w:sz="0" w:space="0" w:color="auto"/>
      </w:divBdr>
    </w:div>
    <w:div w:id="1834560427">
      <w:bodyDiv w:val="1"/>
      <w:marLeft w:val="0"/>
      <w:marRight w:val="0"/>
      <w:marTop w:val="0"/>
      <w:marBottom w:val="0"/>
      <w:divBdr>
        <w:top w:val="none" w:sz="0" w:space="0" w:color="auto"/>
        <w:left w:val="none" w:sz="0" w:space="0" w:color="auto"/>
        <w:bottom w:val="none" w:sz="0" w:space="0" w:color="auto"/>
        <w:right w:val="none" w:sz="0" w:space="0" w:color="auto"/>
      </w:divBdr>
    </w:div>
    <w:div w:id="1838305166">
      <w:bodyDiv w:val="1"/>
      <w:marLeft w:val="0"/>
      <w:marRight w:val="0"/>
      <w:marTop w:val="0"/>
      <w:marBottom w:val="0"/>
      <w:divBdr>
        <w:top w:val="none" w:sz="0" w:space="0" w:color="auto"/>
        <w:left w:val="none" w:sz="0" w:space="0" w:color="auto"/>
        <w:bottom w:val="none" w:sz="0" w:space="0" w:color="auto"/>
        <w:right w:val="none" w:sz="0" w:space="0" w:color="auto"/>
      </w:divBdr>
    </w:div>
    <w:div w:id="1841509370">
      <w:bodyDiv w:val="1"/>
      <w:marLeft w:val="0"/>
      <w:marRight w:val="0"/>
      <w:marTop w:val="0"/>
      <w:marBottom w:val="0"/>
      <w:divBdr>
        <w:top w:val="none" w:sz="0" w:space="0" w:color="auto"/>
        <w:left w:val="none" w:sz="0" w:space="0" w:color="auto"/>
        <w:bottom w:val="none" w:sz="0" w:space="0" w:color="auto"/>
        <w:right w:val="none" w:sz="0" w:space="0" w:color="auto"/>
      </w:divBdr>
    </w:div>
    <w:div w:id="1843357047">
      <w:bodyDiv w:val="1"/>
      <w:marLeft w:val="0"/>
      <w:marRight w:val="0"/>
      <w:marTop w:val="0"/>
      <w:marBottom w:val="0"/>
      <w:divBdr>
        <w:top w:val="none" w:sz="0" w:space="0" w:color="auto"/>
        <w:left w:val="none" w:sz="0" w:space="0" w:color="auto"/>
        <w:bottom w:val="none" w:sz="0" w:space="0" w:color="auto"/>
        <w:right w:val="none" w:sz="0" w:space="0" w:color="auto"/>
      </w:divBdr>
    </w:div>
    <w:div w:id="1847283442">
      <w:bodyDiv w:val="1"/>
      <w:marLeft w:val="0"/>
      <w:marRight w:val="0"/>
      <w:marTop w:val="0"/>
      <w:marBottom w:val="0"/>
      <w:divBdr>
        <w:top w:val="none" w:sz="0" w:space="0" w:color="auto"/>
        <w:left w:val="none" w:sz="0" w:space="0" w:color="auto"/>
        <w:bottom w:val="none" w:sz="0" w:space="0" w:color="auto"/>
        <w:right w:val="none" w:sz="0" w:space="0" w:color="auto"/>
      </w:divBdr>
    </w:div>
    <w:div w:id="1847597402">
      <w:bodyDiv w:val="1"/>
      <w:marLeft w:val="0"/>
      <w:marRight w:val="0"/>
      <w:marTop w:val="0"/>
      <w:marBottom w:val="0"/>
      <w:divBdr>
        <w:top w:val="none" w:sz="0" w:space="0" w:color="auto"/>
        <w:left w:val="none" w:sz="0" w:space="0" w:color="auto"/>
        <w:bottom w:val="none" w:sz="0" w:space="0" w:color="auto"/>
        <w:right w:val="none" w:sz="0" w:space="0" w:color="auto"/>
      </w:divBdr>
    </w:div>
    <w:div w:id="1859467736">
      <w:bodyDiv w:val="1"/>
      <w:marLeft w:val="0"/>
      <w:marRight w:val="0"/>
      <w:marTop w:val="0"/>
      <w:marBottom w:val="0"/>
      <w:divBdr>
        <w:top w:val="none" w:sz="0" w:space="0" w:color="auto"/>
        <w:left w:val="none" w:sz="0" w:space="0" w:color="auto"/>
        <w:bottom w:val="none" w:sz="0" w:space="0" w:color="auto"/>
        <w:right w:val="none" w:sz="0" w:space="0" w:color="auto"/>
      </w:divBdr>
    </w:div>
    <w:div w:id="1859655958">
      <w:bodyDiv w:val="1"/>
      <w:marLeft w:val="0"/>
      <w:marRight w:val="0"/>
      <w:marTop w:val="0"/>
      <w:marBottom w:val="0"/>
      <w:divBdr>
        <w:top w:val="none" w:sz="0" w:space="0" w:color="auto"/>
        <w:left w:val="none" w:sz="0" w:space="0" w:color="auto"/>
        <w:bottom w:val="none" w:sz="0" w:space="0" w:color="auto"/>
        <w:right w:val="none" w:sz="0" w:space="0" w:color="auto"/>
      </w:divBdr>
    </w:div>
    <w:div w:id="1871527973">
      <w:bodyDiv w:val="1"/>
      <w:marLeft w:val="0"/>
      <w:marRight w:val="0"/>
      <w:marTop w:val="0"/>
      <w:marBottom w:val="0"/>
      <w:divBdr>
        <w:top w:val="none" w:sz="0" w:space="0" w:color="auto"/>
        <w:left w:val="none" w:sz="0" w:space="0" w:color="auto"/>
        <w:bottom w:val="none" w:sz="0" w:space="0" w:color="auto"/>
        <w:right w:val="none" w:sz="0" w:space="0" w:color="auto"/>
      </w:divBdr>
    </w:div>
    <w:div w:id="1872843302">
      <w:bodyDiv w:val="1"/>
      <w:marLeft w:val="0"/>
      <w:marRight w:val="0"/>
      <w:marTop w:val="0"/>
      <w:marBottom w:val="0"/>
      <w:divBdr>
        <w:top w:val="none" w:sz="0" w:space="0" w:color="auto"/>
        <w:left w:val="none" w:sz="0" w:space="0" w:color="auto"/>
        <w:bottom w:val="none" w:sz="0" w:space="0" w:color="auto"/>
        <w:right w:val="none" w:sz="0" w:space="0" w:color="auto"/>
      </w:divBdr>
    </w:div>
    <w:div w:id="1873151892">
      <w:bodyDiv w:val="1"/>
      <w:marLeft w:val="0"/>
      <w:marRight w:val="0"/>
      <w:marTop w:val="0"/>
      <w:marBottom w:val="0"/>
      <w:divBdr>
        <w:top w:val="none" w:sz="0" w:space="0" w:color="auto"/>
        <w:left w:val="none" w:sz="0" w:space="0" w:color="auto"/>
        <w:bottom w:val="none" w:sz="0" w:space="0" w:color="auto"/>
        <w:right w:val="none" w:sz="0" w:space="0" w:color="auto"/>
      </w:divBdr>
    </w:div>
    <w:div w:id="1874272632">
      <w:bodyDiv w:val="1"/>
      <w:marLeft w:val="0"/>
      <w:marRight w:val="0"/>
      <w:marTop w:val="0"/>
      <w:marBottom w:val="0"/>
      <w:divBdr>
        <w:top w:val="none" w:sz="0" w:space="0" w:color="auto"/>
        <w:left w:val="none" w:sz="0" w:space="0" w:color="auto"/>
        <w:bottom w:val="none" w:sz="0" w:space="0" w:color="auto"/>
        <w:right w:val="none" w:sz="0" w:space="0" w:color="auto"/>
      </w:divBdr>
    </w:div>
    <w:div w:id="1877506595">
      <w:bodyDiv w:val="1"/>
      <w:marLeft w:val="0"/>
      <w:marRight w:val="0"/>
      <w:marTop w:val="0"/>
      <w:marBottom w:val="0"/>
      <w:divBdr>
        <w:top w:val="none" w:sz="0" w:space="0" w:color="auto"/>
        <w:left w:val="none" w:sz="0" w:space="0" w:color="auto"/>
        <w:bottom w:val="none" w:sz="0" w:space="0" w:color="auto"/>
        <w:right w:val="none" w:sz="0" w:space="0" w:color="auto"/>
      </w:divBdr>
    </w:div>
    <w:div w:id="1882475617">
      <w:bodyDiv w:val="1"/>
      <w:marLeft w:val="0"/>
      <w:marRight w:val="0"/>
      <w:marTop w:val="0"/>
      <w:marBottom w:val="0"/>
      <w:divBdr>
        <w:top w:val="none" w:sz="0" w:space="0" w:color="auto"/>
        <w:left w:val="none" w:sz="0" w:space="0" w:color="auto"/>
        <w:bottom w:val="none" w:sz="0" w:space="0" w:color="auto"/>
        <w:right w:val="none" w:sz="0" w:space="0" w:color="auto"/>
      </w:divBdr>
    </w:div>
    <w:div w:id="1887137962">
      <w:bodyDiv w:val="1"/>
      <w:marLeft w:val="0"/>
      <w:marRight w:val="0"/>
      <w:marTop w:val="0"/>
      <w:marBottom w:val="0"/>
      <w:divBdr>
        <w:top w:val="none" w:sz="0" w:space="0" w:color="auto"/>
        <w:left w:val="none" w:sz="0" w:space="0" w:color="auto"/>
        <w:bottom w:val="none" w:sz="0" w:space="0" w:color="auto"/>
        <w:right w:val="none" w:sz="0" w:space="0" w:color="auto"/>
      </w:divBdr>
      <w:divsChild>
        <w:div w:id="1688556096">
          <w:marLeft w:val="0"/>
          <w:marRight w:val="0"/>
          <w:marTop w:val="0"/>
          <w:marBottom w:val="0"/>
          <w:divBdr>
            <w:top w:val="none" w:sz="0" w:space="0" w:color="auto"/>
            <w:left w:val="none" w:sz="0" w:space="0" w:color="auto"/>
            <w:bottom w:val="none" w:sz="0" w:space="0" w:color="auto"/>
            <w:right w:val="none" w:sz="0" w:space="0" w:color="auto"/>
          </w:divBdr>
          <w:divsChild>
            <w:div w:id="559678140">
              <w:marLeft w:val="0"/>
              <w:marRight w:val="0"/>
              <w:marTop w:val="0"/>
              <w:marBottom w:val="0"/>
              <w:divBdr>
                <w:top w:val="none" w:sz="0" w:space="0" w:color="auto"/>
                <w:left w:val="none" w:sz="0" w:space="0" w:color="auto"/>
                <w:bottom w:val="none" w:sz="0" w:space="0" w:color="auto"/>
                <w:right w:val="none" w:sz="0" w:space="0" w:color="auto"/>
              </w:divBdr>
              <w:divsChild>
                <w:div w:id="351876828">
                  <w:marLeft w:val="0"/>
                  <w:marRight w:val="0"/>
                  <w:marTop w:val="0"/>
                  <w:marBottom w:val="0"/>
                  <w:divBdr>
                    <w:top w:val="none" w:sz="0" w:space="0" w:color="auto"/>
                    <w:left w:val="none" w:sz="0" w:space="0" w:color="auto"/>
                    <w:bottom w:val="none" w:sz="0" w:space="0" w:color="auto"/>
                    <w:right w:val="none" w:sz="0" w:space="0" w:color="auto"/>
                  </w:divBdr>
                  <w:divsChild>
                    <w:div w:id="7930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4306">
              <w:marLeft w:val="0"/>
              <w:marRight w:val="0"/>
              <w:marTop w:val="0"/>
              <w:marBottom w:val="0"/>
              <w:divBdr>
                <w:top w:val="none" w:sz="0" w:space="0" w:color="auto"/>
                <w:left w:val="none" w:sz="0" w:space="0" w:color="auto"/>
                <w:bottom w:val="none" w:sz="0" w:space="0" w:color="auto"/>
                <w:right w:val="none" w:sz="0" w:space="0" w:color="auto"/>
              </w:divBdr>
              <w:divsChild>
                <w:div w:id="21183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88997">
      <w:bodyDiv w:val="1"/>
      <w:marLeft w:val="0"/>
      <w:marRight w:val="0"/>
      <w:marTop w:val="0"/>
      <w:marBottom w:val="0"/>
      <w:divBdr>
        <w:top w:val="none" w:sz="0" w:space="0" w:color="auto"/>
        <w:left w:val="none" w:sz="0" w:space="0" w:color="auto"/>
        <w:bottom w:val="none" w:sz="0" w:space="0" w:color="auto"/>
        <w:right w:val="none" w:sz="0" w:space="0" w:color="auto"/>
      </w:divBdr>
    </w:div>
    <w:div w:id="1897011205">
      <w:bodyDiv w:val="1"/>
      <w:marLeft w:val="0"/>
      <w:marRight w:val="0"/>
      <w:marTop w:val="0"/>
      <w:marBottom w:val="0"/>
      <w:divBdr>
        <w:top w:val="none" w:sz="0" w:space="0" w:color="auto"/>
        <w:left w:val="none" w:sz="0" w:space="0" w:color="auto"/>
        <w:bottom w:val="none" w:sz="0" w:space="0" w:color="auto"/>
        <w:right w:val="none" w:sz="0" w:space="0" w:color="auto"/>
      </w:divBdr>
    </w:div>
    <w:div w:id="1906181662">
      <w:bodyDiv w:val="1"/>
      <w:marLeft w:val="0"/>
      <w:marRight w:val="0"/>
      <w:marTop w:val="0"/>
      <w:marBottom w:val="0"/>
      <w:divBdr>
        <w:top w:val="none" w:sz="0" w:space="0" w:color="auto"/>
        <w:left w:val="none" w:sz="0" w:space="0" w:color="auto"/>
        <w:bottom w:val="none" w:sz="0" w:space="0" w:color="auto"/>
        <w:right w:val="none" w:sz="0" w:space="0" w:color="auto"/>
      </w:divBdr>
    </w:div>
    <w:div w:id="1908302419">
      <w:bodyDiv w:val="1"/>
      <w:marLeft w:val="0"/>
      <w:marRight w:val="0"/>
      <w:marTop w:val="0"/>
      <w:marBottom w:val="0"/>
      <w:divBdr>
        <w:top w:val="none" w:sz="0" w:space="0" w:color="auto"/>
        <w:left w:val="none" w:sz="0" w:space="0" w:color="auto"/>
        <w:bottom w:val="none" w:sz="0" w:space="0" w:color="auto"/>
        <w:right w:val="none" w:sz="0" w:space="0" w:color="auto"/>
      </w:divBdr>
    </w:div>
    <w:div w:id="1908951247">
      <w:bodyDiv w:val="1"/>
      <w:marLeft w:val="0"/>
      <w:marRight w:val="0"/>
      <w:marTop w:val="0"/>
      <w:marBottom w:val="0"/>
      <w:divBdr>
        <w:top w:val="none" w:sz="0" w:space="0" w:color="auto"/>
        <w:left w:val="none" w:sz="0" w:space="0" w:color="auto"/>
        <w:bottom w:val="none" w:sz="0" w:space="0" w:color="auto"/>
        <w:right w:val="none" w:sz="0" w:space="0" w:color="auto"/>
      </w:divBdr>
    </w:div>
    <w:div w:id="1911309624">
      <w:bodyDiv w:val="1"/>
      <w:marLeft w:val="0"/>
      <w:marRight w:val="0"/>
      <w:marTop w:val="0"/>
      <w:marBottom w:val="0"/>
      <w:divBdr>
        <w:top w:val="none" w:sz="0" w:space="0" w:color="auto"/>
        <w:left w:val="none" w:sz="0" w:space="0" w:color="auto"/>
        <w:bottom w:val="none" w:sz="0" w:space="0" w:color="auto"/>
        <w:right w:val="none" w:sz="0" w:space="0" w:color="auto"/>
      </w:divBdr>
    </w:div>
    <w:div w:id="1911500031">
      <w:bodyDiv w:val="1"/>
      <w:marLeft w:val="0"/>
      <w:marRight w:val="0"/>
      <w:marTop w:val="0"/>
      <w:marBottom w:val="0"/>
      <w:divBdr>
        <w:top w:val="none" w:sz="0" w:space="0" w:color="auto"/>
        <w:left w:val="none" w:sz="0" w:space="0" w:color="auto"/>
        <w:bottom w:val="none" w:sz="0" w:space="0" w:color="auto"/>
        <w:right w:val="none" w:sz="0" w:space="0" w:color="auto"/>
      </w:divBdr>
    </w:div>
    <w:div w:id="1914316114">
      <w:bodyDiv w:val="1"/>
      <w:marLeft w:val="0"/>
      <w:marRight w:val="0"/>
      <w:marTop w:val="0"/>
      <w:marBottom w:val="0"/>
      <w:divBdr>
        <w:top w:val="none" w:sz="0" w:space="0" w:color="auto"/>
        <w:left w:val="none" w:sz="0" w:space="0" w:color="auto"/>
        <w:bottom w:val="none" w:sz="0" w:space="0" w:color="auto"/>
        <w:right w:val="none" w:sz="0" w:space="0" w:color="auto"/>
      </w:divBdr>
    </w:div>
    <w:div w:id="1921018843">
      <w:bodyDiv w:val="1"/>
      <w:marLeft w:val="0"/>
      <w:marRight w:val="0"/>
      <w:marTop w:val="0"/>
      <w:marBottom w:val="0"/>
      <w:divBdr>
        <w:top w:val="none" w:sz="0" w:space="0" w:color="auto"/>
        <w:left w:val="none" w:sz="0" w:space="0" w:color="auto"/>
        <w:bottom w:val="none" w:sz="0" w:space="0" w:color="auto"/>
        <w:right w:val="none" w:sz="0" w:space="0" w:color="auto"/>
      </w:divBdr>
    </w:div>
    <w:div w:id="1935824175">
      <w:bodyDiv w:val="1"/>
      <w:marLeft w:val="0"/>
      <w:marRight w:val="0"/>
      <w:marTop w:val="0"/>
      <w:marBottom w:val="0"/>
      <w:divBdr>
        <w:top w:val="none" w:sz="0" w:space="0" w:color="auto"/>
        <w:left w:val="none" w:sz="0" w:space="0" w:color="auto"/>
        <w:bottom w:val="none" w:sz="0" w:space="0" w:color="auto"/>
        <w:right w:val="none" w:sz="0" w:space="0" w:color="auto"/>
      </w:divBdr>
    </w:div>
    <w:div w:id="1939483788">
      <w:bodyDiv w:val="1"/>
      <w:marLeft w:val="0"/>
      <w:marRight w:val="0"/>
      <w:marTop w:val="0"/>
      <w:marBottom w:val="0"/>
      <w:divBdr>
        <w:top w:val="none" w:sz="0" w:space="0" w:color="auto"/>
        <w:left w:val="none" w:sz="0" w:space="0" w:color="auto"/>
        <w:bottom w:val="none" w:sz="0" w:space="0" w:color="auto"/>
        <w:right w:val="none" w:sz="0" w:space="0" w:color="auto"/>
      </w:divBdr>
    </w:div>
    <w:div w:id="1942834919">
      <w:bodyDiv w:val="1"/>
      <w:marLeft w:val="0"/>
      <w:marRight w:val="0"/>
      <w:marTop w:val="0"/>
      <w:marBottom w:val="0"/>
      <w:divBdr>
        <w:top w:val="none" w:sz="0" w:space="0" w:color="auto"/>
        <w:left w:val="none" w:sz="0" w:space="0" w:color="auto"/>
        <w:bottom w:val="none" w:sz="0" w:space="0" w:color="auto"/>
        <w:right w:val="none" w:sz="0" w:space="0" w:color="auto"/>
      </w:divBdr>
    </w:div>
    <w:div w:id="1944069473">
      <w:bodyDiv w:val="1"/>
      <w:marLeft w:val="0"/>
      <w:marRight w:val="0"/>
      <w:marTop w:val="0"/>
      <w:marBottom w:val="0"/>
      <w:divBdr>
        <w:top w:val="none" w:sz="0" w:space="0" w:color="auto"/>
        <w:left w:val="none" w:sz="0" w:space="0" w:color="auto"/>
        <w:bottom w:val="none" w:sz="0" w:space="0" w:color="auto"/>
        <w:right w:val="none" w:sz="0" w:space="0" w:color="auto"/>
      </w:divBdr>
    </w:div>
    <w:div w:id="1947276057">
      <w:bodyDiv w:val="1"/>
      <w:marLeft w:val="0"/>
      <w:marRight w:val="0"/>
      <w:marTop w:val="0"/>
      <w:marBottom w:val="0"/>
      <w:divBdr>
        <w:top w:val="none" w:sz="0" w:space="0" w:color="auto"/>
        <w:left w:val="none" w:sz="0" w:space="0" w:color="auto"/>
        <w:bottom w:val="none" w:sz="0" w:space="0" w:color="auto"/>
        <w:right w:val="none" w:sz="0" w:space="0" w:color="auto"/>
      </w:divBdr>
    </w:div>
    <w:div w:id="1951081717">
      <w:bodyDiv w:val="1"/>
      <w:marLeft w:val="0"/>
      <w:marRight w:val="0"/>
      <w:marTop w:val="0"/>
      <w:marBottom w:val="0"/>
      <w:divBdr>
        <w:top w:val="none" w:sz="0" w:space="0" w:color="auto"/>
        <w:left w:val="none" w:sz="0" w:space="0" w:color="auto"/>
        <w:bottom w:val="none" w:sz="0" w:space="0" w:color="auto"/>
        <w:right w:val="none" w:sz="0" w:space="0" w:color="auto"/>
      </w:divBdr>
    </w:div>
    <w:div w:id="1951548346">
      <w:bodyDiv w:val="1"/>
      <w:marLeft w:val="0"/>
      <w:marRight w:val="0"/>
      <w:marTop w:val="0"/>
      <w:marBottom w:val="0"/>
      <w:divBdr>
        <w:top w:val="none" w:sz="0" w:space="0" w:color="auto"/>
        <w:left w:val="none" w:sz="0" w:space="0" w:color="auto"/>
        <w:bottom w:val="none" w:sz="0" w:space="0" w:color="auto"/>
        <w:right w:val="none" w:sz="0" w:space="0" w:color="auto"/>
      </w:divBdr>
    </w:div>
    <w:div w:id="1956600857">
      <w:bodyDiv w:val="1"/>
      <w:marLeft w:val="0"/>
      <w:marRight w:val="0"/>
      <w:marTop w:val="0"/>
      <w:marBottom w:val="0"/>
      <w:divBdr>
        <w:top w:val="none" w:sz="0" w:space="0" w:color="auto"/>
        <w:left w:val="none" w:sz="0" w:space="0" w:color="auto"/>
        <w:bottom w:val="none" w:sz="0" w:space="0" w:color="auto"/>
        <w:right w:val="none" w:sz="0" w:space="0" w:color="auto"/>
      </w:divBdr>
    </w:div>
    <w:div w:id="1958221587">
      <w:bodyDiv w:val="1"/>
      <w:marLeft w:val="0"/>
      <w:marRight w:val="0"/>
      <w:marTop w:val="0"/>
      <w:marBottom w:val="0"/>
      <w:divBdr>
        <w:top w:val="none" w:sz="0" w:space="0" w:color="auto"/>
        <w:left w:val="none" w:sz="0" w:space="0" w:color="auto"/>
        <w:bottom w:val="none" w:sz="0" w:space="0" w:color="auto"/>
        <w:right w:val="none" w:sz="0" w:space="0" w:color="auto"/>
      </w:divBdr>
    </w:div>
    <w:div w:id="1961569139">
      <w:bodyDiv w:val="1"/>
      <w:marLeft w:val="0"/>
      <w:marRight w:val="0"/>
      <w:marTop w:val="0"/>
      <w:marBottom w:val="0"/>
      <w:divBdr>
        <w:top w:val="none" w:sz="0" w:space="0" w:color="auto"/>
        <w:left w:val="none" w:sz="0" w:space="0" w:color="auto"/>
        <w:bottom w:val="none" w:sz="0" w:space="0" w:color="auto"/>
        <w:right w:val="none" w:sz="0" w:space="0" w:color="auto"/>
      </w:divBdr>
    </w:div>
    <w:div w:id="1972897912">
      <w:bodyDiv w:val="1"/>
      <w:marLeft w:val="0"/>
      <w:marRight w:val="0"/>
      <w:marTop w:val="0"/>
      <w:marBottom w:val="0"/>
      <w:divBdr>
        <w:top w:val="none" w:sz="0" w:space="0" w:color="auto"/>
        <w:left w:val="none" w:sz="0" w:space="0" w:color="auto"/>
        <w:bottom w:val="none" w:sz="0" w:space="0" w:color="auto"/>
        <w:right w:val="none" w:sz="0" w:space="0" w:color="auto"/>
      </w:divBdr>
    </w:div>
    <w:div w:id="1980960669">
      <w:bodyDiv w:val="1"/>
      <w:marLeft w:val="0"/>
      <w:marRight w:val="0"/>
      <w:marTop w:val="0"/>
      <w:marBottom w:val="0"/>
      <w:divBdr>
        <w:top w:val="none" w:sz="0" w:space="0" w:color="auto"/>
        <w:left w:val="none" w:sz="0" w:space="0" w:color="auto"/>
        <w:bottom w:val="none" w:sz="0" w:space="0" w:color="auto"/>
        <w:right w:val="none" w:sz="0" w:space="0" w:color="auto"/>
      </w:divBdr>
    </w:div>
    <w:div w:id="1992100533">
      <w:bodyDiv w:val="1"/>
      <w:marLeft w:val="0"/>
      <w:marRight w:val="0"/>
      <w:marTop w:val="0"/>
      <w:marBottom w:val="0"/>
      <w:divBdr>
        <w:top w:val="none" w:sz="0" w:space="0" w:color="auto"/>
        <w:left w:val="none" w:sz="0" w:space="0" w:color="auto"/>
        <w:bottom w:val="none" w:sz="0" w:space="0" w:color="auto"/>
        <w:right w:val="none" w:sz="0" w:space="0" w:color="auto"/>
      </w:divBdr>
    </w:div>
    <w:div w:id="2002006645">
      <w:bodyDiv w:val="1"/>
      <w:marLeft w:val="0"/>
      <w:marRight w:val="0"/>
      <w:marTop w:val="0"/>
      <w:marBottom w:val="0"/>
      <w:divBdr>
        <w:top w:val="none" w:sz="0" w:space="0" w:color="auto"/>
        <w:left w:val="none" w:sz="0" w:space="0" w:color="auto"/>
        <w:bottom w:val="none" w:sz="0" w:space="0" w:color="auto"/>
        <w:right w:val="none" w:sz="0" w:space="0" w:color="auto"/>
      </w:divBdr>
    </w:div>
    <w:div w:id="2007897953">
      <w:bodyDiv w:val="1"/>
      <w:marLeft w:val="0"/>
      <w:marRight w:val="0"/>
      <w:marTop w:val="0"/>
      <w:marBottom w:val="0"/>
      <w:divBdr>
        <w:top w:val="none" w:sz="0" w:space="0" w:color="auto"/>
        <w:left w:val="none" w:sz="0" w:space="0" w:color="auto"/>
        <w:bottom w:val="none" w:sz="0" w:space="0" w:color="auto"/>
        <w:right w:val="none" w:sz="0" w:space="0" w:color="auto"/>
      </w:divBdr>
    </w:div>
    <w:div w:id="2008170401">
      <w:bodyDiv w:val="1"/>
      <w:marLeft w:val="0"/>
      <w:marRight w:val="0"/>
      <w:marTop w:val="0"/>
      <w:marBottom w:val="0"/>
      <w:divBdr>
        <w:top w:val="none" w:sz="0" w:space="0" w:color="auto"/>
        <w:left w:val="none" w:sz="0" w:space="0" w:color="auto"/>
        <w:bottom w:val="none" w:sz="0" w:space="0" w:color="auto"/>
        <w:right w:val="none" w:sz="0" w:space="0" w:color="auto"/>
      </w:divBdr>
    </w:div>
    <w:div w:id="2009596275">
      <w:bodyDiv w:val="1"/>
      <w:marLeft w:val="0"/>
      <w:marRight w:val="0"/>
      <w:marTop w:val="0"/>
      <w:marBottom w:val="0"/>
      <w:divBdr>
        <w:top w:val="none" w:sz="0" w:space="0" w:color="auto"/>
        <w:left w:val="none" w:sz="0" w:space="0" w:color="auto"/>
        <w:bottom w:val="none" w:sz="0" w:space="0" w:color="auto"/>
        <w:right w:val="none" w:sz="0" w:space="0" w:color="auto"/>
      </w:divBdr>
    </w:div>
    <w:div w:id="2018144600">
      <w:bodyDiv w:val="1"/>
      <w:marLeft w:val="0"/>
      <w:marRight w:val="0"/>
      <w:marTop w:val="0"/>
      <w:marBottom w:val="0"/>
      <w:divBdr>
        <w:top w:val="none" w:sz="0" w:space="0" w:color="auto"/>
        <w:left w:val="none" w:sz="0" w:space="0" w:color="auto"/>
        <w:bottom w:val="none" w:sz="0" w:space="0" w:color="auto"/>
        <w:right w:val="none" w:sz="0" w:space="0" w:color="auto"/>
      </w:divBdr>
    </w:div>
    <w:div w:id="2020109762">
      <w:bodyDiv w:val="1"/>
      <w:marLeft w:val="0"/>
      <w:marRight w:val="0"/>
      <w:marTop w:val="0"/>
      <w:marBottom w:val="0"/>
      <w:divBdr>
        <w:top w:val="none" w:sz="0" w:space="0" w:color="auto"/>
        <w:left w:val="none" w:sz="0" w:space="0" w:color="auto"/>
        <w:bottom w:val="none" w:sz="0" w:space="0" w:color="auto"/>
        <w:right w:val="none" w:sz="0" w:space="0" w:color="auto"/>
      </w:divBdr>
    </w:div>
    <w:div w:id="2022924807">
      <w:bodyDiv w:val="1"/>
      <w:marLeft w:val="0"/>
      <w:marRight w:val="0"/>
      <w:marTop w:val="0"/>
      <w:marBottom w:val="0"/>
      <w:divBdr>
        <w:top w:val="none" w:sz="0" w:space="0" w:color="auto"/>
        <w:left w:val="none" w:sz="0" w:space="0" w:color="auto"/>
        <w:bottom w:val="none" w:sz="0" w:space="0" w:color="auto"/>
        <w:right w:val="none" w:sz="0" w:space="0" w:color="auto"/>
      </w:divBdr>
    </w:div>
    <w:div w:id="2023044635">
      <w:bodyDiv w:val="1"/>
      <w:marLeft w:val="0"/>
      <w:marRight w:val="0"/>
      <w:marTop w:val="0"/>
      <w:marBottom w:val="0"/>
      <w:divBdr>
        <w:top w:val="none" w:sz="0" w:space="0" w:color="auto"/>
        <w:left w:val="none" w:sz="0" w:space="0" w:color="auto"/>
        <w:bottom w:val="none" w:sz="0" w:space="0" w:color="auto"/>
        <w:right w:val="none" w:sz="0" w:space="0" w:color="auto"/>
      </w:divBdr>
    </w:div>
    <w:div w:id="20247000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10">
          <w:marLeft w:val="0"/>
          <w:marRight w:val="0"/>
          <w:marTop w:val="0"/>
          <w:marBottom w:val="0"/>
          <w:divBdr>
            <w:top w:val="none" w:sz="0" w:space="0" w:color="auto"/>
            <w:left w:val="none" w:sz="0" w:space="0" w:color="auto"/>
            <w:bottom w:val="none" w:sz="0" w:space="0" w:color="auto"/>
            <w:right w:val="none" w:sz="0" w:space="0" w:color="auto"/>
          </w:divBdr>
        </w:div>
        <w:div w:id="1238858569">
          <w:marLeft w:val="0"/>
          <w:marRight w:val="0"/>
          <w:marTop w:val="0"/>
          <w:marBottom w:val="0"/>
          <w:divBdr>
            <w:top w:val="none" w:sz="0" w:space="0" w:color="auto"/>
            <w:left w:val="none" w:sz="0" w:space="0" w:color="auto"/>
            <w:bottom w:val="none" w:sz="0" w:space="0" w:color="auto"/>
            <w:right w:val="none" w:sz="0" w:space="0" w:color="auto"/>
          </w:divBdr>
        </w:div>
        <w:div w:id="1402219941">
          <w:marLeft w:val="0"/>
          <w:marRight w:val="0"/>
          <w:marTop w:val="0"/>
          <w:marBottom w:val="0"/>
          <w:divBdr>
            <w:top w:val="none" w:sz="0" w:space="0" w:color="auto"/>
            <w:left w:val="none" w:sz="0" w:space="0" w:color="auto"/>
            <w:bottom w:val="none" w:sz="0" w:space="0" w:color="auto"/>
            <w:right w:val="none" w:sz="0" w:space="0" w:color="auto"/>
          </w:divBdr>
        </w:div>
        <w:div w:id="536548782">
          <w:marLeft w:val="0"/>
          <w:marRight w:val="0"/>
          <w:marTop w:val="0"/>
          <w:marBottom w:val="0"/>
          <w:divBdr>
            <w:top w:val="none" w:sz="0" w:space="0" w:color="auto"/>
            <w:left w:val="none" w:sz="0" w:space="0" w:color="auto"/>
            <w:bottom w:val="none" w:sz="0" w:space="0" w:color="auto"/>
            <w:right w:val="none" w:sz="0" w:space="0" w:color="auto"/>
          </w:divBdr>
        </w:div>
        <w:div w:id="1132333487">
          <w:marLeft w:val="0"/>
          <w:marRight w:val="0"/>
          <w:marTop w:val="0"/>
          <w:marBottom w:val="0"/>
          <w:divBdr>
            <w:top w:val="none" w:sz="0" w:space="0" w:color="auto"/>
            <w:left w:val="none" w:sz="0" w:space="0" w:color="auto"/>
            <w:bottom w:val="none" w:sz="0" w:space="0" w:color="auto"/>
            <w:right w:val="none" w:sz="0" w:space="0" w:color="auto"/>
          </w:divBdr>
        </w:div>
        <w:div w:id="100804579">
          <w:marLeft w:val="0"/>
          <w:marRight w:val="0"/>
          <w:marTop w:val="0"/>
          <w:marBottom w:val="0"/>
          <w:divBdr>
            <w:top w:val="none" w:sz="0" w:space="0" w:color="auto"/>
            <w:left w:val="none" w:sz="0" w:space="0" w:color="auto"/>
            <w:bottom w:val="none" w:sz="0" w:space="0" w:color="auto"/>
            <w:right w:val="none" w:sz="0" w:space="0" w:color="auto"/>
          </w:divBdr>
        </w:div>
        <w:div w:id="845749585">
          <w:marLeft w:val="0"/>
          <w:marRight w:val="0"/>
          <w:marTop w:val="0"/>
          <w:marBottom w:val="0"/>
          <w:divBdr>
            <w:top w:val="none" w:sz="0" w:space="0" w:color="auto"/>
            <w:left w:val="none" w:sz="0" w:space="0" w:color="auto"/>
            <w:bottom w:val="none" w:sz="0" w:space="0" w:color="auto"/>
            <w:right w:val="none" w:sz="0" w:space="0" w:color="auto"/>
          </w:divBdr>
        </w:div>
        <w:div w:id="1096053497">
          <w:marLeft w:val="0"/>
          <w:marRight w:val="0"/>
          <w:marTop w:val="0"/>
          <w:marBottom w:val="0"/>
          <w:divBdr>
            <w:top w:val="none" w:sz="0" w:space="0" w:color="auto"/>
            <w:left w:val="none" w:sz="0" w:space="0" w:color="auto"/>
            <w:bottom w:val="none" w:sz="0" w:space="0" w:color="auto"/>
            <w:right w:val="none" w:sz="0" w:space="0" w:color="auto"/>
          </w:divBdr>
        </w:div>
        <w:div w:id="1959987936">
          <w:marLeft w:val="0"/>
          <w:marRight w:val="0"/>
          <w:marTop w:val="0"/>
          <w:marBottom w:val="0"/>
          <w:divBdr>
            <w:top w:val="none" w:sz="0" w:space="0" w:color="auto"/>
            <w:left w:val="none" w:sz="0" w:space="0" w:color="auto"/>
            <w:bottom w:val="none" w:sz="0" w:space="0" w:color="auto"/>
            <w:right w:val="none" w:sz="0" w:space="0" w:color="auto"/>
          </w:divBdr>
        </w:div>
        <w:div w:id="769469433">
          <w:marLeft w:val="0"/>
          <w:marRight w:val="0"/>
          <w:marTop w:val="0"/>
          <w:marBottom w:val="0"/>
          <w:divBdr>
            <w:top w:val="none" w:sz="0" w:space="0" w:color="auto"/>
            <w:left w:val="none" w:sz="0" w:space="0" w:color="auto"/>
            <w:bottom w:val="none" w:sz="0" w:space="0" w:color="auto"/>
            <w:right w:val="none" w:sz="0" w:space="0" w:color="auto"/>
          </w:divBdr>
        </w:div>
        <w:div w:id="83916475">
          <w:marLeft w:val="0"/>
          <w:marRight w:val="0"/>
          <w:marTop w:val="0"/>
          <w:marBottom w:val="0"/>
          <w:divBdr>
            <w:top w:val="none" w:sz="0" w:space="0" w:color="auto"/>
            <w:left w:val="none" w:sz="0" w:space="0" w:color="auto"/>
            <w:bottom w:val="none" w:sz="0" w:space="0" w:color="auto"/>
            <w:right w:val="none" w:sz="0" w:space="0" w:color="auto"/>
          </w:divBdr>
        </w:div>
        <w:div w:id="5985126">
          <w:marLeft w:val="0"/>
          <w:marRight w:val="0"/>
          <w:marTop w:val="0"/>
          <w:marBottom w:val="0"/>
          <w:divBdr>
            <w:top w:val="none" w:sz="0" w:space="0" w:color="auto"/>
            <w:left w:val="none" w:sz="0" w:space="0" w:color="auto"/>
            <w:bottom w:val="none" w:sz="0" w:space="0" w:color="auto"/>
            <w:right w:val="none" w:sz="0" w:space="0" w:color="auto"/>
          </w:divBdr>
        </w:div>
        <w:div w:id="77561553">
          <w:marLeft w:val="0"/>
          <w:marRight w:val="0"/>
          <w:marTop w:val="0"/>
          <w:marBottom w:val="0"/>
          <w:divBdr>
            <w:top w:val="none" w:sz="0" w:space="0" w:color="auto"/>
            <w:left w:val="none" w:sz="0" w:space="0" w:color="auto"/>
            <w:bottom w:val="none" w:sz="0" w:space="0" w:color="auto"/>
            <w:right w:val="none" w:sz="0" w:space="0" w:color="auto"/>
          </w:divBdr>
        </w:div>
        <w:div w:id="1296909587">
          <w:marLeft w:val="0"/>
          <w:marRight w:val="0"/>
          <w:marTop w:val="0"/>
          <w:marBottom w:val="0"/>
          <w:divBdr>
            <w:top w:val="none" w:sz="0" w:space="0" w:color="auto"/>
            <w:left w:val="none" w:sz="0" w:space="0" w:color="auto"/>
            <w:bottom w:val="none" w:sz="0" w:space="0" w:color="auto"/>
            <w:right w:val="none" w:sz="0" w:space="0" w:color="auto"/>
          </w:divBdr>
        </w:div>
        <w:div w:id="243029448">
          <w:marLeft w:val="0"/>
          <w:marRight w:val="0"/>
          <w:marTop w:val="0"/>
          <w:marBottom w:val="0"/>
          <w:divBdr>
            <w:top w:val="none" w:sz="0" w:space="0" w:color="auto"/>
            <w:left w:val="none" w:sz="0" w:space="0" w:color="auto"/>
            <w:bottom w:val="none" w:sz="0" w:space="0" w:color="auto"/>
            <w:right w:val="none" w:sz="0" w:space="0" w:color="auto"/>
          </w:divBdr>
        </w:div>
      </w:divsChild>
    </w:div>
    <w:div w:id="2037195870">
      <w:bodyDiv w:val="1"/>
      <w:marLeft w:val="0"/>
      <w:marRight w:val="0"/>
      <w:marTop w:val="0"/>
      <w:marBottom w:val="0"/>
      <w:divBdr>
        <w:top w:val="none" w:sz="0" w:space="0" w:color="auto"/>
        <w:left w:val="none" w:sz="0" w:space="0" w:color="auto"/>
        <w:bottom w:val="none" w:sz="0" w:space="0" w:color="auto"/>
        <w:right w:val="none" w:sz="0" w:space="0" w:color="auto"/>
      </w:divBdr>
    </w:div>
    <w:div w:id="2038000331">
      <w:bodyDiv w:val="1"/>
      <w:marLeft w:val="0"/>
      <w:marRight w:val="0"/>
      <w:marTop w:val="0"/>
      <w:marBottom w:val="0"/>
      <w:divBdr>
        <w:top w:val="none" w:sz="0" w:space="0" w:color="auto"/>
        <w:left w:val="none" w:sz="0" w:space="0" w:color="auto"/>
        <w:bottom w:val="none" w:sz="0" w:space="0" w:color="auto"/>
        <w:right w:val="none" w:sz="0" w:space="0" w:color="auto"/>
      </w:divBdr>
    </w:div>
    <w:div w:id="2049134831">
      <w:bodyDiv w:val="1"/>
      <w:marLeft w:val="0"/>
      <w:marRight w:val="0"/>
      <w:marTop w:val="0"/>
      <w:marBottom w:val="0"/>
      <w:divBdr>
        <w:top w:val="none" w:sz="0" w:space="0" w:color="auto"/>
        <w:left w:val="none" w:sz="0" w:space="0" w:color="auto"/>
        <w:bottom w:val="none" w:sz="0" w:space="0" w:color="auto"/>
        <w:right w:val="none" w:sz="0" w:space="0" w:color="auto"/>
      </w:divBdr>
    </w:div>
    <w:div w:id="2049798174">
      <w:bodyDiv w:val="1"/>
      <w:marLeft w:val="0"/>
      <w:marRight w:val="0"/>
      <w:marTop w:val="0"/>
      <w:marBottom w:val="0"/>
      <w:divBdr>
        <w:top w:val="none" w:sz="0" w:space="0" w:color="auto"/>
        <w:left w:val="none" w:sz="0" w:space="0" w:color="auto"/>
        <w:bottom w:val="none" w:sz="0" w:space="0" w:color="auto"/>
        <w:right w:val="none" w:sz="0" w:space="0" w:color="auto"/>
      </w:divBdr>
    </w:div>
    <w:div w:id="2051148313">
      <w:bodyDiv w:val="1"/>
      <w:marLeft w:val="0"/>
      <w:marRight w:val="0"/>
      <w:marTop w:val="0"/>
      <w:marBottom w:val="0"/>
      <w:divBdr>
        <w:top w:val="none" w:sz="0" w:space="0" w:color="auto"/>
        <w:left w:val="none" w:sz="0" w:space="0" w:color="auto"/>
        <w:bottom w:val="none" w:sz="0" w:space="0" w:color="auto"/>
        <w:right w:val="none" w:sz="0" w:space="0" w:color="auto"/>
      </w:divBdr>
    </w:div>
    <w:div w:id="2051689993">
      <w:bodyDiv w:val="1"/>
      <w:marLeft w:val="0"/>
      <w:marRight w:val="0"/>
      <w:marTop w:val="0"/>
      <w:marBottom w:val="0"/>
      <w:divBdr>
        <w:top w:val="none" w:sz="0" w:space="0" w:color="auto"/>
        <w:left w:val="none" w:sz="0" w:space="0" w:color="auto"/>
        <w:bottom w:val="none" w:sz="0" w:space="0" w:color="auto"/>
        <w:right w:val="none" w:sz="0" w:space="0" w:color="auto"/>
      </w:divBdr>
    </w:div>
    <w:div w:id="2076387969">
      <w:bodyDiv w:val="1"/>
      <w:marLeft w:val="0"/>
      <w:marRight w:val="0"/>
      <w:marTop w:val="0"/>
      <w:marBottom w:val="0"/>
      <w:divBdr>
        <w:top w:val="none" w:sz="0" w:space="0" w:color="auto"/>
        <w:left w:val="none" w:sz="0" w:space="0" w:color="auto"/>
        <w:bottom w:val="none" w:sz="0" w:space="0" w:color="auto"/>
        <w:right w:val="none" w:sz="0" w:space="0" w:color="auto"/>
      </w:divBdr>
    </w:div>
    <w:div w:id="2078506288">
      <w:bodyDiv w:val="1"/>
      <w:marLeft w:val="0"/>
      <w:marRight w:val="0"/>
      <w:marTop w:val="0"/>
      <w:marBottom w:val="0"/>
      <w:divBdr>
        <w:top w:val="none" w:sz="0" w:space="0" w:color="auto"/>
        <w:left w:val="none" w:sz="0" w:space="0" w:color="auto"/>
        <w:bottom w:val="none" w:sz="0" w:space="0" w:color="auto"/>
        <w:right w:val="none" w:sz="0" w:space="0" w:color="auto"/>
      </w:divBdr>
    </w:div>
    <w:div w:id="2087336502">
      <w:bodyDiv w:val="1"/>
      <w:marLeft w:val="0"/>
      <w:marRight w:val="0"/>
      <w:marTop w:val="0"/>
      <w:marBottom w:val="0"/>
      <w:divBdr>
        <w:top w:val="none" w:sz="0" w:space="0" w:color="auto"/>
        <w:left w:val="none" w:sz="0" w:space="0" w:color="auto"/>
        <w:bottom w:val="none" w:sz="0" w:space="0" w:color="auto"/>
        <w:right w:val="none" w:sz="0" w:space="0" w:color="auto"/>
      </w:divBdr>
    </w:div>
    <w:div w:id="2088526263">
      <w:bodyDiv w:val="1"/>
      <w:marLeft w:val="0"/>
      <w:marRight w:val="0"/>
      <w:marTop w:val="0"/>
      <w:marBottom w:val="0"/>
      <w:divBdr>
        <w:top w:val="none" w:sz="0" w:space="0" w:color="auto"/>
        <w:left w:val="none" w:sz="0" w:space="0" w:color="auto"/>
        <w:bottom w:val="none" w:sz="0" w:space="0" w:color="auto"/>
        <w:right w:val="none" w:sz="0" w:space="0" w:color="auto"/>
      </w:divBdr>
    </w:div>
    <w:div w:id="2091196131">
      <w:bodyDiv w:val="1"/>
      <w:marLeft w:val="0"/>
      <w:marRight w:val="0"/>
      <w:marTop w:val="0"/>
      <w:marBottom w:val="0"/>
      <w:divBdr>
        <w:top w:val="none" w:sz="0" w:space="0" w:color="auto"/>
        <w:left w:val="none" w:sz="0" w:space="0" w:color="auto"/>
        <w:bottom w:val="none" w:sz="0" w:space="0" w:color="auto"/>
        <w:right w:val="none" w:sz="0" w:space="0" w:color="auto"/>
      </w:divBdr>
    </w:div>
    <w:div w:id="2102218881">
      <w:bodyDiv w:val="1"/>
      <w:marLeft w:val="0"/>
      <w:marRight w:val="0"/>
      <w:marTop w:val="0"/>
      <w:marBottom w:val="0"/>
      <w:divBdr>
        <w:top w:val="none" w:sz="0" w:space="0" w:color="auto"/>
        <w:left w:val="none" w:sz="0" w:space="0" w:color="auto"/>
        <w:bottom w:val="none" w:sz="0" w:space="0" w:color="auto"/>
        <w:right w:val="none" w:sz="0" w:space="0" w:color="auto"/>
      </w:divBdr>
    </w:div>
    <w:div w:id="2107841137">
      <w:bodyDiv w:val="1"/>
      <w:marLeft w:val="0"/>
      <w:marRight w:val="0"/>
      <w:marTop w:val="0"/>
      <w:marBottom w:val="0"/>
      <w:divBdr>
        <w:top w:val="none" w:sz="0" w:space="0" w:color="auto"/>
        <w:left w:val="none" w:sz="0" w:space="0" w:color="auto"/>
        <w:bottom w:val="none" w:sz="0" w:space="0" w:color="auto"/>
        <w:right w:val="none" w:sz="0" w:space="0" w:color="auto"/>
      </w:divBdr>
    </w:div>
    <w:div w:id="2110273737">
      <w:bodyDiv w:val="1"/>
      <w:marLeft w:val="0"/>
      <w:marRight w:val="0"/>
      <w:marTop w:val="0"/>
      <w:marBottom w:val="0"/>
      <w:divBdr>
        <w:top w:val="none" w:sz="0" w:space="0" w:color="auto"/>
        <w:left w:val="none" w:sz="0" w:space="0" w:color="auto"/>
        <w:bottom w:val="none" w:sz="0" w:space="0" w:color="auto"/>
        <w:right w:val="none" w:sz="0" w:space="0" w:color="auto"/>
      </w:divBdr>
    </w:div>
    <w:div w:id="2113739723">
      <w:bodyDiv w:val="1"/>
      <w:marLeft w:val="0"/>
      <w:marRight w:val="0"/>
      <w:marTop w:val="0"/>
      <w:marBottom w:val="0"/>
      <w:divBdr>
        <w:top w:val="none" w:sz="0" w:space="0" w:color="auto"/>
        <w:left w:val="none" w:sz="0" w:space="0" w:color="auto"/>
        <w:bottom w:val="none" w:sz="0" w:space="0" w:color="auto"/>
        <w:right w:val="none" w:sz="0" w:space="0" w:color="auto"/>
      </w:divBdr>
    </w:div>
    <w:div w:id="2116710565">
      <w:bodyDiv w:val="1"/>
      <w:marLeft w:val="0"/>
      <w:marRight w:val="0"/>
      <w:marTop w:val="0"/>
      <w:marBottom w:val="0"/>
      <w:divBdr>
        <w:top w:val="none" w:sz="0" w:space="0" w:color="auto"/>
        <w:left w:val="none" w:sz="0" w:space="0" w:color="auto"/>
        <w:bottom w:val="none" w:sz="0" w:space="0" w:color="auto"/>
        <w:right w:val="none" w:sz="0" w:space="0" w:color="auto"/>
      </w:divBdr>
    </w:div>
    <w:div w:id="2120098698">
      <w:bodyDiv w:val="1"/>
      <w:marLeft w:val="0"/>
      <w:marRight w:val="0"/>
      <w:marTop w:val="0"/>
      <w:marBottom w:val="0"/>
      <w:divBdr>
        <w:top w:val="none" w:sz="0" w:space="0" w:color="auto"/>
        <w:left w:val="none" w:sz="0" w:space="0" w:color="auto"/>
        <w:bottom w:val="none" w:sz="0" w:space="0" w:color="auto"/>
        <w:right w:val="none" w:sz="0" w:space="0" w:color="auto"/>
      </w:divBdr>
    </w:div>
    <w:div w:id="2120954976">
      <w:bodyDiv w:val="1"/>
      <w:marLeft w:val="0"/>
      <w:marRight w:val="0"/>
      <w:marTop w:val="0"/>
      <w:marBottom w:val="0"/>
      <w:divBdr>
        <w:top w:val="none" w:sz="0" w:space="0" w:color="auto"/>
        <w:left w:val="none" w:sz="0" w:space="0" w:color="auto"/>
        <w:bottom w:val="none" w:sz="0" w:space="0" w:color="auto"/>
        <w:right w:val="none" w:sz="0" w:space="0" w:color="auto"/>
      </w:divBdr>
    </w:div>
    <w:div w:id="2121871470">
      <w:bodyDiv w:val="1"/>
      <w:marLeft w:val="0"/>
      <w:marRight w:val="0"/>
      <w:marTop w:val="0"/>
      <w:marBottom w:val="0"/>
      <w:divBdr>
        <w:top w:val="none" w:sz="0" w:space="0" w:color="auto"/>
        <w:left w:val="none" w:sz="0" w:space="0" w:color="auto"/>
        <w:bottom w:val="none" w:sz="0" w:space="0" w:color="auto"/>
        <w:right w:val="none" w:sz="0" w:space="0" w:color="auto"/>
      </w:divBdr>
    </w:div>
    <w:div w:id="2127961710">
      <w:bodyDiv w:val="1"/>
      <w:marLeft w:val="0"/>
      <w:marRight w:val="0"/>
      <w:marTop w:val="0"/>
      <w:marBottom w:val="0"/>
      <w:divBdr>
        <w:top w:val="none" w:sz="0" w:space="0" w:color="auto"/>
        <w:left w:val="none" w:sz="0" w:space="0" w:color="auto"/>
        <w:bottom w:val="none" w:sz="0" w:space="0" w:color="auto"/>
        <w:right w:val="none" w:sz="0" w:space="0" w:color="auto"/>
      </w:divBdr>
    </w:div>
    <w:div w:id="2129273642">
      <w:bodyDiv w:val="1"/>
      <w:marLeft w:val="0"/>
      <w:marRight w:val="0"/>
      <w:marTop w:val="0"/>
      <w:marBottom w:val="0"/>
      <w:divBdr>
        <w:top w:val="none" w:sz="0" w:space="0" w:color="auto"/>
        <w:left w:val="none" w:sz="0" w:space="0" w:color="auto"/>
        <w:bottom w:val="none" w:sz="0" w:space="0" w:color="auto"/>
        <w:right w:val="none" w:sz="0" w:space="0" w:color="auto"/>
      </w:divBdr>
    </w:div>
    <w:div w:id="2131896444">
      <w:bodyDiv w:val="1"/>
      <w:marLeft w:val="0"/>
      <w:marRight w:val="0"/>
      <w:marTop w:val="0"/>
      <w:marBottom w:val="0"/>
      <w:divBdr>
        <w:top w:val="none" w:sz="0" w:space="0" w:color="auto"/>
        <w:left w:val="none" w:sz="0" w:space="0" w:color="auto"/>
        <w:bottom w:val="none" w:sz="0" w:space="0" w:color="auto"/>
        <w:right w:val="none" w:sz="0" w:space="0" w:color="auto"/>
      </w:divBdr>
    </w:div>
    <w:div w:id="2133555445">
      <w:bodyDiv w:val="1"/>
      <w:marLeft w:val="0"/>
      <w:marRight w:val="0"/>
      <w:marTop w:val="0"/>
      <w:marBottom w:val="0"/>
      <w:divBdr>
        <w:top w:val="none" w:sz="0" w:space="0" w:color="auto"/>
        <w:left w:val="none" w:sz="0" w:space="0" w:color="auto"/>
        <w:bottom w:val="none" w:sz="0" w:space="0" w:color="auto"/>
        <w:right w:val="none" w:sz="0" w:space="0" w:color="auto"/>
      </w:divBdr>
    </w:div>
    <w:div w:id="213525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1.xml"/><Relationship Id="rId21" Type="http://schemas.openxmlformats.org/officeDocument/2006/relationships/header" Target="header7.xml"/><Relationship Id="rId42" Type="http://schemas.openxmlformats.org/officeDocument/2006/relationships/image" Target="media/image29.emf"/><Relationship Id="rId63" Type="http://schemas.openxmlformats.org/officeDocument/2006/relationships/image" Target="media/image50.emf"/><Relationship Id="rId84" Type="http://schemas.openxmlformats.org/officeDocument/2006/relationships/image" Target="media/image71.emf"/><Relationship Id="rId138" Type="http://schemas.openxmlformats.org/officeDocument/2006/relationships/image" Target="media/image115.emf"/><Relationship Id="rId159" Type="http://schemas.openxmlformats.org/officeDocument/2006/relationships/image" Target="media/image136.emf"/><Relationship Id="rId170" Type="http://schemas.openxmlformats.org/officeDocument/2006/relationships/image" Target="media/image147.emf"/><Relationship Id="rId191" Type="http://schemas.openxmlformats.org/officeDocument/2006/relationships/footer" Target="footer12.xml"/><Relationship Id="rId107" Type="http://schemas.openxmlformats.org/officeDocument/2006/relationships/image" Target="media/image94.emf"/><Relationship Id="rId11" Type="http://schemas.openxmlformats.org/officeDocument/2006/relationships/header" Target="header3.xml"/><Relationship Id="rId32" Type="http://schemas.openxmlformats.org/officeDocument/2006/relationships/image" Target="media/image19.emf"/><Relationship Id="rId53" Type="http://schemas.openxmlformats.org/officeDocument/2006/relationships/image" Target="media/image40.emf"/><Relationship Id="rId74" Type="http://schemas.openxmlformats.org/officeDocument/2006/relationships/image" Target="media/image61.emf"/><Relationship Id="rId128" Type="http://schemas.openxmlformats.org/officeDocument/2006/relationships/image" Target="media/image105.emf"/><Relationship Id="rId149" Type="http://schemas.openxmlformats.org/officeDocument/2006/relationships/image" Target="media/image126.emf"/><Relationship Id="rId5" Type="http://schemas.openxmlformats.org/officeDocument/2006/relationships/webSettings" Target="webSettings.xml"/><Relationship Id="rId95" Type="http://schemas.openxmlformats.org/officeDocument/2006/relationships/image" Target="media/image82.emf"/><Relationship Id="rId160" Type="http://schemas.openxmlformats.org/officeDocument/2006/relationships/image" Target="media/image137.emf"/><Relationship Id="rId181" Type="http://schemas.openxmlformats.org/officeDocument/2006/relationships/image" Target="media/image158.emf"/><Relationship Id="rId22" Type="http://schemas.openxmlformats.org/officeDocument/2006/relationships/footer" Target="footer3.xml"/><Relationship Id="rId43" Type="http://schemas.openxmlformats.org/officeDocument/2006/relationships/image" Target="media/image30.emf"/><Relationship Id="rId64" Type="http://schemas.openxmlformats.org/officeDocument/2006/relationships/image" Target="media/image51.emf"/><Relationship Id="rId118" Type="http://schemas.openxmlformats.org/officeDocument/2006/relationships/footer" Target="footer7.xml"/><Relationship Id="rId139" Type="http://schemas.openxmlformats.org/officeDocument/2006/relationships/image" Target="media/image116.emf"/><Relationship Id="rId85" Type="http://schemas.openxmlformats.org/officeDocument/2006/relationships/image" Target="media/image72.emf"/><Relationship Id="rId150" Type="http://schemas.openxmlformats.org/officeDocument/2006/relationships/image" Target="media/image127.emf"/><Relationship Id="rId171" Type="http://schemas.openxmlformats.org/officeDocument/2006/relationships/image" Target="media/image148.emf"/><Relationship Id="rId192" Type="http://schemas.openxmlformats.org/officeDocument/2006/relationships/image" Target="media/image163.emf"/><Relationship Id="rId12" Type="http://schemas.openxmlformats.org/officeDocument/2006/relationships/footer" Target="footer1.xml"/><Relationship Id="rId33" Type="http://schemas.openxmlformats.org/officeDocument/2006/relationships/image" Target="media/image20.emf"/><Relationship Id="rId108" Type="http://schemas.openxmlformats.org/officeDocument/2006/relationships/header" Target="header9.xml"/><Relationship Id="rId129" Type="http://schemas.openxmlformats.org/officeDocument/2006/relationships/image" Target="media/image106.emf"/><Relationship Id="rId54" Type="http://schemas.openxmlformats.org/officeDocument/2006/relationships/image" Target="media/image41.emf"/><Relationship Id="rId75" Type="http://schemas.openxmlformats.org/officeDocument/2006/relationships/image" Target="media/image62.emf"/><Relationship Id="rId96" Type="http://schemas.openxmlformats.org/officeDocument/2006/relationships/image" Target="media/image83.emf"/><Relationship Id="rId140" Type="http://schemas.openxmlformats.org/officeDocument/2006/relationships/image" Target="media/image117.emf"/><Relationship Id="rId161" Type="http://schemas.openxmlformats.org/officeDocument/2006/relationships/image" Target="media/image138.emf"/><Relationship Id="rId182" Type="http://schemas.openxmlformats.org/officeDocument/2006/relationships/image" Target="media/image159.emf"/><Relationship Id="rId6" Type="http://schemas.openxmlformats.org/officeDocument/2006/relationships/footnotes" Target="footnotes.xml"/><Relationship Id="rId23" Type="http://schemas.openxmlformats.org/officeDocument/2006/relationships/image" Target="media/image12.emf"/><Relationship Id="rId119" Type="http://schemas.openxmlformats.org/officeDocument/2006/relationships/image" Target="media/image100.emf"/><Relationship Id="rId44" Type="http://schemas.openxmlformats.org/officeDocument/2006/relationships/image" Target="media/image31.emf"/><Relationship Id="rId65" Type="http://schemas.openxmlformats.org/officeDocument/2006/relationships/image" Target="media/image52.emf"/><Relationship Id="rId86" Type="http://schemas.openxmlformats.org/officeDocument/2006/relationships/image" Target="media/image73.emf"/><Relationship Id="rId130" Type="http://schemas.openxmlformats.org/officeDocument/2006/relationships/image" Target="media/image107.emf"/><Relationship Id="rId151" Type="http://schemas.openxmlformats.org/officeDocument/2006/relationships/image" Target="media/image128.emf"/><Relationship Id="rId172" Type="http://schemas.openxmlformats.org/officeDocument/2006/relationships/image" Target="media/image149.emf"/><Relationship Id="rId193" Type="http://schemas.openxmlformats.org/officeDocument/2006/relationships/image" Target="media/image164.emf"/><Relationship Id="rId13" Type="http://schemas.openxmlformats.org/officeDocument/2006/relationships/header" Target="header4.xml"/><Relationship Id="rId109" Type="http://schemas.openxmlformats.org/officeDocument/2006/relationships/footer" Target="footer5.xml"/><Relationship Id="rId34" Type="http://schemas.openxmlformats.org/officeDocument/2006/relationships/image" Target="media/image21.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20" Type="http://schemas.openxmlformats.org/officeDocument/2006/relationships/header" Target="header12.xml"/><Relationship Id="rId141" Type="http://schemas.openxmlformats.org/officeDocument/2006/relationships/image" Target="media/image118.emf"/><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9.emf"/><Relationship Id="rId162" Type="http://schemas.openxmlformats.org/officeDocument/2006/relationships/image" Target="media/image139.emf"/><Relationship Id="rId183" Type="http://schemas.openxmlformats.org/officeDocument/2006/relationships/image" Target="media/image160.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header" Target="header8.xml"/><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5.jpeg"/><Relationship Id="rId115" Type="http://schemas.openxmlformats.org/officeDocument/2006/relationships/image" Target="media/image98.emf"/><Relationship Id="rId131" Type="http://schemas.openxmlformats.org/officeDocument/2006/relationships/image" Target="media/image108.emf"/><Relationship Id="rId136" Type="http://schemas.openxmlformats.org/officeDocument/2006/relationships/image" Target="media/image113.emf"/><Relationship Id="rId157" Type="http://schemas.openxmlformats.org/officeDocument/2006/relationships/image" Target="media/image134.emf"/><Relationship Id="rId178" Type="http://schemas.openxmlformats.org/officeDocument/2006/relationships/image" Target="media/image155.emf"/><Relationship Id="rId61" Type="http://schemas.openxmlformats.org/officeDocument/2006/relationships/image" Target="media/image48.emf"/><Relationship Id="rId82" Type="http://schemas.openxmlformats.org/officeDocument/2006/relationships/image" Target="media/image69.emf"/><Relationship Id="rId152" Type="http://schemas.openxmlformats.org/officeDocument/2006/relationships/image" Target="media/image129.emf"/><Relationship Id="rId173" Type="http://schemas.openxmlformats.org/officeDocument/2006/relationships/image" Target="media/image150.emf"/><Relationship Id="rId194" Type="http://schemas.openxmlformats.org/officeDocument/2006/relationships/image" Target="media/image165.emf"/><Relationship Id="rId199"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7.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image" Target="media/image103.emf"/><Relationship Id="rId147" Type="http://schemas.openxmlformats.org/officeDocument/2006/relationships/image" Target="media/image124.emf"/><Relationship Id="rId168" Type="http://schemas.openxmlformats.org/officeDocument/2006/relationships/image" Target="media/image145.emf"/><Relationship Id="rId8" Type="http://schemas.openxmlformats.org/officeDocument/2006/relationships/image" Target="media/image2.jpeg"/><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header" Target="header13.xml"/><Relationship Id="rId142" Type="http://schemas.openxmlformats.org/officeDocument/2006/relationships/image" Target="media/image119.emf"/><Relationship Id="rId163" Type="http://schemas.openxmlformats.org/officeDocument/2006/relationships/image" Target="media/image140.emf"/><Relationship Id="rId184" Type="http://schemas.openxmlformats.org/officeDocument/2006/relationships/image" Target="media/image161.emf"/><Relationship Id="rId189" Type="http://schemas.openxmlformats.org/officeDocument/2006/relationships/footer" Target="footer11.xm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33.emf"/><Relationship Id="rId67" Type="http://schemas.openxmlformats.org/officeDocument/2006/relationships/image" Target="media/image54.emf"/><Relationship Id="rId116" Type="http://schemas.openxmlformats.org/officeDocument/2006/relationships/image" Target="media/image99.emf"/><Relationship Id="rId137" Type="http://schemas.openxmlformats.org/officeDocument/2006/relationships/image" Target="media/image114.emf"/><Relationship Id="rId158" Type="http://schemas.openxmlformats.org/officeDocument/2006/relationships/image" Target="media/image135.emf"/><Relationship Id="rId20" Type="http://schemas.openxmlformats.org/officeDocument/2006/relationships/header" Target="header6.xml"/><Relationship Id="rId41" Type="http://schemas.openxmlformats.org/officeDocument/2006/relationships/image" Target="media/image28.emf"/><Relationship Id="rId62" Type="http://schemas.openxmlformats.org/officeDocument/2006/relationships/image" Target="media/image49.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header" Target="header10.xml"/><Relationship Id="rId132" Type="http://schemas.openxmlformats.org/officeDocument/2006/relationships/image" Target="media/image109.emf"/><Relationship Id="rId153" Type="http://schemas.openxmlformats.org/officeDocument/2006/relationships/image" Target="media/image130.emf"/><Relationship Id="rId174" Type="http://schemas.openxmlformats.org/officeDocument/2006/relationships/image" Target="media/image151.emf"/><Relationship Id="rId179" Type="http://schemas.openxmlformats.org/officeDocument/2006/relationships/image" Target="media/image156.emf"/><Relationship Id="rId195" Type="http://schemas.openxmlformats.org/officeDocument/2006/relationships/image" Target="media/image166.emf"/><Relationship Id="rId190" Type="http://schemas.openxmlformats.org/officeDocument/2006/relationships/header" Target="header16.xml"/><Relationship Id="rId15" Type="http://schemas.openxmlformats.org/officeDocument/2006/relationships/image" Target="media/image8.emf"/><Relationship Id="rId36" Type="http://schemas.openxmlformats.org/officeDocument/2006/relationships/image" Target="media/image23.emf"/><Relationship Id="rId57" Type="http://schemas.openxmlformats.org/officeDocument/2006/relationships/image" Target="media/image44.emf"/><Relationship Id="rId106" Type="http://schemas.openxmlformats.org/officeDocument/2006/relationships/image" Target="media/image93.emf"/><Relationship Id="rId127" Type="http://schemas.openxmlformats.org/officeDocument/2006/relationships/image" Target="media/image104.emf"/><Relationship Id="rId10" Type="http://schemas.openxmlformats.org/officeDocument/2006/relationships/header" Target="header2.xml"/><Relationship Id="rId31" Type="http://schemas.openxmlformats.org/officeDocument/2006/relationships/image" Target="media/image18.emf"/><Relationship Id="rId52" Type="http://schemas.openxmlformats.org/officeDocument/2006/relationships/image" Target="media/image39.emf"/><Relationship Id="rId73" Type="http://schemas.openxmlformats.org/officeDocument/2006/relationships/image" Target="media/image60.emf"/><Relationship Id="rId78" Type="http://schemas.openxmlformats.org/officeDocument/2006/relationships/image" Target="media/image65.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footer" Target="footer8.xml"/><Relationship Id="rId143" Type="http://schemas.openxmlformats.org/officeDocument/2006/relationships/image" Target="media/image120.emf"/><Relationship Id="rId148" Type="http://schemas.openxmlformats.org/officeDocument/2006/relationships/image" Target="media/image125.emf"/><Relationship Id="rId164" Type="http://schemas.openxmlformats.org/officeDocument/2006/relationships/image" Target="media/image141.emf"/><Relationship Id="rId169" Type="http://schemas.openxmlformats.org/officeDocument/2006/relationships/image" Target="media/image146.emf"/><Relationship Id="rId185" Type="http://schemas.openxmlformats.org/officeDocument/2006/relationships/image" Target="media/image162.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7.emf"/><Relationship Id="rId26" Type="http://schemas.openxmlformats.org/officeDocument/2006/relationships/image" Target="media/image13.emf"/><Relationship Id="rId47" Type="http://schemas.openxmlformats.org/officeDocument/2006/relationships/image" Target="media/image34.emf"/><Relationship Id="rId68" Type="http://schemas.openxmlformats.org/officeDocument/2006/relationships/image" Target="media/image55.emf"/><Relationship Id="rId89" Type="http://schemas.openxmlformats.org/officeDocument/2006/relationships/image" Target="media/image76.emf"/><Relationship Id="rId112" Type="http://schemas.openxmlformats.org/officeDocument/2006/relationships/footer" Target="footer6.xml"/><Relationship Id="rId133" Type="http://schemas.openxmlformats.org/officeDocument/2006/relationships/image" Target="media/image110.emf"/><Relationship Id="rId154" Type="http://schemas.openxmlformats.org/officeDocument/2006/relationships/image" Target="media/image131.emf"/><Relationship Id="rId175" Type="http://schemas.openxmlformats.org/officeDocument/2006/relationships/image" Target="media/image152.emf"/><Relationship Id="rId196" Type="http://schemas.openxmlformats.org/officeDocument/2006/relationships/image" Target="media/image167.emf"/><Relationship Id="rId200" Type="http://schemas.openxmlformats.org/officeDocument/2006/relationships/theme" Target="theme/theme1.xml"/><Relationship Id="rId16" Type="http://schemas.openxmlformats.org/officeDocument/2006/relationships/image" Target="media/image9.emf"/><Relationship Id="rId37" Type="http://schemas.openxmlformats.org/officeDocument/2006/relationships/image" Target="media/image24.emf"/><Relationship Id="rId58" Type="http://schemas.openxmlformats.org/officeDocument/2006/relationships/image" Target="media/image45.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footer" Target="footer9.xml"/><Relationship Id="rId144" Type="http://schemas.openxmlformats.org/officeDocument/2006/relationships/image" Target="media/image121.emf"/><Relationship Id="rId90" Type="http://schemas.openxmlformats.org/officeDocument/2006/relationships/image" Target="media/image77.emf"/><Relationship Id="rId165" Type="http://schemas.openxmlformats.org/officeDocument/2006/relationships/image" Target="media/image142.emf"/><Relationship Id="rId186" Type="http://schemas.openxmlformats.org/officeDocument/2006/relationships/header" Target="header14.xml"/><Relationship Id="rId27" Type="http://schemas.openxmlformats.org/officeDocument/2006/relationships/image" Target="media/image14.emf"/><Relationship Id="rId48" Type="http://schemas.openxmlformats.org/officeDocument/2006/relationships/image" Target="media/image35.emf"/><Relationship Id="rId69" Type="http://schemas.openxmlformats.org/officeDocument/2006/relationships/image" Target="media/image56.emf"/><Relationship Id="rId113" Type="http://schemas.openxmlformats.org/officeDocument/2006/relationships/image" Target="media/image96.emf"/><Relationship Id="rId134" Type="http://schemas.openxmlformats.org/officeDocument/2006/relationships/image" Target="media/image111.emf"/><Relationship Id="rId80" Type="http://schemas.openxmlformats.org/officeDocument/2006/relationships/image" Target="media/image67.emf"/><Relationship Id="rId155" Type="http://schemas.openxmlformats.org/officeDocument/2006/relationships/image" Target="media/image132.emf"/><Relationship Id="rId176" Type="http://schemas.openxmlformats.org/officeDocument/2006/relationships/image" Target="media/image153.emf"/><Relationship Id="rId197" Type="http://schemas.openxmlformats.org/officeDocument/2006/relationships/header" Target="header17.xml"/><Relationship Id="rId17" Type="http://schemas.openxmlformats.org/officeDocument/2006/relationships/image" Target="media/image10.emf"/><Relationship Id="rId38" Type="http://schemas.openxmlformats.org/officeDocument/2006/relationships/image" Target="media/image25.emf"/><Relationship Id="rId59" Type="http://schemas.openxmlformats.org/officeDocument/2006/relationships/image" Target="media/image46.emf"/><Relationship Id="rId103" Type="http://schemas.openxmlformats.org/officeDocument/2006/relationships/image" Target="media/image90.emf"/><Relationship Id="rId124" Type="http://schemas.openxmlformats.org/officeDocument/2006/relationships/image" Target="media/image101.emf"/><Relationship Id="rId70" Type="http://schemas.openxmlformats.org/officeDocument/2006/relationships/image" Target="media/image57.emf"/><Relationship Id="rId91" Type="http://schemas.openxmlformats.org/officeDocument/2006/relationships/image" Target="media/image78.emf"/><Relationship Id="rId145" Type="http://schemas.openxmlformats.org/officeDocument/2006/relationships/image" Target="media/image122.emf"/><Relationship Id="rId166" Type="http://schemas.openxmlformats.org/officeDocument/2006/relationships/image" Target="media/image143.emf"/><Relationship Id="rId187" Type="http://schemas.openxmlformats.org/officeDocument/2006/relationships/footer" Target="footer10.xml"/><Relationship Id="rId1" Type="http://schemas.openxmlformats.org/officeDocument/2006/relationships/customXml" Target="../customXml/item1.xml"/><Relationship Id="rId28" Type="http://schemas.openxmlformats.org/officeDocument/2006/relationships/image" Target="media/image15.emf"/><Relationship Id="rId49" Type="http://schemas.openxmlformats.org/officeDocument/2006/relationships/image" Target="media/image36.emf"/><Relationship Id="rId114" Type="http://schemas.openxmlformats.org/officeDocument/2006/relationships/image" Target="media/image97.emf"/><Relationship Id="rId60" Type="http://schemas.openxmlformats.org/officeDocument/2006/relationships/image" Target="media/image47.emf"/><Relationship Id="rId81" Type="http://schemas.openxmlformats.org/officeDocument/2006/relationships/image" Target="media/image68.emf"/><Relationship Id="rId135" Type="http://schemas.openxmlformats.org/officeDocument/2006/relationships/image" Target="media/image112.emf"/><Relationship Id="rId156" Type="http://schemas.openxmlformats.org/officeDocument/2006/relationships/image" Target="media/image133.emf"/><Relationship Id="rId177" Type="http://schemas.openxmlformats.org/officeDocument/2006/relationships/image" Target="media/image154.emf"/><Relationship Id="rId198" Type="http://schemas.openxmlformats.org/officeDocument/2006/relationships/footer" Target="footer13.xml"/><Relationship Id="rId18" Type="http://schemas.openxmlformats.org/officeDocument/2006/relationships/header" Target="header5.xml"/><Relationship Id="rId39" Type="http://schemas.openxmlformats.org/officeDocument/2006/relationships/image" Target="media/image26.emf"/><Relationship Id="rId50" Type="http://schemas.openxmlformats.org/officeDocument/2006/relationships/image" Target="media/image37.emf"/><Relationship Id="rId104" Type="http://schemas.openxmlformats.org/officeDocument/2006/relationships/image" Target="media/image91.emf"/><Relationship Id="rId125" Type="http://schemas.openxmlformats.org/officeDocument/2006/relationships/image" Target="media/image102.emf"/><Relationship Id="rId146" Type="http://schemas.openxmlformats.org/officeDocument/2006/relationships/image" Target="media/image123.emf"/><Relationship Id="rId167" Type="http://schemas.openxmlformats.org/officeDocument/2006/relationships/image" Target="media/image144.emf"/><Relationship Id="rId188" Type="http://schemas.openxmlformats.org/officeDocument/2006/relationships/header" Target="header15.xml"/></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oleObject" Target="embeddings/oleObject9.bin"/><Relationship Id="rId1" Type="http://schemas.openxmlformats.org/officeDocument/2006/relationships/image" Target="media/image4.wmf"/><Relationship Id="rId4" Type="http://schemas.openxmlformats.org/officeDocument/2006/relationships/oleObject" Target="embeddings/oleObject10.bin"/></Relationships>
</file>

<file path=word/_rels/header17.xml.rels><?xml version="1.0" encoding="UTF-8" standalone="yes"?>
<Relationships xmlns="http://schemas.openxmlformats.org/package/2006/relationships"><Relationship Id="rId3" Type="http://schemas.openxmlformats.org/officeDocument/2006/relationships/oleObject" Target="embeddings/oleObject11.bin"/><Relationship Id="rId2" Type="http://schemas.openxmlformats.org/officeDocument/2006/relationships/image" Target="media/image4.wmf"/><Relationship Id="rId1" Type="http://schemas.openxmlformats.org/officeDocument/2006/relationships/image" Target="media/image11.jpeg"/><Relationship Id="rId5" Type="http://schemas.openxmlformats.org/officeDocument/2006/relationships/oleObject" Target="embeddings/oleObject12.bin"/><Relationship Id="rId4"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oleObject" Target="embeddings/oleObject1.bin"/><Relationship Id="rId1" Type="http://schemas.openxmlformats.org/officeDocument/2006/relationships/image" Target="media/image4.wmf"/><Relationship Id="rId4" Type="http://schemas.openxmlformats.org/officeDocument/2006/relationships/oleObject" Target="embeddings/oleObject2.bin"/></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4.wmf"/><Relationship Id="rId1" Type="http://schemas.openxmlformats.org/officeDocument/2006/relationships/image" Target="media/image11.jpeg"/><Relationship Id="rId5" Type="http://schemas.openxmlformats.org/officeDocument/2006/relationships/oleObject" Target="embeddings/oleObject4.bin"/><Relationship Id="rId4" Type="http://schemas.openxmlformats.org/officeDocument/2006/relationships/image" Target="media/image5.wmf"/></Relationships>
</file>

<file path=word/_rels/header8.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image" Target="media/image4.wmf"/><Relationship Id="rId1" Type="http://schemas.openxmlformats.org/officeDocument/2006/relationships/image" Target="media/image11.jpeg"/><Relationship Id="rId5" Type="http://schemas.openxmlformats.org/officeDocument/2006/relationships/oleObject" Target="embeddings/oleObject6.bin"/><Relationship Id="rId4" Type="http://schemas.openxmlformats.org/officeDocument/2006/relationships/image" Target="media/image5.wmf"/></Relationships>
</file>

<file path=word/_rels/header9.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image" Target="media/image4.wmf"/><Relationship Id="rId1" Type="http://schemas.openxmlformats.org/officeDocument/2006/relationships/image" Target="media/image11.jpeg"/><Relationship Id="rId5" Type="http://schemas.openxmlformats.org/officeDocument/2006/relationships/oleObject" Target="embeddings/oleObject8.bin"/><Relationship Id="rId4" Type="http://schemas.openxmlformats.org/officeDocument/2006/relationships/image" Target="media/image5.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8C0521-EB95-40F4-BF2C-9A0DFEC09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930A6C08</Template>
  <TotalTime>106435</TotalTime>
  <Pages>139</Pages>
  <Words>25914</Words>
  <Characters>142532</Characters>
  <Application>Microsoft Office Word</Application>
  <DocSecurity>0</DocSecurity>
  <Lines>1187</Lines>
  <Paragraphs>336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notas a los estados contables</vt:lpstr>
      <vt:lpstr>notas a los estados contables</vt:lpstr>
    </vt:vector>
  </TitlesOfParts>
  <Company>Andersen Worldwide</Company>
  <LinksUpToDate>false</LinksUpToDate>
  <CharactersWithSpaces>168110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a los estados contables</dc:title>
  <dc:subject/>
  <dc:creator>adrian</dc:creator>
  <cp:keywords/>
  <dc:description/>
  <cp:lastModifiedBy>Morel, Daniel</cp:lastModifiedBy>
  <cp:revision>7863</cp:revision>
  <cp:lastPrinted>2020-01-20T21:25:00Z</cp:lastPrinted>
  <dcterms:created xsi:type="dcterms:W3CDTF">2018-07-13T18:40:00Z</dcterms:created>
  <dcterms:modified xsi:type="dcterms:W3CDTF">2021-11-21T15:52:00Z</dcterms:modified>
</cp:coreProperties>
</file>