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FA891" w14:textId="77777777" w:rsidR="000538A1" w:rsidRPr="00A616AC" w:rsidRDefault="000538A1" w:rsidP="000538A1">
      <w:pPr>
        <w:jc w:val="center"/>
        <w:rPr>
          <w:rFonts w:ascii="Times New Roman" w:hAnsi="Times New Roman" w:cs="Times New Roman"/>
          <w:b/>
          <w:bCs/>
        </w:rPr>
      </w:pPr>
      <w:r w:rsidRPr="00A616AC">
        <w:rPr>
          <w:rFonts w:ascii="Times New Roman" w:hAnsi="Times New Roman" w:cs="Times New Roman"/>
          <w:b/>
          <w:bCs/>
        </w:rPr>
        <w:t>ESTATUTO SOCIAL DE CROWN POINT ENERGIA S.A.</w:t>
      </w:r>
    </w:p>
    <w:p w14:paraId="4422A0B6" w14:textId="21ABA796" w:rsidR="00D123CF" w:rsidRPr="000538A1" w:rsidRDefault="00D123CF" w:rsidP="00D123CF">
      <w:pPr>
        <w:jc w:val="both"/>
        <w:rPr>
          <w:rFonts w:ascii="Times New Roman" w:hAnsi="Times New Roman" w:cs="Times New Roman"/>
        </w:rPr>
      </w:pPr>
      <w:r w:rsidRPr="000538A1">
        <w:rPr>
          <w:rFonts w:ascii="Times New Roman" w:hAnsi="Times New Roman" w:cs="Times New Roman"/>
          <w:b/>
          <w:bCs/>
        </w:rPr>
        <w:t>ARTÍCULO PRIMERO</w:t>
      </w:r>
      <w:r w:rsidRPr="000538A1">
        <w:rPr>
          <w:rFonts w:ascii="Times New Roman" w:hAnsi="Times New Roman" w:cs="Times New Roman"/>
        </w:rPr>
        <w:t xml:space="preserve">: La sociedad se denomina </w:t>
      </w:r>
      <w:r w:rsidRPr="000538A1">
        <w:rPr>
          <w:rFonts w:ascii="Times New Roman" w:hAnsi="Times New Roman" w:cs="Times New Roman"/>
          <w:caps/>
          <w:lang w:val="es-ES"/>
        </w:rPr>
        <w:t>Crown Point Energ</w:t>
      </w:r>
      <w:r w:rsidR="00175885">
        <w:rPr>
          <w:rFonts w:ascii="Times New Roman" w:hAnsi="Times New Roman" w:cs="Times New Roman"/>
          <w:caps/>
          <w:lang w:val="es-ES"/>
        </w:rPr>
        <w:t>ÍA</w:t>
      </w:r>
      <w:r w:rsidRPr="000538A1">
        <w:rPr>
          <w:rFonts w:ascii="Times New Roman" w:hAnsi="Times New Roman" w:cs="Times New Roman"/>
          <w:caps/>
          <w:lang w:val="es-ES"/>
        </w:rPr>
        <w:t xml:space="preserve"> S.A.</w:t>
      </w:r>
      <w:r w:rsidRPr="000538A1">
        <w:rPr>
          <w:rFonts w:ascii="Times New Roman" w:hAnsi="Times New Roman" w:cs="Times New Roman"/>
          <w:lang w:val="es-ES"/>
        </w:rPr>
        <w:t xml:space="preserve"> (antes denominada Antrim Argentina S.A.) </w:t>
      </w:r>
      <w:r w:rsidRPr="000538A1">
        <w:rPr>
          <w:rFonts w:ascii="Times New Roman" w:hAnsi="Times New Roman" w:cs="Times New Roman"/>
        </w:rPr>
        <w:t>y tiene su domicilio legal en la ciudad de Buenos Aires.  Podrá instalar agencias, sucursales y representaciones en el país o en el extranjero.</w:t>
      </w:r>
    </w:p>
    <w:p w14:paraId="7F7C3E61" w14:textId="2772518D" w:rsidR="00D123CF" w:rsidRPr="000538A1" w:rsidRDefault="00D123CF" w:rsidP="00D123CF">
      <w:pPr>
        <w:jc w:val="both"/>
        <w:rPr>
          <w:rFonts w:ascii="Times New Roman" w:hAnsi="Times New Roman" w:cs="Times New Roman"/>
        </w:rPr>
      </w:pPr>
      <w:r w:rsidRPr="000538A1">
        <w:rPr>
          <w:rFonts w:ascii="Times New Roman" w:hAnsi="Times New Roman" w:cs="Times New Roman"/>
          <w:b/>
          <w:bCs/>
        </w:rPr>
        <w:t xml:space="preserve"> ARTÍCULO SEGUNDO</w:t>
      </w:r>
      <w:r w:rsidRPr="000538A1">
        <w:rPr>
          <w:rFonts w:ascii="Times New Roman" w:hAnsi="Times New Roman" w:cs="Times New Roman"/>
        </w:rPr>
        <w:t xml:space="preserve">: Tendrá una </w:t>
      </w:r>
      <w:r w:rsidR="00876AEA">
        <w:rPr>
          <w:rFonts w:ascii="Times New Roman" w:hAnsi="Times New Roman" w:cs="Times New Roman"/>
        </w:rPr>
        <w:t>DURACION</w:t>
      </w:r>
      <w:r w:rsidRPr="000538A1">
        <w:rPr>
          <w:rFonts w:ascii="Times New Roman" w:hAnsi="Times New Roman" w:cs="Times New Roman"/>
        </w:rPr>
        <w:t xml:space="preserve"> de noventa y nueve (99) años contados a partir de su inscripción en el Registro Público de Comercio. </w:t>
      </w:r>
    </w:p>
    <w:p w14:paraId="5C720E64" w14:textId="77777777" w:rsidR="00D123CF" w:rsidRPr="000538A1" w:rsidRDefault="00D123CF" w:rsidP="00D123CF">
      <w:pPr>
        <w:jc w:val="both"/>
        <w:rPr>
          <w:rFonts w:ascii="Times New Roman" w:hAnsi="Times New Roman" w:cs="Times New Roman"/>
          <w:b/>
          <w:color w:val="000000"/>
          <w:lang w:val="es-ES_tradnl"/>
        </w:rPr>
      </w:pPr>
      <w:r w:rsidRPr="000538A1">
        <w:rPr>
          <w:rFonts w:ascii="Times New Roman" w:hAnsi="Times New Roman" w:cs="Times New Roman"/>
          <w:b/>
          <w:bCs/>
        </w:rPr>
        <w:t>ARTICULO TERCERO</w:t>
      </w:r>
      <w:r w:rsidRPr="000538A1">
        <w:rPr>
          <w:rFonts w:ascii="Times New Roman" w:hAnsi="Times New Roman" w:cs="Times New Roman"/>
        </w:rPr>
        <w:t xml:space="preserve">: La sociedad tiene por OBJETO dedicarse por cuenta propia, de terceros o asociada a terceros, a las siguientes actividades: 1) SERVICIOS: a) Explotación, exploración complementaria y desarrollo de hidrocarburos bajo el régimen de la Ley Nº 17.319, sus modificatorias y decretos reglamentarios, y los que en el futuro modifiquen, complementen o reemplacen b) Operación de Áreas de Exploración y Explotación de hidrocarburos, trabajos de dirección y administración de tareas de explotación, exploración complementaria y desarrollo de hidrocarburos líquidos y gaseosos c) Transporte, transformación, destilación y aprovechamiento industrial de hidrocarburos y sus derivados y comercialización de hidrocarburos d) Elaboración, fraccionamiento, mezcla y envasado, en todas sus formas de hidrocarburos sólidos, líquidos y gaseosos y sus derivados y productos petroquímicos en cualquiera de sus formas; 2) FINANCIERAS: Realizar, por cuenta propia o de terceros o asociada a terceros, todo tipo de actividades financieras y de inversión, excluyendo aquellas actividades comprendidas en la Ley de Entidades Financieras y aquellas para las que se requiere el concurso público; 3) COMERCIALES: En los casos en que resulte necesario y/o conveniente para el ejercicio de la actividad principal comprendida en su objeto social, la sociedad podrá: importar y exportar mercaderías, bienes y servicios; comprar, vender, locar, permutar y transformar bienes muebles e inmuebles.  La enumeración precedente no es limitativa ni excluyente de actos o contratos no enunciados, sino simplemente enunciativa, ya que la Sociedad en su carácter de persona de derecho tiene plena capacidad jurídica para adquirir derechos, contraer obligaciones y otorgar todos los actos que no estén prohibidos por la Ley o por este Estatuto. </w:t>
      </w:r>
    </w:p>
    <w:p w14:paraId="1E9EF59C" w14:textId="69673A64" w:rsidR="00D123CF" w:rsidRPr="000538A1" w:rsidRDefault="00D123CF" w:rsidP="00D123CF">
      <w:pPr>
        <w:jc w:val="both"/>
        <w:rPr>
          <w:rFonts w:ascii="Times New Roman" w:hAnsi="Times New Roman" w:cs="Times New Roman"/>
        </w:rPr>
      </w:pPr>
      <w:r w:rsidRPr="000538A1">
        <w:rPr>
          <w:rFonts w:ascii="Times New Roman" w:hAnsi="Times New Roman" w:cs="Times New Roman"/>
          <w:b/>
          <w:color w:val="000000"/>
          <w:lang w:val="es-ES_tradnl"/>
        </w:rPr>
        <w:t>ARTÍCULO</w:t>
      </w:r>
      <w:r w:rsidRPr="000538A1">
        <w:rPr>
          <w:rFonts w:ascii="Times New Roman" w:hAnsi="Times New Roman" w:cs="Times New Roman"/>
        </w:rPr>
        <w:t xml:space="preserve"> </w:t>
      </w:r>
      <w:r w:rsidRPr="000538A1">
        <w:rPr>
          <w:rFonts w:ascii="Times New Roman" w:hAnsi="Times New Roman" w:cs="Times New Roman"/>
          <w:b/>
          <w:bCs/>
        </w:rPr>
        <w:t>CUARTO</w:t>
      </w:r>
      <w:r w:rsidRPr="000538A1">
        <w:rPr>
          <w:rFonts w:ascii="Times New Roman" w:hAnsi="Times New Roman" w:cs="Times New Roman"/>
        </w:rPr>
        <w:t>: La sociedad tiene un capital social de $359.579.644 representado por 359.579.644 acciones ordinarias, nominativas no endosables, con derecho a un voto por acción y de valor nominal un peso cada una.</w:t>
      </w:r>
    </w:p>
    <w:p w14:paraId="53412EFF" w14:textId="77777777" w:rsidR="00D123CF" w:rsidRPr="000538A1" w:rsidRDefault="00D123CF" w:rsidP="00D123CF">
      <w:pPr>
        <w:jc w:val="both"/>
        <w:rPr>
          <w:rFonts w:ascii="Times New Roman" w:hAnsi="Times New Roman" w:cs="Times New Roman"/>
          <w:color w:val="000000"/>
          <w:lang w:val="es-ES_tradnl"/>
        </w:rPr>
      </w:pPr>
      <w:r w:rsidRPr="000538A1">
        <w:rPr>
          <w:rFonts w:ascii="Times New Roman" w:hAnsi="Times New Roman" w:cs="Times New Roman"/>
          <w:b/>
          <w:bCs/>
        </w:rPr>
        <w:t>ARTICULO QUINTO</w:t>
      </w:r>
      <w:r w:rsidRPr="000538A1">
        <w:rPr>
          <w:rFonts w:ascii="Times New Roman" w:hAnsi="Times New Roman" w:cs="Times New Roman"/>
        </w:rPr>
        <w:t>: El capital puede aumentarse al quíntuplo por asamblea ordinaria conforme al artículo 188 de la Ley de Sociedades.  La asamblea de accionistas que resuelva el aumento del capital social, determinará las características de las acciones a emitirse, pudiendo delegar en el directorio la época de la emisión, forma y condiciones de pago.  En caso de mora en la integración de las acciones, el directorio podrá elegir cualquiera de los procedimientos del artículo 193 de la Ley 19.550.</w:t>
      </w:r>
    </w:p>
    <w:p w14:paraId="06B4D7DD" w14:textId="5CBBA717" w:rsidR="00D123CF" w:rsidRPr="000538A1" w:rsidRDefault="00D123CF" w:rsidP="00D123CF">
      <w:pPr>
        <w:jc w:val="both"/>
        <w:rPr>
          <w:rFonts w:ascii="Times New Roman" w:hAnsi="Times New Roman" w:cs="Times New Roman"/>
        </w:rPr>
      </w:pPr>
      <w:r w:rsidRPr="000538A1">
        <w:rPr>
          <w:rFonts w:ascii="Times New Roman" w:hAnsi="Times New Roman" w:cs="Times New Roman"/>
          <w:b/>
          <w:color w:val="000000"/>
          <w:lang w:val="es-ES_tradnl"/>
        </w:rPr>
        <w:t>ARTÍCULO SEXTO</w:t>
      </w:r>
      <w:r w:rsidRPr="000538A1">
        <w:rPr>
          <w:rFonts w:ascii="Times New Roman" w:hAnsi="Times New Roman" w:cs="Times New Roman"/>
          <w:color w:val="000000"/>
          <w:lang w:val="es-ES_tradnl"/>
        </w:rPr>
        <w:t xml:space="preserve">: </w:t>
      </w:r>
      <w:r w:rsidR="00E62FB6" w:rsidRPr="00E62FB6">
        <w:rPr>
          <w:rFonts w:ascii="Times New Roman" w:hAnsi="Times New Roman" w:cs="Times New Roman"/>
          <w:color w:val="000000"/>
          <w:lang w:val="es-ES_tradnl"/>
        </w:rPr>
        <w:t xml:space="preserve">La DIRECCIÓN Y ADMINISTRACIÓN de la Sociedad está a cargo de un directorio integrado por el número de miembros que fije la asamblea, a simple pluralidad de votos, entre un mínimo de tres (3) y un máximo de cinco (5) miembros titulares. El término de su elección es de un ejercicio pudiendo ser reelectos por la asamblea indefinidamente. La asamblea determinará la remuneración de los directores. Mientras la sociedad prescinda de la sindicatura, la elección de por lo menos un director suplente será obligatoria. El directorio sesionará con la mayoría absoluta de sus integrantes y resuelve por mayoría de los presentes. En caso de ausencia o impedimento de alguno de los directores titulares el director suplente podrá concurrir dando quórum; en caso de empate el presidente desempatará votando nuevamente. En su primera reunión el directorio designará un presidente y un vicepresidente. El Directorio podrá funcionar con sus miembros presentes, o </w:t>
      </w:r>
      <w:r w:rsidR="00E62FB6" w:rsidRPr="00E62FB6">
        <w:rPr>
          <w:rFonts w:ascii="Times New Roman" w:hAnsi="Times New Roman" w:cs="Times New Roman"/>
          <w:color w:val="000000"/>
          <w:lang w:val="es-ES_tradnl"/>
        </w:rPr>
        <w:lastRenderedPageBreak/>
        <w:t xml:space="preserve">comunicados entre sí por medios de transmisión simultánea de sonido, imágenes y palabras, computándose a los efectos del quorum y mayorías tanto los Directores presentes como los que participen a distancia. Las actas de estas reuniones serán confeccionadas y firmadas dentro de los cinco (5) días de celebrada la reunión por los Directores y síndicos presentes. Los miembros de la Comisión Fiscalizadora deberán dejar expresa constancia en el acta de los nombres de los Directores que han participado a distancia y de la regularidad de las decisiones adoptadas en el curso de la reunión. El acta consignará las manifestaciones tanto de los Directores presentes como de los que participen a distancia y sus votos con relación a cada resolución adoptada. El directorio tiene amplias facultades de administración y disposición, incluso las que requieren poderes especiales a tenor del artículo 375 del Código Civil y Comercial de la Nación y artículo 9 del Decreto ley 5965/63. Podrá especialmente operar con toda clase de bancos, compañías financieras o entidades crediticias privadas y/u oficiales, incluyendo, pero no limitado, al Banco de la Nación Argentina, Banco de la Provincia de Buenos Aires, Banco de Inversión y Comercio Exterior y el Banco de la Ciudad de Buenos Aires; dar y revocar poderes especiales y generales, con o sin facultades de sustitución; iniciar, proseguir, contestar, o desistir acciones judiciales por ante cualquier fuero o jurisdicción, ya sea en la República Argentina o en el extranjero, efectuar denuncias o querellas penales y realizar todo otro hecho o acto jurídico que haga adquirir derechos o contraer obligaciones a la sociedad. La REPRESENTACIÓN LEGAL corresponde al Presidente y/o Vicepresidente del Directorio indistintamente y, en caso de ausencia o impedimento del Presidente para desempeñar el cargo, éste será ejercido por el Vicepresidente. A los fines de la representación legal de la Sociedad, la actuación del Vicepresidente a cualquiera de los actos administrativos, judiciales, contractuales o societarios que requieren la presencia del Presidente, supone la ausencia de éste último y obliga a la Sociedad, sin necesidad de comunicación o justificación de dicha circunstancia con un acta de reunión de directorio. Para el caso de encontrarse ausente el Presidente y el Vicepresidente, el Directorio podrá autorizar la actuación de uno o más directores para el ejercicio de la representación legal por el tiempo limitado que dure la ausencia del Presidente y el Vicepresidente. La representación en juicio de la Sociedad como actora, demandada, absolvente o en cualquier otro carácter, así como en cualquier instancia laboral, sea ésta administrativa o judicial, estará a cargo exclusivamente de los directores o de los apoderados que designe el directorio con carácter general o especial. El directorio podrá encomendar alguno o algunos de sus miembros tareas especiales relacionadas con la dirección y administración de la sociedad con la remuneración que fije la asamblea. Podrá, asimismo, delegar la parte ejecutiva de las operaciones sociales en uno o más gerentes que podrán ser directores o no. En garantía de sus funciones, los directores deberán prestar una garantía en los términos dispuestos en la Resolución General 7/2015 y la Resolución General 9/2015 de la Inspección General de Justicia, y sus modificatorias, ampliatorias, </w:t>
      </w:r>
      <w:proofErr w:type="spellStart"/>
      <w:r w:rsidR="00E62FB6" w:rsidRPr="00E62FB6">
        <w:rPr>
          <w:rFonts w:ascii="Times New Roman" w:hAnsi="Times New Roman" w:cs="Times New Roman"/>
          <w:color w:val="000000"/>
          <w:lang w:val="es-ES_tradnl"/>
        </w:rPr>
        <w:t>rectificatorias</w:t>
      </w:r>
      <w:proofErr w:type="spellEnd"/>
      <w:r w:rsidR="00E62FB6" w:rsidRPr="00E62FB6">
        <w:rPr>
          <w:rFonts w:ascii="Times New Roman" w:hAnsi="Times New Roman" w:cs="Times New Roman"/>
          <w:color w:val="000000"/>
          <w:lang w:val="es-ES_tradnl"/>
        </w:rPr>
        <w:t>, y las que en el futuro la sustituyan. La garantía otorgada será indisponible mientras esté plazo de prescripción de eventuales acciones de responsabilidad contra el director otorgante. La garantía no podrá consistir en acciones de la Sociedad.</w:t>
      </w:r>
    </w:p>
    <w:p w14:paraId="62C9E9FD" w14:textId="693F4936" w:rsidR="00D123CF" w:rsidRPr="000538A1" w:rsidRDefault="00D123CF" w:rsidP="00D123CF">
      <w:pPr>
        <w:jc w:val="both"/>
        <w:rPr>
          <w:rFonts w:ascii="Times New Roman" w:hAnsi="Times New Roman" w:cs="Times New Roman"/>
        </w:rPr>
      </w:pPr>
      <w:r w:rsidRPr="000538A1">
        <w:rPr>
          <w:rFonts w:ascii="Times New Roman" w:hAnsi="Times New Roman" w:cs="Times New Roman"/>
          <w:b/>
          <w:bCs/>
        </w:rPr>
        <w:t>ARTÍCULO SEPTIMO</w:t>
      </w:r>
      <w:r w:rsidRPr="000538A1">
        <w:rPr>
          <w:rFonts w:ascii="Times New Roman" w:hAnsi="Times New Roman" w:cs="Times New Roman"/>
        </w:rPr>
        <w:t xml:space="preserve">: </w:t>
      </w:r>
      <w:r w:rsidR="00E62FB6" w:rsidRPr="00E62FB6">
        <w:rPr>
          <w:rFonts w:ascii="Times New Roman" w:hAnsi="Times New Roman" w:cs="Times New Roman"/>
        </w:rPr>
        <w:t xml:space="preserve">La fiscalización de la sociedad será ejercida por una comisión fiscalizadora integrada por tres miembros titulares e igual número de suplentes. Los miembros titulares durarán en sus cargos un ejercicio social. La remuneración de los miembros de la Comisión Fiscalizadora será fijada por la asamblea general ordinaria. Los miembros suplentes permanecerán en sus cargos durante un ejercicio social. En caso de reemplazo definitivo, se aplicará lo dispuesto para los directores suplentes. La Comisión Fiscalizadora se reunirá con la periodicidad que exija el cumplimiento de sus funciones y quedará válidamente constituida con la presencia de al menos dos miembros y dejará constancia de sus decisiones en un libro de actas rubricado al efecto. Las decisiones serán adoptadas por mayoría absoluta de votos presentes. Los miembros de la Comisión Fiscalizadora tienen las facultades y deberes que les asigna a los síndicos la Ley 19.550. Si la sociedad quedara comprendida </w:t>
      </w:r>
      <w:r w:rsidR="00E62FB6" w:rsidRPr="00E62FB6">
        <w:rPr>
          <w:rFonts w:ascii="Times New Roman" w:hAnsi="Times New Roman" w:cs="Times New Roman"/>
        </w:rPr>
        <w:lastRenderedPageBreak/>
        <w:t>en alguno de los supuestos de los incisos 2) y 7) de la Ley 19.550, la fiscalización será ejercida por un síndico titular y un síndico suplente elegidos. En caso de que la sociedad deje de estar comprendida dentro de alguno de los supuestos del artículo 299 de la Ley 19.550, podrá prescindir de sindicatura, por decisión de la asamblea ordinaria. Las disposiciones contenidas en este Estatuto referidas a la Comisión Fiscalizadora se aplicarán -en cuanto fuesen compatibles- a la sindicatura. En caso de preverlo la normativa aplicable, la Comisión Fiscalizadora también podrá funcionar con sus miembros presentes, o comunicados entre sí por otros medios de transmisión simultánea de sonido, imágenes y palabras, computándose a los efectos del quorum y mayorías tanto la de sus miembros presentes como la de los que participen a distancia. A tal efecto, deberán cumplirse con las mismas formalidades previstas para las reuniones a distancia del Directorio.</w:t>
      </w:r>
    </w:p>
    <w:p w14:paraId="77226B4B" w14:textId="03471EAE" w:rsidR="00D123CF" w:rsidRPr="000538A1" w:rsidRDefault="00D123CF" w:rsidP="00D123CF">
      <w:pPr>
        <w:jc w:val="both"/>
        <w:rPr>
          <w:rFonts w:ascii="Times New Roman" w:hAnsi="Times New Roman" w:cs="Times New Roman"/>
          <w:color w:val="000000"/>
          <w:lang w:val="es-ES_tradnl"/>
        </w:rPr>
      </w:pPr>
      <w:r w:rsidRPr="000538A1">
        <w:rPr>
          <w:rFonts w:ascii="Times New Roman" w:hAnsi="Times New Roman" w:cs="Times New Roman"/>
          <w:b/>
          <w:bCs/>
          <w:color w:val="000000"/>
          <w:lang w:val="es-ES_tradnl"/>
        </w:rPr>
        <w:t>ARTÍCULO OCTAVO:</w:t>
      </w:r>
      <w:r w:rsidRPr="000538A1">
        <w:rPr>
          <w:rFonts w:ascii="Times New Roman" w:hAnsi="Times New Roman" w:cs="Times New Roman"/>
          <w:color w:val="000000"/>
          <w:lang w:val="es-ES_tradnl"/>
        </w:rPr>
        <w:t xml:space="preserve"> </w:t>
      </w:r>
      <w:r w:rsidR="00E62FB6" w:rsidRPr="00E62FB6">
        <w:rPr>
          <w:rFonts w:ascii="Times New Roman" w:hAnsi="Times New Roman" w:cs="Times New Roman"/>
          <w:color w:val="000000"/>
          <w:lang w:val="es-ES_tradnl"/>
        </w:rPr>
        <w:t>Las ASAMBLEAS pueden ser citadas simultáneamente en primera y segunda convocatoria en la forma establecida por el artículo 237 de la Ley 19.550, celebrándose en su caso, en segunda convocatoria, el mismo día, una hora después de la fracasada primera. Todo ello sin perjuicio de lo allí dispuesto para el caso de la asamblea unánime. En caso de convocatoria sucesiva, se estará a lo dispuesto por el artículo 237 antes citado. El quórum y el régimen de las mayorías se rigen por el artículo 243 y 244 de la citada ley, según las clases de asambleas, convocatorias, y materia de que se traten, excepto en cuanto al quórum para la asamblea extraordinaria en segunda convocatoria, la que se celebrará cualquiera sea el número de acciones presentes con derecho a voto. Las ASAMBLEAS tanto ordinarias como extraordinarias podrán celebrarse a distancia, computándose a los efectos del quórum y mayorías tanto a los accionistas presentes como los que participen a distancia, utilizando medios que permitan la comunicación simultánea entre los participantes en tanto se garantice: i) la libre accesibilidad de todos los participantes a las reuniones, con voz y voto; ii) la transmisión simultánea de sonido, imágenes y palabras, como su grabación en soporte digital; iii) el órgano de fiscalización dejará constancia de la regularidad de las decisiones adoptadas; iv) se deberá asegurar el principio de igualdad de trato de los participantes; v) se dejará constancia en el acta de los sujetos y el carácter en que participaron en el acto a distancia, el lugar donde se encontraban y los mecanismos técnicos utilizados; y vi) las actas serán confeccionadas y firmadas dentro de los CINCO (5) días, por el presidente de la asamblea y los socios designados al efecto; y en caso que la asamblea se celebre a distancia, el acta además deberá ser firmada por el representante del órgano de fiscalización. En la convocatoria se debe difundir el correo electrónico al que los accionistas deberán comunicar su asistencia. En el caso de tratarse de apoderados deberá remitirse a la entidad con CINCO (5) días hábiles de antelación a la celebración el instrumento habilitante correspondiente, suficientemente autenticado. La Sociedad deberá informar a los participantes de manera clara y sencilla cuál es el canal de comunicación elegido, cuál es el modo de acceso a los efectos de permitir dicha participación y cuáles son los procedimientos establecidos para la emisión del voto a distancia por medios digitales. Asimismo, la Asamblea deberá ser transcripta en el correspondiente libro social, dejándose expresa constancia de los sujetos y el carácter en que participaron, el lugar donde se encontraban y los mecanismos técnicos utilizados. La Sociedad deberá conservar una copia en soporte digital de la Asamblea por el término de 5 años. El órgano de fiscalización deberá ejercer sus atribuciones durante todas las etapas del acto asambleario, a fin de velar por el debido cumplimiento a las normas legales, reglamentarias y estatutarias, con especial observancia a los recaudos mínimos aquí previstos. Deberá cumplirse asimismo cualquier otra exigencia que establezca la normativa aplicable.</w:t>
      </w:r>
      <w:bookmarkStart w:id="0" w:name="_GoBack"/>
      <w:bookmarkEnd w:id="0"/>
    </w:p>
    <w:p w14:paraId="7E7B1B05" w14:textId="77777777" w:rsidR="000538A1" w:rsidRPr="000538A1" w:rsidRDefault="00D123CF" w:rsidP="00D123CF">
      <w:pPr>
        <w:jc w:val="both"/>
        <w:rPr>
          <w:rFonts w:ascii="Times New Roman" w:hAnsi="Times New Roman" w:cs="Times New Roman"/>
        </w:rPr>
      </w:pPr>
      <w:r w:rsidRPr="000538A1">
        <w:rPr>
          <w:rFonts w:ascii="Times New Roman" w:hAnsi="Times New Roman" w:cs="Times New Roman"/>
          <w:b/>
          <w:bCs/>
        </w:rPr>
        <w:t>ARTICULO NOVENO</w:t>
      </w:r>
      <w:r w:rsidRPr="000538A1">
        <w:rPr>
          <w:rFonts w:ascii="Times New Roman" w:hAnsi="Times New Roman" w:cs="Times New Roman"/>
        </w:rPr>
        <w:t xml:space="preserve">: El ejercicio social cierra el 31 de diciembre de cada año.  A dicha fecha se confeccionarán los estados contables de acuerdo a las disposiciones legales, reglamentarias y técnicas en vigencia.  Las utilidades líquidas y realizadas tendrán el siguiente destino: a) el cinco por ciento </w:t>
      </w:r>
      <w:r w:rsidRPr="000538A1">
        <w:rPr>
          <w:rFonts w:ascii="Times New Roman" w:hAnsi="Times New Roman" w:cs="Times New Roman"/>
        </w:rPr>
        <w:lastRenderedPageBreak/>
        <w:t xml:space="preserve">(5%) al fondo de reserva legal, hasta alcanzar el veinte por ciento (20%) del capital social; b) a remuneraciones de los directores y síndicos, en su caso c) el saldo tendrá el destino que decida la asamblea.  Los dividendos deben ser pagados en proporción a las respectivas integraciones, dentro del año de su sanción, salvo que, para un determinado ejercicio, los accionistas expresamente dispongan lo contrario. </w:t>
      </w:r>
    </w:p>
    <w:p w14:paraId="53C89BE8" w14:textId="5664C9CE" w:rsidR="00D123CF" w:rsidRPr="000538A1" w:rsidRDefault="00D123CF" w:rsidP="00D123CF">
      <w:pPr>
        <w:jc w:val="both"/>
        <w:rPr>
          <w:rFonts w:ascii="Times New Roman" w:hAnsi="Times New Roman" w:cs="Times New Roman"/>
        </w:rPr>
      </w:pPr>
      <w:r w:rsidRPr="000538A1">
        <w:rPr>
          <w:rFonts w:ascii="Times New Roman" w:hAnsi="Times New Roman" w:cs="Times New Roman"/>
          <w:b/>
          <w:bCs/>
        </w:rPr>
        <w:t>ARTICULO DECIMO</w:t>
      </w:r>
      <w:r w:rsidRPr="000538A1">
        <w:rPr>
          <w:rFonts w:ascii="Times New Roman" w:hAnsi="Times New Roman" w:cs="Times New Roman"/>
        </w:rPr>
        <w:t>: Producida la disolución de la sociedad, su liquidación quedará a cargo del directorio actuante en ese momento o de una comisión liquidadora que podrá designar la asamblea.  Cancelado el pasivo y reembolsado el capital, el remanente se distribuirá entre los accionistas en proporción a sus respectivas integraciones.</w:t>
      </w:r>
    </w:p>
    <w:sectPr w:rsidR="00D123CF" w:rsidRPr="000538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3CF"/>
    <w:rsid w:val="000538A1"/>
    <w:rsid w:val="00175885"/>
    <w:rsid w:val="00876AEA"/>
    <w:rsid w:val="009B349C"/>
    <w:rsid w:val="00A616AC"/>
    <w:rsid w:val="00C06F7F"/>
    <w:rsid w:val="00D049E9"/>
    <w:rsid w:val="00D123CF"/>
    <w:rsid w:val="00E62F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39D0"/>
  <w15:chartTrackingRefBased/>
  <w15:docId w15:val="{7CF567AF-B9C1-410A-92FD-CB40A11A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23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23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EDAED336959384FB1C89685D3236433" ma:contentTypeVersion="2" ma:contentTypeDescription="Crear nuevo documento." ma:contentTypeScope="" ma:versionID="7bf85c904c6bb524dab8b14d38814c8f">
  <xsd:schema xmlns:xsd="http://www.w3.org/2001/XMLSchema" xmlns:xs="http://www.w3.org/2001/XMLSchema" xmlns:p="http://schemas.microsoft.com/office/2006/metadata/properties" xmlns:ns3="c16c2d24-5211-4365-a396-ca3a2fead410" targetNamespace="http://schemas.microsoft.com/office/2006/metadata/properties" ma:root="true" ma:fieldsID="946586dd838bd49a1f9b0c8c0be68fde" ns3:_="">
    <xsd:import namespace="c16c2d24-5211-4365-a396-ca3a2fead41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c2d24-5211-4365-a396-ca3a2fead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88BFA-1705-48A1-95C7-8B4D4C0EC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c2d24-5211-4365-a396-ca3a2fead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98E76-17B5-4643-854F-353E20E56371}">
  <ds:schemaRefs>
    <ds:schemaRef ds:uri="http://schemas.microsoft.com/sharepoint/v3/contenttype/forms"/>
  </ds:schemaRefs>
</ds:datastoreItem>
</file>

<file path=customXml/itemProps3.xml><?xml version="1.0" encoding="utf-8"?>
<ds:datastoreItem xmlns:ds="http://schemas.openxmlformats.org/officeDocument/2006/customXml" ds:itemID="{D80A5901-2094-4E79-BBF5-92CBC76989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2118</Words>
  <Characters>11654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Gomariz Alicia</dc:creator>
  <cp:keywords/>
  <dc:description/>
  <cp:lastModifiedBy>Carolina Sofia Colombo</cp:lastModifiedBy>
  <cp:revision>2</cp:revision>
  <dcterms:created xsi:type="dcterms:W3CDTF">2022-09-13T18:33:00Z</dcterms:created>
  <dcterms:modified xsi:type="dcterms:W3CDTF">2022-09-13T18:33:00Z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0x010100EEDAED336959384FB1C89685D3236433</vt:lpwstr>
  </property>
</Properties>
</file>