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A0F7C" w:rsidRPr="004F0C33" w:rsidRDefault="006A6331">
      <w:pPr>
        <w:rPr>
          <w:rFonts w:ascii="Times New Roman" w:hAnsi="Times New Roman" w:cs="Times New Roman"/>
          <w:sz w:val="24"/>
          <w:szCs w:val="24"/>
        </w:rPr>
      </w:pPr>
      <w:r>
        <w:rPr>
          <w:rFonts w:ascii="Times New Roman" w:hAnsi="Times New Roman" w:cs="Times New Roman"/>
          <w:sz w:val="24"/>
          <w:szCs w:val="24"/>
        </w:rPr>
        <w:t>ZUAMAR</w:t>
      </w:r>
      <w:r w:rsidRPr="004F0C33">
        <w:rPr>
          <w:rFonts w:ascii="Times New Roman" w:hAnsi="Times New Roman" w:cs="Times New Roman"/>
          <w:sz w:val="24"/>
          <w:szCs w:val="24"/>
        </w:rPr>
        <w:t xml:space="preserve"> </w:t>
      </w:r>
      <w:r w:rsidR="003A0F7C" w:rsidRPr="004F0C33">
        <w:rPr>
          <w:rFonts w:ascii="Times New Roman" w:hAnsi="Times New Roman" w:cs="Times New Roman"/>
          <w:sz w:val="24"/>
          <w:szCs w:val="24"/>
        </w:rPr>
        <w:t>S.A.</w:t>
      </w:r>
      <w:r w:rsidR="00003851">
        <w:rPr>
          <w:rFonts w:ascii="Times New Roman" w:hAnsi="Times New Roman" w:cs="Times New Roman"/>
          <w:sz w:val="24"/>
          <w:szCs w:val="24"/>
        </w:rPr>
        <w:t xml:space="preserve"> </w:t>
      </w:r>
    </w:p>
    <w:p w:rsidR="00813C50" w:rsidRPr="00E362CF" w:rsidRDefault="003A0F7C" w:rsidP="00813C50">
      <w:pPr>
        <w:pStyle w:val="Sangradetextonormal"/>
        <w:ind w:firstLine="0"/>
        <w:rPr>
          <w:iCs/>
          <w:color w:val="000000"/>
          <w:sz w:val="24"/>
          <w:szCs w:val="24"/>
        </w:rPr>
      </w:pPr>
      <w:r w:rsidRPr="004F0C33">
        <w:rPr>
          <w:sz w:val="24"/>
          <w:szCs w:val="24"/>
        </w:rPr>
        <w:t xml:space="preserve">En cumplimiento del art. 10 de la Ley 23.576 y sus modificatorias (la “Ley de Obligaciones Negociables”), se informa que </w:t>
      </w:r>
      <w:r w:rsidR="006A6331">
        <w:rPr>
          <w:sz w:val="24"/>
          <w:szCs w:val="24"/>
        </w:rPr>
        <w:t>ZUAMAR</w:t>
      </w:r>
      <w:r w:rsidRPr="004F0C33">
        <w:rPr>
          <w:sz w:val="24"/>
          <w:szCs w:val="24"/>
        </w:rPr>
        <w:t xml:space="preserve"> S.A.</w:t>
      </w:r>
      <w:r w:rsidR="00BF3813" w:rsidRPr="004F0C33">
        <w:rPr>
          <w:sz w:val="24"/>
          <w:szCs w:val="24"/>
        </w:rPr>
        <w:t xml:space="preserve"> (la “Emisora”) emitió obligaciones negociables simples (no convertibles en acciones) (bajo el régimen de oferta pública, ley 26.831 de Mercado de Capitales, conforme la misma fuera modificada y/o compleme</w:t>
      </w:r>
      <w:r w:rsidR="00E362CF">
        <w:rPr>
          <w:sz w:val="24"/>
          <w:szCs w:val="24"/>
        </w:rPr>
        <w:t>nt</w:t>
      </w:r>
      <w:r w:rsidR="006A6331">
        <w:rPr>
          <w:sz w:val="24"/>
          <w:szCs w:val="24"/>
        </w:rPr>
        <w:t>ada) por un valor nominal de $115</w:t>
      </w:r>
      <w:r w:rsidR="00BF3813" w:rsidRPr="004F0C33">
        <w:rPr>
          <w:sz w:val="24"/>
          <w:szCs w:val="24"/>
        </w:rPr>
        <w:t xml:space="preserve">.000.000 (pesos </w:t>
      </w:r>
      <w:r w:rsidR="006A6331">
        <w:rPr>
          <w:sz w:val="24"/>
          <w:szCs w:val="24"/>
        </w:rPr>
        <w:t>ciento quince</w:t>
      </w:r>
      <w:r w:rsidR="00BF3813" w:rsidRPr="004F0C33">
        <w:rPr>
          <w:sz w:val="24"/>
          <w:szCs w:val="24"/>
        </w:rPr>
        <w:t xml:space="preserve"> millones). </w:t>
      </w:r>
      <w:r w:rsidR="00BF3813" w:rsidRPr="004F0C33">
        <w:rPr>
          <w:iCs/>
          <w:color w:val="000000"/>
          <w:sz w:val="24"/>
          <w:szCs w:val="24"/>
        </w:rPr>
        <w:t xml:space="preserve">La emisión fue autorizada por la Asamblea Extraordinaria unánime de la Emisora celebrada el </w:t>
      </w:r>
      <w:r w:rsidR="006A6331">
        <w:rPr>
          <w:iCs/>
          <w:color w:val="000000"/>
          <w:sz w:val="24"/>
          <w:szCs w:val="24"/>
        </w:rPr>
        <w:t>24</w:t>
      </w:r>
      <w:r w:rsidR="00BF6BAD">
        <w:rPr>
          <w:iCs/>
          <w:color w:val="000000"/>
          <w:sz w:val="24"/>
          <w:szCs w:val="24"/>
        </w:rPr>
        <w:t xml:space="preserve"> de septiembre de 2021</w:t>
      </w:r>
      <w:r w:rsidR="00BF3813" w:rsidRPr="004F0C33">
        <w:rPr>
          <w:iCs/>
          <w:color w:val="000000"/>
          <w:sz w:val="24"/>
          <w:szCs w:val="24"/>
        </w:rPr>
        <w:t>. El Directorio de la Emisora autorizó</w:t>
      </w:r>
      <w:r w:rsidR="00E362CF">
        <w:rPr>
          <w:iCs/>
          <w:color w:val="000000"/>
          <w:sz w:val="24"/>
          <w:szCs w:val="24"/>
        </w:rPr>
        <w:t xml:space="preserve"> la emisión en su reunión del </w:t>
      </w:r>
      <w:r w:rsidR="006A6331">
        <w:rPr>
          <w:iCs/>
          <w:color w:val="000000"/>
          <w:sz w:val="24"/>
          <w:szCs w:val="24"/>
        </w:rPr>
        <w:t>30</w:t>
      </w:r>
      <w:r w:rsidR="00BF6BAD" w:rsidRPr="00BF6BAD">
        <w:rPr>
          <w:iCs/>
          <w:color w:val="000000"/>
          <w:sz w:val="24"/>
          <w:szCs w:val="24"/>
        </w:rPr>
        <w:t xml:space="preserve"> de septiembre de 2021</w:t>
      </w:r>
      <w:r w:rsidR="00BF3813" w:rsidRPr="004F0C33">
        <w:rPr>
          <w:iCs/>
          <w:color w:val="000000"/>
          <w:sz w:val="24"/>
          <w:szCs w:val="24"/>
        </w:rPr>
        <w:t>. Las condiciones de emisión fueron aprobadas por</w:t>
      </w:r>
      <w:r w:rsidR="00E362CF">
        <w:rPr>
          <w:iCs/>
          <w:color w:val="000000"/>
          <w:sz w:val="24"/>
          <w:szCs w:val="24"/>
        </w:rPr>
        <w:t xml:space="preserve"> nota de Subdelegado de fecha </w:t>
      </w:r>
      <w:r w:rsidR="006A6331">
        <w:rPr>
          <w:iCs/>
          <w:color w:val="000000"/>
          <w:sz w:val="24"/>
          <w:szCs w:val="24"/>
        </w:rPr>
        <w:t>1 novie</w:t>
      </w:r>
      <w:r w:rsidR="00BF6BAD" w:rsidRPr="00BF6BAD">
        <w:rPr>
          <w:iCs/>
          <w:color w:val="000000"/>
          <w:sz w:val="24"/>
          <w:szCs w:val="24"/>
        </w:rPr>
        <w:t>mbre de 2021</w:t>
      </w:r>
      <w:r w:rsidR="00BF3813" w:rsidRPr="004F0C33">
        <w:rPr>
          <w:iCs/>
          <w:color w:val="000000"/>
          <w:sz w:val="24"/>
          <w:szCs w:val="24"/>
        </w:rPr>
        <w:t xml:space="preserve">. </w:t>
      </w:r>
      <w:r w:rsidR="00BF3813" w:rsidRPr="00BF6BAD">
        <w:rPr>
          <w:iCs/>
          <w:color w:val="000000"/>
          <w:sz w:val="24"/>
          <w:szCs w:val="24"/>
        </w:rPr>
        <w:t>Se</w:t>
      </w:r>
      <w:r w:rsidR="00BF3813" w:rsidRPr="004F0C33">
        <w:rPr>
          <w:sz w:val="24"/>
          <w:szCs w:val="24"/>
        </w:rPr>
        <w:t xml:space="preserve"> ha solicitado autorización para la oferta pública de las obligaciones negociables descriptas en el presente a la Comisión Nacional de Valores.</w:t>
      </w:r>
      <w:r w:rsidR="00813C50" w:rsidRPr="004F0C33">
        <w:rPr>
          <w:sz w:val="24"/>
          <w:szCs w:val="24"/>
          <w:u w:val="single"/>
        </w:rPr>
        <w:t xml:space="preserve"> </w:t>
      </w:r>
    </w:p>
    <w:p w:rsidR="00813C50" w:rsidRPr="006A6331" w:rsidRDefault="00813C50" w:rsidP="006A6331">
      <w:pPr>
        <w:pStyle w:val="Sangradetextonormal"/>
        <w:ind w:firstLine="0"/>
        <w:rPr>
          <w:sz w:val="24"/>
          <w:szCs w:val="24"/>
        </w:rPr>
      </w:pPr>
      <w:r w:rsidRPr="004F0C33">
        <w:rPr>
          <w:sz w:val="24"/>
          <w:szCs w:val="24"/>
          <w:u w:val="single"/>
        </w:rPr>
        <w:t>Denominación</w:t>
      </w:r>
      <w:r w:rsidRPr="004F0C33">
        <w:rPr>
          <w:sz w:val="24"/>
          <w:szCs w:val="24"/>
        </w:rPr>
        <w:t xml:space="preserve">: </w:t>
      </w:r>
      <w:r w:rsidR="006A6331" w:rsidRPr="006A6331">
        <w:rPr>
          <w:iCs/>
          <w:color w:val="000000"/>
          <w:sz w:val="24"/>
          <w:szCs w:val="24"/>
        </w:rPr>
        <w:t>ZUAMAR</w:t>
      </w:r>
      <w:r w:rsidRPr="004F0C33">
        <w:rPr>
          <w:sz w:val="24"/>
          <w:szCs w:val="24"/>
        </w:rPr>
        <w:t xml:space="preserve"> S.A. </w:t>
      </w:r>
      <w:r w:rsidRPr="004F0C33">
        <w:rPr>
          <w:sz w:val="24"/>
          <w:szCs w:val="24"/>
          <w:u w:val="single"/>
        </w:rPr>
        <w:t>Domicilio</w:t>
      </w:r>
      <w:r w:rsidRPr="004F0C33">
        <w:rPr>
          <w:sz w:val="24"/>
          <w:szCs w:val="24"/>
        </w:rPr>
        <w:t xml:space="preserve">: </w:t>
      </w:r>
      <w:r w:rsidR="006A6331" w:rsidRPr="00537155">
        <w:rPr>
          <w:sz w:val="24"/>
          <w:szCs w:val="24"/>
        </w:rPr>
        <w:t>Parque Industrial de Santa Rosa, Departamento de Conc</w:t>
      </w:r>
      <w:r w:rsidR="006A6331">
        <w:rPr>
          <w:sz w:val="24"/>
          <w:szCs w:val="24"/>
        </w:rPr>
        <w:t>epción, Provincia de Corrientes</w:t>
      </w:r>
      <w:r w:rsidRPr="004F0C33">
        <w:rPr>
          <w:sz w:val="24"/>
          <w:szCs w:val="24"/>
        </w:rPr>
        <w:t xml:space="preserve">. </w:t>
      </w:r>
      <w:r w:rsidRPr="004F0C33">
        <w:rPr>
          <w:sz w:val="24"/>
          <w:szCs w:val="24"/>
          <w:u w:val="single"/>
        </w:rPr>
        <w:t>Fecha, lugar de constitución e inscripción</w:t>
      </w:r>
      <w:r w:rsidRPr="004F0C33">
        <w:rPr>
          <w:sz w:val="24"/>
          <w:szCs w:val="24"/>
        </w:rPr>
        <w:t xml:space="preserve">: </w:t>
      </w:r>
      <w:r w:rsidR="006A6331" w:rsidRPr="00537155">
        <w:rPr>
          <w:sz w:val="24"/>
          <w:szCs w:val="24"/>
        </w:rPr>
        <w:t xml:space="preserve">La sociedad se constituyó el 12 de octubre del 2011. El 21 de septiembre de 2012 fue inscripta por mandato de la Señora Juez en lo Civil y Comercial de la Primera Nominación bajo el número 91 folio 2350/2360 del libro 49 de Sociedades Anónimas del año 2012, del Registro Público de Comercio, por mandato de la Señora Juez en lo Civil y Comercial de la Primera Nominación Dra. </w:t>
      </w:r>
      <w:proofErr w:type="spellStart"/>
      <w:r w:rsidR="006A6331" w:rsidRPr="00537155">
        <w:rPr>
          <w:sz w:val="24"/>
          <w:szCs w:val="24"/>
        </w:rPr>
        <w:t>Eloisa</w:t>
      </w:r>
      <w:proofErr w:type="spellEnd"/>
      <w:r w:rsidR="006A6331" w:rsidRPr="00537155">
        <w:rPr>
          <w:sz w:val="24"/>
          <w:szCs w:val="24"/>
        </w:rPr>
        <w:t xml:space="preserve"> Araceli Barreto, dado a fs. 83/85 y </w:t>
      </w:r>
      <w:proofErr w:type="spellStart"/>
      <w:r w:rsidR="006A6331" w:rsidRPr="00537155">
        <w:rPr>
          <w:sz w:val="24"/>
          <w:szCs w:val="24"/>
        </w:rPr>
        <w:t>vta</w:t>
      </w:r>
      <w:proofErr w:type="spellEnd"/>
      <w:r w:rsidR="006A6331" w:rsidRPr="00537155">
        <w:rPr>
          <w:sz w:val="24"/>
          <w:szCs w:val="24"/>
        </w:rPr>
        <w:t xml:space="preserve"> del expediente número 1992/11 caratulado </w:t>
      </w:r>
      <w:proofErr w:type="spellStart"/>
      <w:r w:rsidR="006A6331" w:rsidRPr="00537155">
        <w:rPr>
          <w:sz w:val="24"/>
          <w:szCs w:val="24"/>
        </w:rPr>
        <w:t>Zuamar</w:t>
      </w:r>
      <w:proofErr w:type="spellEnd"/>
      <w:r w:rsidR="006A6331" w:rsidRPr="00537155">
        <w:rPr>
          <w:sz w:val="24"/>
          <w:szCs w:val="24"/>
        </w:rPr>
        <w:t xml:space="preserve"> S.A s/ </w:t>
      </w:r>
      <w:proofErr w:type="spellStart"/>
      <w:r w:rsidR="006A6331" w:rsidRPr="00537155">
        <w:rPr>
          <w:sz w:val="24"/>
          <w:szCs w:val="24"/>
        </w:rPr>
        <w:t>insc</w:t>
      </w:r>
      <w:proofErr w:type="spellEnd"/>
      <w:r w:rsidR="006A6331" w:rsidRPr="00537155">
        <w:rPr>
          <w:sz w:val="24"/>
          <w:szCs w:val="24"/>
        </w:rPr>
        <w:t xml:space="preserve"> Estatuto Social.</w:t>
      </w:r>
      <w:r w:rsidRPr="004F0C33">
        <w:rPr>
          <w:sz w:val="24"/>
          <w:szCs w:val="24"/>
        </w:rPr>
        <w:t xml:space="preserve"> </w:t>
      </w:r>
      <w:r w:rsidRPr="004F0C33">
        <w:rPr>
          <w:sz w:val="24"/>
          <w:szCs w:val="24"/>
          <w:u w:val="single"/>
        </w:rPr>
        <w:t>Plazo de duración</w:t>
      </w:r>
      <w:r w:rsidRPr="004F0C33">
        <w:rPr>
          <w:sz w:val="24"/>
          <w:szCs w:val="24"/>
        </w:rPr>
        <w:t xml:space="preserve">: La sociedad tiene un plazo de duración de 99 años contados desde la fecha de inscripción. </w:t>
      </w:r>
      <w:r w:rsidRPr="004F0C33">
        <w:rPr>
          <w:sz w:val="24"/>
          <w:szCs w:val="24"/>
          <w:u w:val="single"/>
        </w:rPr>
        <w:t>Objeto social:</w:t>
      </w:r>
      <w:r w:rsidRPr="004F0C33">
        <w:rPr>
          <w:sz w:val="24"/>
          <w:szCs w:val="24"/>
        </w:rPr>
        <w:t xml:space="preserve"> </w:t>
      </w:r>
      <w:r w:rsidR="006A6331" w:rsidRPr="004F0C33">
        <w:rPr>
          <w:sz w:val="24"/>
          <w:szCs w:val="24"/>
        </w:rPr>
        <w:t xml:space="preserve">La sociedad tiene </w:t>
      </w:r>
      <w:r w:rsidR="006A6331">
        <w:rPr>
          <w:sz w:val="24"/>
          <w:szCs w:val="24"/>
        </w:rPr>
        <w:t xml:space="preserve">por objeto la </w:t>
      </w:r>
      <w:r w:rsidR="006A6331" w:rsidRPr="00537155">
        <w:rPr>
          <w:sz w:val="24"/>
          <w:szCs w:val="24"/>
        </w:rPr>
        <w:t xml:space="preserve">fabricación y comercialización de briquetas, pellets, </w:t>
      </w:r>
      <w:proofErr w:type="spellStart"/>
      <w:r w:rsidR="006A6331" w:rsidRPr="00537155">
        <w:rPr>
          <w:sz w:val="24"/>
          <w:szCs w:val="24"/>
        </w:rPr>
        <w:t>leñetas</w:t>
      </w:r>
      <w:proofErr w:type="spellEnd"/>
      <w:r w:rsidR="006A6331" w:rsidRPr="00537155">
        <w:rPr>
          <w:sz w:val="24"/>
          <w:szCs w:val="24"/>
        </w:rPr>
        <w:t xml:space="preserve">, leña ecológica y/o cualquier otro tipo de biomasa lograda a partir del aprovechamiento de residuos de madera (aserrín, virutas, chips, ramas, restos de la poda, raleo fino), residuos de algodón, del tabaco, de paja de trigo, cáscara de maní, racimos vacíos, cáscara de arroz, mazorca de maíz, </w:t>
      </w:r>
      <w:r w:rsidR="006A6331">
        <w:rPr>
          <w:sz w:val="24"/>
          <w:szCs w:val="24"/>
        </w:rPr>
        <w:t>cascara de semillas de girasol</w:t>
      </w:r>
      <w:r w:rsidRPr="006A6331">
        <w:rPr>
          <w:sz w:val="24"/>
          <w:szCs w:val="24"/>
        </w:rPr>
        <w:t xml:space="preserve">, y otras actividades industriales, financieras y comerciales. </w:t>
      </w:r>
      <w:r w:rsidRPr="006A6331">
        <w:rPr>
          <w:sz w:val="24"/>
          <w:szCs w:val="24"/>
          <w:u w:val="single"/>
        </w:rPr>
        <w:t>Capital Social y patrimonio neto</w:t>
      </w:r>
      <w:r w:rsidRPr="006A6331">
        <w:rPr>
          <w:sz w:val="24"/>
          <w:szCs w:val="24"/>
        </w:rPr>
        <w:t>: el capital social es de $</w:t>
      </w:r>
      <w:r w:rsidR="00B40526">
        <w:rPr>
          <w:sz w:val="24"/>
          <w:szCs w:val="24"/>
        </w:rPr>
        <w:t>1.000.000 (pesos un millón</w:t>
      </w:r>
      <w:r w:rsidRPr="006A6331">
        <w:rPr>
          <w:sz w:val="24"/>
          <w:szCs w:val="24"/>
        </w:rPr>
        <w:t xml:space="preserve">). </w:t>
      </w:r>
      <w:r w:rsidR="00FF38C6">
        <w:rPr>
          <w:sz w:val="24"/>
          <w:szCs w:val="24"/>
        </w:rPr>
        <w:t xml:space="preserve">El patrimonio neto de la sociedad conforme al balance cerrado el 31 de octubre de 2020 es de $2.947.270,04. (dos millones novecientos cuarenta y siete mil doscientos setenta con cuatro centavos). </w:t>
      </w:r>
      <w:r w:rsidRPr="006A6331">
        <w:rPr>
          <w:sz w:val="24"/>
          <w:szCs w:val="24"/>
          <w:u w:val="single"/>
        </w:rPr>
        <w:t>Monto de la Emisión</w:t>
      </w:r>
      <w:r w:rsidRPr="006A6331">
        <w:rPr>
          <w:sz w:val="24"/>
          <w:szCs w:val="24"/>
        </w:rPr>
        <w:t>: la emisión se rea</w:t>
      </w:r>
      <w:r w:rsidR="00E362CF" w:rsidRPr="006A6331">
        <w:rPr>
          <w:sz w:val="24"/>
          <w:szCs w:val="24"/>
        </w:rPr>
        <w:t>li</w:t>
      </w:r>
      <w:r w:rsidR="00FF38C6">
        <w:rPr>
          <w:sz w:val="24"/>
          <w:szCs w:val="24"/>
        </w:rPr>
        <w:t>zará por un valor nominal de $115</w:t>
      </w:r>
      <w:r w:rsidR="00E362CF" w:rsidRPr="006A6331">
        <w:rPr>
          <w:sz w:val="24"/>
          <w:szCs w:val="24"/>
        </w:rPr>
        <w:t>.000.000 (pesos cien</w:t>
      </w:r>
      <w:r w:rsidR="00FF38C6">
        <w:rPr>
          <w:sz w:val="24"/>
          <w:szCs w:val="24"/>
        </w:rPr>
        <w:t>to quince</w:t>
      </w:r>
      <w:r w:rsidR="00E362CF" w:rsidRPr="006A6331">
        <w:rPr>
          <w:sz w:val="24"/>
          <w:szCs w:val="24"/>
        </w:rPr>
        <w:t xml:space="preserve"> millones)</w:t>
      </w:r>
      <w:r w:rsidRPr="006A6331">
        <w:rPr>
          <w:sz w:val="24"/>
          <w:szCs w:val="24"/>
        </w:rPr>
        <w:t xml:space="preserve">. La sociedad no ha emitido </w:t>
      </w:r>
      <w:r w:rsidR="002D78D3" w:rsidRPr="006A6331">
        <w:rPr>
          <w:sz w:val="24"/>
          <w:szCs w:val="24"/>
        </w:rPr>
        <w:t xml:space="preserve">obligaciones negociables o debentures, </w:t>
      </w:r>
      <w:r w:rsidRPr="006A6331">
        <w:rPr>
          <w:sz w:val="24"/>
          <w:szCs w:val="24"/>
        </w:rPr>
        <w:t>ni contraído deuda</w:t>
      </w:r>
      <w:r w:rsidR="00E362CF" w:rsidRPr="006A6331">
        <w:rPr>
          <w:sz w:val="24"/>
          <w:szCs w:val="24"/>
        </w:rPr>
        <w:t>,</w:t>
      </w:r>
      <w:r w:rsidRPr="006A6331">
        <w:rPr>
          <w:sz w:val="24"/>
          <w:szCs w:val="24"/>
        </w:rPr>
        <w:t xml:space="preserve"> </w:t>
      </w:r>
      <w:r w:rsidR="002D78D3" w:rsidRPr="006A6331">
        <w:rPr>
          <w:sz w:val="24"/>
          <w:szCs w:val="24"/>
        </w:rPr>
        <w:t xml:space="preserve">con privilegios o garantías </w:t>
      </w:r>
      <w:r w:rsidR="00BC19AC" w:rsidRPr="006A6331">
        <w:rPr>
          <w:sz w:val="24"/>
          <w:szCs w:val="24"/>
        </w:rPr>
        <w:t xml:space="preserve">prendarias o hipotecarias </w:t>
      </w:r>
      <w:r w:rsidRPr="006A6331">
        <w:rPr>
          <w:sz w:val="24"/>
          <w:szCs w:val="24"/>
        </w:rPr>
        <w:t xml:space="preserve">con anterioridad. </w:t>
      </w:r>
      <w:r w:rsidRPr="006A6331">
        <w:rPr>
          <w:sz w:val="24"/>
          <w:szCs w:val="24"/>
          <w:u w:val="single"/>
        </w:rPr>
        <w:t>Garantía</w:t>
      </w:r>
      <w:r w:rsidRPr="006A6331">
        <w:rPr>
          <w:sz w:val="24"/>
          <w:szCs w:val="24"/>
        </w:rPr>
        <w:t xml:space="preserve">: </w:t>
      </w:r>
      <w:r w:rsidRPr="006A6331">
        <w:rPr>
          <w:bCs/>
          <w:sz w:val="24"/>
          <w:szCs w:val="24"/>
        </w:rPr>
        <w:t xml:space="preserve">La totalidad del capital e intereses de la emisión de las Obligaciones Negociables estarán garantizados por Banco de </w:t>
      </w:r>
      <w:r w:rsidR="00FF38C6">
        <w:rPr>
          <w:bCs/>
          <w:sz w:val="24"/>
          <w:szCs w:val="24"/>
        </w:rPr>
        <w:t>Servicios y Transacciones</w:t>
      </w:r>
      <w:r w:rsidRPr="006A6331">
        <w:rPr>
          <w:bCs/>
          <w:sz w:val="24"/>
          <w:szCs w:val="24"/>
        </w:rPr>
        <w:t xml:space="preserve"> S.A., la garantía se otorga en carácter de “liso, llano y principal pagador” y con renuncia a lo</w:t>
      </w:r>
      <w:r w:rsidRPr="006A6331">
        <w:rPr>
          <w:sz w:val="24"/>
          <w:szCs w:val="24"/>
        </w:rPr>
        <w:t xml:space="preserve">s beneficios de excusión y división. </w:t>
      </w:r>
      <w:r w:rsidRPr="006A6331">
        <w:rPr>
          <w:sz w:val="24"/>
          <w:szCs w:val="24"/>
          <w:u w:val="single"/>
        </w:rPr>
        <w:t>Las condiciones de amortización</w:t>
      </w:r>
      <w:r w:rsidRPr="006A6331">
        <w:rPr>
          <w:sz w:val="24"/>
          <w:szCs w:val="24"/>
        </w:rPr>
        <w:t xml:space="preserve">: </w:t>
      </w:r>
      <w:r w:rsidR="009D1317" w:rsidRPr="00537155">
        <w:rPr>
          <w:sz w:val="24"/>
          <w:szCs w:val="24"/>
        </w:rPr>
        <w:t xml:space="preserve">La amortización se realizará en cinco (5) cuotas, la primera cuota será equivalente al 14,20%, y </w:t>
      </w:r>
      <w:proofErr w:type="gramStart"/>
      <w:r w:rsidR="009D1317" w:rsidRPr="00537155">
        <w:rPr>
          <w:sz w:val="24"/>
          <w:szCs w:val="24"/>
        </w:rPr>
        <w:t>las cuatro restantes</w:t>
      </w:r>
      <w:proofErr w:type="gramEnd"/>
      <w:r w:rsidR="009D1317" w:rsidRPr="00537155">
        <w:rPr>
          <w:sz w:val="24"/>
          <w:szCs w:val="24"/>
        </w:rPr>
        <w:t xml:space="preserve"> serán equivalentes al 21,45%, en todos los casos calculadas sobre el valor nominal, y pagaderas en los meses 12, 18, 24, 30 y 36 contados desde la Fecha de Integración</w:t>
      </w:r>
      <w:r w:rsidRPr="006A6331">
        <w:rPr>
          <w:bCs/>
          <w:sz w:val="24"/>
          <w:szCs w:val="24"/>
        </w:rPr>
        <w:t>.</w:t>
      </w:r>
      <w:r w:rsidRPr="006A6331">
        <w:rPr>
          <w:sz w:val="24"/>
          <w:szCs w:val="24"/>
        </w:rPr>
        <w:t xml:space="preserve"> </w:t>
      </w:r>
      <w:r w:rsidR="004F0C33" w:rsidRPr="006A6331">
        <w:rPr>
          <w:sz w:val="24"/>
          <w:szCs w:val="24"/>
          <w:u w:val="single"/>
        </w:rPr>
        <w:t>Intereses</w:t>
      </w:r>
      <w:r w:rsidR="004F0C33" w:rsidRPr="006A6331">
        <w:rPr>
          <w:sz w:val="24"/>
          <w:szCs w:val="24"/>
        </w:rPr>
        <w:t xml:space="preserve">: El capital no amortizado de las ON devengará intereses a una tasa de interés variable, desde la Fecha de Integración inclusive hasta la fecha en que el capital sea totalmente amortizado (no inclusive), estableciéndose que dicha tasa de interés anual será equivalente a la suma de: (i) la Tasa de Referencia más (ii) el Margen de Corte. </w:t>
      </w:r>
      <w:r w:rsidRPr="006A6331">
        <w:rPr>
          <w:sz w:val="24"/>
          <w:szCs w:val="24"/>
        </w:rPr>
        <w:t>Los intereses se pagarán trimestralmente en forma vencida</w:t>
      </w:r>
      <w:r w:rsidR="009D1317" w:rsidRPr="009D1317">
        <w:rPr>
          <w:sz w:val="24"/>
          <w:szCs w:val="24"/>
        </w:rPr>
        <w:t>, capitalizable hasta el noveno mes</w:t>
      </w:r>
      <w:r w:rsidRPr="006A6331">
        <w:rPr>
          <w:sz w:val="24"/>
          <w:szCs w:val="24"/>
        </w:rPr>
        <w:t>. Los pagos serán efectuados en las fechas que oportunamente se indiquen en el Aviso de Resultados de Colocación que será publicado en la página web de la CNV (</w:t>
      </w:r>
      <w:hyperlink r:id="rId5" w:history="1">
        <w:r w:rsidR="00044338" w:rsidRPr="006A6331">
          <w:rPr>
            <w:rStyle w:val="Hipervnculo"/>
            <w:sz w:val="24"/>
            <w:szCs w:val="24"/>
          </w:rPr>
          <w:t>www.argentina.gob.ar/cnv</w:t>
        </w:r>
      </w:hyperlink>
      <w:r w:rsidRPr="006A6331">
        <w:rPr>
          <w:sz w:val="24"/>
          <w:szCs w:val="24"/>
        </w:rPr>
        <w:t>).</w:t>
      </w:r>
      <w:r w:rsidR="004F0C33" w:rsidRPr="006A6331">
        <w:rPr>
          <w:sz w:val="24"/>
          <w:szCs w:val="24"/>
        </w:rPr>
        <w:t xml:space="preserve"> </w:t>
      </w:r>
    </w:p>
    <w:p w:rsidR="00BF3813" w:rsidRDefault="00BF3813" w:rsidP="00BF3813">
      <w:pPr>
        <w:widowControl w:val="0"/>
        <w:tabs>
          <w:tab w:val="left" w:pos="7446"/>
          <w:tab w:val="left" w:pos="9356"/>
        </w:tabs>
        <w:jc w:val="both"/>
        <w:rPr>
          <w:rFonts w:ascii="Times New Roman" w:hAnsi="Times New Roman" w:cs="Times New Roman"/>
          <w:sz w:val="24"/>
          <w:szCs w:val="24"/>
        </w:rPr>
      </w:pPr>
    </w:p>
    <w:p w:rsidR="00F354E4" w:rsidRPr="004F0C33" w:rsidRDefault="00F354E4" w:rsidP="00BF3813">
      <w:pPr>
        <w:widowControl w:val="0"/>
        <w:tabs>
          <w:tab w:val="left" w:pos="7446"/>
          <w:tab w:val="left" w:pos="9356"/>
        </w:tabs>
        <w:jc w:val="both"/>
        <w:rPr>
          <w:rFonts w:ascii="Times New Roman" w:hAnsi="Times New Roman" w:cs="Times New Roman"/>
          <w:sz w:val="24"/>
          <w:szCs w:val="24"/>
        </w:rPr>
      </w:pPr>
      <w:bookmarkStart w:id="0" w:name="_GoBack"/>
      <w:bookmarkEnd w:id="0"/>
    </w:p>
    <w:p w:rsidR="004F0C33" w:rsidRPr="004F0C33" w:rsidRDefault="004F0C33" w:rsidP="004F0C33">
      <w:pPr>
        <w:pStyle w:val="Sangradetextonormal"/>
        <w:ind w:firstLine="0"/>
        <w:rPr>
          <w:sz w:val="24"/>
          <w:szCs w:val="24"/>
        </w:rPr>
      </w:pPr>
      <w:r w:rsidRPr="004F0C33">
        <w:rPr>
          <w:sz w:val="24"/>
          <w:szCs w:val="24"/>
        </w:rPr>
        <w:t xml:space="preserve">ENZO GASTÓN MARIA subdelegado por acta del Directorio de </w:t>
      </w:r>
      <w:proofErr w:type="spellStart"/>
      <w:r w:rsidR="009D1317">
        <w:rPr>
          <w:sz w:val="24"/>
          <w:szCs w:val="24"/>
        </w:rPr>
        <w:t>Zuamar</w:t>
      </w:r>
      <w:proofErr w:type="spellEnd"/>
      <w:r w:rsidRPr="004F0C33">
        <w:rPr>
          <w:sz w:val="24"/>
          <w:szCs w:val="24"/>
        </w:rPr>
        <w:t xml:space="preserve"> S.A. de fecha </w:t>
      </w:r>
      <w:r w:rsidR="009D1317">
        <w:rPr>
          <w:sz w:val="24"/>
          <w:szCs w:val="24"/>
        </w:rPr>
        <w:t>30</w:t>
      </w:r>
      <w:r w:rsidR="00E6762A">
        <w:rPr>
          <w:sz w:val="24"/>
          <w:szCs w:val="24"/>
        </w:rPr>
        <w:t xml:space="preserve"> </w:t>
      </w:r>
      <w:r w:rsidR="00044338">
        <w:rPr>
          <w:sz w:val="24"/>
          <w:szCs w:val="24"/>
        </w:rPr>
        <w:t xml:space="preserve">de </w:t>
      </w:r>
      <w:r w:rsidR="00E6762A">
        <w:rPr>
          <w:sz w:val="24"/>
          <w:szCs w:val="24"/>
        </w:rPr>
        <w:t>septiembre</w:t>
      </w:r>
      <w:r w:rsidRPr="004F0C33">
        <w:rPr>
          <w:sz w:val="24"/>
          <w:szCs w:val="24"/>
        </w:rPr>
        <w:t xml:space="preserve"> de 2020.</w:t>
      </w:r>
    </w:p>
    <w:p w:rsidR="002B104E" w:rsidRPr="004F0C33" w:rsidRDefault="002B104E">
      <w:pPr>
        <w:rPr>
          <w:rFonts w:ascii="Times New Roman" w:hAnsi="Times New Roman" w:cs="Times New Roman"/>
          <w:sz w:val="24"/>
          <w:szCs w:val="24"/>
        </w:rPr>
      </w:pPr>
    </w:p>
    <w:sectPr w:rsidR="002B104E" w:rsidRPr="004F0C33" w:rsidSect="00F354E4">
      <w:pgSz w:w="11906" w:h="16838" w:code="9"/>
      <w:pgMar w:top="851" w:right="1134" w:bottom="765"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18364C"/>
    <w:multiLevelType w:val="hybridMultilevel"/>
    <w:tmpl w:val="53848440"/>
    <w:lvl w:ilvl="0" w:tplc="2C0A0017">
      <w:start w:val="1"/>
      <w:numFmt w:val="lowerLetter"/>
      <w:lvlText w:val="%1)"/>
      <w:lvlJc w:val="left"/>
      <w:pPr>
        <w:ind w:left="72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1" w15:restartNumberingAfterBreak="0">
    <w:nsid w:val="672073B4"/>
    <w:multiLevelType w:val="hybridMultilevel"/>
    <w:tmpl w:val="F91AFB32"/>
    <w:lvl w:ilvl="0" w:tplc="2C0A0017">
      <w:start w:val="1"/>
      <w:numFmt w:val="lowerLetter"/>
      <w:lvlText w:val="%1)"/>
      <w:lvlJc w:val="left"/>
      <w:pPr>
        <w:ind w:left="72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A0F7C"/>
    <w:rsid w:val="00003851"/>
    <w:rsid w:val="00044338"/>
    <w:rsid w:val="002B104E"/>
    <w:rsid w:val="002D78D3"/>
    <w:rsid w:val="003A0F7C"/>
    <w:rsid w:val="004F0C33"/>
    <w:rsid w:val="006A6331"/>
    <w:rsid w:val="00813C50"/>
    <w:rsid w:val="009D1317"/>
    <w:rsid w:val="00AE21CB"/>
    <w:rsid w:val="00B40526"/>
    <w:rsid w:val="00BC19AC"/>
    <w:rsid w:val="00BF3813"/>
    <w:rsid w:val="00BF6BAD"/>
    <w:rsid w:val="00E362CF"/>
    <w:rsid w:val="00E6762A"/>
    <w:rsid w:val="00F354E4"/>
    <w:rsid w:val="00FF38C6"/>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407D38"/>
  <w15:chartTrackingRefBased/>
  <w15:docId w15:val="{3F7166C8-92AF-45F7-A811-C047B37E6A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A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AE21CB"/>
    <w:pPr>
      <w:spacing w:after="200" w:line="276" w:lineRule="auto"/>
      <w:ind w:left="720"/>
      <w:contextualSpacing/>
    </w:pPr>
    <w:rPr>
      <w:rFonts w:ascii="Calibri" w:eastAsia="Calibri" w:hAnsi="Calibri" w:cs="Times New Roman"/>
    </w:rPr>
  </w:style>
  <w:style w:type="paragraph" w:styleId="Sangradetextonormal">
    <w:name w:val="Body Text Indent"/>
    <w:basedOn w:val="Normal"/>
    <w:link w:val="SangradetextonormalCar"/>
    <w:rsid w:val="00813C50"/>
    <w:pPr>
      <w:spacing w:after="0" w:line="240" w:lineRule="auto"/>
      <w:ind w:firstLine="708"/>
      <w:jc w:val="both"/>
    </w:pPr>
    <w:rPr>
      <w:rFonts w:ascii="Times New Roman" w:eastAsia="Times New Roman" w:hAnsi="Times New Roman" w:cs="Times New Roman"/>
      <w:sz w:val="20"/>
      <w:szCs w:val="20"/>
      <w:lang w:eastAsia="es-ES"/>
    </w:rPr>
  </w:style>
  <w:style w:type="character" w:customStyle="1" w:styleId="SangradetextonormalCar">
    <w:name w:val="Sangría de texto normal Car"/>
    <w:basedOn w:val="Fuentedeprrafopredeter"/>
    <w:link w:val="Sangradetextonormal"/>
    <w:rsid w:val="00813C50"/>
    <w:rPr>
      <w:rFonts w:ascii="Times New Roman" w:eastAsia="Times New Roman" w:hAnsi="Times New Roman" w:cs="Times New Roman"/>
      <w:sz w:val="20"/>
      <w:szCs w:val="20"/>
      <w:lang w:eastAsia="es-ES"/>
    </w:rPr>
  </w:style>
  <w:style w:type="character" w:styleId="Hipervnculo">
    <w:name w:val="Hyperlink"/>
    <w:basedOn w:val="Fuentedeprrafopredeter"/>
    <w:uiPriority w:val="99"/>
    <w:unhideWhenUsed/>
    <w:rsid w:val="004F0C33"/>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argentina.gob.ar/cnv" TargetMode="Externa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TotalTime>
  <Pages>1</Pages>
  <Words>611</Words>
  <Characters>3485</Characters>
  <Application>Microsoft Office Word</Application>
  <DocSecurity>0</DocSecurity>
  <Lines>29</Lines>
  <Paragraphs>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4088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enrique fsaenz</dc:creator>
  <cp:keywords/>
  <dc:description/>
  <cp:lastModifiedBy>Enrique Fernández Sáenz</cp:lastModifiedBy>
  <cp:revision>4</cp:revision>
  <dcterms:created xsi:type="dcterms:W3CDTF">2021-11-08T00:12:00Z</dcterms:created>
  <dcterms:modified xsi:type="dcterms:W3CDTF">2021-11-08T00:27:00Z</dcterms:modified>
</cp:coreProperties>
</file>