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992D7D" w14:textId="77777777" w:rsidR="000028C0" w:rsidRPr="000028C0" w:rsidRDefault="000028C0" w:rsidP="002D4147">
      <w:pPr>
        <w:ind w:firstLine="708"/>
        <w:jc w:val="center"/>
        <w:rPr>
          <w:rFonts w:ascii="Times New Roman" w:hAnsi="Times New Roman" w:cs="Times New Roman"/>
          <w:b/>
        </w:rPr>
      </w:pPr>
      <w:r w:rsidRPr="000028C0">
        <w:rPr>
          <w:rFonts w:ascii="Times New Roman" w:hAnsi="Times New Roman" w:cs="Times New Roman"/>
          <w:b/>
        </w:rPr>
        <w:t>PILISAR S.A.</w:t>
      </w:r>
    </w:p>
    <w:p w14:paraId="7272E662" w14:textId="33A99265" w:rsidR="000A37A6" w:rsidRDefault="000028C0" w:rsidP="00F5246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Pilisar</w:t>
      </w:r>
      <w:r w:rsidRPr="000028C0">
        <w:rPr>
          <w:rFonts w:ascii="Times New Roman" w:hAnsi="Times New Roman" w:cs="Times New Roman"/>
          <w:lang w:val="es-ES"/>
        </w:rPr>
        <w:t xml:space="preserve"> S.A. (la “</w:t>
      </w:r>
      <w:r w:rsidRPr="000028C0">
        <w:rPr>
          <w:rFonts w:ascii="Times New Roman" w:hAnsi="Times New Roman" w:cs="Times New Roman"/>
          <w:u w:val="single"/>
          <w:lang w:val="es-ES"/>
        </w:rPr>
        <w:t>Sociedad</w:t>
      </w:r>
      <w:r w:rsidRPr="000028C0">
        <w:rPr>
          <w:rFonts w:ascii="Times New Roman" w:hAnsi="Times New Roman" w:cs="Times New Roman"/>
          <w:lang w:val="es-ES"/>
        </w:rPr>
        <w:t xml:space="preserve">”), constituida el </w:t>
      </w:r>
      <w:r w:rsidR="00855E73">
        <w:rPr>
          <w:rFonts w:ascii="Times New Roman" w:hAnsi="Times New Roman" w:cs="Times New Roman"/>
          <w:lang w:val="es-ES"/>
        </w:rPr>
        <w:t>28/03/2005</w:t>
      </w:r>
      <w:r w:rsidRPr="000028C0">
        <w:rPr>
          <w:rFonts w:ascii="Times New Roman" w:hAnsi="Times New Roman" w:cs="Times New Roman"/>
          <w:lang w:val="es-ES"/>
        </w:rPr>
        <w:t xml:space="preserve"> </w:t>
      </w:r>
      <w:r>
        <w:rPr>
          <w:rFonts w:ascii="Times New Roman" w:hAnsi="Times New Roman" w:cs="Times New Roman"/>
          <w:lang w:val="es-ES"/>
        </w:rPr>
        <w:t xml:space="preserve">en </w:t>
      </w:r>
      <w:r w:rsidR="000A12BB">
        <w:rPr>
          <w:rFonts w:ascii="Times New Roman" w:hAnsi="Times New Roman" w:cs="Times New Roman"/>
          <w:lang w:val="es-ES"/>
        </w:rPr>
        <w:t>la Ciudad Autónoma de Buenos Aires</w:t>
      </w:r>
      <w:r w:rsidRPr="000028C0">
        <w:rPr>
          <w:rFonts w:ascii="Times New Roman" w:hAnsi="Times New Roman" w:cs="Times New Roman"/>
          <w:lang w:val="es-ES"/>
        </w:rPr>
        <w:t xml:space="preserve">, con duración </w:t>
      </w:r>
      <w:r>
        <w:rPr>
          <w:rFonts w:ascii="Times New Roman" w:hAnsi="Times New Roman" w:cs="Times New Roman"/>
          <w:lang w:val="es-ES"/>
        </w:rPr>
        <w:t xml:space="preserve">hasta el </w:t>
      </w:r>
      <w:r w:rsidR="00855E73">
        <w:rPr>
          <w:rFonts w:ascii="Times New Roman" w:hAnsi="Times New Roman" w:cs="Times New Roman"/>
          <w:lang w:val="es-ES"/>
        </w:rPr>
        <w:t>28/03/2104</w:t>
      </w:r>
      <w:r w:rsidRPr="000028C0">
        <w:rPr>
          <w:rFonts w:ascii="Times New Roman" w:hAnsi="Times New Roman" w:cs="Times New Roman"/>
          <w:lang w:val="es-ES"/>
        </w:rPr>
        <w:t>, in</w:t>
      </w:r>
      <w:r>
        <w:rPr>
          <w:rFonts w:ascii="Times New Roman" w:hAnsi="Times New Roman" w:cs="Times New Roman"/>
          <w:lang w:val="es-ES"/>
        </w:rPr>
        <w:t>scripta en la Inspección General de Justicia</w:t>
      </w:r>
      <w:r w:rsidRPr="000028C0">
        <w:rPr>
          <w:rFonts w:ascii="Times New Roman" w:hAnsi="Times New Roman" w:cs="Times New Roman"/>
          <w:lang w:val="es-ES"/>
        </w:rPr>
        <w:t xml:space="preserve"> el </w:t>
      </w:r>
      <w:r w:rsidR="00855E73">
        <w:rPr>
          <w:rFonts w:ascii="Times New Roman" w:hAnsi="Times New Roman" w:cs="Times New Roman"/>
          <w:lang w:val="es-ES"/>
        </w:rPr>
        <w:t>19/04/2005</w:t>
      </w:r>
      <w:r w:rsidRPr="000028C0">
        <w:rPr>
          <w:rFonts w:ascii="Times New Roman" w:hAnsi="Times New Roman" w:cs="Times New Roman"/>
          <w:lang w:val="es-ES"/>
        </w:rPr>
        <w:t xml:space="preserve">, bajo el </w:t>
      </w:r>
      <w:r>
        <w:rPr>
          <w:rFonts w:ascii="Times New Roman" w:hAnsi="Times New Roman" w:cs="Times New Roman"/>
          <w:lang w:val="es-ES"/>
        </w:rPr>
        <w:t>Nº</w:t>
      </w:r>
      <w:r w:rsidR="000A37A6">
        <w:rPr>
          <w:rFonts w:ascii="Times New Roman" w:hAnsi="Times New Roman" w:cs="Times New Roman"/>
          <w:lang w:val="es-ES"/>
        </w:rPr>
        <w:t xml:space="preserve"> </w:t>
      </w:r>
      <w:r w:rsidR="00855E73">
        <w:rPr>
          <w:rFonts w:ascii="Times New Roman" w:hAnsi="Times New Roman" w:cs="Times New Roman"/>
          <w:lang w:val="es-ES"/>
        </w:rPr>
        <w:t>4796</w:t>
      </w:r>
      <w:r w:rsidR="000A37A6">
        <w:rPr>
          <w:rFonts w:ascii="Times New Roman" w:hAnsi="Times New Roman" w:cs="Times New Roman"/>
          <w:lang w:val="es-ES"/>
        </w:rPr>
        <w:t xml:space="preserve">, Libro N° </w:t>
      </w:r>
      <w:r w:rsidR="00855E73">
        <w:rPr>
          <w:rFonts w:ascii="Times New Roman" w:hAnsi="Times New Roman" w:cs="Times New Roman"/>
          <w:lang w:val="es-ES"/>
        </w:rPr>
        <w:t>27</w:t>
      </w:r>
      <w:r w:rsidR="000A37A6">
        <w:rPr>
          <w:rFonts w:ascii="Times New Roman" w:hAnsi="Times New Roman" w:cs="Times New Roman"/>
          <w:lang w:val="es-ES"/>
        </w:rPr>
        <w:t xml:space="preserve">, Tomo </w:t>
      </w:r>
      <w:r>
        <w:rPr>
          <w:rFonts w:ascii="Times New Roman" w:hAnsi="Times New Roman" w:cs="Times New Roman"/>
          <w:lang w:val="es-ES"/>
        </w:rPr>
        <w:t>“</w:t>
      </w:r>
      <w:r w:rsidR="00855E73">
        <w:rPr>
          <w:rFonts w:ascii="Times New Roman" w:hAnsi="Times New Roman" w:cs="Times New Roman"/>
          <w:lang w:val="es-ES"/>
        </w:rPr>
        <w:t>-</w:t>
      </w:r>
      <w:r w:rsidRPr="000028C0">
        <w:rPr>
          <w:rFonts w:ascii="Times New Roman" w:hAnsi="Times New Roman" w:cs="Times New Roman"/>
          <w:lang w:val="es-ES"/>
        </w:rPr>
        <w:t>”</w:t>
      </w:r>
      <w:r w:rsidR="00855E73">
        <w:rPr>
          <w:rFonts w:ascii="Times New Roman" w:hAnsi="Times New Roman" w:cs="Times New Roman"/>
          <w:lang w:val="es-ES"/>
        </w:rPr>
        <w:t>, Folio N° 187</w:t>
      </w:r>
      <w:r w:rsidRPr="000028C0">
        <w:rPr>
          <w:rFonts w:ascii="Times New Roman" w:hAnsi="Times New Roman" w:cs="Times New Roman"/>
          <w:lang w:val="es-ES"/>
        </w:rPr>
        <w:t xml:space="preserve"> de Sociedades </w:t>
      </w:r>
      <w:r w:rsidR="000A12BB">
        <w:rPr>
          <w:rFonts w:ascii="Times New Roman" w:hAnsi="Times New Roman" w:cs="Times New Roman"/>
          <w:lang w:val="es-ES"/>
        </w:rPr>
        <w:t>por Acciones</w:t>
      </w:r>
      <w:r w:rsidRPr="000028C0">
        <w:rPr>
          <w:rFonts w:ascii="Times New Roman" w:hAnsi="Times New Roman" w:cs="Times New Roman"/>
          <w:lang w:val="es-ES"/>
        </w:rPr>
        <w:t xml:space="preserve">, con sede social en </w:t>
      </w:r>
      <w:r w:rsidR="00855E73" w:rsidRPr="00855E73">
        <w:rPr>
          <w:rFonts w:ascii="Times New Roman" w:hAnsi="Times New Roman" w:cs="Times New Roman"/>
          <w:lang w:val="es-ES"/>
        </w:rPr>
        <w:t xml:space="preserve">Roque Perez 3650, PB, </w:t>
      </w:r>
      <w:r w:rsidR="00855E73">
        <w:rPr>
          <w:rFonts w:ascii="Times New Roman" w:hAnsi="Times New Roman" w:cs="Times New Roman"/>
          <w:lang w:val="es-ES"/>
        </w:rPr>
        <w:t>Ciudad Autónoma de Buenos Aires, Argentina</w:t>
      </w:r>
      <w:r>
        <w:rPr>
          <w:rFonts w:ascii="Times New Roman" w:hAnsi="Times New Roman" w:cs="Times New Roman"/>
          <w:lang w:val="es-ES"/>
        </w:rPr>
        <w:t xml:space="preserve">, ha resuelto </w:t>
      </w:r>
      <w:r w:rsidRPr="000028C0">
        <w:rPr>
          <w:rFonts w:ascii="Times New Roman" w:hAnsi="Times New Roman" w:cs="Times New Roman"/>
          <w:lang w:val="es-ES"/>
        </w:rPr>
        <w:t>mediante</w:t>
      </w:r>
      <w:r w:rsidR="00CA06C2">
        <w:rPr>
          <w:rFonts w:ascii="Times New Roman" w:hAnsi="Times New Roman" w:cs="Times New Roman"/>
          <w:lang w:val="es-ES"/>
        </w:rPr>
        <w:t xml:space="preserve"> (i) Acta de Asamblea de fecha </w:t>
      </w:r>
      <w:r w:rsidR="00F02A12" w:rsidRPr="00404919">
        <w:rPr>
          <w:rFonts w:ascii="Times New Roman" w:hAnsi="Times New Roman" w:cs="Times New Roman"/>
          <w:lang w:val="es-ES"/>
        </w:rPr>
        <w:t>01/02/2022</w:t>
      </w:r>
      <w:r w:rsidR="00F02A12" w:rsidRPr="00F02A12">
        <w:rPr>
          <w:rFonts w:ascii="Times New Roman" w:hAnsi="Times New Roman" w:cs="Times New Roman"/>
          <w:lang w:val="es-ES"/>
        </w:rPr>
        <w:t>;</w:t>
      </w:r>
      <w:r w:rsidR="00F02A12" w:rsidRPr="000028C0">
        <w:rPr>
          <w:rFonts w:ascii="Times New Roman" w:hAnsi="Times New Roman" w:cs="Times New Roman"/>
          <w:lang w:val="es-ES"/>
        </w:rPr>
        <w:t xml:space="preserve"> </w:t>
      </w:r>
      <w:r w:rsidR="00484AAA">
        <w:rPr>
          <w:rFonts w:ascii="Times New Roman" w:hAnsi="Times New Roman" w:cs="Times New Roman"/>
          <w:lang w:val="es-ES"/>
        </w:rPr>
        <w:t xml:space="preserve">y </w:t>
      </w:r>
      <w:r w:rsidR="00CA06C2">
        <w:rPr>
          <w:rFonts w:ascii="Times New Roman" w:hAnsi="Times New Roman" w:cs="Times New Roman"/>
          <w:lang w:val="es-ES"/>
        </w:rPr>
        <w:t xml:space="preserve">(ii) Acta de Directorio  de fecha </w:t>
      </w:r>
      <w:r w:rsidR="00F02A12" w:rsidRPr="00404919">
        <w:rPr>
          <w:rFonts w:ascii="Times New Roman" w:hAnsi="Times New Roman" w:cs="Times New Roman"/>
          <w:lang w:val="es-ES"/>
        </w:rPr>
        <w:t>02/02/2022</w:t>
      </w:r>
      <w:r w:rsidR="00B30845" w:rsidRPr="00F02A12">
        <w:rPr>
          <w:rFonts w:ascii="Times New Roman" w:hAnsi="Times New Roman" w:cs="Times New Roman"/>
          <w:lang w:val="es-ES"/>
        </w:rPr>
        <w:t>;</w:t>
      </w:r>
      <w:r w:rsidR="00484AAA">
        <w:rPr>
          <w:rFonts w:ascii="Times New Roman" w:hAnsi="Times New Roman" w:cs="Times New Roman"/>
          <w:lang w:val="es-ES"/>
        </w:rPr>
        <w:t xml:space="preserve"> </w:t>
      </w:r>
      <w:r w:rsidR="0006003C">
        <w:rPr>
          <w:rFonts w:ascii="Times New Roman" w:hAnsi="Times New Roman" w:cs="Times New Roman"/>
          <w:lang w:val="es-ES"/>
        </w:rPr>
        <w:t xml:space="preserve">el ingreso de la Sociedad al régimen de emisión de obligaciones negociables PYME CNV Garantizada y </w:t>
      </w:r>
      <w:r>
        <w:rPr>
          <w:rFonts w:ascii="Times New Roman" w:hAnsi="Times New Roman" w:cs="Times New Roman"/>
          <w:lang w:val="es-ES"/>
        </w:rPr>
        <w:t xml:space="preserve">la emisión </w:t>
      </w:r>
      <w:r w:rsidR="0006003C">
        <w:rPr>
          <w:rFonts w:ascii="Times New Roman" w:hAnsi="Times New Roman" w:cs="Times New Roman"/>
          <w:lang w:val="es-ES"/>
        </w:rPr>
        <w:t xml:space="preserve">bajo dicho régimen </w:t>
      </w:r>
      <w:r>
        <w:rPr>
          <w:rFonts w:ascii="Times New Roman" w:hAnsi="Times New Roman" w:cs="Times New Roman"/>
          <w:lang w:val="es-ES"/>
        </w:rPr>
        <w:t xml:space="preserve">de </w:t>
      </w:r>
      <w:r w:rsidR="0006003C">
        <w:rPr>
          <w:rFonts w:ascii="Times New Roman" w:hAnsi="Times New Roman" w:cs="Times New Roman"/>
          <w:lang w:val="es-ES"/>
        </w:rPr>
        <w:t xml:space="preserve">las </w:t>
      </w:r>
      <w:r w:rsidRPr="000028C0">
        <w:rPr>
          <w:rFonts w:ascii="Times New Roman" w:hAnsi="Times New Roman" w:cs="Times New Roman"/>
          <w:lang w:val="es-ES"/>
        </w:rPr>
        <w:t>Obligacio</w:t>
      </w:r>
      <w:r>
        <w:rPr>
          <w:rFonts w:ascii="Times New Roman" w:hAnsi="Times New Roman" w:cs="Times New Roman"/>
          <w:lang w:val="es-ES"/>
        </w:rPr>
        <w:t xml:space="preserve">nes Negociables Clase I </w:t>
      </w:r>
      <w:r w:rsidRPr="000028C0">
        <w:rPr>
          <w:rFonts w:ascii="Times New Roman" w:hAnsi="Times New Roman" w:cs="Times New Roman"/>
          <w:lang w:val="es-ES"/>
        </w:rPr>
        <w:t>por un valor nominal de hasta $500.000</w:t>
      </w:r>
      <w:r>
        <w:rPr>
          <w:rFonts w:ascii="Times New Roman" w:hAnsi="Times New Roman" w:cs="Times New Roman"/>
          <w:lang w:val="es-ES"/>
        </w:rPr>
        <w:t>.000</w:t>
      </w:r>
      <w:r w:rsidR="000A37A6">
        <w:rPr>
          <w:rFonts w:ascii="Times New Roman" w:hAnsi="Times New Roman" w:cs="Times New Roman"/>
          <w:lang w:val="es-ES"/>
        </w:rPr>
        <w:t xml:space="preserve"> (las “</w:t>
      </w:r>
      <w:r w:rsidR="000A37A6" w:rsidRPr="000A37A6">
        <w:rPr>
          <w:rFonts w:ascii="Times New Roman" w:hAnsi="Times New Roman" w:cs="Times New Roman"/>
          <w:u w:val="single"/>
          <w:lang w:val="es-ES"/>
        </w:rPr>
        <w:t>Obligaciones Negociables</w:t>
      </w:r>
      <w:r w:rsidR="000A37A6">
        <w:rPr>
          <w:rFonts w:ascii="Times New Roman" w:hAnsi="Times New Roman" w:cs="Times New Roman"/>
          <w:lang w:val="es-ES"/>
        </w:rPr>
        <w:t>”)</w:t>
      </w:r>
      <w:r>
        <w:rPr>
          <w:rFonts w:ascii="Times New Roman" w:hAnsi="Times New Roman" w:cs="Times New Roman"/>
          <w:lang w:val="es-ES"/>
        </w:rPr>
        <w:t xml:space="preserve">. </w:t>
      </w:r>
      <w:r w:rsidR="000A37A6">
        <w:rPr>
          <w:rFonts w:ascii="Times New Roman" w:hAnsi="Times New Roman" w:cs="Times New Roman"/>
        </w:rPr>
        <w:t xml:space="preserve">Las Obligaciones Negociables </w:t>
      </w:r>
      <w:r w:rsidR="000A37A6" w:rsidRPr="000A37A6">
        <w:rPr>
          <w:rFonts w:ascii="Times New Roman" w:hAnsi="Times New Roman" w:cs="Times New Roman"/>
        </w:rPr>
        <w:t>serán ofrecidas por un valor nominal</w:t>
      </w:r>
      <w:r w:rsidR="000A37A6">
        <w:rPr>
          <w:rFonts w:ascii="Times New Roman" w:hAnsi="Times New Roman" w:cs="Times New Roman"/>
        </w:rPr>
        <w:t xml:space="preserve"> en Pesos de hasta $500.000.000 y </w:t>
      </w:r>
      <w:r w:rsidR="000A37A6" w:rsidRPr="000A37A6">
        <w:rPr>
          <w:rFonts w:ascii="Times New Roman" w:hAnsi="Times New Roman" w:cs="Times New Roman"/>
        </w:rPr>
        <w:t xml:space="preserve">estarán denominadas y serán suscriptas en Pesos y todos los pagos bajo las mismas se realizarán en Pesos en la Fecha de Vencimiento y/o en </w:t>
      </w:r>
      <w:r w:rsidR="000A37A6">
        <w:rPr>
          <w:rFonts w:ascii="Times New Roman" w:hAnsi="Times New Roman" w:cs="Times New Roman"/>
        </w:rPr>
        <w:t>cada Fecha de Pago de Intereses. La Sociedad</w:t>
      </w:r>
      <w:r w:rsidRPr="000028C0">
        <w:rPr>
          <w:rFonts w:ascii="Times New Roman" w:hAnsi="Times New Roman" w:cs="Times New Roman"/>
        </w:rPr>
        <w:t xml:space="preserve"> no ha emitido</w:t>
      </w:r>
      <w:r w:rsidR="000A37A6">
        <w:rPr>
          <w:rFonts w:ascii="Times New Roman" w:hAnsi="Times New Roman" w:cs="Times New Roman"/>
          <w:lang w:val="es-ES"/>
        </w:rPr>
        <w:t xml:space="preserve"> </w:t>
      </w:r>
      <w:r w:rsidRPr="000028C0">
        <w:rPr>
          <w:rFonts w:ascii="Times New Roman" w:hAnsi="Times New Roman" w:cs="Times New Roman"/>
        </w:rPr>
        <w:t xml:space="preserve">con anterioridad obligaciones negociables o debentures. </w:t>
      </w:r>
      <w:r w:rsidRPr="00646ECE">
        <w:rPr>
          <w:rFonts w:ascii="Times New Roman" w:hAnsi="Times New Roman" w:cs="Times New Roman"/>
        </w:rPr>
        <w:t xml:space="preserve">Al </w:t>
      </w:r>
      <w:r w:rsidR="00352DC3" w:rsidRPr="00404919">
        <w:rPr>
          <w:rFonts w:ascii="Times New Roman" w:hAnsi="Times New Roman" w:cs="Times New Roman"/>
        </w:rPr>
        <w:t xml:space="preserve">momento </w:t>
      </w:r>
      <w:r w:rsidRPr="00646ECE">
        <w:rPr>
          <w:rFonts w:ascii="Times New Roman" w:hAnsi="Times New Roman" w:cs="Times New Roman"/>
        </w:rPr>
        <w:t>de la emisión, la</w:t>
      </w:r>
      <w:r w:rsidR="000A37A6" w:rsidRPr="00646ECE">
        <w:rPr>
          <w:rFonts w:ascii="Times New Roman" w:hAnsi="Times New Roman" w:cs="Times New Roman"/>
          <w:lang w:val="es-ES"/>
        </w:rPr>
        <w:t xml:space="preserve"> Sociedad</w:t>
      </w:r>
      <w:r w:rsidRPr="00646ECE">
        <w:rPr>
          <w:rFonts w:ascii="Times New Roman" w:hAnsi="Times New Roman" w:cs="Times New Roman"/>
        </w:rPr>
        <w:t xml:space="preserve"> </w:t>
      </w:r>
      <w:r w:rsidR="000A37A6" w:rsidRPr="00646ECE">
        <w:rPr>
          <w:rFonts w:ascii="Times New Roman" w:hAnsi="Times New Roman" w:cs="Times New Roman"/>
        </w:rPr>
        <w:t xml:space="preserve">registra </w:t>
      </w:r>
      <w:r w:rsidR="002C2159" w:rsidRPr="00404919">
        <w:rPr>
          <w:rFonts w:ascii="Times New Roman" w:hAnsi="Times New Roman" w:cs="Times New Roman"/>
        </w:rPr>
        <w:t xml:space="preserve">las siguientes </w:t>
      </w:r>
      <w:r w:rsidR="000A37A6" w:rsidRPr="00646ECE">
        <w:rPr>
          <w:rFonts w:ascii="Times New Roman" w:hAnsi="Times New Roman" w:cs="Times New Roman"/>
        </w:rPr>
        <w:t xml:space="preserve">deudas </w:t>
      </w:r>
      <w:r w:rsidR="00352DC3" w:rsidRPr="00404919">
        <w:rPr>
          <w:rFonts w:ascii="Times New Roman" w:hAnsi="Times New Roman" w:cs="Times New Roman"/>
        </w:rPr>
        <w:t>garantizadas</w:t>
      </w:r>
      <w:r w:rsidR="00F06F0D" w:rsidRPr="00404919">
        <w:rPr>
          <w:rFonts w:ascii="Times New Roman" w:hAnsi="Times New Roman" w:cs="Times New Roman"/>
        </w:rPr>
        <w:t xml:space="preserve"> por Newsan</w:t>
      </w:r>
      <w:r w:rsidR="00404919">
        <w:rPr>
          <w:rFonts w:ascii="Times New Roman" w:hAnsi="Times New Roman" w:cs="Times New Roman"/>
        </w:rPr>
        <w:t xml:space="preserve"> S.A.</w:t>
      </w:r>
      <w:r w:rsidR="00F06F0D" w:rsidRPr="00404919">
        <w:rPr>
          <w:rFonts w:ascii="Times New Roman" w:hAnsi="Times New Roman" w:cs="Times New Roman"/>
        </w:rPr>
        <w:t xml:space="preserve">: $1.183.000.000 en Banco </w:t>
      </w:r>
      <w:r w:rsidR="00404919">
        <w:rPr>
          <w:rFonts w:ascii="Times New Roman" w:hAnsi="Times New Roman" w:cs="Times New Roman"/>
        </w:rPr>
        <w:t xml:space="preserve">de la </w:t>
      </w:r>
      <w:r w:rsidR="00F06F0D" w:rsidRPr="00404919">
        <w:rPr>
          <w:rFonts w:ascii="Times New Roman" w:hAnsi="Times New Roman" w:cs="Times New Roman"/>
        </w:rPr>
        <w:t>Provincia</w:t>
      </w:r>
      <w:r w:rsidR="00404919">
        <w:rPr>
          <w:rFonts w:ascii="Times New Roman" w:hAnsi="Times New Roman" w:cs="Times New Roman"/>
        </w:rPr>
        <w:t xml:space="preserve"> de Buenos Aires</w:t>
      </w:r>
      <w:r w:rsidR="00F06F0D" w:rsidRPr="00404919">
        <w:rPr>
          <w:rFonts w:ascii="Times New Roman" w:hAnsi="Times New Roman" w:cs="Times New Roman"/>
        </w:rPr>
        <w:t>; $1.635.000.000 en Banco Nación; $700.000.000 en Banco Itaú</w:t>
      </w:r>
      <w:r w:rsidR="00404919">
        <w:rPr>
          <w:rFonts w:ascii="Times New Roman" w:hAnsi="Times New Roman" w:cs="Times New Roman"/>
        </w:rPr>
        <w:t xml:space="preserve"> Argentina S.A.</w:t>
      </w:r>
      <w:r w:rsidR="00F06F0D" w:rsidRPr="00404919">
        <w:rPr>
          <w:rFonts w:ascii="Times New Roman" w:hAnsi="Times New Roman" w:cs="Times New Roman"/>
        </w:rPr>
        <w:t>; y $1.627.200.000 en Banco Macro</w:t>
      </w:r>
      <w:r w:rsidR="00404919">
        <w:rPr>
          <w:rFonts w:ascii="Times New Roman" w:hAnsi="Times New Roman" w:cs="Times New Roman"/>
        </w:rPr>
        <w:t xml:space="preserve"> S.A</w:t>
      </w:r>
      <w:r w:rsidR="00B30845" w:rsidRPr="00646ECE">
        <w:rPr>
          <w:rFonts w:ascii="Times New Roman" w:hAnsi="Times New Roman" w:cs="Times New Roman"/>
        </w:rPr>
        <w:t>.</w:t>
      </w:r>
      <w:r w:rsidR="000A37A6">
        <w:rPr>
          <w:rFonts w:ascii="Times New Roman" w:hAnsi="Times New Roman" w:cs="Times New Roman"/>
        </w:rPr>
        <w:t xml:space="preserve"> </w:t>
      </w:r>
      <w:r w:rsidR="0006003C">
        <w:rPr>
          <w:rFonts w:ascii="Times New Roman" w:hAnsi="Times New Roman" w:cs="Times New Roman"/>
        </w:rPr>
        <w:t xml:space="preserve">Las Obligaciones Negociables estarán garantizadas por un aval emitido </w:t>
      </w:r>
      <w:r w:rsidR="0006003C" w:rsidRPr="00404919">
        <w:rPr>
          <w:rFonts w:ascii="Times New Roman" w:hAnsi="Times New Roman" w:cs="Times New Roman"/>
        </w:rPr>
        <w:t xml:space="preserve">por </w:t>
      </w:r>
      <w:r w:rsidR="000A12BB" w:rsidRPr="002D4147">
        <w:rPr>
          <w:rFonts w:ascii="Times New Roman" w:hAnsi="Times New Roman" w:cs="Times New Roman"/>
        </w:rPr>
        <w:t>Fid</w:t>
      </w:r>
      <w:r w:rsidR="00404919">
        <w:rPr>
          <w:rFonts w:ascii="Times New Roman" w:hAnsi="Times New Roman" w:cs="Times New Roman"/>
        </w:rPr>
        <w:t xml:space="preserve"> Aval</w:t>
      </w:r>
      <w:r w:rsidR="00855E73" w:rsidRPr="002D4147">
        <w:rPr>
          <w:rFonts w:ascii="Times New Roman" w:hAnsi="Times New Roman" w:cs="Times New Roman"/>
        </w:rPr>
        <w:t xml:space="preserve"> S.G.R., </w:t>
      </w:r>
      <w:r w:rsidR="00855E73" w:rsidRPr="00404919">
        <w:rPr>
          <w:rFonts w:ascii="Times New Roman" w:hAnsi="Times New Roman" w:cs="Times New Roman"/>
        </w:rPr>
        <w:t xml:space="preserve">Banco </w:t>
      </w:r>
      <w:r w:rsidR="00855E73" w:rsidRPr="00855E73">
        <w:rPr>
          <w:rFonts w:ascii="Times New Roman" w:hAnsi="Times New Roman" w:cs="Times New Roman"/>
        </w:rPr>
        <w:t xml:space="preserve">Comafi S.A., Banco Supervielle S.A., Banco de Servicios y Transacciones S.A. </w:t>
      </w:r>
      <w:r w:rsidR="00855E73">
        <w:rPr>
          <w:rFonts w:ascii="Times New Roman" w:hAnsi="Times New Roman" w:cs="Times New Roman"/>
        </w:rPr>
        <w:t>y Banco Itaú Argentina S.A.</w:t>
      </w:r>
      <w:r w:rsidR="0006003C">
        <w:rPr>
          <w:rFonts w:ascii="Times New Roman" w:hAnsi="Times New Roman" w:cs="Times New Roman"/>
        </w:rPr>
        <w:t xml:space="preserve"> en las siguientes proporciones </w:t>
      </w:r>
      <w:r w:rsidR="00855E73">
        <w:rPr>
          <w:rFonts w:ascii="Times New Roman" w:hAnsi="Times New Roman" w:cs="Times New Roman"/>
        </w:rPr>
        <w:t>4%, 20%, 30%, 16% y 30%, respectivamente</w:t>
      </w:r>
      <w:r w:rsidR="0006003C">
        <w:rPr>
          <w:rFonts w:ascii="Times New Roman" w:hAnsi="Times New Roman" w:cs="Times New Roman"/>
        </w:rPr>
        <w:t xml:space="preserve">.  </w:t>
      </w:r>
      <w:r w:rsidR="00B30845">
        <w:rPr>
          <w:rFonts w:ascii="Times New Roman" w:hAnsi="Times New Roman" w:cs="Times New Roman"/>
        </w:rPr>
        <w:t xml:space="preserve">Naturaleza de la Garantía: Garantía Común. </w:t>
      </w:r>
      <w:r w:rsidR="00B30845" w:rsidRPr="00B30845">
        <w:rPr>
          <w:rFonts w:ascii="Times New Roman" w:hAnsi="Times New Roman" w:cs="Times New Roman"/>
        </w:rPr>
        <w:t>El capital de las Obligaciones Negociables se amortizará totalmente en un pago a ser realizado en la Fecha de V</w:t>
      </w:r>
      <w:r w:rsidR="00F5246E">
        <w:rPr>
          <w:rFonts w:ascii="Times New Roman" w:hAnsi="Times New Roman" w:cs="Times New Roman"/>
        </w:rPr>
        <w:t>encimiento</w:t>
      </w:r>
      <w:r w:rsidR="00B30845">
        <w:rPr>
          <w:rFonts w:ascii="Times New Roman" w:hAnsi="Times New Roman" w:cs="Times New Roman"/>
        </w:rPr>
        <w:t xml:space="preserve">. </w:t>
      </w:r>
      <w:r w:rsidR="00B30845" w:rsidRPr="00B30845">
        <w:rPr>
          <w:rFonts w:ascii="Times New Roman" w:hAnsi="Times New Roman" w:cs="Times New Roman"/>
        </w:rPr>
        <w:t>Los intereses se pagarán trimestralmente por período vencido a partir de la Fecha de Emisión y Liquidación, comenzando en el mes y año que se informará oportunamente en el Aviso de Resultados y en las fechas que sean un número de día idéntico a la Fecha de Em</w:t>
      </w:r>
      <w:r w:rsidR="00B30845">
        <w:rPr>
          <w:rFonts w:ascii="Times New Roman" w:hAnsi="Times New Roman" w:cs="Times New Roman"/>
        </w:rPr>
        <w:t xml:space="preserve">isión y Liquidación. </w:t>
      </w:r>
      <w:r w:rsidR="00B30845" w:rsidRPr="00B30845">
        <w:rPr>
          <w:rFonts w:ascii="Times New Roman" w:hAnsi="Times New Roman" w:cs="Times New Roman"/>
        </w:rPr>
        <w:t>La última Fecha de Pago de Intereses tendrá lugar en la Fecha de Vencimiento de las Obligaciones Negociables.</w:t>
      </w:r>
      <w:r w:rsidR="00F5246E">
        <w:rPr>
          <w:rFonts w:ascii="Times New Roman" w:hAnsi="Times New Roman" w:cs="Times New Roman"/>
        </w:rPr>
        <w:t xml:space="preserve"> </w:t>
      </w:r>
      <w:r w:rsidR="00F5246E" w:rsidRPr="00F5246E">
        <w:rPr>
          <w:rFonts w:ascii="Times New Roman" w:hAnsi="Times New Roman" w:cs="Times New Roman"/>
        </w:rPr>
        <w:t>El capital no amortizado de las Obligaciones Negociables devengará intereses a una tasa de interés variable, que será la suma de: (i) la Tasa de Referencia (según se define más adelante), más (ii) el Margen de Corte (</w:t>
      </w:r>
      <w:r w:rsidR="00F5246E">
        <w:rPr>
          <w:rFonts w:ascii="Times New Roman" w:hAnsi="Times New Roman" w:cs="Times New Roman"/>
        </w:rPr>
        <w:t xml:space="preserve">según se define más adelante). </w:t>
      </w:r>
      <w:r w:rsidR="00F5246E" w:rsidRPr="00F5246E">
        <w:rPr>
          <w:rFonts w:ascii="Times New Roman" w:hAnsi="Times New Roman" w:cs="Times New Roman"/>
        </w:rPr>
        <w:t xml:space="preserve">La Tasa de Interés será calculada para cada Fecha de Pago de Intereses por </w:t>
      </w:r>
      <w:r w:rsidR="00855E73">
        <w:rPr>
          <w:rFonts w:ascii="Times New Roman" w:hAnsi="Times New Roman" w:cs="Times New Roman"/>
        </w:rPr>
        <w:t>la Sociedad</w:t>
      </w:r>
      <w:r w:rsidR="00F5246E">
        <w:rPr>
          <w:rFonts w:ascii="Times New Roman" w:hAnsi="Times New Roman" w:cs="Times New Roman"/>
        </w:rPr>
        <w:t xml:space="preserve">. </w:t>
      </w:r>
      <w:r w:rsidR="00F5246E" w:rsidRPr="00F5246E">
        <w:rPr>
          <w:rFonts w:ascii="Times New Roman" w:hAnsi="Times New Roman" w:cs="Times New Roman"/>
        </w:rPr>
        <w:t>La Tasa de Interés resultante de dicho cálculo será truncada a dos decimales. El criterio de redondeo será el siguiente: del decimal 1 al decimal 4, se redondea hacia abajo; del decimal 5 al decimal 9, se redondea hacia arriba. La “Tasa de Referencia” será el promedio aritmético simple de la tasa de interés para depósitos a plazo fijo de más de $ 1.000.000 (Pesos un millón) por períodos de entre treinta (30) y treinta y cinco (35) días de plazo de bancos privados de Argentina publicada por el BCRA (la “</w:t>
      </w:r>
      <w:r w:rsidR="00F5246E" w:rsidRPr="00F5246E">
        <w:rPr>
          <w:rFonts w:ascii="Times New Roman" w:hAnsi="Times New Roman" w:cs="Times New Roman"/>
          <w:u w:val="single"/>
        </w:rPr>
        <w:t>Tasa BADLAR Privada</w:t>
      </w:r>
      <w:r w:rsidR="00F5246E" w:rsidRPr="00F5246E">
        <w:rPr>
          <w:rFonts w:ascii="Times New Roman" w:hAnsi="Times New Roman" w:cs="Times New Roman"/>
        </w:rPr>
        <w:t>”), durante el período que se inicia el séptimo Día Hábil anterior al inicio de cada Período de Devengamiento de Intereses y finaliza el séptimo Día Hábil anterior a la Fecha de Pago de Intereses correspo</w:t>
      </w:r>
      <w:r w:rsidR="00F5246E">
        <w:rPr>
          <w:rFonts w:ascii="Times New Roman" w:hAnsi="Times New Roman" w:cs="Times New Roman"/>
        </w:rPr>
        <w:t xml:space="preserve">ndiente (excluido este último). </w:t>
      </w:r>
      <w:r w:rsidR="00F5246E" w:rsidRPr="00F5246E">
        <w:rPr>
          <w:rFonts w:ascii="Times New Roman" w:hAnsi="Times New Roman" w:cs="Times New Roman"/>
        </w:rPr>
        <w:t>En caso de que la Tasa BADLAR Privada dejare de ser informada por el BCRA, se tomará: (i) la tasa sustituta de la Tasa BADLAR Privada que informe el BCRA o (ii) en caso de no existir o no informarse la tasa sustituta indicada en (i) precedente, el Agente de Cálculo calculará la Tasa de Referencia, considerando el promedio de tasas informadas para depósitos a plazos fijo de más de $ 1.000.000 (Pesos un millón) por períodos de entre treinta (30) y treinta y cinco (35) días de plazo de los cinco (5) primeros bancos privados de Argentina. A fin de seleccionar los cinco (5) primeros bancos privados se considerará el último informe de depósitos disponibles publicados por el BCRA.</w:t>
      </w:r>
      <w:r w:rsidR="0006003C">
        <w:rPr>
          <w:rFonts w:ascii="Times New Roman" w:hAnsi="Times New Roman" w:cs="Times New Roman"/>
        </w:rPr>
        <w:t xml:space="preserve"> </w:t>
      </w:r>
      <w:r w:rsidR="00F5246E" w:rsidRPr="00F5246E">
        <w:rPr>
          <w:rFonts w:ascii="Times New Roman" w:hAnsi="Times New Roman" w:cs="Times New Roman"/>
        </w:rPr>
        <w:t xml:space="preserve">El “Margen de Corte” será el margen (expresado como porcentaje nominal anual truncado a dos decimales) a adicionarse a la Tasa de Referencia en cada Período de Devengamiento de Intereses. El Margen de Corte será determinado luego del cierre del Período </w:t>
      </w:r>
      <w:r w:rsidR="00F5246E" w:rsidRPr="00F5246E">
        <w:rPr>
          <w:rFonts w:ascii="Times New Roman" w:hAnsi="Times New Roman" w:cs="Times New Roman"/>
        </w:rPr>
        <w:lastRenderedPageBreak/>
        <w:t xml:space="preserve">de Subasta y/o Licitación Pública y antes de la Fecha de Emisión y Liquidación e informado mediante el Aviso de </w:t>
      </w:r>
      <w:r w:rsidR="00F5246E" w:rsidRPr="005557EA">
        <w:rPr>
          <w:rFonts w:ascii="Times New Roman" w:hAnsi="Times New Roman" w:cs="Times New Roman"/>
        </w:rPr>
        <w:t>Resultados. Dicha determinación será efectuada sobre la base del resultado del procedimiento de adjudicación de las Obligaciones Negociables detallado en “</w:t>
      </w:r>
      <w:r w:rsidR="00F5246E" w:rsidRPr="005557EA">
        <w:rPr>
          <w:rFonts w:ascii="Times New Roman" w:hAnsi="Times New Roman" w:cs="Times New Roman"/>
          <w:i/>
        </w:rPr>
        <w:t>III. Plan de Distribución</w:t>
      </w:r>
      <w:r w:rsidR="00F5246E" w:rsidRPr="005557EA">
        <w:rPr>
          <w:rFonts w:ascii="Times New Roman" w:hAnsi="Times New Roman" w:cs="Times New Roman"/>
        </w:rPr>
        <w:t>” del Prospecto.</w:t>
      </w:r>
      <w:r w:rsidR="00BE125E" w:rsidRPr="005557EA">
        <w:rPr>
          <w:rFonts w:ascii="Times New Roman" w:hAnsi="Times New Roman" w:cs="Times New Roman"/>
        </w:rPr>
        <w:t xml:space="preserve"> </w:t>
      </w:r>
      <w:r w:rsidR="00BE125E" w:rsidRPr="005557EA">
        <w:rPr>
          <w:rFonts w:ascii="Times New Roman" w:hAnsi="Times New Roman" w:cs="Times New Roman"/>
          <w:lang w:val="es-ES"/>
        </w:rPr>
        <w:t xml:space="preserve">El objeto social </w:t>
      </w:r>
      <w:r w:rsidR="00EC7343">
        <w:rPr>
          <w:rFonts w:ascii="Times New Roman" w:hAnsi="Times New Roman" w:cs="Times New Roman"/>
          <w:lang w:val="es-ES"/>
        </w:rPr>
        <w:t xml:space="preserve">de la Sociedad es </w:t>
      </w:r>
      <w:r w:rsidR="00EC7343" w:rsidRPr="00EC7343">
        <w:rPr>
          <w:rFonts w:ascii="Times New Roman" w:hAnsi="Times New Roman" w:cs="Times New Roman"/>
          <w:lang w:val="es-ES"/>
        </w:rPr>
        <w:t>la fabricación, elaboración, fraccionamiento, integración, trasformación y comercialización de productos y sub-productos de la línea blanca y/o relativos a cualquier tipo de electrodomésticos y como actividades secundarias la compra, venta, importación, exportación, distribución, transporte y cualquier otra forma de comercialización al por mayor y/o menor de productos alimenticios, incluidos los frutos o productos del mar, la actividad financiera con excepción de las operaciones previstas en la Ley de Entidades Financieras y la representación y comercialización de marcas y patentes relativas a productos y subproductos de la línea blanca y/o relativos a cual</w:t>
      </w:r>
      <w:r w:rsidR="00EC7343">
        <w:rPr>
          <w:rFonts w:ascii="Times New Roman" w:hAnsi="Times New Roman" w:cs="Times New Roman"/>
          <w:lang w:val="es-ES"/>
        </w:rPr>
        <w:t xml:space="preserve">quier tipo de electrodomésticos </w:t>
      </w:r>
      <w:r w:rsidR="00BE125E" w:rsidRPr="005557EA">
        <w:rPr>
          <w:rFonts w:ascii="Times New Roman" w:hAnsi="Times New Roman" w:cs="Times New Roman"/>
          <w:lang w:val="es-ES"/>
        </w:rPr>
        <w:t xml:space="preserve">y la actividad principal actualmente desarrollada por la Sociedad es </w:t>
      </w:r>
      <w:r w:rsidR="004048C0" w:rsidRPr="004048C0">
        <w:rPr>
          <w:rFonts w:ascii="Times New Roman" w:hAnsi="Times New Roman" w:cs="Times New Roman"/>
          <w:lang w:val="es-ES"/>
        </w:rPr>
        <w:t>la fabricación, elaboración, fraccionamiento, integración, trasformación y comercialización de productos y sub-productos de la línea blanca y/o relativa a cualquier tipo de electrodomésticos y la representación y comercialización de marcas y patentes relativas a productos y subproductos de la línea blanca y/o relativa a cualquier tipo de electrodomésticos</w:t>
      </w:r>
      <w:r w:rsidR="00BE125E" w:rsidRPr="005557EA">
        <w:rPr>
          <w:rFonts w:ascii="Times New Roman" w:hAnsi="Times New Roman" w:cs="Times New Roman"/>
          <w:lang w:val="es-ES"/>
        </w:rPr>
        <w:t xml:space="preserve">. El capital social de la Sociedad al </w:t>
      </w:r>
      <w:r w:rsidR="00855E73">
        <w:rPr>
          <w:rFonts w:ascii="Times New Roman" w:hAnsi="Times New Roman" w:cs="Times New Roman"/>
          <w:lang w:val="es-ES"/>
        </w:rPr>
        <w:t>31/12/2020</w:t>
      </w:r>
      <w:r w:rsidR="00E24E75">
        <w:rPr>
          <w:rFonts w:ascii="Times New Roman" w:hAnsi="Times New Roman" w:cs="Times New Roman"/>
          <w:lang w:val="es-ES"/>
        </w:rPr>
        <w:t xml:space="preserve"> </w:t>
      </w:r>
      <w:r w:rsidR="00BE125E" w:rsidRPr="005557EA">
        <w:rPr>
          <w:rFonts w:ascii="Times New Roman" w:hAnsi="Times New Roman" w:cs="Times New Roman"/>
          <w:lang w:val="es-ES"/>
        </w:rPr>
        <w:t xml:space="preserve">ascendía a </w:t>
      </w:r>
      <w:r w:rsidR="008F216C" w:rsidRPr="005557EA">
        <w:rPr>
          <w:rFonts w:ascii="Times New Roman" w:hAnsi="Times New Roman" w:cs="Times New Roman"/>
          <w:lang w:val="es-ES"/>
        </w:rPr>
        <w:t>$</w:t>
      </w:r>
      <w:r w:rsidR="008F216C">
        <w:rPr>
          <w:rFonts w:ascii="Times New Roman" w:hAnsi="Times New Roman" w:cs="Times New Roman"/>
          <w:lang w:val="es-ES"/>
        </w:rPr>
        <w:t>446.486.888</w:t>
      </w:r>
      <w:r w:rsidR="008F216C" w:rsidRPr="005557EA">
        <w:rPr>
          <w:rFonts w:ascii="Times New Roman" w:hAnsi="Times New Roman" w:cs="Times New Roman"/>
          <w:lang w:val="es-ES"/>
        </w:rPr>
        <w:t xml:space="preserve"> </w:t>
      </w:r>
      <w:r w:rsidR="00BE125E" w:rsidRPr="005557EA">
        <w:rPr>
          <w:rFonts w:ascii="Times New Roman" w:hAnsi="Times New Roman" w:cs="Times New Roman"/>
          <w:lang w:val="es-ES"/>
        </w:rPr>
        <w:t xml:space="preserve">y estaba </w:t>
      </w:r>
      <w:proofErr w:type="gramStart"/>
      <w:r w:rsidR="00BE125E" w:rsidRPr="005557EA">
        <w:rPr>
          <w:rFonts w:ascii="Times New Roman" w:hAnsi="Times New Roman" w:cs="Times New Roman"/>
          <w:lang w:val="es-ES"/>
        </w:rPr>
        <w:t>representado</w:t>
      </w:r>
      <w:proofErr w:type="gramEnd"/>
      <w:r w:rsidR="00BE125E" w:rsidRPr="005557EA">
        <w:rPr>
          <w:rFonts w:ascii="Times New Roman" w:hAnsi="Times New Roman" w:cs="Times New Roman"/>
          <w:lang w:val="es-ES"/>
        </w:rPr>
        <w:t xml:space="preserve"> por </w:t>
      </w:r>
      <w:r w:rsidR="008F216C">
        <w:rPr>
          <w:rFonts w:ascii="Times New Roman" w:hAnsi="Times New Roman" w:cs="Times New Roman"/>
          <w:lang w:val="es-ES"/>
        </w:rPr>
        <w:t>446.486.888</w:t>
      </w:r>
      <w:r w:rsidR="008F216C" w:rsidRPr="005557EA">
        <w:rPr>
          <w:rFonts w:ascii="Times New Roman" w:hAnsi="Times New Roman" w:cs="Times New Roman"/>
          <w:lang w:val="es-ES"/>
        </w:rPr>
        <w:t xml:space="preserve"> </w:t>
      </w:r>
      <w:r w:rsidR="00BE125E" w:rsidRPr="005557EA">
        <w:rPr>
          <w:rFonts w:ascii="Times New Roman" w:hAnsi="Times New Roman" w:cs="Times New Roman"/>
          <w:lang w:val="es-ES"/>
        </w:rPr>
        <w:t>acciones ordinarias;</w:t>
      </w:r>
      <w:r w:rsidR="00BE125E" w:rsidRPr="000A37A6">
        <w:rPr>
          <w:rFonts w:ascii="Times New Roman" w:hAnsi="Times New Roman" w:cs="Times New Roman"/>
          <w:lang w:val="es-ES"/>
        </w:rPr>
        <w:t xml:space="preserve"> nominativas, no endosables de $1 valor nominal cada una, con derecho a un voto por acción. El patri</w:t>
      </w:r>
      <w:r w:rsidR="00BE125E">
        <w:rPr>
          <w:rFonts w:ascii="Times New Roman" w:hAnsi="Times New Roman" w:cs="Times New Roman"/>
          <w:lang w:val="es-ES"/>
        </w:rPr>
        <w:t xml:space="preserve">monio neto de la Sociedad al </w:t>
      </w:r>
      <w:r w:rsidR="00855E73">
        <w:rPr>
          <w:rFonts w:ascii="Times New Roman" w:hAnsi="Times New Roman" w:cs="Times New Roman"/>
          <w:lang w:val="es-ES"/>
        </w:rPr>
        <w:t>31/12/2020</w:t>
      </w:r>
      <w:r w:rsidR="00BE125E">
        <w:rPr>
          <w:rFonts w:ascii="Times New Roman" w:hAnsi="Times New Roman" w:cs="Times New Roman"/>
          <w:lang w:val="es-ES"/>
        </w:rPr>
        <w:t xml:space="preserve"> ascendía a $</w:t>
      </w:r>
      <w:r w:rsidR="008F216C" w:rsidRPr="008F216C">
        <w:rPr>
          <w:rFonts w:ascii="Times New Roman" w:hAnsi="Times New Roman" w:cs="Times New Roman"/>
          <w:lang w:val="es-ES"/>
        </w:rPr>
        <w:t>2.567.969.644</w:t>
      </w:r>
      <w:r w:rsidR="00BE125E" w:rsidRPr="000A37A6">
        <w:rPr>
          <w:rFonts w:ascii="Times New Roman" w:hAnsi="Times New Roman" w:cs="Times New Roman"/>
          <w:lang w:val="es-ES"/>
        </w:rPr>
        <w:t xml:space="preserve"> de acuerdo a los estados financieros de la Sociedad a dich</w:t>
      </w:r>
      <w:r w:rsidR="00BE125E">
        <w:rPr>
          <w:rFonts w:ascii="Times New Roman" w:hAnsi="Times New Roman" w:cs="Times New Roman"/>
          <w:lang w:val="es-ES"/>
        </w:rPr>
        <w:t>a</w:t>
      </w:r>
      <w:r w:rsidR="00BE125E" w:rsidRPr="000A37A6">
        <w:rPr>
          <w:rFonts w:ascii="Times New Roman" w:hAnsi="Times New Roman" w:cs="Times New Roman"/>
          <w:lang w:val="es-ES"/>
        </w:rPr>
        <w:t xml:space="preserve"> </w:t>
      </w:r>
      <w:r w:rsidR="00BE125E">
        <w:rPr>
          <w:rFonts w:ascii="Times New Roman" w:hAnsi="Times New Roman" w:cs="Times New Roman"/>
          <w:lang w:val="es-ES"/>
        </w:rPr>
        <w:t>fecha.</w:t>
      </w:r>
    </w:p>
    <w:p w14:paraId="3CFD2381" w14:textId="77777777" w:rsidR="000A37A6" w:rsidRDefault="000A37A6" w:rsidP="000028C0">
      <w:pPr>
        <w:jc w:val="both"/>
        <w:rPr>
          <w:rFonts w:ascii="Times New Roman" w:hAnsi="Times New Roman" w:cs="Times New Roman"/>
        </w:rPr>
      </w:pPr>
    </w:p>
    <w:p w14:paraId="5647E6E6" w14:textId="77777777" w:rsidR="00B21681" w:rsidRPr="000028C0" w:rsidRDefault="00B21681" w:rsidP="000028C0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21681" w:rsidRPr="000028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42CDA3" w14:textId="77777777" w:rsidR="00E7699E" w:rsidRDefault="00E7699E" w:rsidP="000A37A6">
      <w:pPr>
        <w:spacing w:after="0" w:line="240" w:lineRule="auto"/>
      </w:pPr>
      <w:r>
        <w:separator/>
      </w:r>
    </w:p>
  </w:endnote>
  <w:endnote w:type="continuationSeparator" w:id="0">
    <w:p w14:paraId="3D5ADF86" w14:textId="77777777" w:rsidR="00E7699E" w:rsidRDefault="00E7699E" w:rsidP="000A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4AB94B" w14:textId="77777777" w:rsidR="00E7699E" w:rsidRDefault="00E7699E" w:rsidP="000A37A6">
      <w:pPr>
        <w:spacing w:after="0" w:line="240" w:lineRule="auto"/>
      </w:pPr>
      <w:r>
        <w:separator/>
      </w:r>
    </w:p>
  </w:footnote>
  <w:footnote w:type="continuationSeparator" w:id="0">
    <w:p w14:paraId="08747765" w14:textId="77777777" w:rsidR="00E7699E" w:rsidRDefault="00E7699E" w:rsidP="000A37A6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irginia Rocio Coopa Lagos">
    <w15:presenceInfo w15:providerId="AD" w15:userId="S-1-5-21-2916549352-2230808306-3371530487-56523"/>
  </w15:person>
  <w15:person w15:author="Matias Ignacio Troglio">
    <w15:presenceInfo w15:providerId="AD" w15:userId="S-1-5-21-2916549352-2230808306-3371530487-485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C0"/>
    <w:rsid w:val="000028C0"/>
    <w:rsid w:val="0006003C"/>
    <w:rsid w:val="00074E7A"/>
    <w:rsid w:val="0009752F"/>
    <w:rsid w:val="000A12BB"/>
    <w:rsid w:val="000A37A6"/>
    <w:rsid w:val="001D30A2"/>
    <w:rsid w:val="00284DAA"/>
    <w:rsid w:val="002C2159"/>
    <w:rsid w:val="002D4147"/>
    <w:rsid w:val="003137A6"/>
    <w:rsid w:val="00352DC3"/>
    <w:rsid w:val="003D49B7"/>
    <w:rsid w:val="004048C0"/>
    <w:rsid w:val="00404919"/>
    <w:rsid w:val="00484AAA"/>
    <w:rsid w:val="005557EA"/>
    <w:rsid w:val="005B0255"/>
    <w:rsid w:val="00646ECE"/>
    <w:rsid w:val="00855E73"/>
    <w:rsid w:val="008F216C"/>
    <w:rsid w:val="00901988"/>
    <w:rsid w:val="00917C22"/>
    <w:rsid w:val="00A10320"/>
    <w:rsid w:val="00B21681"/>
    <w:rsid w:val="00B30845"/>
    <w:rsid w:val="00B34C08"/>
    <w:rsid w:val="00BE125E"/>
    <w:rsid w:val="00C9779B"/>
    <w:rsid w:val="00CA06C2"/>
    <w:rsid w:val="00D47A30"/>
    <w:rsid w:val="00E24E75"/>
    <w:rsid w:val="00E7699E"/>
    <w:rsid w:val="00EC7343"/>
    <w:rsid w:val="00EF651B"/>
    <w:rsid w:val="00F02A12"/>
    <w:rsid w:val="00F06F0D"/>
    <w:rsid w:val="00F5246E"/>
    <w:rsid w:val="00F9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B78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A37A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37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A37A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E7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F21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1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21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1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216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0A37A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A37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0A37A6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5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5E7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8F21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8F21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8F21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F21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F21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FD62C-4EB9-4B29-892C-ACBB01735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930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Ona Dimnik</dc:creator>
  <cp:lastModifiedBy>Ona Dimnik</cp:lastModifiedBy>
  <cp:revision>4</cp:revision>
  <dcterms:created xsi:type="dcterms:W3CDTF">2022-02-07T23:38:00Z</dcterms:created>
  <dcterms:modified xsi:type="dcterms:W3CDTF">2022-02-07T23:39:00Z</dcterms:modified>
</cp:coreProperties>
</file>