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130D" w14:textId="6F9D8A67" w:rsidR="00AA3BF3" w:rsidRDefault="00A93934" w:rsidP="000E6A93">
      <w:pPr>
        <w:spacing w:before="600"/>
        <w:jc w:val="right"/>
      </w:pPr>
      <w:r w:rsidRPr="00A151E0">
        <w:t>B</w:t>
      </w:r>
      <w:r w:rsidR="00AA3BF3" w:rsidRPr="00A151E0">
        <w:t xml:space="preserve">uenos Aires, </w:t>
      </w:r>
      <w:r w:rsidR="004169A0" w:rsidRPr="00A151E0">
        <w:t>0</w:t>
      </w:r>
      <w:r w:rsidR="005B0259">
        <w:t>9</w:t>
      </w:r>
      <w:r w:rsidR="005710FC" w:rsidRPr="00A151E0">
        <w:t xml:space="preserve"> </w:t>
      </w:r>
      <w:r w:rsidR="00625C6A" w:rsidRPr="00A151E0">
        <w:t xml:space="preserve">de </w:t>
      </w:r>
      <w:r w:rsidR="004169A0" w:rsidRPr="00A151E0">
        <w:t>abril</w:t>
      </w:r>
      <w:r w:rsidR="00625C6A" w:rsidRPr="00A151E0">
        <w:t xml:space="preserve"> de 20</w:t>
      </w:r>
      <w:r w:rsidR="00D63392" w:rsidRPr="00A151E0">
        <w:t>2</w:t>
      </w:r>
      <w:r w:rsidR="004169A0" w:rsidRPr="00A151E0">
        <w:t>1</w:t>
      </w:r>
    </w:p>
    <w:p w14:paraId="0A08E0AC" w14:textId="77777777" w:rsidR="00AA3BF3" w:rsidRDefault="00AA3BF3"/>
    <w:p w14:paraId="119FDF35" w14:textId="77777777" w:rsidR="00AA3BF3" w:rsidRDefault="00AA3BF3"/>
    <w:p w14:paraId="3D42BAFD" w14:textId="77777777" w:rsidR="00AA3BF3" w:rsidRDefault="00AA3BF3">
      <w:pPr>
        <w:spacing w:after="60"/>
      </w:pPr>
      <w:r>
        <w:t xml:space="preserve">A la </w:t>
      </w:r>
    </w:p>
    <w:p w14:paraId="440C415E" w14:textId="77777777" w:rsidR="00AA3BF3" w:rsidRDefault="00625C6A">
      <w:pPr>
        <w:pStyle w:val="Encabezado"/>
        <w:tabs>
          <w:tab w:val="clear" w:pos="4252"/>
          <w:tab w:val="clear" w:pos="8504"/>
        </w:tabs>
        <w:spacing w:after="60"/>
      </w:pPr>
      <w:r>
        <w:t>Comisión Nacional de Valores</w:t>
      </w:r>
    </w:p>
    <w:p w14:paraId="25349B9A" w14:textId="77777777" w:rsidR="00AA3BF3" w:rsidRPr="00A93934" w:rsidRDefault="00AA3BF3">
      <w:pPr>
        <w:rPr>
          <w:b/>
          <w:u w:val="single"/>
        </w:rPr>
      </w:pPr>
      <w:r w:rsidRPr="00A93934">
        <w:rPr>
          <w:b/>
          <w:u w:val="single"/>
        </w:rPr>
        <w:t>P</w:t>
      </w:r>
      <w:r w:rsidR="00D40E92">
        <w:rPr>
          <w:b/>
          <w:u w:val="single"/>
        </w:rPr>
        <w:t>resente</w:t>
      </w:r>
    </w:p>
    <w:p w14:paraId="6E421E5C" w14:textId="77777777" w:rsidR="00AA3BF3" w:rsidRDefault="00AA3BF3"/>
    <w:p w14:paraId="7993B132" w14:textId="77777777" w:rsidR="00AA3BF3" w:rsidRDefault="00AA3BF3"/>
    <w:p w14:paraId="3201BC15" w14:textId="77777777" w:rsidR="00AA3BF3" w:rsidRDefault="00AA3BF3"/>
    <w:p w14:paraId="07994148" w14:textId="77777777" w:rsidR="00AA3BF3" w:rsidRDefault="00AA3BF3">
      <w:r>
        <w:t>De nuestra mayor consideración:</w:t>
      </w:r>
    </w:p>
    <w:p w14:paraId="1D6A1DDB" w14:textId="77777777" w:rsidR="00AA3BF3" w:rsidRDefault="00AA3BF3"/>
    <w:p w14:paraId="0B0824F7" w14:textId="77777777" w:rsidR="00164E5A" w:rsidRDefault="00164E5A" w:rsidP="00164E5A">
      <w:pPr>
        <w:spacing w:before="120" w:line="360" w:lineRule="auto"/>
        <w:jc w:val="both"/>
      </w:pPr>
    </w:p>
    <w:p w14:paraId="527ED95E" w14:textId="77777777" w:rsidR="00AA3BF3" w:rsidRDefault="00625C6A" w:rsidP="00164E5A">
      <w:pPr>
        <w:spacing w:before="120" w:line="360" w:lineRule="auto"/>
        <w:jc w:val="both"/>
      </w:pPr>
      <w:r>
        <w:t>Nos dirigimos a Uds. a fin de cumplimentar lo establec</w:t>
      </w:r>
      <w:r w:rsidR="001673A7">
        <w:t xml:space="preserve">ido en el Art. 3°, Capítulo III, Título II </w:t>
      </w:r>
      <w:r>
        <w:t xml:space="preserve">de las Normas de </w:t>
      </w:r>
      <w:smartTag w:uri="urn:schemas-microsoft-com:office:smarttags" w:element="PersonName">
        <w:smartTagPr>
          <w:attr w:name="ProductID" w:val="la Comisi￳n Nacional"/>
        </w:smartTagPr>
        <w:smartTag w:uri="urn:schemas-microsoft-com:office:smarttags" w:element="PersonName">
          <w:smartTagPr>
            <w:attr w:name="ProductID" w:val="la Comisi￳n"/>
          </w:smartTagPr>
          <w:r>
            <w:t>la Comisión</w:t>
          </w:r>
        </w:smartTag>
        <w:r>
          <w:t xml:space="preserve"> Nacional</w:t>
        </w:r>
      </w:smartTag>
      <w:r>
        <w:t xml:space="preserve"> de Valores, adjuntando como Anexo I la información sobre asignaciones de Directores.</w:t>
      </w:r>
    </w:p>
    <w:p w14:paraId="6765C97B" w14:textId="77777777" w:rsidR="00AA3BF3" w:rsidRDefault="00AA3BF3" w:rsidP="006D3CD4">
      <w:pPr>
        <w:pStyle w:val="Encabezado"/>
        <w:tabs>
          <w:tab w:val="clear" w:pos="4252"/>
          <w:tab w:val="clear" w:pos="8504"/>
        </w:tabs>
        <w:spacing w:line="360" w:lineRule="auto"/>
      </w:pPr>
    </w:p>
    <w:p w14:paraId="46EF67D3" w14:textId="77777777" w:rsidR="00AA3BF3" w:rsidRDefault="00AA3BF3" w:rsidP="00246D8C">
      <w:pPr>
        <w:spacing w:line="360" w:lineRule="auto"/>
      </w:pPr>
      <w:r>
        <w:t>Sin otro particular, saludamos a Uds. muy atentamente.</w:t>
      </w:r>
    </w:p>
    <w:p w14:paraId="696ED1F5" w14:textId="77777777" w:rsidR="00AA3BF3" w:rsidRDefault="00AA3BF3" w:rsidP="006D3CD4">
      <w:pPr>
        <w:spacing w:line="360" w:lineRule="auto"/>
      </w:pPr>
    </w:p>
    <w:p w14:paraId="5B7988B5" w14:textId="77777777" w:rsidR="00AA3BF3" w:rsidRDefault="00AA3BF3"/>
    <w:p w14:paraId="607E6663" w14:textId="77777777" w:rsidR="00AA3BF3" w:rsidRDefault="00AA3BF3"/>
    <w:p w14:paraId="6C2ACD9D" w14:textId="77777777" w:rsidR="00AA3BF3" w:rsidRDefault="00AA3BF3"/>
    <w:p w14:paraId="411EDE38" w14:textId="77777777" w:rsidR="002B2364" w:rsidRPr="005C5594" w:rsidRDefault="0092169F" w:rsidP="0092169F">
      <w:pPr>
        <w:pStyle w:val="Sangradetextonormal"/>
        <w:spacing w:line="360" w:lineRule="auto"/>
        <w:ind w:firstLine="0"/>
        <w:jc w:val="center"/>
        <w:rPr>
          <w:szCs w:val="24"/>
        </w:rPr>
      </w:pPr>
      <w:r>
        <w:rPr>
          <w:szCs w:val="24"/>
        </w:rPr>
        <w:t>Celeste Ibáñez</w:t>
      </w:r>
    </w:p>
    <w:p w14:paraId="583FF09F" w14:textId="77777777" w:rsidR="002B2364" w:rsidRDefault="00164E5A" w:rsidP="0092169F">
      <w:pPr>
        <w:pStyle w:val="Sangradetextonormal"/>
        <w:spacing w:line="360" w:lineRule="auto"/>
        <w:ind w:firstLine="0"/>
        <w:jc w:val="center"/>
      </w:pPr>
      <w:r>
        <w:t xml:space="preserve">Responsable de </w:t>
      </w:r>
      <w:r w:rsidR="002B2364" w:rsidRPr="005C5594">
        <w:t>Relaciones con el Mercado</w:t>
      </w:r>
    </w:p>
    <w:p w14:paraId="27FEDB48" w14:textId="77777777" w:rsidR="00AA3BF3" w:rsidRDefault="00AA3BF3" w:rsidP="001E188C">
      <w:pPr>
        <w:spacing w:line="480" w:lineRule="auto"/>
        <w:jc w:val="both"/>
      </w:pPr>
      <w:r>
        <w:br w:type="page"/>
      </w:r>
    </w:p>
    <w:p w14:paraId="772F12A0" w14:textId="41E7E27E" w:rsidR="001E188C" w:rsidRPr="001E188C" w:rsidRDefault="001E188C" w:rsidP="001E188C">
      <w:pPr>
        <w:pStyle w:val="Encabezado"/>
        <w:spacing w:line="480" w:lineRule="auto"/>
        <w:jc w:val="center"/>
        <w:rPr>
          <w:b/>
          <w:lang w:val="es-MX"/>
        </w:rPr>
      </w:pPr>
      <w:r w:rsidRPr="001E188C">
        <w:rPr>
          <w:b/>
          <w:lang w:val="es-MX"/>
        </w:rPr>
        <w:lastRenderedPageBreak/>
        <w:t>Asignaciones a los Directores</w:t>
      </w:r>
      <w:r w:rsidR="0021094F">
        <w:rPr>
          <w:b/>
          <w:lang w:val="es-MX"/>
        </w:rPr>
        <w:t xml:space="preserve"> </w:t>
      </w:r>
      <w:r w:rsidR="00277391">
        <w:rPr>
          <w:b/>
          <w:lang w:val="es-MX"/>
        </w:rPr>
        <w:t>de Banco Santander Río S.A.</w:t>
      </w:r>
    </w:p>
    <w:p w14:paraId="4BE27EC9" w14:textId="77777777" w:rsidR="006C2E7E" w:rsidRDefault="00A93934" w:rsidP="001E188C">
      <w:pPr>
        <w:pStyle w:val="Encabezado"/>
        <w:spacing w:line="480" w:lineRule="auto"/>
        <w:jc w:val="both"/>
        <w:rPr>
          <w:lang w:val="es-MX"/>
        </w:rPr>
      </w:pPr>
      <w:r>
        <w:rPr>
          <w:color w:val="000000"/>
          <w:lang w:val="es-AR"/>
        </w:rPr>
        <w:t xml:space="preserve">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30"/>
        <w:gridCol w:w="253"/>
        <w:gridCol w:w="420"/>
        <w:gridCol w:w="81"/>
        <w:gridCol w:w="420"/>
      </w:tblGrid>
      <w:tr w:rsidR="006C2E7E" w:rsidRPr="006C2E7E" w14:paraId="33740D0D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6D33D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MX" w:eastAsia="es-AR"/>
              </w:rPr>
              <w:t>Estados Financieros al 31.12.2020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AC6B" w14:textId="77777777" w:rsidR="006C2E7E" w:rsidRPr="006C2E7E" w:rsidRDefault="006C2E7E" w:rsidP="006C2E7E">
            <w:pPr>
              <w:jc w:val="center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Miles de pesos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5DE" w14:textId="77777777" w:rsidR="006C2E7E" w:rsidRPr="006C2E7E" w:rsidRDefault="006C2E7E" w:rsidP="006C2E7E">
            <w:pPr>
              <w:jc w:val="center"/>
              <w:rPr>
                <w:color w:val="000000"/>
                <w:szCs w:val="24"/>
                <w:lang w:val="es-AR" w:eastAsia="es-AR"/>
              </w:rPr>
            </w:pPr>
          </w:p>
        </w:tc>
      </w:tr>
      <w:tr w:rsidR="00735109" w:rsidRPr="006C2E7E" w14:paraId="63AB7489" w14:textId="77777777" w:rsidTr="00740EA9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78AE" w14:textId="77777777" w:rsidR="00735109" w:rsidRPr="006C2E7E" w:rsidRDefault="00735109" w:rsidP="00735109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Afectadas al estado de resultados: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4D3A" w14:textId="1068E0B1" w:rsidR="00735109" w:rsidRPr="006C2E7E" w:rsidRDefault="00735109" w:rsidP="00735109">
            <w:pPr>
              <w:jc w:val="right"/>
              <w:rPr>
                <w:szCs w:val="24"/>
                <w:lang w:val="es-AR" w:eastAsia="es-AR"/>
              </w:rPr>
            </w:pPr>
            <w:r w:rsidRPr="007D4496">
              <w:rPr>
                <w:color w:val="000000"/>
                <w:szCs w:val="24"/>
                <w:lang w:val="es-AR" w:eastAsia="es-AR"/>
              </w:rPr>
              <w:t xml:space="preserve">75.922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5BE" w14:textId="77777777" w:rsidR="00735109" w:rsidRPr="006C2E7E" w:rsidRDefault="00735109" w:rsidP="00735109">
            <w:pPr>
              <w:jc w:val="right"/>
              <w:rPr>
                <w:szCs w:val="24"/>
                <w:lang w:val="es-AR" w:eastAsia="es-AR"/>
              </w:rPr>
            </w:pPr>
          </w:p>
        </w:tc>
      </w:tr>
      <w:tr w:rsidR="00735109" w:rsidRPr="006C2E7E" w14:paraId="58B36372" w14:textId="77777777" w:rsidTr="00740EA9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95CB" w14:textId="77777777" w:rsidR="00735109" w:rsidRPr="006C2E7E" w:rsidRDefault="00735109" w:rsidP="00735109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2. Monto final propuesto para la asamblea: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6769" w14:textId="397E85A4" w:rsidR="00735109" w:rsidRPr="006C2E7E" w:rsidRDefault="00735109" w:rsidP="00735109">
            <w:pPr>
              <w:jc w:val="right"/>
              <w:rPr>
                <w:color w:val="000000"/>
                <w:szCs w:val="24"/>
                <w:lang w:val="es-AR" w:eastAsia="es-AR"/>
              </w:rPr>
            </w:pPr>
            <w:r w:rsidRPr="007D4496">
              <w:rPr>
                <w:color w:val="000000"/>
                <w:szCs w:val="24"/>
                <w:lang w:val="es-AR" w:eastAsia="es-AR"/>
              </w:rPr>
              <w:t xml:space="preserve">75.922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F8BE" w14:textId="77777777" w:rsidR="00735109" w:rsidRPr="006C2E7E" w:rsidRDefault="00735109" w:rsidP="00735109">
            <w:pPr>
              <w:jc w:val="both"/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2CBFEE56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DEC2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Otras informaciones para determinar la Utilidad Computable: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A37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F5FE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</w:tr>
      <w:tr w:rsidR="006C2E7E" w:rsidRPr="006C2E7E" w14:paraId="27C0193E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23A5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3. Resultado del ejercicio (neto de impuestos):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8F2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12.590.811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F3E2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58CDB2F8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27D5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4. (+/-) Ajustes de ejercicios anteriores: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D4B8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57B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250D8508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B247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5. (-) Pérdidas acumuladas al inicio del ejercicio: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3FF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E2F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0DDB608E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4339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6. (-) Reserva legal:        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7D7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D8C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(*)</w:t>
            </w:r>
          </w:p>
        </w:tc>
      </w:tr>
      <w:tr w:rsidR="006C2E7E" w:rsidRPr="006C2E7E" w14:paraId="0591B060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E002" w14:textId="77777777" w:rsidR="006C2E7E" w:rsidRPr="006C2E7E" w:rsidRDefault="006C2E7E" w:rsidP="006C2E7E">
            <w:pPr>
              <w:jc w:val="both"/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6C2E7E">
              <w:rPr>
                <w:b/>
                <w:bCs/>
                <w:color w:val="000000"/>
                <w:szCs w:val="24"/>
                <w:lang w:val="es-AR" w:eastAsia="es-AR"/>
              </w:rPr>
              <w:t xml:space="preserve">Subtotal                    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7DF2" w14:textId="77777777" w:rsidR="006C2E7E" w:rsidRPr="006C2E7E" w:rsidRDefault="006C2E7E" w:rsidP="006C2E7E">
            <w:pPr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6C2E7E">
              <w:rPr>
                <w:b/>
                <w:bCs/>
                <w:color w:val="000000"/>
                <w:szCs w:val="24"/>
                <w:lang w:val="es-AR" w:eastAsia="es-AR"/>
              </w:rPr>
              <w:t xml:space="preserve">    12.590.811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939" w14:textId="77777777" w:rsidR="006C2E7E" w:rsidRPr="006C2E7E" w:rsidRDefault="006C2E7E" w:rsidP="006C2E7E">
            <w:pPr>
              <w:rPr>
                <w:b/>
                <w:bCs/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38D68203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FCFC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2C89" w14:textId="77777777" w:rsidR="006C2E7E" w:rsidRPr="006C2E7E" w:rsidRDefault="006C2E7E" w:rsidP="006C2E7E">
            <w:pPr>
              <w:jc w:val="both"/>
              <w:rPr>
                <w:sz w:val="20"/>
                <w:lang w:val="es-AR" w:eastAsia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735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</w:tr>
      <w:tr w:rsidR="006C2E7E" w:rsidRPr="006C2E7E" w14:paraId="7984F3B9" w14:textId="77777777" w:rsidTr="00F010DC">
        <w:trPr>
          <w:gridAfter w:val="2"/>
          <w:wAfter w:w="501" w:type="dxa"/>
          <w:trHeight w:val="315"/>
        </w:trPr>
        <w:tc>
          <w:tcPr>
            <w:tcW w:w="8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B0D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7. (+) Asignaciones al directorio y al consejo de vigilancia imputadas al estado de resultados: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4305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79BC27BE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0966" w14:textId="1B0E1902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Directores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7E5F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75.922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E724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735109" w:rsidRPr="006C2E7E" w14:paraId="20BE18BF" w14:textId="77777777" w:rsidTr="00B1718D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91CB" w14:textId="77777777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Funcionarios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F6A2" w14:textId="3E6C36EC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  <w:r w:rsidRPr="00676D22">
              <w:rPr>
                <w:color w:val="000000"/>
                <w:szCs w:val="24"/>
                <w:lang w:val="es-AR" w:eastAsia="es-AR"/>
              </w:rPr>
              <w:t xml:space="preserve">                  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6F2E" w14:textId="77777777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735109" w:rsidRPr="006C2E7E" w14:paraId="0101213D" w14:textId="77777777" w:rsidTr="00B1718D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137B" w14:textId="51337135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  <w:r>
              <w:rPr>
                <w:color w:val="000000"/>
                <w:szCs w:val="24"/>
                <w:lang w:val="es-AR" w:eastAsia="es-AR"/>
              </w:rPr>
              <w:t>Consejo de Vigilancia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2316" w14:textId="40B5C499" w:rsidR="00735109" w:rsidRPr="006C2E7E" w:rsidRDefault="00735109" w:rsidP="00735109">
            <w:pPr>
              <w:jc w:val="center"/>
              <w:rPr>
                <w:color w:val="000000"/>
                <w:szCs w:val="24"/>
                <w:lang w:val="es-AR" w:eastAsia="es-AR"/>
              </w:rPr>
            </w:pPr>
            <w:r>
              <w:rPr>
                <w:color w:val="000000"/>
                <w:szCs w:val="24"/>
                <w:lang w:val="es-AR" w:eastAsia="es-AR"/>
              </w:rPr>
              <w:t xml:space="preserve">               </w:t>
            </w:r>
            <w:r w:rsidRPr="00676D22">
              <w:rPr>
                <w:color w:val="000000"/>
                <w:szCs w:val="24"/>
                <w:lang w:val="es-AR" w:eastAsia="es-AR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CED2" w14:textId="77777777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35F72EE1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D78F" w14:textId="77777777" w:rsidR="006C2E7E" w:rsidRPr="006C2E7E" w:rsidRDefault="006C2E7E" w:rsidP="006C2E7E">
            <w:pPr>
              <w:jc w:val="both"/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6C2E7E">
              <w:rPr>
                <w:b/>
                <w:bCs/>
                <w:color w:val="000000"/>
                <w:szCs w:val="24"/>
                <w:lang w:val="es-AR" w:eastAsia="es-AR"/>
              </w:rPr>
              <w:t xml:space="preserve">Total                                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5DD7" w14:textId="457BBC33" w:rsidR="006C2E7E" w:rsidRPr="006C2E7E" w:rsidRDefault="00735109" w:rsidP="00735109">
            <w:pPr>
              <w:jc w:val="right"/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735109">
              <w:rPr>
                <w:b/>
                <w:bCs/>
                <w:color w:val="000000"/>
                <w:szCs w:val="24"/>
                <w:lang w:val="es-AR" w:eastAsia="es-AR"/>
              </w:rPr>
              <w:t>12.666.733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0518" w14:textId="77777777" w:rsidR="006C2E7E" w:rsidRPr="006C2E7E" w:rsidRDefault="006C2E7E" w:rsidP="006C2E7E">
            <w:pPr>
              <w:rPr>
                <w:b/>
                <w:bCs/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2758CD9A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3A50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8. Ganancia computable: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0155" w14:textId="2A7D53BD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12.66</w:t>
            </w:r>
            <w:r w:rsidR="00261F19">
              <w:rPr>
                <w:color w:val="000000"/>
                <w:szCs w:val="24"/>
                <w:lang w:val="es-AR" w:eastAsia="es-AR"/>
              </w:rPr>
              <w:t>6</w:t>
            </w:r>
            <w:r w:rsidRPr="006C2E7E">
              <w:rPr>
                <w:color w:val="000000"/>
                <w:szCs w:val="24"/>
                <w:lang w:val="es-AR" w:eastAsia="es-AR"/>
              </w:rPr>
              <w:t>.</w:t>
            </w:r>
            <w:r w:rsidR="00735109">
              <w:rPr>
                <w:color w:val="000000"/>
                <w:szCs w:val="24"/>
                <w:lang w:val="es-AR" w:eastAsia="es-AR"/>
              </w:rPr>
              <w:t>733</w:t>
            </w:r>
            <w:r w:rsidRPr="006C2E7E">
              <w:rPr>
                <w:color w:val="000000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CD6D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091C2929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6237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9. Proporción entre ganancia computable y retribución: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A695" w14:textId="77777777" w:rsidR="006C2E7E" w:rsidRPr="006C2E7E" w:rsidRDefault="006C2E7E" w:rsidP="006C2E7E">
            <w:pPr>
              <w:jc w:val="right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0,60%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6A5C" w14:textId="77777777" w:rsidR="006C2E7E" w:rsidRPr="006C2E7E" w:rsidRDefault="006C2E7E" w:rsidP="006C2E7E">
            <w:pPr>
              <w:jc w:val="center"/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4DD86E96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C64A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10. Proporción entre ganancia computable y dividendo: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C7CB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875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6C58800C" w14:textId="77777777" w:rsidTr="00F010DC">
        <w:trPr>
          <w:trHeight w:val="31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3F2C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23D2" w14:textId="77777777" w:rsidR="006C2E7E" w:rsidRPr="006C2E7E" w:rsidRDefault="006C2E7E" w:rsidP="006C2E7E">
            <w:pPr>
              <w:jc w:val="both"/>
              <w:rPr>
                <w:sz w:val="20"/>
                <w:lang w:val="es-AR" w:eastAsia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08E7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</w:tr>
      <w:tr w:rsidR="006C2E7E" w:rsidRPr="006C2E7E" w14:paraId="0F27649C" w14:textId="77777777" w:rsidTr="00F010DC">
        <w:trPr>
          <w:trHeight w:val="21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343A" w14:textId="200819D6" w:rsidR="006C2E7E" w:rsidRPr="006C2E7E" w:rsidRDefault="006C2E7E" w:rsidP="006C2E7E">
            <w:pPr>
              <w:jc w:val="both"/>
              <w:rPr>
                <w:color w:val="000000"/>
                <w:sz w:val="22"/>
                <w:szCs w:val="22"/>
                <w:lang w:val="es-AR" w:eastAsia="es-AR"/>
              </w:rPr>
            </w:pPr>
            <w:r w:rsidRPr="006C2E7E">
              <w:rPr>
                <w:color w:val="000000"/>
                <w:sz w:val="22"/>
                <w:szCs w:val="22"/>
                <w:lang w:val="es-MX" w:eastAsia="es-AR"/>
              </w:rPr>
              <w:t>(*) Conforme las regulaciones establecidas por el BCRA, anualmente las entidades financieras deberán destinar el 20% de la utilidad del ejercicio para incrementar la reserva legal, en la medida que no existan resultados no asignados negativos. Al</w:t>
            </w:r>
            <w:r>
              <w:rPr>
                <w:color w:val="000000"/>
                <w:sz w:val="22"/>
                <w:szCs w:val="22"/>
                <w:lang w:val="es-MX" w:eastAsia="es-AR"/>
              </w:rPr>
              <w:t xml:space="preserve"> </w:t>
            </w:r>
            <w:r w:rsidRPr="006C2E7E">
              <w:rPr>
                <w:color w:val="000000"/>
                <w:sz w:val="22"/>
                <w:szCs w:val="22"/>
                <w:lang w:val="es-MX" w:eastAsia="es-AR"/>
              </w:rPr>
              <w:t xml:space="preserve">31 de diciembre de </w:t>
            </w:r>
            <w:proofErr w:type="gramStart"/>
            <w:r w:rsidRPr="006C2E7E">
              <w:rPr>
                <w:color w:val="000000"/>
                <w:sz w:val="22"/>
                <w:szCs w:val="22"/>
                <w:lang w:val="es-MX" w:eastAsia="es-AR"/>
              </w:rPr>
              <w:t xml:space="preserve">2020, </w:t>
            </w:r>
            <w:r w:rsidR="00115616" w:rsidRPr="00115616">
              <w:rPr>
                <w:color w:val="000000"/>
                <w:sz w:val="22"/>
                <w:szCs w:val="22"/>
                <w:lang w:val="es-MX" w:eastAsia="es-AR"/>
              </w:rPr>
              <w:t xml:space="preserve"> la</w:t>
            </w:r>
            <w:proofErr w:type="gramEnd"/>
            <w:r w:rsidR="00115616" w:rsidRPr="00115616">
              <w:rPr>
                <w:color w:val="000000"/>
                <w:sz w:val="22"/>
                <w:szCs w:val="22"/>
                <w:lang w:val="es-MX" w:eastAsia="es-AR"/>
              </w:rPr>
              <w:t xml:space="preserve"> cuenta de Resultados No Asignados </w:t>
            </w:r>
            <w:r w:rsidR="00115616">
              <w:rPr>
                <w:color w:val="000000"/>
                <w:sz w:val="22"/>
                <w:szCs w:val="22"/>
                <w:lang w:val="es-MX" w:eastAsia="es-AR"/>
              </w:rPr>
              <w:t xml:space="preserve">arroja </w:t>
            </w:r>
            <w:r w:rsidR="00115616" w:rsidRPr="00115616">
              <w:rPr>
                <w:color w:val="000000"/>
                <w:sz w:val="22"/>
                <w:szCs w:val="22"/>
                <w:lang w:val="es-MX" w:eastAsia="es-AR"/>
              </w:rPr>
              <w:t>un saldo negativo de $16.772.925</w:t>
            </w:r>
            <w:r w:rsidR="00115616">
              <w:rPr>
                <w:color w:val="000000"/>
                <w:sz w:val="22"/>
                <w:szCs w:val="22"/>
                <w:lang w:val="es-MX" w:eastAsia="es-AR"/>
              </w:rPr>
              <w:t>.758</w:t>
            </w:r>
            <w:r w:rsidRPr="006C2E7E">
              <w:rPr>
                <w:color w:val="000000"/>
                <w:sz w:val="22"/>
                <w:szCs w:val="22"/>
                <w:lang w:val="es-MX" w:eastAsia="es-AR"/>
              </w:rPr>
              <w:t xml:space="preserve">, producto de los cambios en las normativas contables aplicables referidas a Deterioro de Valor de Activos Financieros (NIIF 9) y </w:t>
            </w:r>
            <w:proofErr w:type="spellStart"/>
            <w:r w:rsidRPr="006C2E7E">
              <w:rPr>
                <w:color w:val="000000"/>
                <w:sz w:val="22"/>
                <w:szCs w:val="22"/>
                <w:lang w:val="es-MX" w:eastAsia="es-AR"/>
              </w:rPr>
              <w:t>Reexpresión</w:t>
            </w:r>
            <w:proofErr w:type="spellEnd"/>
            <w:r w:rsidRPr="006C2E7E">
              <w:rPr>
                <w:color w:val="000000"/>
                <w:sz w:val="22"/>
                <w:szCs w:val="22"/>
                <w:lang w:val="es-MX" w:eastAsia="es-AR"/>
              </w:rPr>
              <w:t xml:space="preserve"> por Inflación de los estados financieros (NIC 29), las cuales fueron aplicadas con efecto retroactivo al 1 de enero de 2019.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6DA" w14:textId="77777777" w:rsidR="006C2E7E" w:rsidRPr="006C2E7E" w:rsidRDefault="006C2E7E" w:rsidP="006C2E7E">
            <w:pPr>
              <w:rPr>
                <w:color w:val="000000"/>
                <w:sz w:val="22"/>
                <w:szCs w:val="22"/>
                <w:lang w:val="es-AR" w:eastAsia="es-AR"/>
              </w:rPr>
            </w:pPr>
          </w:p>
        </w:tc>
      </w:tr>
    </w:tbl>
    <w:p w14:paraId="30503FA0" w14:textId="71D3DB57" w:rsidR="00614572" w:rsidRPr="002A5E18" w:rsidRDefault="00614572" w:rsidP="002A5E18">
      <w:pPr>
        <w:pStyle w:val="Encabezado"/>
        <w:jc w:val="both"/>
        <w:rPr>
          <w:sz w:val="22"/>
          <w:szCs w:val="22"/>
          <w:lang w:val="es-MX"/>
        </w:rPr>
      </w:pPr>
      <w:bookmarkStart w:id="0" w:name="_GoBack"/>
      <w:bookmarkEnd w:id="0"/>
    </w:p>
    <w:sectPr w:rsidR="00614572" w:rsidRPr="002A5E18" w:rsidSect="00BE30BB">
      <w:headerReference w:type="first" r:id="rId8"/>
      <w:type w:val="continuous"/>
      <w:pgSz w:w="12242" w:h="15842" w:code="195"/>
      <w:pgMar w:top="1411" w:right="1699" w:bottom="1411" w:left="1699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EE550" w14:textId="77777777" w:rsidR="00326460" w:rsidRDefault="00326460">
      <w:r>
        <w:separator/>
      </w:r>
    </w:p>
  </w:endnote>
  <w:endnote w:type="continuationSeparator" w:id="0">
    <w:p w14:paraId="18B5062E" w14:textId="77777777" w:rsidR="00326460" w:rsidRDefault="0032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9AB8" w14:textId="77777777" w:rsidR="00326460" w:rsidRDefault="00326460">
      <w:r>
        <w:separator/>
      </w:r>
    </w:p>
  </w:footnote>
  <w:footnote w:type="continuationSeparator" w:id="0">
    <w:p w14:paraId="789C9F06" w14:textId="77777777" w:rsidR="00326460" w:rsidRDefault="0032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17F22" w14:textId="77777777" w:rsidR="00A93934" w:rsidRDefault="00D63392">
    <w:pPr>
      <w:pStyle w:val="Encabezado"/>
    </w:pPr>
    <w:r>
      <w:rPr>
        <w:noProof/>
      </w:rPr>
      <w:drawing>
        <wp:inline distT="0" distB="0" distL="0" distR="0" wp14:anchorId="624353A3" wp14:editId="4BEC8FC5">
          <wp:extent cx="1914190" cy="752475"/>
          <wp:effectExtent l="0" t="0" r="0" b="0"/>
          <wp:docPr id="15" name="Imagen 15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tander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857" cy="757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71770" w14:textId="77777777" w:rsidR="00A93934" w:rsidRDefault="00A93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C5F"/>
    <w:multiLevelType w:val="multilevel"/>
    <w:tmpl w:val="AEE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343B"/>
    <w:multiLevelType w:val="multilevel"/>
    <w:tmpl w:val="4F5E2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A3A6A"/>
    <w:multiLevelType w:val="hybridMultilevel"/>
    <w:tmpl w:val="4F5E2C1A"/>
    <w:lvl w:ilvl="0" w:tplc="A54A97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8185E"/>
    <w:multiLevelType w:val="singleLevel"/>
    <w:tmpl w:val="A9721BA8"/>
    <w:lvl w:ilvl="0">
      <w:start w:val="1"/>
      <w:numFmt w:val="lowerLetter"/>
      <w:lvlText w:val="%1)"/>
      <w:lvlJc w:val="left"/>
      <w:pPr>
        <w:tabs>
          <w:tab w:val="num" w:pos="927"/>
        </w:tabs>
        <w:ind w:left="850" w:hanging="283"/>
      </w:pPr>
    </w:lvl>
  </w:abstractNum>
  <w:abstractNum w:abstractNumId="4" w15:restartNumberingAfterBreak="0">
    <w:nsid w:val="51CC4518"/>
    <w:multiLevelType w:val="hybridMultilevel"/>
    <w:tmpl w:val="CBCE3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D82942"/>
    <w:multiLevelType w:val="singleLevel"/>
    <w:tmpl w:val="1F3C918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6DAF1186"/>
    <w:multiLevelType w:val="hybridMultilevel"/>
    <w:tmpl w:val="DC3EB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3461"/>
    <w:multiLevelType w:val="multilevel"/>
    <w:tmpl w:val="CBCE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B476A5"/>
    <w:multiLevelType w:val="hybridMultilevel"/>
    <w:tmpl w:val="AEE64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E7"/>
    <w:rsid w:val="00017C67"/>
    <w:rsid w:val="00053501"/>
    <w:rsid w:val="000A2DCC"/>
    <w:rsid w:val="000A3AFF"/>
    <w:rsid w:val="000D19A6"/>
    <w:rsid w:val="000E6939"/>
    <w:rsid w:val="000E6A93"/>
    <w:rsid w:val="00102B2B"/>
    <w:rsid w:val="001147E1"/>
    <w:rsid w:val="00115616"/>
    <w:rsid w:val="0012714E"/>
    <w:rsid w:val="00164E5A"/>
    <w:rsid w:val="001673A7"/>
    <w:rsid w:val="00167CCE"/>
    <w:rsid w:val="00197039"/>
    <w:rsid w:val="00197735"/>
    <w:rsid w:val="001A022D"/>
    <w:rsid w:val="001A2B16"/>
    <w:rsid w:val="001C19A1"/>
    <w:rsid w:val="001E188C"/>
    <w:rsid w:val="001F018B"/>
    <w:rsid w:val="00206416"/>
    <w:rsid w:val="0021094F"/>
    <w:rsid w:val="00246D8C"/>
    <w:rsid w:val="00261F19"/>
    <w:rsid w:val="00277391"/>
    <w:rsid w:val="002A5E18"/>
    <w:rsid w:val="002A6E6A"/>
    <w:rsid w:val="002B2364"/>
    <w:rsid w:val="002B3CBE"/>
    <w:rsid w:val="00326460"/>
    <w:rsid w:val="003444E9"/>
    <w:rsid w:val="00345421"/>
    <w:rsid w:val="003606C6"/>
    <w:rsid w:val="00377153"/>
    <w:rsid w:val="00382AC4"/>
    <w:rsid w:val="00384486"/>
    <w:rsid w:val="003A0C38"/>
    <w:rsid w:val="003B7CFD"/>
    <w:rsid w:val="0040290B"/>
    <w:rsid w:val="004169A0"/>
    <w:rsid w:val="004641CB"/>
    <w:rsid w:val="004A0AAA"/>
    <w:rsid w:val="004B0884"/>
    <w:rsid w:val="004B61BD"/>
    <w:rsid w:val="004E4E43"/>
    <w:rsid w:val="00567FF2"/>
    <w:rsid w:val="005710FC"/>
    <w:rsid w:val="005760E1"/>
    <w:rsid w:val="00585DC0"/>
    <w:rsid w:val="005A2BCC"/>
    <w:rsid w:val="005A7532"/>
    <w:rsid w:val="005B0259"/>
    <w:rsid w:val="005B7AF8"/>
    <w:rsid w:val="005C0D27"/>
    <w:rsid w:val="005D354E"/>
    <w:rsid w:val="005F1349"/>
    <w:rsid w:val="005F61A6"/>
    <w:rsid w:val="00613967"/>
    <w:rsid w:val="00614572"/>
    <w:rsid w:val="006244D0"/>
    <w:rsid w:val="00625C6A"/>
    <w:rsid w:val="006472F6"/>
    <w:rsid w:val="00652211"/>
    <w:rsid w:val="0068083E"/>
    <w:rsid w:val="00685C9D"/>
    <w:rsid w:val="006B6632"/>
    <w:rsid w:val="006C29FC"/>
    <w:rsid w:val="006C2E7E"/>
    <w:rsid w:val="006D3CD4"/>
    <w:rsid w:val="006D4B9B"/>
    <w:rsid w:val="00721B06"/>
    <w:rsid w:val="00727BD4"/>
    <w:rsid w:val="00735109"/>
    <w:rsid w:val="007B0969"/>
    <w:rsid w:val="007C1829"/>
    <w:rsid w:val="007C7BA3"/>
    <w:rsid w:val="007D1354"/>
    <w:rsid w:val="007D1763"/>
    <w:rsid w:val="007E377C"/>
    <w:rsid w:val="007E5416"/>
    <w:rsid w:val="007F7A48"/>
    <w:rsid w:val="008064F2"/>
    <w:rsid w:val="008204C2"/>
    <w:rsid w:val="00827EB3"/>
    <w:rsid w:val="008303F8"/>
    <w:rsid w:val="00835FC5"/>
    <w:rsid w:val="00880C6C"/>
    <w:rsid w:val="00893810"/>
    <w:rsid w:val="008C056F"/>
    <w:rsid w:val="008D7E2E"/>
    <w:rsid w:val="0092169F"/>
    <w:rsid w:val="00950993"/>
    <w:rsid w:val="00984325"/>
    <w:rsid w:val="00997A5C"/>
    <w:rsid w:val="009E3B9E"/>
    <w:rsid w:val="009E5D5C"/>
    <w:rsid w:val="009F4B50"/>
    <w:rsid w:val="009F72F4"/>
    <w:rsid w:val="00A151E0"/>
    <w:rsid w:val="00A2505B"/>
    <w:rsid w:val="00A269B6"/>
    <w:rsid w:val="00A27743"/>
    <w:rsid w:val="00A44934"/>
    <w:rsid w:val="00A91CD3"/>
    <w:rsid w:val="00A93934"/>
    <w:rsid w:val="00AA035C"/>
    <w:rsid w:val="00AA3BF3"/>
    <w:rsid w:val="00AE7918"/>
    <w:rsid w:val="00B25C2A"/>
    <w:rsid w:val="00B34F13"/>
    <w:rsid w:val="00B445FD"/>
    <w:rsid w:val="00B57362"/>
    <w:rsid w:val="00B640EE"/>
    <w:rsid w:val="00B814FB"/>
    <w:rsid w:val="00BA7DBB"/>
    <w:rsid w:val="00BE1A11"/>
    <w:rsid w:val="00BE30BB"/>
    <w:rsid w:val="00BF7738"/>
    <w:rsid w:val="00C16563"/>
    <w:rsid w:val="00C23319"/>
    <w:rsid w:val="00C27978"/>
    <w:rsid w:val="00C33957"/>
    <w:rsid w:val="00C539AE"/>
    <w:rsid w:val="00C94CCB"/>
    <w:rsid w:val="00CB7C7F"/>
    <w:rsid w:val="00CE1545"/>
    <w:rsid w:val="00CF1593"/>
    <w:rsid w:val="00D14EBF"/>
    <w:rsid w:val="00D229CE"/>
    <w:rsid w:val="00D324DB"/>
    <w:rsid w:val="00D40E92"/>
    <w:rsid w:val="00D558DB"/>
    <w:rsid w:val="00D63392"/>
    <w:rsid w:val="00D7310D"/>
    <w:rsid w:val="00D73318"/>
    <w:rsid w:val="00DA1759"/>
    <w:rsid w:val="00DF73C8"/>
    <w:rsid w:val="00E1377F"/>
    <w:rsid w:val="00E142B0"/>
    <w:rsid w:val="00E72F42"/>
    <w:rsid w:val="00E8216F"/>
    <w:rsid w:val="00E947C6"/>
    <w:rsid w:val="00EB43E7"/>
    <w:rsid w:val="00ED2D89"/>
    <w:rsid w:val="00ED7551"/>
    <w:rsid w:val="00EF597E"/>
    <w:rsid w:val="00F010DC"/>
    <w:rsid w:val="00F1010D"/>
    <w:rsid w:val="00F26782"/>
    <w:rsid w:val="00F27CBE"/>
    <w:rsid w:val="00F63B05"/>
    <w:rsid w:val="00F833D7"/>
    <w:rsid w:val="00FF24AB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39EF6EAA"/>
  <w15:docId w15:val="{F4968C8B-586D-46E4-919D-AAFFA157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2DCC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2D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DC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0A2DCC"/>
    <w:pPr>
      <w:spacing w:after="120"/>
      <w:ind w:firstLine="3119"/>
      <w:jc w:val="both"/>
    </w:pPr>
  </w:style>
  <w:style w:type="table" w:styleId="Tablaconcuadrcula">
    <w:name w:val="Table Grid"/>
    <w:basedOn w:val="Tablanormal"/>
    <w:rsid w:val="0062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E4E4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614572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DF270C-9660-43BD-AE30-5B5AC29C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8 de mayo de 1997.</vt:lpstr>
    </vt:vector>
  </TitlesOfParts>
  <Company>Banco Rio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8 de mayo de 1997.</dc:title>
  <dc:creator>a001767</dc:creator>
  <cp:lastModifiedBy>La Porta, Jesica Danila</cp:lastModifiedBy>
  <cp:revision>3</cp:revision>
  <cp:lastPrinted>2010-02-22T17:10:00Z</cp:lastPrinted>
  <dcterms:created xsi:type="dcterms:W3CDTF">2021-04-09T20:06:00Z</dcterms:created>
  <dcterms:modified xsi:type="dcterms:W3CDTF">2021-04-09T23:56:00Z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b88ec2-a72b-4523-9e84-0458a1764731_Enabled">
    <vt:lpwstr>True</vt:lpwstr>
  </property>
  <property fmtid="{D5CDD505-2E9C-101B-9397-08002B2CF9AE}" pid="3" name="MSIP_Label_41b88ec2-a72b-4523-9e84-0458a1764731_SiteId">
    <vt:lpwstr>35595a02-4d6d-44ac-99e1-f9ab4cd872db</vt:lpwstr>
  </property>
  <property fmtid="{D5CDD505-2E9C-101B-9397-08002B2CF9AE}" pid="4" name="MSIP_Label_41b88ec2-a72b-4523-9e84-0458a1764731_Owner">
    <vt:lpwstr>A262516@santanderrio.com.ar</vt:lpwstr>
  </property>
  <property fmtid="{D5CDD505-2E9C-101B-9397-08002B2CF9AE}" pid="5" name="MSIP_Label_41b88ec2-a72b-4523-9e84-0458a1764731_SetDate">
    <vt:lpwstr>2021-03-31T19:37:54.6924903Z</vt:lpwstr>
  </property>
  <property fmtid="{D5CDD505-2E9C-101B-9397-08002B2CF9AE}" pid="6" name="MSIP_Label_41b88ec2-a72b-4523-9e84-0458a1764731_Name">
    <vt:lpwstr>Public</vt:lpwstr>
  </property>
  <property fmtid="{D5CDD505-2E9C-101B-9397-08002B2CF9AE}" pid="7" name="MSIP_Label_41b88ec2-a72b-4523-9e84-0458a1764731_Application">
    <vt:lpwstr>Microsoft Azure Information Protection</vt:lpwstr>
  </property>
  <property fmtid="{D5CDD505-2E9C-101B-9397-08002B2CF9AE}" pid="8" name="MSIP_Label_41b88ec2-a72b-4523-9e84-0458a1764731_ActionId">
    <vt:lpwstr>c18f628d-01a7-43ea-9198-4a7453a2c548</vt:lpwstr>
  </property>
  <property fmtid="{D5CDD505-2E9C-101B-9397-08002B2CF9AE}" pid="9" name="MSIP_Label_41b88ec2-a72b-4523-9e84-0458a1764731_Extended_MSFT_Method">
    <vt:lpwstr>Manual</vt:lpwstr>
  </property>
  <property fmtid="{D5CDD505-2E9C-101B-9397-08002B2CF9AE}" pid="10" name="Sensitivity">
    <vt:lpwstr>Public</vt:lpwstr>
  </property>
</Properties>
</file>