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464" w:rsidRDefault="00F25464" w:rsidP="00C13CB6">
      <w:pPr>
        <w:widowControl w:val="0"/>
        <w:jc w:val="right"/>
        <w:rPr>
          <w:lang w:val="es-ES"/>
        </w:rPr>
      </w:pPr>
      <w:r>
        <w:rPr>
          <w:noProof/>
          <w:lang w:val="es-AR" w:eastAsia="es-AR"/>
        </w:rPr>
        <w:drawing>
          <wp:inline distT="0" distB="0" distL="0" distR="0" wp14:anchorId="0D1FE318" wp14:editId="1B57C43F">
            <wp:extent cx="933450" cy="457200"/>
            <wp:effectExtent l="0" t="0" r="0" b="0"/>
            <wp:docPr id="1" name="Imagen 1" descr="Logo TGLT"/>
            <wp:cNvGraphicFramePr/>
            <a:graphic xmlns:a="http://schemas.openxmlformats.org/drawingml/2006/main">
              <a:graphicData uri="http://schemas.openxmlformats.org/drawingml/2006/picture">
                <pic:pic xmlns:pic="http://schemas.openxmlformats.org/drawingml/2006/picture">
                  <pic:nvPicPr>
                    <pic:cNvPr id="1" name="Imagen 1" descr="Logo TGLT"/>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457200"/>
                    </a:xfrm>
                    <a:prstGeom prst="rect">
                      <a:avLst/>
                    </a:prstGeom>
                    <a:noFill/>
                    <a:ln>
                      <a:noFill/>
                    </a:ln>
                  </pic:spPr>
                </pic:pic>
              </a:graphicData>
            </a:graphic>
          </wp:inline>
        </w:drawing>
      </w:r>
    </w:p>
    <w:p w:rsidR="00F25464" w:rsidRDefault="00F25464" w:rsidP="00C13CB6">
      <w:pPr>
        <w:widowControl w:val="0"/>
        <w:jc w:val="right"/>
        <w:rPr>
          <w:lang w:val="es-ES"/>
        </w:rPr>
      </w:pPr>
    </w:p>
    <w:p w:rsidR="00C13CB6" w:rsidRPr="00761511" w:rsidRDefault="00C13CB6" w:rsidP="00C13CB6">
      <w:pPr>
        <w:widowControl w:val="0"/>
        <w:jc w:val="right"/>
        <w:rPr>
          <w:lang w:val="es-ES"/>
        </w:rPr>
      </w:pPr>
      <w:r w:rsidRPr="00761511">
        <w:rPr>
          <w:lang w:val="es-ES"/>
        </w:rPr>
        <w:t xml:space="preserve">Ciudad Autónoma de Buenos Aires, </w:t>
      </w:r>
      <w:r w:rsidR="00C80CE9">
        <w:rPr>
          <w:lang w:val="es-ES"/>
        </w:rPr>
        <w:t>28</w:t>
      </w:r>
      <w:r w:rsidR="002738D4">
        <w:rPr>
          <w:lang w:val="es-ES"/>
        </w:rPr>
        <w:t xml:space="preserve"> de</w:t>
      </w:r>
      <w:r w:rsidR="00245AE1">
        <w:rPr>
          <w:lang w:val="es-ES"/>
        </w:rPr>
        <w:t xml:space="preserve"> </w:t>
      </w:r>
      <w:r w:rsidR="009B443B">
        <w:rPr>
          <w:lang w:val="es-ES"/>
        </w:rPr>
        <w:t>agosto</w:t>
      </w:r>
      <w:r w:rsidR="00286D54">
        <w:rPr>
          <w:lang w:val="es-ES"/>
        </w:rPr>
        <w:t xml:space="preserve"> de 2020</w:t>
      </w:r>
    </w:p>
    <w:p w:rsidR="00C13CB6" w:rsidRPr="00761511" w:rsidRDefault="00C13CB6" w:rsidP="00C13CB6">
      <w:pPr>
        <w:widowControl w:val="0"/>
        <w:jc w:val="both"/>
        <w:rPr>
          <w:lang w:val="es-ES"/>
        </w:rPr>
      </w:pPr>
    </w:p>
    <w:p w:rsidR="00C13CB6" w:rsidRPr="00761511" w:rsidRDefault="00C13CB6" w:rsidP="00C13CB6">
      <w:pPr>
        <w:pStyle w:val="Piedepgina"/>
        <w:widowControl w:val="0"/>
        <w:tabs>
          <w:tab w:val="clear" w:pos="4320"/>
          <w:tab w:val="clear" w:pos="8640"/>
        </w:tabs>
        <w:suppressAutoHyphens w:val="0"/>
        <w:jc w:val="both"/>
        <w:rPr>
          <w:rFonts w:ascii="Times New Roman" w:hAnsi="Times New Roman"/>
          <w:szCs w:val="24"/>
          <w:lang w:val="es-MX"/>
        </w:rPr>
      </w:pPr>
      <w:r w:rsidRPr="00761511">
        <w:rPr>
          <w:rFonts w:ascii="Times New Roman" w:hAnsi="Times New Roman"/>
          <w:szCs w:val="24"/>
          <w:lang w:val="es-MX"/>
        </w:rPr>
        <w:t>Señores</w:t>
      </w:r>
    </w:p>
    <w:p w:rsidR="00C13CB6" w:rsidRDefault="00C13CB6" w:rsidP="00C13CB6">
      <w:pPr>
        <w:pStyle w:val="Ttulo3"/>
        <w:keepNext w:val="0"/>
        <w:widowControl w:val="0"/>
        <w:suppressAutoHyphens w:val="0"/>
        <w:rPr>
          <w:b/>
          <w:u w:val="none"/>
        </w:rPr>
      </w:pPr>
      <w:r>
        <w:rPr>
          <w:b/>
          <w:u w:val="none"/>
        </w:rPr>
        <w:t>Comisión Nacional de Valores</w:t>
      </w:r>
    </w:p>
    <w:p w:rsidR="00286D54" w:rsidRDefault="00286D54" w:rsidP="00286D54">
      <w:pPr>
        <w:jc w:val="both"/>
        <w:rPr>
          <w:b/>
          <w:lang w:val="es-ES" w:eastAsia="ar-SA"/>
        </w:rPr>
      </w:pPr>
      <w:r>
        <w:rPr>
          <w:b/>
          <w:lang w:val="es-ES" w:eastAsia="ar-SA"/>
        </w:rPr>
        <w:t>Bolsa de Comercio de Buenos Aires</w:t>
      </w:r>
    </w:p>
    <w:p w:rsidR="00286D54" w:rsidRPr="00286D54" w:rsidRDefault="00286D54" w:rsidP="00286D54">
      <w:pPr>
        <w:jc w:val="both"/>
        <w:rPr>
          <w:b/>
          <w:lang w:val="es-ES" w:eastAsia="ar-SA"/>
        </w:rPr>
      </w:pPr>
      <w:r>
        <w:rPr>
          <w:b/>
          <w:lang w:val="es-ES" w:eastAsia="ar-SA"/>
        </w:rPr>
        <w:t>Mercado Abierto Electrónico</w:t>
      </w:r>
    </w:p>
    <w:p w:rsidR="00F25464" w:rsidRDefault="00F25464" w:rsidP="00C13CB6">
      <w:pPr>
        <w:pStyle w:val="Ttulo2"/>
        <w:keepNext w:val="0"/>
        <w:widowControl w:val="0"/>
        <w:suppressAutoHyphens w:val="0"/>
        <w:jc w:val="both"/>
        <w:rPr>
          <w:rFonts w:ascii="Times New Roman" w:hAnsi="Times New Roman"/>
        </w:rPr>
      </w:pPr>
    </w:p>
    <w:p w:rsidR="00C13CB6" w:rsidRPr="00761511" w:rsidRDefault="00C13CB6" w:rsidP="00C13CB6">
      <w:pPr>
        <w:pStyle w:val="Ttulo2"/>
        <w:keepNext w:val="0"/>
        <w:widowControl w:val="0"/>
        <w:suppressAutoHyphens w:val="0"/>
        <w:jc w:val="both"/>
        <w:rPr>
          <w:rFonts w:ascii="Times New Roman" w:hAnsi="Times New Roman"/>
        </w:rPr>
      </w:pPr>
      <w:r w:rsidRPr="00761511">
        <w:rPr>
          <w:rFonts w:ascii="Times New Roman" w:hAnsi="Times New Roman"/>
        </w:rPr>
        <w:t>Presente</w:t>
      </w:r>
    </w:p>
    <w:p w:rsidR="00C13CB6" w:rsidRPr="00761511" w:rsidRDefault="00C13CB6" w:rsidP="00C13CB6">
      <w:pPr>
        <w:widowControl w:val="0"/>
        <w:jc w:val="both"/>
        <w:rPr>
          <w:lang w:val="es-ES"/>
        </w:rPr>
      </w:pPr>
    </w:p>
    <w:p w:rsidR="00C13CB6" w:rsidRPr="00761511" w:rsidRDefault="00C13CB6" w:rsidP="00C13CB6">
      <w:pPr>
        <w:pStyle w:val="Ttulo2"/>
        <w:keepNext w:val="0"/>
        <w:widowControl w:val="0"/>
        <w:suppressAutoHyphens w:val="0"/>
        <w:ind w:left="4820" w:hanging="567"/>
        <w:jc w:val="both"/>
        <w:rPr>
          <w:rFonts w:ascii="Times New Roman" w:hAnsi="Times New Roman"/>
          <w:u w:val="none"/>
        </w:rPr>
      </w:pPr>
      <w:r w:rsidRPr="00761511">
        <w:rPr>
          <w:rFonts w:ascii="Times New Roman" w:hAnsi="Times New Roman"/>
          <w:b/>
          <w:bCs/>
        </w:rPr>
        <w:t>Ref.</w:t>
      </w:r>
      <w:r w:rsidRPr="00761511">
        <w:rPr>
          <w:rFonts w:ascii="Times New Roman" w:hAnsi="Times New Roman"/>
          <w:b/>
          <w:bCs/>
          <w:u w:val="none"/>
        </w:rPr>
        <w:t>:</w:t>
      </w:r>
      <w:r w:rsidRPr="00761511">
        <w:rPr>
          <w:rFonts w:ascii="Times New Roman" w:hAnsi="Times New Roman"/>
          <w:b/>
          <w:bCs/>
          <w:u w:val="none"/>
        </w:rPr>
        <w:tab/>
        <w:t xml:space="preserve"> </w:t>
      </w:r>
      <w:r w:rsidR="00286D54">
        <w:rPr>
          <w:rFonts w:ascii="Times New Roman" w:hAnsi="Times New Roman"/>
          <w:b/>
          <w:bCs/>
          <w:i/>
          <w:iCs/>
          <w:u w:val="none"/>
        </w:rPr>
        <w:t>TGLT</w:t>
      </w:r>
      <w:r w:rsidRPr="00761511">
        <w:rPr>
          <w:rFonts w:ascii="Times New Roman" w:hAnsi="Times New Roman"/>
          <w:b/>
          <w:bCs/>
          <w:i/>
          <w:iCs/>
          <w:u w:val="none"/>
        </w:rPr>
        <w:t xml:space="preserve"> S.A. – </w:t>
      </w:r>
      <w:r w:rsidR="00C80CE9">
        <w:rPr>
          <w:rFonts w:ascii="Times New Roman" w:hAnsi="Times New Roman"/>
          <w:bCs/>
          <w:iCs/>
          <w:u w:val="none"/>
        </w:rPr>
        <w:t>Información relevante</w:t>
      </w:r>
      <w:r>
        <w:rPr>
          <w:rFonts w:ascii="Times New Roman" w:hAnsi="Times New Roman"/>
          <w:bCs/>
          <w:iCs/>
          <w:u w:val="none"/>
        </w:rPr>
        <w:t xml:space="preserve"> </w:t>
      </w:r>
    </w:p>
    <w:p w:rsidR="00C13CB6" w:rsidRPr="00761511" w:rsidRDefault="00C13CB6" w:rsidP="00C13CB6">
      <w:pPr>
        <w:pStyle w:val="Piedepgina"/>
        <w:widowControl w:val="0"/>
        <w:tabs>
          <w:tab w:val="clear" w:pos="4320"/>
          <w:tab w:val="clear" w:pos="8640"/>
        </w:tabs>
        <w:suppressAutoHyphens w:val="0"/>
        <w:jc w:val="both"/>
        <w:rPr>
          <w:rFonts w:ascii="Times New Roman" w:hAnsi="Times New Roman"/>
          <w:szCs w:val="24"/>
          <w:lang w:val="es-ES"/>
        </w:rPr>
      </w:pPr>
    </w:p>
    <w:p w:rsidR="00C13CB6" w:rsidRPr="00761511" w:rsidRDefault="00C13CB6" w:rsidP="00C13CB6">
      <w:pPr>
        <w:jc w:val="both"/>
        <w:rPr>
          <w:lang w:val="es-ES"/>
        </w:rPr>
      </w:pPr>
      <w:r w:rsidRPr="00761511">
        <w:rPr>
          <w:lang w:val="es-ES"/>
        </w:rPr>
        <w:t>De mi consideración:</w:t>
      </w:r>
    </w:p>
    <w:p w:rsidR="00C13CB6" w:rsidRPr="00761511" w:rsidRDefault="00C13CB6" w:rsidP="00C13CB6">
      <w:pPr>
        <w:jc w:val="both"/>
        <w:rPr>
          <w:lang w:val="es-ES"/>
        </w:rPr>
      </w:pPr>
    </w:p>
    <w:p w:rsidR="00C80CE9" w:rsidRPr="009B443B" w:rsidRDefault="00C13CB6" w:rsidP="00A873AD">
      <w:pPr>
        <w:ind w:firstLine="708"/>
        <w:jc w:val="both"/>
        <w:rPr>
          <w:lang w:val="es-ES"/>
        </w:rPr>
      </w:pPr>
      <w:r w:rsidRPr="00761511">
        <w:rPr>
          <w:lang w:val="es-ES"/>
        </w:rPr>
        <w:t xml:space="preserve">Me dirijo a ustedes en mi carácter de </w:t>
      </w:r>
      <w:r>
        <w:rPr>
          <w:lang w:val="es-ES"/>
        </w:rPr>
        <w:t>Responsable de Relaciones con el Mercado</w:t>
      </w:r>
      <w:r w:rsidRPr="00761511">
        <w:rPr>
          <w:lang w:val="es-ES"/>
        </w:rPr>
        <w:t xml:space="preserve"> de </w:t>
      </w:r>
      <w:r w:rsidR="00286D54">
        <w:rPr>
          <w:lang w:val="es-ES"/>
        </w:rPr>
        <w:t>TGLT</w:t>
      </w:r>
      <w:r w:rsidRPr="00761511">
        <w:rPr>
          <w:lang w:val="es-ES"/>
        </w:rPr>
        <w:t xml:space="preserve"> S.A. (la “</w:t>
      </w:r>
      <w:r w:rsidRPr="00FA2DA7">
        <w:rPr>
          <w:u w:val="single"/>
          <w:lang w:val="es-ES"/>
        </w:rPr>
        <w:t>Sociedad</w:t>
      </w:r>
      <w:r w:rsidRPr="00761511">
        <w:rPr>
          <w:lang w:val="es-ES"/>
        </w:rPr>
        <w:t>”), a fin de informar que</w:t>
      </w:r>
      <w:r w:rsidR="009B443B">
        <w:rPr>
          <w:lang w:val="es-ES"/>
        </w:rPr>
        <w:t>, según consta en el sitio web Legal Radar (</w:t>
      </w:r>
      <w:hyperlink r:id="rId8" w:history="1">
        <w:r w:rsidR="009B443B" w:rsidRPr="001278E9">
          <w:rPr>
            <w:rStyle w:val="Hipervnculo"/>
            <w:lang w:val="es-ES"/>
          </w:rPr>
          <w:t>https://www.law.com/radar/card/tennenbaum-liv</w:t>
        </w:r>
        <w:r w:rsidR="009B443B" w:rsidRPr="001278E9">
          <w:rPr>
            <w:rStyle w:val="Hipervnculo"/>
            <w:lang w:val="es-ES"/>
          </w:rPr>
          <w:t>i</w:t>
        </w:r>
        <w:r w:rsidR="009B443B" w:rsidRPr="001278E9">
          <w:rPr>
            <w:rStyle w:val="Hipervnculo"/>
            <w:lang w:val="es-ES"/>
          </w:rPr>
          <w:t>ng-trust-et-al-v-tglt-sa-et-al-36015699-0/</w:t>
        </w:r>
      </w:hyperlink>
      <w:r w:rsidR="009B443B" w:rsidRPr="009B443B">
        <w:rPr>
          <w:lang w:val="es-ES"/>
        </w:rPr>
        <w:t>)</w:t>
      </w:r>
      <w:r w:rsidR="009B443B">
        <w:rPr>
          <w:lang w:val="es-ES"/>
        </w:rPr>
        <w:t xml:space="preserve">, </w:t>
      </w:r>
      <w:proofErr w:type="spellStart"/>
      <w:r w:rsidR="009B443B" w:rsidRPr="009B443B">
        <w:rPr>
          <w:lang w:val="es-ES"/>
        </w:rPr>
        <w:t>Merkin</w:t>
      </w:r>
      <w:proofErr w:type="spellEnd"/>
      <w:r w:rsidR="009B443B" w:rsidRPr="009B443B">
        <w:rPr>
          <w:lang w:val="es-ES"/>
        </w:rPr>
        <w:t xml:space="preserve"> </w:t>
      </w:r>
      <w:proofErr w:type="spellStart"/>
      <w:r w:rsidR="009B443B" w:rsidRPr="009B443B">
        <w:rPr>
          <w:lang w:val="es-ES"/>
        </w:rPr>
        <w:t>Family</w:t>
      </w:r>
      <w:proofErr w:type="spellEnd"/>
      <w:r w:rsidR="009B443B" w:rsidRPr="009B443B">
        <w:rPr>
          <w:lang w:val="es-ES"/>
        </w:rPr>
        <w:t xml:space="preserve"> </w:t>
      </w:r>
      <w:proofErr w:type="spellStart"/>
      <w:r w:rsidR="009B443B" w:rsidRPr="009B443B">
        <w:rPr>
          <w:lang w:val="es-ES"/>
        </w:rPr>
        <w:t>Foundation</w:t>
      </w:r>
      <w:proofErr w:type="spellEnd"/>
      <w:r w:rsidR="009B443B" w:rsidRPr="009B443B">
        <w:rPr>
          <w:lang w:val="es-ES"/>
        </w:rPr>
        <w:t xml:space="preserve"> </w:t>
      </w:r>
      <w:r w:rsidR="001F3492">
        <w:rPr>
          <w:lang w:val="es-ES"/>
        </w:rPr>
        <w:t>y</w:t>
      </w:r>
      <w:r w:rsidR="009B443B" w:rsidRPr="009B443B">
        <w:rPr>
          <w:lang w:val="es-ES"/>
        </w:rPr>
        <w:t xml:space="preserve"> </w:t>
      </w:r>
      <w:proofErr w:type="spellStart"/>
      <w:r w:rsidR="009B443B" w:rsidRPr="009B443B">
        <w:rPr>
          <w:lang w:val="es-ES"/>
        </w:rPr>
        <w:t>Tennenbaum</w:t>
      </w:r>
      <w:proofErr w:type="spellEnd"/>
      <w:r w:rsidR="009B443B" w:rsidRPr="009B443B">
        <w:rPr>
          <w:lang w:val="es-ES"/>
        </w:rPr>
        <w:t xml:space="preserve"> Living Trust</w:t>
      </w:r>
      <w:r w:rsidR="009B443B">
        <w:rPr>
          <w:lang w:val="es-ES"/>
        </w:rPr>
        <w:t xml:space="preserve"> habrían iniciado una demanda sobre valores negociables contra el Bank </w:t>
      </w:r>
      <w:r w:rsidR="009B443B" w:rsidRPr="009B443B">
        <w:rPr>
          <w:lang w:val="es-ES"/>
        </w:rPr>
        <w:t xml:space="preserve">of New York </w:t>
      </w:r>
      <w:proofErr w:type="spellStart"/>
      <w:r w:rsidR="009B443B" w:rsidRPr="009B443B">
        <w:rPr>
          <w:lang w:val="es-ES"/>
        </w:rPr>
        <w:t>Mellon</w:t>
      </w:r>
      <w:proofErr w:type="spellEnd"/>
      <w:r w:rsidR="009B443B" w:rsidRPr="009B443B">
        <w:rPr>
          <w:lang w:val="es-ES"/>
        </w:rPr>
        <w:t xml:space="preserve"> </w:t>
      </w:r>
      <w:r w:rsidR="009B443B">
        <w:rPr>
          <w:lang w:val="es-ES"/>
        </w:rPr>
        <w:t>y</w:t>
      </w:r>
      <w:r w:rsidR="009B443B" w:rsidRPr="009B443B">
        <w:rPr>
          <w:lang w:val="es-ES"/>
        </w:rPr>
        <w:t xml:space="preserve"> </w:t>
      </w:r>
      <w:r w:rsidR="009B443B">
        <w:rPr>
          <w:lang w:val="es-ES"/>
        </w:rPr>
        <w:t>la Sociedad</w:t>
      </w:r>
      <w:r w:rsidR="001F3492">
        <w:rPr>
          <w:lang w:val="es-ES"/>
        </w:rPr>
        <w:t>,</w:t>
      </w:r>
      <w:r w:rsidR="009B443B" w:rsidRPr="009B443B">
        <w:rPr>
          <w:lang w:val="es-ES"/>
        </w:rPr>
        <w:t xml:space="preserve"> </w:t>
      </w:r>
      <w:r w:rsidR="009B443B">
        <w:rPr>
          <w:lang w:val="es-ES"/>
        </w:rPr>
        <w:t xml:space="preserve">ante los tribunales del </w:t>
      </w:r>
      <w:r w:rsidR="009B443B" w:rsidRPr="009B443B">
        <w:rPr>
          <w:lang w:val="es-ES"/>
        </w:rPr>
        <w:t>Distrito Sur de Nueva York</w:t>
      </w:r>
      <w:r w:rsidR="009B443B">
        <w:rPr>
          <w:lang w:val="es-ES"/>
        </w:rPr>
        <w:t>.</w:t>
      </w:r>
    </w:p>
    <w:p w:rsidR="00C80CE9" w:rsidRPr="009B443B" w:rsidRDefault="00C80CE9" w:rsidP="00661478">
      <w:pPr>
        <w:ind w:firstLine="708"/>
        <w:jc w:val="both"/>
        <w:rPr>
          <w:lang w:val="es-ES"/>
        </w:rPr>
      </w:pPr>
    </w:p>
    <w:p w:rsidR="00A873AD" w:rsidRDefault="00A873AD" w:rsidP="00C13CB6">
      <w:pPr>
        <w:ind w:firstLine="708"/>
        <w:jc w:val="both"/>
        <w:rPr>
          <w:lang w:val="es-ES"/>
        </w:rPr>
      </w:pPr>
      <w:r>
        <w:rPr>
          <w:lang w:val="es-ES"/>
        </w:rPr>
        <w:t>En este contexto, hacemos saber que, hasta el momento de la publicación de este hecho relevante, ni la Sociedad ni ninguno de sus agentes designados en la Ciudad de Nueva York han sido notificados de esta demanda, por lo que la Sociedad no cuenta con mayor información que la referida en el citado sitio web; desconociendo, por el momento, el objeto del reclamo, el monto pretendido bajo el mismo (en caso de haberlo), ni si este planteo tiene</w:t>
      </w:r>
      <w:r w:rsidRPr="00A873AD">
        <w:rPr>
          <w:lang w:val="es-ES"/>
        </w:rPr>
        <w:t xml:space="preserve"> importancia económica significativa o trascendencia para el desenvolvimiento de </w:t>
      </w:r>
      <w:r>
        <w:rPr>
          <w:lang w:val="es-ES"/>
        </w:rPr>
        <w:t>las actividades de la Sociedad.</w:t>
      </w:r>
    </w:p>
    <w:p w:rsidR="00A873AD" w:rsidRDefault="00A873AD" w:rsidP="00C13CB6">
      <w:pPr>
        <w:ind w:firstLine="708"/>
        <w:jc w:val="both"/>
        <w:rPr>
          <w:lang w:val="es-ES"/>
        </w:rPr>
      </w:pPr>
    </w:p>
    <w:p w:rsidR="00C13CB6" w:rsidRPr="009B443B" w:rsidRDefault="00A873AD" w:rsidP="00C13CB6">
      <w:pPr>
        <w:ind w:firstLine="708"/>
        <w:jc w:val="both"/>
        <w:rPr>
          <w:lang w:val="es-ES"/>
        </w:rPr>
      </w:pPr>
      <w:r>
        <w:rPr>
          <w:lang w:val="es-ES"/>
        </w:rPr>
        <w:t xml:space="preserve">La Sociedad mantendrá informado al mercado sobre cualquier información relevante </w:t>
      </w:r>
      <w:r w:rsidR="001F3492">
        <w:rPr>
          <w:lang w:val="es-ES"/>
        </w:rPr>
        <w:t>de la cual tome conocimiento, con relación a este particular.</w:t>
      </w:r>
      <w:r>
        <w:rPr>
          <w:lang w:val="es-ES"/>
        </w:rPr>
        <w:t xml:space="preserve"> </w:t>
      </w:r>
    </w:p>
    <w:p w:rsidR="00C13CB6" w:rsidRPr="009B443B" w:rsidRDefault="00C13CB6" w:rsidP="00C13CB6">
      <w:pPr>
        <w:ind w:firstLine="1985"/>
        <w:jc w:val="both"/>
        <w:rPr>
          <w:lang w:val="es-ES"/>
        </w:rPr>
      </w:pPr>
    </w:p>
    <w:p w:rsidR="00C13CB6" w:rsidRPr="00761511" w:rsidRDefault="00C13CB6" w:rsidP="00C13CB6">
      <w:pPr>
        <w:ind w:firstLine="708"/>
        <w:jc w:val="both"/>
        <w:rPr>
          <w:lang w:val="es-ES"/>
        </w:rPr>
      </w:pPr>
      <w:r w:rsidRPr="00761511">
        <w:rPr>
          <w:lang w:val="es-ES"/>
        </w:rPr>
        <w:t>Sin otro particular, saludo a ustedes atentamente.</w:t>
      </w:r>
    </w:p>
    <w:p w:rsidR="00C13CB6" w:rsidRPr="00EB7FA3" w:rsidRDefault="00C13CB6" w:rsidP="00C13CB6">
      <w:pPr>
        <w:rPr>
          <w:sz w:val="26"/>
          <w:szCs w:val="26"/>
          <w:lang w:val="es-AR"/>
        </w:rPr>
      </w:pPr>
    </w:p>
    <w:p w:rsidR="00C13CB6" w:rsidRPr="00EB7FA3" w:rsidRDefault="00C13CB6" w:rsidP="00C13CB6">
      <w:pPr>
        <w:rPr>
          <w:sz w:val="26"/>
          <w:szCs w:val="26"/>
          <w:lang w:val="es-AR"/>
        </w:rPr>
      </w:pPr>
      <w:bookmarkStart w:id="0" w:name="_GoBack"/>
      <w:bookmarkEnd w:id="0"/>
    </w:p>
    <w:p w:rsidR="00C13CB6" w:rsidRPr="00EB7FA3" w:rsidRDefault="00C13CB6" w:rsidP="00C13CB6">
      <w:pPr>
        <w:rPr>
          <w:sz w:val="26"/>
          <w:szCs w:val="26"/>
          <w:lang w:val="es-AR"/>
        </w:rPr>
      </w:pPr>
    </w:p>
    <w:p w:rsidR="00C13CB6" w:rsidRPr="00E868B0" w:rsidRDefault="00C13CB6" w:rsidP="00C13CB6">
      <w:pPr>
        <w:spacing w:line="360" w:lineRule="auto"/>
        <w:rPr>
          <w:lang w:val="es-AR"/>
        </w:rPr>
      </w:pPr>
      <w:r>
        <w:rPr>
          <w:lang w:val="es-AR"/>
        </w:rPr>
        <w:t>__________________________</w:t>
      </w:r>
    </w:p>
    <w:p w:rsidR="00C13CB6" w:rsidRPr="00761511" w:rsidRDefault="00286D54" w:rsidP="00C13CB6">
      <w:pPr>
        <w:rPr>
          <w:bCs/>
          <w:lang w:val="es-AR"/>
        </w:rPr>
      </w:pPr>
      <w:r>
        <w:rPr>
          <w:bCs/>
          <w:lang w:val="es-AR"/>
        </w:rPr>
        <w:t>Manuel Moreno</w:t>
      </w:r>
    </w:p>
    <w:p w:rsidR="00C13CB6" w:rsidRPr="00761511" w:rsidRDefault="00C13CB6" w:rsidP="00C13CB6">
      <w:pPr>
        <w:rPr>
          <w:i/>
          <w:lang w:val="es-AR"/>
        </w:rPr>
      </w:pPr>
      <w:r w:rsidRPr="00761511">
        <w:rPr>
          <w:i/>
          <w:lang w:val="es-AR"/>
        </w:rPr>
        <w:t xml:space="preserve">Responsable de </w:t>
      </w:r>
    </w:p>
    <w:p w:rsidR="00C13CB6" w:rsidRPr="00761511" w:rsidRDefault="00C13CB6" w:rsidP="00C13CB6">
      <w:pPr>
        <w:rPr>
          <w:i/>
          <w:lang w:val="es-AR"/>
        </w:rPr>
      </w:pPr>
      <w:r w:rsidRPr="00761511">
        <w:rPr>
          <w:i/>
          <w:lang w:val="es-AR"/>
        </w:rPr>
        <w:t>Relaciones con el Mercado</w:t>
      </w:r>
    </w:p>
    <w:p w:rsidR="00676A01" w:rsidRPr="00676A01" w:rsidRDefault="00C13CB6" w:rsidP="00286D54">
      <w:pPr>
        <w:widowControl w:val="0"/>
        <w:rPr>
          <w:lang w:val="es-AR"/>
        </w:rPr>
      </w:pPr>
      <w:r w:rsidRPr="00761511">
        <w:rPr>
          <w:b/>
          <w:lang w:val="es-AR"/>
        </w:rPr>
        <w:t>T</w:t>
      </w:r>
      <w:r w:rsidR="00286D54">
        <w:rPr>
          <w:b/>
          <w:lang w:val="es-AR"/>
        </w:rPr>
        <w:t>GLT</w:t>
      </w:r>
      <w:r w:rsidRPr="00761511">
        <w:rPr>
          <w:b/>
          <w:lang w:val="es-AR"/>
        </w:rPr>
        <w:t xml:space="preserve"> S.A.</w:t>
      </w:r>
      <w:r w:rsidR="00286D54" w:rsidRPr="00676A01">
        <w:rPr>
          <w:lang w:val="es-AR"/>
        </w:rPr>
        <w:t xml:space="preserve"> </w:t>
      </w:r>
    </w:p>
    <w:p w:rsidR="00C13CB6" w:rsidRPr="003E5459" w:rsidRDefault="00C13CB6" w:rsidP="00676A01">
      <w:pPr>
        <w:spacing w:after="200" w:line="276" w:lineRule="auto"/>
        <w:jc w:val="both"/>
        <w:rPr>
          <w:lang w:val="es-AR"/>
        </w:rPr>
      </w:pPr>
    </w:p>
    <w:sectPr w:rsidR="00C13CB6" w:rsidRPr="003E5459" w:rsidSect="00430E1F">
      <w:footerReference w:type="default" r:id="rId9"/>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22A" w:rsidRDefault="00AA122A" w:rsidP="009A4EF2">
      <w:r>
        <w:separator/>
      </w:r>
    </w:p>
  </w:endnote>
  <w:endnote w:type="continuationSeparator" w:id="0">
    <w:p w:rsidR="00AA122A" w:rsidRDefault="00AA122A" w:rsidP="009A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E1F" w:rsidRPr="008C4A54" w:rsidRDefault="00430E1F" w:rsidP="00430E1F">
    <w:pPr>
      <w:pStyle w:val="Piedepgina"/>
      <w:tabs>
        <w:tab w:val="clear" w:pos="4320"/>
        <w:tab w:val="clear" w:pos="8640"/>
      </w:tabs>
      <w:rPr>
        <w:rFonts w:ascii="Cambria" w:hAnsi="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22A" w:rsidRDefault="00AA122A" w:rsidP="009A4EF2">
      <w:r>
        <w:separator/>
      </w:r>
    </w:p>
  </w:footnote>
  <w:footnote w:type="continuationSeparator" w:id="0">
    <w:p w:rsidR="00AA122A" w:rsidRDefault="00AA122A" w:rsidP="009A4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464"/>
    <w:multiLevelType w:val="hybridMultilevel"/>
    <w:tmpl w:val="4DCE42DC"/>
    <w:lvl w:ilvl="0" w:tplc="554A4BFA">
      <w:start w:val="1"/>
      <w:numFmt w:val="decimal"/>
      <w:lvlText w:val="%1."/>
      <w:lvlJc w:val="left"/>
      <w:pPr>
        <w:ind w:left="420" w:hanging="360"/>
      </w:pPr>
      <w:rPr>
        <w:rFonts w:hint="default"/>
        <w:b/>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1" w15:restartNumberingAfterBreak="0">
    <w:nsid w:val="56247469"/>
    <w:multiLevelType w:val="hybridMultilevel"/>
    <w:tmpl w:val="A8B6D342"/>
    <w:lvl w:ilvl="0" w:tplc="1C2E58D6">
      <w:start w:val="1"/>
      <w:numFmt w:val="lowerRoman"/>
      <w:lvlText w:val="(%1)"/>
      <w:lvlJc w:val="left"/>
      <w:pPr>
        <w:ind w:left="1428" w:hanging="72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B6"/>
    <w:rsid w:val="000705E2"/>
    <w:rsid w:val="00110382"/>
    <w:rsid w:val="001121E2"/>
    <w:rsid w:val="00117B4B"/>
    <w:rsid w:val="0012371C"/>
    <w:rsid w:val="001C64F7"/>
    <w:rsid w:val="001F3492"/>
    <w:rsid w:val="002041AB"/>
    <w:rsid w:val="00245AE1"/>
    <w:rsid w:val="002719B5"/>
    <w:rsid w:val="002738D4"/>
    <w:rsid w:val="00286D54"/>
    <w:rsid w:val="003008FC"/>
    <w:rsid w:val="00312175"/>
    <w:rsid w:val="003862C9"/>
    <w:rsid w:val="00387C1B"/>
    <w:rsid w:val="003E4C44"/>
    <w:rsid w:val="003E5459"/>
    <w:rsid w:val="00406FCB"/>
    <w:rsid w:val="00415C1D"/>
    <w:rsid w:val="00430E1F"/>
    <w:rsid w:val="004A2682"/>
    <w:rsid w:val="005653C8"/>
    <w:rsid w:val="005B02E6"/>
    <w:rsid w:val="00661478"/>
    <w:rsid w:val="00676A01"/>
    <w:rsid w:val="0068427F"/>
    <w:rsid w:val="00691F4B"/>
    <w:rsid w:val="00726D52"/>
    <w:rsid w:val="007F755F"/>
    <w:rsid w:val="00822496"/>
    <w:rsid w:val="00842B26"/>
    <w:rsid w:val="00850BA8"/>
    <w:rsid w:val="008A03A8"/>
    <w:rsid w:val="008A1369"/>
    <w:rsid w:val="0091413F"/>
    <w:rsid w:val="009A4EF2"/>
    <w:rsid w:val="009B443B"/>
    <w:rsid w:val="009B5B8B"/>
    <w:rsid w:val="00A873AD"/>
    <w:rsid w:val="00AA122A"/>
    <w:rsid w:val="00BD6D3F"/>
    <w:rsid w:val="00C02214"/>
    <w:rsid w:val="00C13CB6"/>
    <w:rsid w:val="00C54901"/>
    <w:rsid w:val="00C56A96"/>
    <w:rsid w:val="00C8099E"/>
    <w:rsid w:val="00C80CE9"/>
    <w:rsid w:val="00C93033"/>
    <w:rsid w:val="00CA7117"/>
    <w:rsid w:val="00CE0CB8"/>
    <w:rsid w:val="00D160E1"/>
    <w:rsid w:val="00D24CC2"/>
    <w:rsid w:val="00D33CF3"/>
    <w:rsid w:val="00E41E7B"/>
    <w:rsid w:val="00E600ED"/>
    <w:rsid w:val="00F25464"/>
    <w:rsid w:val="00F40DB4"/>
    <w:rsid w:val="00FA2DA7"/>
    <w:rsid w:val="00FB7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2A18C-FB6F-4494-9852-2717406D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CB6"/>
    <w:pPr>
      <w:spacing w:after="0" w:line="240" w:lineRule="auto"/>
      <w:jc w:val="center"/>
    </w:pPr>
    <w:rPr>
      <w:rFonts w:ascii="Times New Roman" w:eastAsia="Times New Roman" w:hAnsi="Times New Roman" w:cs="Times New Roman"/>
      <w:sz w:val="24"/>
      <w:szCs w:val="24"/>
      <w:lang w:val="en-GB"/>
    </w:rPr>
  </w:style>
  <w:style w:type="paragraph" w:styleId="Ttulo2">
    <w:name w:val="heading 2"/>
    <w:basedOn w:val="Normal"/>
    <w:next w:val="Normal"/>
    <w:link w:val="Ttulo2Car"/>
    <w:qFormat/>
    <w:rsid w:val="00C13CB6"/>
    <w:pPr>
      <w:keepNext/>
      <w:suppressAutoHyphens/>
      <w:jc w:val="right"/>
      <w:outlineLvl w:val="1"/>
    </w:pPr>
    <w:rPr>
      <w:rFonts w:ascii="Palatino" w:hAnsi="Palatino"/>
      <w:u w:val="single"/>
      <w:lang w:val="es-ES" w:eastAsia="ar-SA"/>
    </w:rPr>
  </w:style>
  <w:style w:type="paragraph" w:styleId="Ttulo3">
    <w:name w:val="heading 3"/>
    <w:basedOn w:val="Normal"/>
    <w:next w:val="Normal"/>
    <w:link w:val="Ttulo3Car"/>
    <w:qFormat/>
    <w:rsid w:val="00C13CB6"/>
    <w:pPr>
      <w:keepNext/>
      <w:suppressAutoHyphens/>
      <w:jc w:val="both"/>
      <w:outlineLvl w:val="2"/>
    </w:pPr>
    <w:rPr>
      <w:u w:val="single"/>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13CB6"/>
    <w:rPr>
      <w:rFonts w:ascii="Palatino" w:eastAsia="Times New Roman" w:hAnsi="Palatino" w:cs="Times New Roman"/>
      <w:sz w:val="24"/>
      <w:szCs w:val="24"/>
      <w:u w:val="single"/>
      <w:lang w:eastAsia="ar-SA"/>
    </w:rPr>
  </w:style>
  <w:style w:type="character" w:customStyle="1" w:styleId="Ttulo3Car">
    <w:name w:val="Título 3 Car"/>
    <w:basedOn w:val="Fuentedeprrafopredeter"/>
    <w:link w:val="Ttulo3"/>
    <w:rsid w:val="00C13CB6"/>
    <w:rPr>
      <w:rFonts w:ascii="Times New Roman" w:eastAsia="Times New Roman" w:hAnsi="Times New Roman" w:cs="Times New Roman"/>
      <w:sz w:val="24"/>
      <w:szCs w:val="24"/>
      <w:u w:val="single"/>
      <w:lang w:eastAsia="ar-SA"/>
    </w:rPr>
  </w:style>
  <w:style w:type="paragraph" w:styleId="Piedepgina">
    <w:name w:val="footer"/>
    <w:basedOn w:val="Normal"/>
    <w:link w:val="PiedepginaCar"/>
    <w:uiPriority w:val="99"/>
    <w:rsid w:val="00C13CB6"/>
    <w:pPr>
      <w:tabs>
        <w:tab w:val="center" w:pos="4320"/>
        <w:tab w:val="right" w:pos="8640"/>
      </w:tabs>
      <w:suppressAutoHyphens/>
    </w:pPr>
    <w:rPr>
      <w:rFonts w:ascii="Times" w:hAnsi="Times"/>
      <w:szCs w:val="20"/>
      <w:lang w:val="en-US" w:eastAsia="ar-SA"/>
    </w:rPr>
  </w:style>
  <w:style w:type="character" w:customStyle="1" w:styleId="PiedepginaCar">
    <w:name w:val="Pie de página Car"/>
    <w:basedOn w:val="Fuentedeprrafopredeter"/>
    <w:link w:val="Piedepgina"/>
    <w:uiPriority w:val="99"/>
    <w:rsid w:val="00C13CB6"/>
    <w:rPr>
      <w:rFonts w:ascii="Times" w:eastAsia="Times New Roman" w:hAnsi="Times" w:cs="Times New Roman"/>
      <w:sz w:val="24"/>
      <w:szCs w:val="20"/>
      <w:lang w:val="en-US" w:eastAsia="ar-SA"/>
    </w:rPr>
  </w:style>
  <w:style w:type="paragraph" w:styleId="Textoindependiente">
    <w:name w:val="Body Text"/>
    <w:aliases w:val="body text,bt,Texto independienteR"/>
    <w:basedOn w:val="Normal"/>
    <w:link w:val="TextoindependienteCar"/>
    <w:rsid w:val="00C13CB6"/>
    <w:pPr>
      <w:jc w:val="both"/>
    </w:pPr>
    <w:rPr>
      <w:lang w:val="es-ES"/>
    </w:rPr>
  </w:style>
  <w:style w:type="character" w:customStyle="1" w:styleId="TextoindependienteCar">
    <w:name w:val="Texto independiente Car"/>
    <w:aliases w:val="body text Car,bt Car,Texto independienteR Car"/>
    <w:basedOn w:val="Fuentedeprrafopredeter"/>
    <w:link w:val="Textoindependiente"/>
    <w:rsid w:val="00C13CB6"/>
    <w:rPr>
      <w:rFonts w:ascii="Times New Roman" w:eastAsia="Times New Roman" w:hAnsi="Times New Roman" w:cs="Times New Roman"/>
      <w:sz w:val="24"/>
      <w:szCs w:val="24"/>
    </w:rPr>
  </w:style>
  <w:style w:type="paragraph" w:styleId="Textoindependiente3">
    <w:name w:val="Body Text 3"/>
    <w:basedOn w:val="Normal"/>
    <w:link w:val="Textoindependiente3Car"/>
    <w:uiPriority w:val="99"/>
    <w:semiHidden/>
    <w:unhideWhenUsed/>
    <w:rsid w:val="00C13CB6"/>
    <w:pPr>
      <w:spacing w:after="120"/>
      <w:jc w:val="both"/>
    </w:pPr>
    <w:rPr>
      <w:rFonts w:eastAsia="Calibri"/>
      <w:sz w:val="16"/>
      <w:szCs w:val="16"/>
      <w:lang w:val="es-ES"/>
    </w:rPr>
  </w:style>
  <w:style w:type="character" w:customStyle="1" w:styleId="Textoindependiente3Car">
    <w:name w:val="Texto independiente 3 Car"/>
    <w:basedOn w:val="Fuentedeprrafopredeter"/>
    <w:link w:val="Textoindependiente3"/>
    <w:uiPriority w:val="99"/>
    <w:semiHidden/>
    <w:rsid w:val="00C13CB6"/>
    <w:rPr>
      <w:rFonts w:ascii="Times New Roman" w:eastAsia="Calibri" w:hAnsi="Times New Roman" w:cs="Times New Roman"/>
      <w:sz w:val="16"/>
      <w:szCs w:val="16"/>
    </w:rPr>
  </w:style>
  <w:style w:type="paragraph" w:styleId="Textodeglobo">
    <w:name w:val="Balloon Text"/>
    <w:basedOn w:val="Normal"/>
    <w:link w:val="TextodegloboCar"/>
    <w:uiPriority w:val="99"/>
    <w:semiHidden/>
    <w:unhideWhenUsed/>
    <w:rsid w:val="00D33CF3"/>
    <w:rPr>
      <w:rFonts w:ascii="Tahoma" w:hAnsi="Tahoma" w:cs="Tahoma"/>
      <w:sz w:val="16"/>
      <w:szCs w:val="16"/>
    </w:rPr>
  </w:style>
  <w:style w:type="character" w:customStyle="1" w:styleId="TextodegloboCar">
    <w:name w:val="Texto de globo Car"/>
    <w:basedOn w:val="Fuentedeprrafopredeter"/>
    <w:link w:val="Textodeglobo"/>
    <w:uiPriority w:val="99"/>
    <w:semiHidden/>
    <w:rsid w:val="00D33CF3"/>
    <w:rPr>
      <w:rFonts w:ascii="Tahoma" w:eastAsia="Times New Roman" w:hAnsi="Tahoma" w:cs="Tahoma"/>
      <w:sz w:val="16"/>
      <w:szCs w:val="16"/>
      <w:lang w:val="en-GB"/>
    </w:rPr>
  </w:style>
  <w:style w:type="paragraph" w:styleId="Textoindependiente2">
    <w:name w:val="Body Text 2"/>
    <w:basedOn w:val="Normal"/>
    <w:link w:val="Textoindependiente2Car"/>
    <w:uiPriority w:val="99"/>
    <w:semiHidden/>
    <w:unhideWhenUsed/>
    <w:rsid w:val="00676A01"/>
    <w:pPr>
      <w:spacing w:after="120" w:line="480" w:lineRule="auto"/>
    </w:pPr>
  </w:style>
  <w:style w:type="character" w:customStyle="1" w:styleId="Textoindependiente2Car">
    <w:name w:val="Texto independiente 2 Car"/>
    <w:basedOn w:val="Fuentedeprrafopredeter"/>
    <w:link w:val="Textoindependiente2"/>
    <w:uiPriority w:val="99"/>
    <w:semiHidden/>
    <w:rsid w:val="00676A01"/>
    <w:rPr>
      <w:rFonts w:ascii="Times New Roman" w:eastAsia="Times New Roman" w:hAnsi="Times New Roman" w:cs="Times New Roman"/>
      <w:sz w:val="24"/>
      <w:szCs w:val="24"/>
      <w:lang w:val="en-GB"/>
    </w:rPr>
  </w:style>
  <w:style w:type="paragraph" w:customStyle="1" w:styleId="xmsonormal">
    <w:name w:val="x_msonormal"/>
    <w:basedOn w:val="Normal"/>
    <w:rsid w:val="00C80CE9"/>
    <w:pPr>
      <w:jc w:val="left"/>
    </w:pPr>
    <w:rPr>
      <w:rFonts w:eastAsiaTheme="minorHAnsi"/>
      <w:lang w:val="es-AR" w:eastAsia="es-AR"/>
    </w:rPr>
  </w:style>
  <w:style w:type="character" w:styleId="Hipervnculo">
    <w:name w:val="Hyperlink"/>
    <w:basedOn w:val="Fuentedeprrafopredeter"/>
    <w:uiPriority w:val="99"/>
    <w:unhideWhenUsed/>
    <w:rsid w:val="009B443B"/>
    <w:rPr>
      <w:color w:val="0000FF"/>
      <w:u w:val="single"/>
    </w:rPr>
  </w:style>
  <w:style w:type="character" w:styleId="Hipervnculovisitado">
    <w:name w:val="FollowedHyperlink"/>
    <w:basedOn w:val="Fuentedeprrafopredeter"/>
    <w:uiPriority w:val="99"/>
    <w:semiHidden/>
    <w:unhideWhenUsed/>
    <w:rsid w:val="00F254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26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m/radar/card/tennenbaum-living-trust-et-al-v-tglt-sa-et-al-36015699-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1407</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Estudio Beccar Varela</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mtutzer</dc:creator>
  <cp:lastModifiedBy>Nicolas Criado</cp:lastModifiedBy>
  <cp:revision>2</cp:revision>
  <cp:lastPrinted>2020-06-24T00:07:00Z</cp:lastPrinted>
  <dcterms:created xsi:type="dcterms:W3CDTF">2020-08-28T13:17:00Z</dcterms:created>
  <dcterms:modified xsi:type="dcterms:W3CDTF">2020-08-28T13:17:00Z</dcterms:modified>
</cp:coreProperties>
</file>