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602CA9F" w:rsidR="00BB4838" w:rsidRPr="00930F48" w:rsidRDefault="00200CB4" w:rsidP="00E623E1">
      <w:pPr>
        <w:pBdr>
          <w:top w:val="nil"/>
          <w:left w:val="nil"/>
          <w:bottom w:val="nil"/>
          <w:right w:val="nil"/>
          <w:between w:val="nil"/>
        </w:pBdr>
        <w:spacing w:after="0" w:line="240" w:lineRule="auto"/>
        <w:ind w:left="-2" w:firstLineChars="0" w:firstLine="0"/>
        <w:jc w:val="right"/>
        <w:rPr>
          <w:rFonts w:ascii="Times New Roman" w:eastAsia="Times New Roman" w:hAnsi="Times New Roman" w:cs="Times New Roman"/>
          <w:color w:val="000000"/>
        </w:rPr>
      </w:pPr>
      <w:r w:rsidRPr="00930F48">
        <w:rPr>
          <w:rFonts w:ascii="Times New Roman" w:eastAsia="Times New Roman" w:hAnsi="Times New Roman" w:cs="Times New Roman"/>
          <w:color w:val="000000"/>
        </w:rPr>
        <w:t xml:space="preserve">Ciudad Autónoma de Buenos Aires, </w:t>
      </w:r>
      <w:r w:rsidR="00430E7A">
        <w:rPr>
          <w:rFonts w:ascii="Times New Roman" w:eastAsia="Times New Roman" w:hAnsi="Times New Roman" w:cs="Times New Roman"/>
          <w:color w:val="000000"/>
        </w:rPr>
        <w:t>4</w:t>
      </w:r>
      <w:r w:rsidRPr="00930F48">
        <w:rPr>
          <w:rFonts w:ascii="Times New Roman" w:eastAsia="Times New Roman" w:hAnsi="Times New Roman" w:cs="Times New Roman"/>
          <w:color w:val="000000"/>
        </w:rPr>
        <w:t xml:space="preserve"> de </w:t>
      </w:r>
      <w:r w:rsidR="00680FBA">
        <w:rPr>
          <w:rFonts w:ascii="Times New Roman" w:eastAsia="Times New Roman" w:hAnsi="Times New Roman" w:cs="Times New Roman"/>
          <w:color w:val="000000"/>
        </w:rPr>
        <w:t>mayo</w:t>
      </w:r>
      <w:r w:rsidRPr="00930F48">
        <w:rPr>
          <w:rFonts w:ascii="Times New Roman" w:eastAsia="Times New Roman" w:hAnsi="Times New Roman" w:cs="Times New Roman"/>
          <w:color w:val="000000"/>
        </w:rPr>
        <w:t xml:space="preserve"> de 2021</w:t>
      </w:r>
    </w:p>
    <w:p w14:paraId="00000002" w14:textId="77777777" w:rsidR="00BB4838" w:rsidRPr="00930F48" w:rsidRDefault="00BB4838" w:rsidP="00E623E1">
      <w:p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rPr>
      </w:pPr>
    </w:p>
    <w:p w14:paraId="00000003" w14:textId="77777777" w:rsidR="00BB4838" w:rsidRPr="00930F48" w:rsidRDefault="00BB4838" w:rsidP="00E623E1">
      <w:p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rPr>
      </w:pPr>
    </w:p>
    <w:p w14:paraId="00000004" w14:textId="77777777" w:rsidR="00BB4838" w:rsidRPr="00930F48" w:rsidRDefault="00200CB4" w:rsidP="00E623E1">
      <w:pPr>
        <w:widowControl w:val="0"/>
        <w:spacing w:after="0" w:line="240" w:lineRule="auto"/>
        <w:ind w:left="-2" w:firstLineChars="0" w:firstLine="0"/>
        <w:jc w:val="both"/>
        <w:rPr>
          <w:rFonts w:ascii="Times New Roman" w:eastAsia="Times New Roman" w:hAnsi="Times New Roman" w:cs="Times New Roman"/>
        </w:rPr>
      </w:pPr>
      <w:r w:rsidRPr="00930F48">
        <w:rPr>
          <w:rFonts w:ascii="Times New Roman" w:eastAsia="Times New Roman" w:hAnsi="Times New Roman" w:cs="Times New Roman"/>
        </w:rPr>
        <w:t>Señores</w:t>
      </w:r>
    </w:p>
    <w:p w14:paraId="00000005" w14:textId="77777777" w:rsidR="00BB4838" w:rsidRPr="00680FBA" w:rsidRDefault="00200CB4" w:rsidP="00E623E1">
      <w:pPr>
        <w:widowControl w:val="0"/>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rPr>
      </w:pPr>
      <w:r w:rsidRPr="00680FBA">
        <w:rPr>
          <w:rFonts w:ascii="Times New Roman" w:eastAsia="Times New Roman" w:hAnsi="Times New Roman" w:cs="Times New Roman"/>
          <w:b/>
          <w:color w:val="000000"/>
        </w:rPr>
        <w:t>Comisión Nacional de Valores</w:t>
      </w:r>
    </w:p>
    <w:p w14:paraId="00000006" w14:textId="77777777" w:rsidR="00BB4838" w:rsidRPr="00680FBA" w:rsidRDefault="00200CB4" w:rsidP="00E623E1">
      <w:pPr>
        <w:widowControl w:val="0"/>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rPr>
      </w:pPr>
      <w:r w:rsidRPr="00680FBA">
        <w:rPr>
          <w:rFonts w:ascii="Times New Roman" w:eastAsia="Times New Roman" w:hAnsi="Times New Roman" w:cs="Times New Roman"/>
          <w:b/>
          <w:color w:val="000000"/>
        </w:rPr>
        <w:t>Bolsas y Mercados Argentinos S.A.</w:t>
      </w:r>
    </w:p>
    <w:p w14:paraId="00000007" w14:textId="77777777" w:rsidR="00BB4838" w:rsidRPr="00680FBA" w:rsidRDefault="00200CB4" w:rsidP="00E623E1">
      <w:pPr>
        <w:widowControl w:val="0"/>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rPr>
      </w:pPr>
      <w:r w:rsidRPr="00680FBA">
        <w:rPr>
          <w:rFonts w:ascii="Times New Roman" w:eastAsia="Times New Roman" w:hAnsi="Times New Roman" w:cs="Times New Roman"/>
          <w:b/>
          <w:color w:val="000000"/>
        </w:rPr>
        <w:t>Mercado Abierto Electrónico S.A.</w:t>
      </w:r>
    </w:p>
    <w:p w14:paraId="00000008" w14:textId="77777777" w:rsidR="00BB4838" w:rsidRPr="00930F48" w:rsidRDefault="00200CB4" w:rsidP="00E623E1">
      <w:pPr>
        <w:widowControl w:val="0"/>
        <w:spacing w:after="0" w:line="240" w:lineRule="auto"/>
        <w:ind w:left="-2" w:firstLineChars="0" w:firstLine="0"/>
        <w:jc w:val="both"/>
        <w:rPr>
          <w:rFonts w:ascii="Times New Roman" w:eastAsia="Times New Roman" w:hAnsi="Times New Roman" w:cs="Times New Roman"/>
          <w:u w:val="single"/>
        </w:rPr>
      </w:pPr>
      <w:r w:rsidRPr="00930F48">
        <w:rPr>
          <w:rFonts w:ascii="Times New Roman" w:eastAsia="Times New Roman" w:hAnsi="Times New Roman" w:cs="Times New Roman"/>
          <w:u w:val="single"/>
        </w:rPr>
        <w:t>Presente</w:t>
      </w:r>
    </w:p>
    <w:p w14:paraId="00000009" w14:textId="77777777" w:rsidR="00BB4838" w:rsidRPr="00930F48" w:rsidRDefault="00BB4838" w:rsidP="00E623E1">
      <w:pPr>
        <w:widowControl w:val="0"/>
        <w:spacing w:after="0" w:line="240" w:lineRule="auto"/>
        <w:ind w:left="-2" w:firstLineChars="0" w:firstLine="0"/>
        <w:jc w:val="both"/>
        <w:rPr>
          <w:rFonts w:ascii="Times New Roman" w:eastAsia="Times New Roman" w:hAnsi="Times New Roman" w:cs="Times New Roman"/>
        </w:rPr>
      </w:pPr>
    </w:p>
    <w:p w14:paraId="0000000A" w14:textId="77777777" w:rsidR="00BB4838" w:rsidRPr="00930F48" w:rsidRDefault="00BB4838" w:rsidP="00E623E1">
      <w:pPr>
        <w:widowControl w:val="0"/>
        <w:spacing w:after="0" w:line="240" w:lineRule="auto"/>
        <w:ind w:left="-2" w:firstLineChars="0" w:firstLine="0"/>
        <w:jc w:val="both"/>
        <w:rPr>
          <w:rFonts w:ascii="Times New Roman" w:eastAsia="Times New Roman" w:hAnsi="Times New Roman" w:cs="Times New Roman"/>
        </w:rPr>
      </w:pPr>
    </w:p>
    <w:p w14:paraId="1B6D9142" w14:textId="77777777" w:rsidR="00223E01" w:rsidRPr="00930F48" w:rsidRDefault="00200CB4" w:rsidP="00E623E1">
      <w:pPr>
        <w:pBdr>
          <w:top w:val="nil"/>
          <w:left w:val="nil"/>
          <w:bottom w:val="nil"/>
          <w:right w:val="nil"/>
          <w:between w:val="nil"/>
        </w:pBdr>
        <w:spacing w:after="0" w:line="240" w:lineRule="auto"/>
        <w:ind w:left="-2" w:firstLineChars="0" w:firstLine="4113"/>
        <w:jc w:val="right"/>
        <w:rPr>
          <w:rFonts w:ascii="Times New Roman" w:eastAsia="Times New Roman" w:hAnsi="Times New Roman" w:cs="Times New Roman"/>
          <w:i/>
          <w:color w:val="000000"/>
        </w:rPr>
      </w:pPr>
      <w:r w:rsidRPr="00930F48">
        <w:rPr>
          <w:rFonts w:ascii="Times New Roman" w:eastAsia="Times New Roman" w:hAnsi="Times New Roman" w:cs="Times New Roman"/>
          <w:color w:val="000000"/>
          <w:u w:val="single"/>
        </w:rPr>
        <w:t>Ref.:</w:t>
      </w:r>
      <w:r w:rsidRPr="00930F48">
        <w:rPr>
          <w:rFonts w:ascii="Times New Roman" w:eastAsia="Times New Roman" w:hAnsi="Times New Roman" w:cs="Times New Roman"/>
          <w:b/>
          <w:color w:val="000000"/>
        </w:rPr>
        <w:t xml:space="preserve"> </w:t>
      </w:r>
      <w:r w:rsidRPr="00930F48">
        <w:rPr>
          <w:rFonts w:ascii="Times New Roman" w:eastAsia="Times New Roman" w:hAnsi="Times New Roman" w:cs="Times New Roman"/>
          <w:b/>
          <w:i/>
          <w:color w:val="000000"/>
        </w:rPr>
        <w:t xml:space="preserve">TGLT S.A. </w:t>
      </w:r>
      <w:r w:rsidRPr="00930F48">
        <w:rPr>
          <w:rFonts w:ascii="Times New Roman" w:eastAsia="Times New Roman" w:hAnsi="Times New Roman" w:cs="Times New Roman"/>
          <w:color w:val="000000"/>
        </w:rPr>
        <w:t>-</w:t>
      </w:r>
      <w:r w:rsidRPr="00930F48">
        <w:rPr>
          <w:rFonts w:ascii="Times New Roman" w:eastAsia="Times New Roman" w:hAnsi="Times New Roman" w:cs="Times New Roman"/>
          <w:b/>
          <w:i/>
          <w:color w:val="000000"/>
        </w:rPr>
        <w:t xml:space="preserve"> </w:t>
      </w:r>
      <w:r w:rsidRPr="00930F48">
        <w:rPr>
          <w:rFonts w:ascii="Times New Roman" w:eastAsia="Times New Roman" w:hAnsi="Times New Roman" w:cs="Times New Roman"/>
          <w:i/>
          <w:color w:val="000000"/>
        </w:rPr>
        <w:t xml:space="preserve">Hecho relevante. </w:t>
      </w:r>
    </w:p>
    <w:p w14:paraId="0000000B" w14:textId="556A58E8" w:rsidR="00BB4838" w:rsidRPr="00930F48" w:rsidRDefault="00200CB4" w:rsidP="00F076F2">
      <w:pPr>
        <w:pBdr>
          <w:top w:val="nil"/>
          <w:left w:val="nil"/>
          <w:bottom w:val="nil"/>
          <w:right w:val="nil"/>
          <w:between w:val="nil"/>
        </w:pBdr>
        <w:spacing w:after="0" w:line="240" w:lineRule="auto"/>
        <w:ind w:leftChars="360" w:left="792" w:firstLineChars="0" w:firstLine="4113"/>
        <w:jc w:val="right"/>
        <w:rPr>
          <w:rFonts w:ascii="Times New Roman" w:eastAsia="Times New Roman" w:hAnsi="Times New Roman" w:cs="Times New Roman"/>
          <w:color w:val="000000"/>
        </w:rPr>
      </w:pPr>
      <w:r w:rsidRPr="00930F48">
        <w:rPr>
          <w:rFonts w:ascii="Times New Roman" w:eastAsia="Times New Roman" w:hAnsi="Times New Roman" w:cs="Times New Roman"/>
          <w:i/>
          <w:color w:val="000000"/>
        </w:rPr>
        <w:t>Solicitud de Consentimiento – Obligaciones Negociables Clase XVI.</w:t>
      </w:r>
    </w:p>
    <w:p w14:paraId="0000000C" w14:textId="77777777" w:rsidR="00BB4838" w:rsidRPr="00930F48" w:rsidRDefault="00BB4838" w:rsidP="00E623E1">
      <w:pPr>
        <w:spacing w:after="0" w:line="240" w:lineRule="auto"/>
        <w:ind w:left="-2" w:firstLineChars="0" w:firstLine="0"/>
        <w:jc w:val="both"/>
        <w:rPr>
          <w:rFonts w:ascii="Times New Roman" w:eastAsia="Times New Roman" w:hAnsi="Times New Roman" w:cs="Times New Roman"/>
        </w:rPr>
      </w:pPr>
    </w:p>
    <w:p w14:paraId="0000000D" w14:textId="53292DD7" w:rsidR="00BB4838" w:rsidRPr="00930F48" w:rsidRDefault="00200CB4" w:rsidP="00E623E1">
      <w:pPr>
        <w:spacing w:after="0" w:line="240" w:lineRule="auto"/>
        <w:ind w:left="-2" w:firstLineChars="0" w:firstLine="0"/>
        <w:jc w:val="both"/>
        <w:rPr>
          <w:rFonts w:ascii="Times New Roman" w:eastAsia="Times New Roman" w:hAnsi="Times New Roman" w:cs="Times New Roman"/>
        </w:rPr>
      </w:pPr>
      <w:r w:rsidRPr="00930F48">
        <w:rPr>
          <w:rFonts w:ascii="Times New Roman" w:eastAsia="Times New Roman" w:hAnsi="Times New Roman" w:cs="Times New Roman"/>
        </w:rPr>
        <w:t>De mi</w:t>
      </w:r>
      <w:r w:rsidR="00F77139" w:rsidRPr="00930F48">
        <w:rPr>
          <w:rFonts w:ascii="Times New Roman" w:eastAsia="Times New Roman" w:hAnsi="Times New Roman" w:cs="Times New Roman"/>
        </w:rPr>
        <w:t xml:space="preserve"> mayor</w:t>
      </w:r>
      <w:r w:rsidRPr="00930F48">
        <w:rPr>
          <w:rFonts w:ascii="Times New Roman" w:eastAsia="Times New Roman" w:hAnsi="Times New Roman" w:cs="Times New Roman"/>
        </w:rPr>
        <w:t xml:space="preserve"> consideración:</w:t>
      </w:r>
    </w:p>
    <w:p w14:paraId="0000000E" w14:textId="77777777" w:rsidR="00BB4838" w:rsidRPr="00930F48" w:rsidRDefault="00BB4838" w:rsidP="00E623E1">
      <w:pPr>
        <w:spacing w:after="0" w:line="240" w:lineRule="auto"/>
        <w:ind w:left="-2" w:firstLineChars="0" w:firstLine="0"/>
        <w:jc w:val="both"/>
        <w:rPr>
          <w:rFonts w:ascii="Times New Roman" w:eastAsia="Times New Roman" w:hAnsi="Times New Roman" w:cs="Times New Roman"/>
        </w:rPr>
      </w:pPr>
    </w:p>
    <w:p w14:paraId="09EED46D" w14:textId="5A36F674" w:rsidR="00ED2AE7" w:rsidRPr="00930F48" w:rsidRDefault="00200CB4" w:rsidP="00E623E1">
      <w:pPr>
        <w:spacing w:after="0" w:line="240" w:lineRule="auto"/>
        <w:ind w:left="-2" w:firstLineChars="0" w:firstLine="0"/>
        <w:jc w:val="both"/>
        <w:rPr>
          <w:rFonts w:ascii="Times New Roman" w:eastAsia="Times New Roman" w:hAnsi="Times New Roman" w:cs="Times New Roman"/>
        </w:rPr>
      </w:pPr>
      <w:r w:rsidRPr="00930F48">
        <w:rPr>
          <w:rFonts w:ascii="Times New Roman" w:eastAsia="Times New Roman" w:hAnsi="Times New Roman" w:cs="Times New Roman"/>
        </w:rPr>
        <w:t>Tengo el agrado de dirigirme a Uds., en mi carácter de Responsable de Relaciones con el Mercado de TGLT S.A. (la “</w:t>
      </w:r>
      <w:r w:rsidRPr="00930F48">
        <w:rPr>
          <w:rFonts w:ascii="Times New Roman" w:eastAsia="Times New Roman" w:hAnsi="Times New Roman" w:cs="Times New Roman"/>
          <w:u w:val="single"/>
        </w:rPr>
        <w:t>Sociedad</w:t>
      </w:r>
      <w:r w:rsidRPr="00930F48">
        <w:rPr>
          <w:rFonts w:ascii="Times New Roman" w:eastAsia="Times New Roman" w:hAnsi="Times New Roman" w:cs="Times New Roman"/>
        </w:rPr>
        <w:t xml:space="preserve">”), a fin de informar que en </w:t>
      </w:r>
      <w:r w:rsidR="00680FBA">
        <w:rPr>
          <w:rFonts w:ascii="Times New Roman" w:eastAsia="Times New Roman" w:hAnsi="Times New Roman" w:cs="Times New Roman"/>
        </w:rPr>
        <w:t xml:space="preserve">el día de la fecha , el </w:t>
      </w:r>
      <w:r w:rsidRPr="00930F48">
        <w:rPr>
          <w:rFonts w:ascii="Times New Roman" w:eastAsia="Times New Roman" w:hAnsi="Times New Roman" w:cs="Times New Roman"/>
        </w:rPr>
        <w:t>Directorio de la Sociedad resolvió, en</w:t>
      </w:r>
      <w:r w:rsidR="00ED2AE7" w:rsidRPr="00930F48">
        <w:rPr>
          <w:rFonts w:ascii="Times New Roman" w:eastAsia="Times New Roman" w:hAnsi="Times New Roman" w:cs="Times New Roman"/>
        </w:rPr>
        <w:t>tre otros temas</w:t>
      </w:r>
      <w:r w:rsidR="00F77139" w:rsidRPr="00930F48">
        <w:rPr>
          <w:rFonts w:ascii="Times New Roman" w:eastAsia="Times New Roman" w:hAnsi="Times New Roman" w:cs="Times New Roman"/>
        </w:rPr>
        <w:t>:</w:t>
      </w:r>
      <w:r w:rsidR="00ED2AE7" w:rsidRPr="00930F48">
        <w:rPr>
          <w:rFonts w:ascii="Times New Roman" w:eastAsia="Times New Roman" w:hAnsi="Times New Roman" w:cs="Times New Roman"/>
        </w:rPr>
        <w:t xml:space="preserve"> </w:t>
      </w:r>
      <w:r w:rsidR="00ED2AE7" w:rsidRPr="00930F48">
        <w:rPr>
          <w:rFonts w:ascii="Times New Roman" w:eastAsia="Times New Roman" w:hAnsi="Times New Roman" w:cs="Times New Roman"/>
          <w:b/>
        </w:rPr>
        <w:t>(a)</w:t>
      </w:r>
      <w:r w:rsidR="00E623E1" w:rsidRPr="00930F48">
        <w:rPr>
          <w:rFonts w:ascii="Times New Roman" w:eastAsia="Times New Roman" w:hAnsi="Times New Roman" w:cs="Times New Roman"/>
        </w:rPr>
        <w:t xml:space="preserve"> sujeto a la obtención de la Mayoría Necesaria (conforme dicho término se define a continuación), </w:t>
      </w:r>
      <w:r w:rsidR="00FB73A2" w:rsidRPr="00930F48">
        <w:rPr>
          <w:rFonts w:ascii="Times New Roman" w:eastAsia="Times New Roman" w:hAnsi="Times New Roman" w:cs="Times New Roman"/>
        </w:rPr>
        <w:t>modificar ciertos términos y condiciones</w:t>
      </w:r>
      <w:r w:rsidR="00F77139" w:rsidRPr="00930F48">
        <w:rPr>
          <w:rFonts w:ascii="Times New Roman" w:eastAsia="Times New Roman" w:hAnsi="Times New Roman" w:cs="Times New Roman"/>
        </w:rPr>
        <w:t xml:space="preserve"> esenciales</w:t>
      </w:r>
      <w:r w:rsidR="00FB73A2" w:rsidRPr="00930F48">
        <w:rPr>
          <w:rFonts w:ascii="Times New Roman" w:eastAsia="Times New Roman" w:hAnsi="Times New Roman" w:cs="Times New Roman"/>
        </w:rPr>
        <w:t xml:space="preserve"> de las obligaciones negociables clase XVI, garantizadas, a tasa de interés fija incremental, con vencimiento el 11 de febrero de 2023, emitidas por la Sociedad el 11 de febrero de 2020 por un valor nominal de US$ 20.535.100 (las “</w:t>
      </w:r>
      <w:r w:rsidR="00FB73A2" w:rsidRPr="00930F48">
        <w:rPr>
          <w:rFonts w:ascii="Times New Roman" w:eastAsia="Times New Roman" w:hAnsi="Times New Roman" w:cs="Times New Roman"/>
          <w:u w:val="single"/>
        </w:rPr>
        <w:t>Obligaciones Negociables</w:t>
      </w:r>
      <w:r w:rsidR="00FB73A2" w:rsidRPr="00930F48">
        <w:rPr>
          <w:rFonts w:ascii="Times New Roman" w:eastAsia="Times New Roman" w:hAnsi="Times New Roman" w:cs="Times New Roman"/>
        </w:rPr>
        <w:t>”), en el marco del Programa Global de Emisión de Obligaciones Negociables por un valor nominal de hasta US$50.000.000 (Dólares Estadounidenses cincuenta millones) (o su equivalente en otras monedas) (el “</w:t>
      </w:r>
      <w:r w:rsidR="00FB73A2" w:rsidRPr="00930F48">
        <w:rPr>
          <w:rFonts w:ascii="Times New Roman" w:eastAsia="Times New Roman" w:hAnsi="Times New Roman" w:cs="Times New Roman"/>
          <w:u w:val="single"/>
        </w:rPr>
        <w:t>Programa</w:t>
      </w:r>
      <w:r w:rsidR="00FB73A2" w:rsidRPr="00930F48">
        <w:rPr>
          <w:rFonts w:ascii="Times New Roman" w:eastAsia="Times New Roman" w:hAnsi="Times New Roman" w:cs="Times New Roman"/>
        </w:rPr>
        <w:t>”), y de acuerdo a los términos y condiciones establecidos en: (i) el prospecto del Programa de fecha 27 de enero de 2020 (el “</w:t>
      </w:r>
      <w:r w:rsidR="00FB73A2" w:rsidRPr="00930F48">
        <w:rPr>
          <w:rFonts w:ascii="Times New Roman" w:eastAsia="Times New Roman" w:hAnsi="Times New Roman" w:cs="Times New Roman"/>
          <w:u w:val="single"/>
        </w:rPr>
        <w:t>Prospecto</w:t>
      </w:r>
      <w:r w:rsidR="00FB73A2" w:rsidRPr="00930F48">
        <w:rPr>
          <w:rFonts w:ascii="Times New Roman" w:eastAsia="Times New Roman" w:hAnsi="Times New Roman" w:cs="Times New Roman"/>
        </w:rPr>
        <w:t>”); y (ii) el suplemento de prospecto de las Obligaciones Negociables de fecha 3 de febrero de 2020 (el “</w:t>
      </w:r>
      <w:r w:rsidR="00FB73A2" w:rsidRPr="00930F48">
        <w:rPr>
          <w:rFonts w:ascii="Times New Roman" w:eastAsia="Times New Roman" w:hAnsi="Times New Roman" w:cs="Times New Roman"/>
          <w:u w:val="single"/>
        </w:rPr>
        <w:t>Suplemento de Prospecto</w:t>
      </w:r>
      <w:r w:rsidR="00FB73A2" w:rsidRPr="00930F48">
        <w:rPr>
          <w:rFonts w:ascii="Times New Roman" w:eastAsia="Times New Roman" w:hAnsi="Times New Roman" w:cs="Times New Roman"/>
        </w:rPr>
        <w:t xml:space="preserve">”), entre otros documentos relativos a </w:t>
      </w:r>
      <w:r w:rsidR="00E623E1" w:rsidRPr="00930F48">
        <w:rPr>
          <w:rFonts w:ascii="Times New Roman" w:eastAsia="Times New Roman" w:hAnsi="Times New Roman" w:cs="Times New Roman"/>
        </w:rPr>
        <w:t>su</w:t>
      </w:r>
      <w:r w:rsidR="00FB73A2" w:rsidRPr="00930F48">
        <w:rPr>
          <w:rFonts w:ascii="Times New Roman" w:eastAsia="Times New Roman" w:hAnsi="Times New Roman" w:cs="Times New Roman"/>
        </w:rPr>
        <w:t xml:space="preserve"> emisión; </w:t>
      </w:r>
      <w:r w:rsidR="00FB73A2" w:rsidRPr="00930F48">
        <w:rPr>
          <w:rFonts w:ascii="Times New Roman" w:eastAsia="Times New Roman" w:hAnsi="Times New Roman" w:cs="Times New Roman"/>
          <w:b/>
        </w:rPr>
        <w:t xml:space="preserve">(b) </w:t>
      </w:r>
      <w:r w:rsidR="00934543" w:rsidRPr="00930F48">
        <w:rPr>
          <w:rFonts w:ascii="Times New Roman" w:eastAsia="Times New Roman" w:hAnsi="Times New Roman" w:cs="Times New Roman"/>
        </w:rPr>
        <w:t xml:space="preserve">solicitar </w:t>
      </w:r>
      <w:r w:rsidR="005A1147" w:rsidRPr="00930F48">
        <w:rPr>
          <w:rFonts w:ascii="Times New Roman" w:eastAsia="Times New Roman" w:hAnsi="Times New Roman" w:cs="Times New Roman"/>
        </w:rPr>
        <w:t>mediante la presente Solicitud de Consentimiento (la “</w:t>
      </w:r>
      <w:r w:rsidR="005A1147" w:rsidRPr="00930F48">
        <w:rPr>
          <w:rFonts w:ascii="Times New Roman" w:eastAsia="Times New Roman" w:hAnsi="Times New Roman" w:cs="Times New Roman"/>
          <w:u w:val="single"/>
        </w:rPr>
        <w:t>Solicitud de Consentimiento</w:t>
      </w:r>
      <w:r w:rsidR="005A1147" w:rsidRPr="00930F48">
        <w:rPr>
          <w:rFonts w:ascii="Times New Roman" w:eastAsia="Times New Roman" w:hAnsi="Times New Roman" w:cs="Times New Roman"/>
        </w:rPr>
        <w:t xml:space="preserve">”) </w:t>
      </w:r>
      <w:r w:rsidR="00934543" w:rsidRPr="00930F48">
        <w:rPr>
          <w:rFonts w:ascii="Times New Roman" w:eastAsia="Times New Roman" w:hAnsi="Times New Roman" w:cs="Times New Roman"/>
        </w:rPr>
        <w:t>la conformidad de los tenedores de las Obligaciones Negociables (los “</w:t>
      </w:r>
      <w:r w:rsidR="00934543" w:rsidRPr="00930F48">
        <w:rPr>
          <w:rFonts w:ascii="Times New Roman" w:eastAsia="Times New Roman" w:hAnsi="Times New Roman" w:cs="Times New Roman"/>
          <w:u w:val="single"/>
        </w:rPr>
        <w:t>Tenedores</w:t>
      </w:r>
      <w:r w:rsidR="00934543" w:rsidRPr="00930F48">
        <w:rPr>
          <w:rFonts w:ascii="Times New Roman" w:eastAsia="Times New Roman" w:hAnsi="Times New Roman" w:cs="Times New Roman"/>
        </w:rPr>
        <w:t xml:space="preserve">”) </w:t>
      </w:r>
      <w:r w:rsidR="00FB73A2" w:rsidRPr="00930F48">
        <w:rPr>
          <w:rFonts w:ascii="Times New Roman" w:eastAsia="Times New Roman" w:hAnsi="Times New Roman" w:cs="Times New Roman"/>
          <w:lang w:bidi="es-ES"/>
        </w:rPr>
        <w:t>para modificar los términos y condiciones de las Obligaciones Negociables, de forma tal que la próxima fecha de pago de intereses bajo las Obligaciones Negociables, cuyo vencimiento operaría el 11 de mayo de 2021, sea diferida hasta la fecha de pago de intereses inmediatamente subsig</w:t>
      </w:r>
      <w:r w:rsidR="00AE6E38">
        <w:rPr>
          <w:rFonts w:ascii="Times New Roman" w:eastAsia="Times New Roman" w:hAnsi="Times New Roman" w:cs="Times New Roman"/>
          <w:lang w:bidi="es-ES"/>
        </w:rPr>
        <w:t xml:space="preserve">uiente; es decir, hasta el día </w:t>
      </w:r>
      <w:r w:rsidR="00FB73A2" w:rsidRPr="00AE6E38">
        <w:rPr>
          <w:rFonts w:ascii="Times New Roman" w:eastAsia="Times New Roman" w:hAnsi="Times New Roman" w:cs="Times New Roman"/>
          <w:lang w:bidi="es-ES"/>
        </w:rPr>
        <w:t>11 de agosto de 2021</w:t>
      </w:r>
      <w:r w:rsidR="00C360CB" w:rsidRPr="00930F48">
        <w:rPr>
          <w:rFonts w:ascii="Times New Roman" w:eastAsia="Times New Roman" w:hAnsi="Times New Roman" w:cs="Times New Roman"/>
          <w:lang w:bidi="es-ES"/>
        </w:rPr>
        <w:t xml:space="preserve">; mediante la modificación </w:t>
      </w:r>
      <w:r w:rsidR="00C360CB" w:rsidRPr="00930F48">
        <w:rPr>
          <w:rFonts w:ascii="Times New Roman" w:eastAsia="Times New Roman" w:hAnsi="Times New Roman" w:cs="Times New Roman"/>
        </w:rPr>
        <w:t>del Suplemento de Prospecto con el objeto de establecer lo siguiente: “</w:t>
      </w:r>
      <w:r w:rsidR="00C360CB" w:rsidRPr="00930F48">
        <w:rPr>
          <w:rFonts w:ascii="Times New Roman" w:eastAsia="Times New Roman" w:hAnsi="Times New Roman" w:cs="Times New Roman"/>
          <w:i/>
        </w:rPr>
        <w:t xml:space="preserve">Fechas de Pago de Intereses: </w:t>
      </w:r>
      <w:r w:rsidR="00563EF9" w:rsidRPr="00563EF9">
        <w:rPr>
          <w:rFonts w:ascii="Times New Roman" w:eastAsia="Times New Roman" w:hAnsi="Times New Roman" w:cs="Times New Roman"/>
          <w:i/>
          <w:iCs/>
        </w:rPr>
        <w:t>(i) Los intereses correspondientes a las Obligaciones Negociables</w:t>
      </w:r>
      <w:r w:rsidR="00AE6E38">
        <w:rPr>
          <w:rFonts w:ascii="Times New Roman" w:eastAsia="Times New Roman" w:hAnsi="Times New Roman" w:cs="Times New Roman"/>
          <w:i/>
          <w:iCs/>
        </w:rPr>
        <w:t xml:space="preserve"> </w:t>
      </w:r>
      <w:r w:rsidR="00563EF9" w:rsidRPr="00563EF9">
        <w:rPr>
          <w:rFonts w:ascii="Times New Roman" w:eastAsia="Times New Roman" w:hAnsi="Times New Roman" w:cs="Times New Roman"/>
          <w:i/>
          <w:iCs/>
        </w:rPr>
        <w:t>Clase XVI se abonarán en las siguientes fechas: 11 de mayo de 2020, 11 de agosto de 2020, 11</w:t>
      </w:r>
      <w:r w:rsidR="00AE6E38">
        <w:rPr>
          <w:rFonts w:ascii="Times New Roman" w:eastAsia="Times New Roman" w:hAnsi="Times New Roman" w:cs="Times New Roman"/>
          <w:i/>
          <w:iCs/>
        </w:rPr>
        <w:t xml:space="preserve"> </w:t>
      </w:r>
      <w:r w:rsidR="00563EF9" w:rsidRPr="00563EF9">
        <w:rPr>
          <w:rFonts w:ascii="Times New Roman" w:eastAsia="Times New Roman" w:hAnsi="Times New Roman" w:cs="Times New Roman"/>
          <w:i/>
          <w:iCs/>
        </w:rPr>
        <w:t>de noviembre de 2020, 11 de febrero de 2021, 11 de agosto de 2021, 11 de noviembre de 2021, 11 de febrero de 2022, 11 de mayo de 2022, 11 de agosto de 2022, 11 de noviembre de 2022, y</w:t>
      </w:r>
      <w:r w:rsidR="00AE6E38">
        <w:rPr>
          <w:rFonts w:ascii="Times New Roman" w:eastAsia="Times New Roman" w:hAnsi="Times New Roman" w:cs="Times New Roman"/>
          <w:i/>
          <w:iCs/>
        </w:rPr>
        <w:t xml:space="preserve"> </w:t>
      </w:r>
      <w:r w:rsidR="00563EF9" w:rsidRPr="00563EF9">
        <w:rPr>
          <w:rFonts w:ascii="Times New Roman" w:eastAsia="Times New Roman" w:hAnsi="Times New Roman" w:cs="Times New Roman"/>
          <w:i/>
          <w:iCs/>
        </w:rPr>
        <w:t>en la Fecha de Vencimiento, el 11 de febrero de 2023; y (ii) los intereses correspondientes a las Obligaciones Negociables</w:t>
      </w:r>
      <w:r w:rsidR="00AE6E38">
        <w:rPr>
          <w:rFonts w:ascii="Times New Roman" w:eastAsia="Times New Roman" w:hAnsi="Times New Roman" w:cs="Times New Roman"/>
          <w:i/>
          <w:iCs/>
        </w:rPr>
        <w:t xml:space="preserve"> Clase XVII s</w:t>
      </w:r>
      <w:r w:rsidR="00563EF9" w:rsidRPr="00563EF9">
        <w:rPr>
          <w:rFonts w:ascii="Times New Roman" w:eastAsia="Times New Roman" w:hAnsi="Times New Roman" w:cs="Times New Roman"/>
          <w:i/>
          <w:iCs/>
        </w:rPr>
        <w:t>erán abonados trimestralmente, por trimestre vencido desde la Fecha de Emisión y Liquidación, en las fechas que se informarán en el Aviso de Resultados (cada una de las fechas referidas en (i) y (ii), un</w:t>
      </w:r>
      <w:r w:rsidR="00563EF9">
        <w:rPr>
          <w:rFonts w:ascii="Times New Roman" w:eastAsia="Times New Roman" w:hAnsi="Times New Roman" w:cs="Times New Roman"/>
          <w:i/>
          <w:iCs/>
        </w:rPr>
        <w:t>a “Fecha de Pago de Intereses”).</w:t>
      </w:r>
      <w:r w:rsidR="00C360CB" w:rsidRPr="00930F48">
        <w:rPr>
          <w:rFonts w:ascii="Times New Roman" w:eastAsia="Times New Roman" w:hAnsi="Times New Roman" w:cs="Times New Roman"/>
          <w:i/>
        </w:rPr>
        <w:t>”</w:t>
      </w:r>
      <w:r w:rsidR="00F24DB4" w:rsidRPr="00930F48">
        <w:rPr>
          <w:rFonts w:ascii="Times New Roman" w:eastAsia="Times New Roman" w:hAnsi="Times New Roman" w:cs="Times New Roman"/>
          <w:lang w:bidi="es-ES"/>
        </w:rPr>
        <w:t xml:space="preserve"> </w:t>
      </w:r>
      <w:r w:rsidR="00FB73A2" w:rsidRPr="00930F48">
        <w:rPr>
          <w:rFonts w:ascii="Times New Roman" w:eastAsia="Times New Roman" w:hAnsi="Times New Roman" w:cs="Times New Roman"/>
          <w:lang w:bidi="es-ES"/>
        </w:rPr>
        <w:t>(la “</w:t>
      </w:r>
      <w:r w:rsidR="00FB73A2" w:rsidRPr="00930F48">
        <w:rPr>
          <w:rFonts w:ascii="Times New Roman" w:eastAsia="Times New Roman" w:hAnsi="Times New Roman" w:cs="Times New Roman"/>
          <w:u w:val="single"/>
          <w:lang w:bidi="es-ES"/>
        </w:rPr>
        <w:t>Modificación Propuesta</w:t>
      </w:r>
      <w:r w:rsidR="00FB73A2" w:rsidRPr="00930F48">
        <w:rPr>
          <w:rFonts w:ascii="Times New Roman" w:eastAsia="Times New Roman" w:hAnsi="Times New Roman" w:cs="Times New Roman"/>
          <w:lang w:bidi="es-ES"/>
        </w:rPr>
        <w:t xml:space="preserve">”); </w:t>
      </w:r>
      <w:r w:rsidR="00FB73A2" w:rsidRPr="00930F48">
        <w:rPr>
          <w:rFonts w:ascii="Times New Roman" w:eastAsia="Times New Roman" w:hAnsi="Times New Roman" w:cs="Times New Roman"/>
          <w:b/>
          <w:lang w:bidi="es-ES"/>
        </w:rPr>
        <w:t>(c)</w:t>
      </w:r>
      <w:r w:rsidR="00FB73A2" w:rsidRPr="00930F48">
        <w:rPr>
          <w:rFonts w:ascii="Times New Roman" w:eastAsia="Times New Roman" w:hAnsi="Times New Roman" w:cs="Times New Roman"/>
          <w:lang w:bidi="es-ES"/>
        </w:rPr>
        <w:t xml:space="preserve"> </w:t>
      </w:r>
      <w:r w:rsidR="00FB73A2" w:rsidRPr="00930F48">
        <w:rPr>
          <w:rFonts w:ascii="Times New Roman" w:eastAsia="Times New Roman" w:hAnsi="Times New Roman" w:cs="Times New Roman"/>
        </w:rPr>
        <w:t>utilizar el mecanismo previsto en el Suplemento de Prospecto para la modificación de los términos y condiciones de las Obligaciones Negociables, en virtud del cual la Sociedad puede implementar la Modificación Propuesta, sin necesidad de convocar a una asamblea de obligacionistas, en la medida que los Tenedores de al menos el 51% del monto de capital total de las Obligaciones Negociables en circulación</w:t>
      </w:r>
      <w:r w:rsidR="00E623E1" w:rsidRPr="00930F48">
        <w:rPr>
          <w:rFonts w:ascii="Times New Roman" w:eastAsia="Times New Roman" w:hAnsi="Times New Roman" w:cs="Times New Roman"/>
        </w:rPr>
        <w:t xml:space="preserve"> (la “</w:t>
      </w:r>
      <w:r w:rsidR="00E623E1" w:rsidRPr="00930F48">
        <w:rPr>
          <w:rFonts w:ascii="Times New Roman" w:eastAsia="Times New Roman" w:hAnsi="Times New Roman" w:cs="Times New Roman"/>
          <w:u w:val="single"/>
        </w:rPr>
        <w:t>Mayoría Necesaria</w:t>
      </w:r>
      <w:r w:rsidR="00E623E1" w:rsidRPr="00930F48">
        <w:rPr>
          <w:rFonts w:ascii="Times New Roman" w:eastAsia="Times New Roman" w:hAnsi="Times New Roman" w:cs="Times New Roman"/>
        </w:rPr>
        <w:t>”)</w:t>
      </w:r>
      <w:r w:rsidR="00FB73A2" w:rsidRPr="00930F48">
        <w:rPr>
          <w:rFonts w:ascii="Times New Roman" w:eastAsia="Times New Roman" w:hAnsi="Times New Roman" w:cs="Times New Roman"/>
        </w:rPr>
        <w:t>, manifiesten su consentimiento de forma fehaciente con respecto a la implementación de la Modificación Propuesta</w:t>
      </w:r>
      <w:r w:rsidR="00F77139" w:rsidRPr="00930F48">
        <w:rPr>
          <w:rFonts w:ascii="Times New Roman" w:eastAsia="Times New Roman" w:hAnsi="Times New Roman" w:cs="Times New Roman"/>
        </w:rPr>
        <w:t xml:space="preserve">; y </w:t>
      </w:r>
      <w:r w:rsidR="00F77139" w:rsidRPr="00930F48">
        <w:rPr>
          <w:rFonts w:ascii="Times New Roman" w:eastAsia="Times New Roman" w:hAnsi="Times New Roman" w:cs="Times New Roman"/>
          <w:b/>
        </w:rPr>
        <w:t>(d)</w:t>
      </w:r>
      <w:r w:rsidR="00F77139" w:rsidRPr="00930F48">
        <w:rPr>
          <w:rFonts w:ascii="Times New Roman" w:eastAsia="Times New Roman" w:hAnsi="Times New Roman" w:cs="Times New Roman"/>
        </w:rPr>
        <w:t xml:space="preserve"> requerir a los Tenedores que autoricen a los funcionarios de la Sociedad que ésta designe, a firmar toda la documentación que resulte necesaria y/o conveniente para reflejar la implementación de la Modificación Propuesta</w:t>
      </w:r>
      <w:r w:rsidR="00237DF2" w:rsidRPr="00930F48">
        <w:rPr>
          <w:rFonts w:ascii="Times New Roman" w:eastAsia="Times New Roman" w:hAnsi="Times New Roman" w:cs="Times New Roman"/>
        </w:rPr>
        <w:t xml:space="preserve"> (incluyendo el otorgamiento de un poder irrevocable para representar a los Tenedores en los actos relativos a la implementación de la Modificación Propuesta)</w:t>
      </w:r>
      <w:r w:rsidR="00F77139" w:rsidRPr="00930F48">
        <w:rPr>
          <w:rFonts w:ascii="Times New Roman" w:eastAsia="Times New Roman" w:hAnsi="Times New Roman" w:cs="Times New Roman"/>
        </w:rPr>
        <w:t>.</w:t>
      </w:r>
    </w:p>
    <w:p w14:paraId="1367B2DA" w14:textId="77777777" w:rsidR="00E623E1" w:rsidRPr="00930F48" w:rsidRDefault="00E623E1" w:rsidP="00E623E1">
      <w:pPr>
        <w:spacing w:after="0" w:line="240" w:lineRule="auto"/>
        <w:ind w:left="-2" w:firstLineChars="0" w:firstLine="0"/>
        <w:jc w:val="both"/>
        <w:rPr>
          <w:rFonts w:ascii="Times New Roman" w:eastAsia="Times New Roman" w:hAnsi="Times New Roman" w:cs="Times New Roman"/>
        </w:rPr>
      </w:pPr>
    </w:p>
    <w:p w14:paraId="105ED38A" w14:textId="639F1317" w:rsidR="00ED2AE7" w:rsidRDefault="0008245D" w:rsidP="00F24DB4">
      <w:pPr>
        <w:spacing w:after="0" w:line="240" w:lineRule="auto"/>
        <w:ind w:left="-2" w:firstLineChars="0" w:firstLine="0"/>
        <w:jc w:val="both"/>
        <w:rPr>
          <w:rFonts w:ascii="Times New Roman" w:eastAsia="Times New Roman" w:hAnsi="Times New Roman" w:cs="Times New Roman"/>
        </w:rPr>
      </w:pPr>
      <w:r w:rsidRPr="00930F48">
        <w:rPr>
          <w:rFonts w:ascii="Times New Roman" w:eastAsia="Times New Roman" w:hAnsi="Times New Roman" w:cs="Times New Roman"/>
        </w:rPr>
        <w:t xml:space="preserve">En este contexto, </w:t>
      </w:r>
      <w:r w:rsidR="00D241E9" w:rsidRPr="00930F48">
        <w:rPr>
          <w:rFonts w:ascii="Times New Roman" w:eastAsia="Times New Roman" w:hAnsi="Times New Roman" w:cs="Times New Roman"/>
        </w:rPr>
        <w:t xml:space="preserve">a través de esta Solicitud de Consentimiento, </w:t>
      </w:r>
      <w:r w:rsidRPr="00930F48">
        <w:rPr>
          <w:rFonts w:ascii="Times New Roman" w:eastAsia="Times New Roman" w:hAnsi="Times New Roman" w:cs="Times New Roman"/>
        </w:rPr>
        <w:t xml:space="preserve">la Sociedad solicita a los Tenedores que presten su </w:t>
      </w:r>
      <w:r w:rsidR="00D241E9" w:rsidRPr="00930F48">
        <w:rPr>
          <w:rFonts w:ascii="Times New Roman" w:eastAsia="Times New Roman" w:hAnsi="Times New Roman" w:cs="Times New Roman"/>
        </w:rPr>
        <w:t>conformidad irrevocable</w:t>
      </w:r>
      <w:r w:rsidR="00F24DB4" w:rsidRPr="00930F48">
        <w:rPr>
          <w:rFonts w:ascii="Times New Roman" w:eastAsia="Times New Roman" w:hAnsi="Times New Roman" w:cs="Times New Roman"/>
        </w:rPr>
        <w:t xml:space="preserve"> para aprobar la Modificación Propuesta </w:t>
      </w:r>
      <w:r w:rsidRPr="00930F48">
        <w:rPr>
          <w:rFonts w:ascii="Times New Roman" w:eastAsia="Times New Roman" w:hAnsi="Times New Roman" w:cs="Times New Roman"/>
        </w:rPr>
        <w:t>mediante la suscripción</w:t>
      </w:r>
      <w:r w:rsidR="00BA3F7D" w:rsidRPr="00930F48">
        <w:rPr>
          <w:rFonts w:ascii="Times New Roman" w:hAnsi="Times New Roman" w:cs="Times New Roman"/>
        </w:rPr>
        <w:t xml:space="preserve"> del </w:t>
      </w:r>
      <w:r w:rsidR="00BA3F7D" w:rsidRPr="00930F48">
        <w:rPr>
          <w:rFonts w:ascii="Times New Roman" w:eastAsia="Times New Roman" w:hAnsi="Times New Roman" w:cs="Times New Roman"/>
        </w:rPr>
        <w:t xml:space="preserve">formulario de </w:t>
      </w:r>
      <w:r w:rsidR="00C360CB" w:rsidRPr="00930F48">
        <w:rPr>
          <w:rFonts w:ascii="Times New Roman" w:eastAsia="Times New Roman" w:hAnsi="Times New Roman" w:cs="Times New Roman"/>
        </w:rPr>
        <w:t xml:space="preserve">manifestación </w:t>
      </w:r>
      <w:r w:rsidR="00BA3F7D" w:rsidRPr="00930F48">
        <w:rPr>
          <w:rFonts w:ascii="Times New Roman" w:eastAsia="Times New Roman" w:hAnsi="Times New Roman" w:cs="Times New Roman"/>
        </w:rPr>
        <w:t xml:space="preserve">de </w:t>
      </w:r>
      <w:r w:rsidR="00C360CB" w:rsidRPr="00930F48">
        <w:rPr>
          <w:rFonts w:ascii="Times New Roman" w:eastAsia="Times New Roman" w:hAnsi="Times New Roman" w:cs="Times New Roman"/>
        </w:rPr>
        <w:t>consentimiento</w:t>
      </w:r>
      <w:r w:rsidR="00BA3F7D" w:rsidRPr="00930F48">
        <w:rPr>
          <w:rFonts w:ascii="Times New Roman" w:eastAsia="Times New Roman" w:hAnsi="Times New Roman" w:cs="Times New Roman"/>
        </w:rPr>
        <w:t xml:space="preserve"> que se encuentra adjunto al presente (la “</w:t>
      </w:r>
      <w:r w:rsidR="00BA3F7D" w:rsidRPr="00930F48">
        <w:rPr>
          <w:rFonts w:ascii="Times New Roman" w:eastAsia="Times New Roman" w:hAnsi="Times New Roman" w:cs="Times New Roman"/>
          <w:u w:val="single"/>
        </w:rPr>
        <w:t>Manifestación de Consentimiento</w:t>
      </w:r>
      <w:r w:rsidR="00BA3F7D" w:rsidRPr="00930F48">
        <w:rPr>
          <w:rFonts w:ascii="Times New Roman" w:eastAsia="Times New Roman" w:hAnsi="Times New Roman" w:cs="Times New Roman"/>
        </w:rPr>
        <w:t>”)</w:t>
      </w:r>
      <w:r w:rsidR="005A1147" w:rsidRPr="00930F48">
        <w:rPr>
          <w:rFonts w:ascii="Times New Roman" w:eastAsia="Times New Roman" w:hAnsi="Times New Roman" w:cs="Times New Roman"/>
        </w:rPr>
        <w:t>, y a cuyos términos y condiciones se remite, e incorpora por referencia, esta Solicitud de Consentimiento</w:t>
      </w:r>
      <w:r w:rsidR="00BA3F7D" w:rsidRPr="00930F48">
        <w:rPr>
          <w:rFonts w:ascii="Times New Roman" w:eastAsia="Times New Roman" w:hAnsi="Times New Roman" w:cs="Times New Roman"/>
        </w:rPr>
        <w:t>.</w:t>
      </w:r>
    </w:p>
    <w:p w14:paraId="68AC3298" w14:textId="311DD7DF" w:rsidR="00930F48" w:rsidRDefault="00930F48" w:rsidP="00F24DB4">
      <w:pPr>
        <w:spacing w:after="0" w:line="240" w:lineRule="auto"/>
        <w:ind w:left="-2" w:firstLineChars="0" w:firstLine="0"/>
        <w:jc w:val="both"/>
        <w:rPr>
          <w:rFonts w:ascii="Times New Roman" w:eastAsia="Times New Roman" w:hAnsi="Times New Roman" w:cs="Times New Roman"/>
        </w:rPr>
      </w:pPr>
    </w:p>
    <w:p w14:paraId="1DE576E0" w14:textId="6E68426A" w:rsidR="0008245D" w:rsidRPr="00933E27" w:rsidRDefault="00933E27" w:rsidP="00933E27">
      <w:pPr>
        <w:spacing w:line="240" w:lineRule="auto"/>
        <w:ind w:left="0" w:hanging="2"/>
        <w:jc w:val="both"/>
        <w:rPr>
          <w:rFonts w:ascii="Times New Roman" w:eastAsia="Times New Roman" w:hAnsi="Times New Roman" w:cs="Times New Roman"/>
          <w:position w:val="0"/>
          <w:lang w:eastAsia="es-ES"/>
        </w:rPr>
      </w:pPr>
      <w:r>
        <w:rPr>
          <w:rFonts w:ascii="Times New Roman" w:eastAsia="Times New Roman" w:hAnsi="Times New Roman" w:cs="Times New Roman"/>
        </w:rPr>
        <w:t>A partir de la aprobación de la Modificación Propuesta, los términos y condiciones originales de las Obligaciones Negociables se mantendrán vigentes, excepto con respecto a las Fechas de Pago de Intereses, que será remplazada, de acuerdo a lo previsto anteriormente.</w:t>
      </w:r>
    </w:p>
    <w:p w14:paraId="6A88CE6F" w14:textId="2F4333A0" w:rsidR="00302D17" w:rsidRPr="00930F48" w:rsidRDefault="00EB4675" w:rsidP="00E623E1">
      <w:pPr>
        <w:spacing w:after="0" w:line="240" w:lineRule="auto"/>
        <w:ind w:left="-2" w:firstLineChars="0" w:firstLine="0"/>
        <w:jc w:val="both"/>
        <w:rPr>
          <w:rFonts w:ascii="Times New Roman" w:eastAsia="Times New Roman" w:hAnsi="Times New Roman" w:cs="Times New Roman"/>
          <w:b/>
          <w:lang w:bidi="es-ES"/>
        </w:rPr>
      </w:pPr>
      <w:r w:rsidRPr="00930F48">
        <w:rPr>
          <w:rFonts w:ascii="Times New Roman" w:eastAsia="Times New Roman" w:hAnsi="Times New Roman" w:cs="Times New Roman"/>
          <w:b/>
          <w:lang w:bidi="es-ES"/>
        </w:rPr>
        <w:t xml:space="preserve">En este sentido, </w:t>
      </w:r>
      <w:r w:rsidR="00BA3F7D" w:rsidRPr="00930F48">
        <w:rPr>
          <w:rFonts w:ascii="Times New Roman" w:eastAsia="Times New Roman" w:hAnsi="Times New Roman" w:cs="Times New Roman"/>
          <w:b/>
          <w:lang w:bidi="es-ES"/>
        </w:rPr>
        <w:t>se informa al público inversor y a los Tenedores que</w:t>
      </w:r>
      <w:r w:rsidR="00302D17" w:rsidRPr="00930F48">
        <w:rPr>
          <w:rFonts w:ascii="Times New Roman" w:eastAsia="Times New Roman" w:hAnsi="Times New Roman" w:cs="Times New Roman"/>
          <w:b/>
          <w:lang w:bidi="es-ES"/>
        </w:rPr>
        <w:t>:</w:t>
      </w:r>
      <w:r w:rsidR="00BA3F7D" w:rsidRPr="00930F48">
        <w:rPr>
          <w:rFonts w:ascii="Times New Roman" w:eastAsia="Times New Roman" w:hAnsi="Times New Roman" w:cs="Times New Roman"/>
          <w:b/>
          <w:lang w:bidi="es-ES"/>
        </w:rPr>
        <w:t xml:space="preserve"> </w:t>
      </w:r>
    </w:p>
    <w:p w14:paraId="3270A4B7" w14:textId="77777777" w:rsidR="00302D17" w:rsidRPr="00930F48" w:rsidRDefault="00302D17" w:rsidP="00E623E1">
      <w:pPr>
        <w:spacing w:after="0" w:line="240" w:lineRule="auto"/>
        <w:ind w:left="-2" w:firstLineChars="0" w:firstLine="0"/>
        <w:jc w:val="both"/>
        <w:rPr>
          <w:rFonts w:ascii="Times New Roman" w:eastAsia="Times New Roman" w:hAnsi="Times New Roman" w:cs="Times New Roman"/>
          <w:b/>
          <w:lang w:bidi="es-ES"/>
        </w:rPr>
      </w:pPr>
    </w:p>
    <w:p w14:paraId="31418EAA" w14:textId="56511297" w:rsidR="00EB4675" w:rsidRPr="00930F48" w:rsidRDefault="00302D17" w:rsidP="00E623E1">
      <w:pPr>
        <w:spacing w:after="0" w:line="240" w:lineRule="auto"/>
        <w:ind w:left="-2" w:firstLineChars="0" w:firstLine="0"/>
        <w:jc w:val="both"/>
        <w:rPr>
          <w:rFonts w:ascii="Times New Roman" w:eastAsia="Times New Roman" w:hAnsi="Times New Roman" w:cs="Times New Roman"/>
          <w:b/>
          <w:lang w:bidi="es-ES"/>
        </w:rPr>
      </w:pPr>
      <w:r w:rsidRPr="00930F48">
        <w:rPr>
          <w:rFonts w:ascii="Times New Roman" w:eastAsia="Times New Roman" w:hAnsi="Times New Roman" w:cs="Times New Roman"/>
          <w:b/>
          <w:lang w:bidi="es-ES"/>
        </w:rPr>
        <w:t xml:space="preserve">(i) </w:t>
      </w:r>
      <w:r w:rsidR="00EB4675" w:rsidRPr="00930F48">
        <w:rPr>
          <w:rFonts w:ascii="Times New Roman" w:eastAsia="Times New Roman" w:hAnsi="Times New Roman" w:cs="Times New Roman"/>
          <w:b/>
          <w:lang w:bidi="es-ES"/>
        </w:rPr>
        <w:t xml:space="preserve">la Modificación Propuesta </w:t>
      </w:r>
      <w:r w:rsidR="00BA3F7D" w:rsidRPr="00930F48">
        <w:rPr>
          <w:rFonts w:ascii="Times New Roman" w:eastAsia="Times New Roman" w:hAnsi="Times New Roman" w:cs="Times New Roman"/>
          <w:b/>
          <w:lang w:bidi="es-ES"/>
        </w:rPr>
        <w:t>se</w:t>
      </w:r>
      <w:r w:rsidR="00D241E9" w:rsidRPr="00930F48">
        <w:rPr>
          <w:rFonts w:ascii="Times New Roman" w:eastAsia="Times New Roman" w:hAnsi="Times New Roman" w:cs="Times New Roman"/>
          <w:b/>
          <w:lang w:bidi="es-ES"/>
        </w:rPr>
        <w:t>rá</w:t>
      </w:r>
      <w:r w:rsidR="00BA3F7D" w:rsidRPr="00930F48">
        <w:rPr>
          <w:rFonts w:ascii="Times New Roman" w:eastAsia="Times New Roman" w:hAnsi="Times New Roman" w:cs="Times New Roman"/>
          <w:b/>
          <w:lang w:bidi="es-ES"/>
        </w:rPr>
        <w:t xml:space="preserve"> </w:t>
      </w:r>
      <w:r w:rsidR="00D241E9" w:rsidRPr="00930F48">
        <w:rPr>
          <w:rFonts w:ascii="Times New Roman" w:eastAsia="Times New Roman" w:hAnsi="Times New Roman" w:cs="Times New Roman"/>
          <w:b/>
          <w:lang w:bidi="es-ES"/>
        </w:rPr>
        <w:t>implementada</w:t>
      </w:r>
      <w:r w:rsidR="00EB4675" w:rsidRPr="00930F48">
        <w:rPr>
          <w:rFonts w:ascii="Times New Roman" w:eastAsia="Times New Roman" w:hAnsi="Times New Roman" w:cs="Times New Roman"/>
          <w:b/>
          <w:lang w:bidi="es-ES"/>
        </w:rPr>
        <w:t xml:space="preserve"> </w:t>
      </w:r>
      <w:r w:rsidR="00BA3F7D" w:rsidRPr="00930F48">
        <w:rPr>
          <w:rFonts w:ascii="Times New Roman" w:eastAsia="Times New Roman" w:hAnsi="Times New Roman" w:cs="Times New Roman"/>
          <w:b/>
          <w:lang w:bidi="es-ES"/>
        </w:rPr>
        <w:t>en caso que</w:t>
      </w:r>
      <w:r w:rsidR="00EB4675" w:rsidRPr="00930F48">
        <w:rPr>
          <w:rFonts w:ascii="Times New Roman" w:eastAsia="Times New Roman" w:hAnsi="Times New Roman" w:cs="Times New Roman"/>
          <w:b/>
          <w:lang w:bidi="es-ES"/>
        </w:rPr>
        <w:t xml:space="preserve"> los Tenedores de al menos el 51% del monto de capital total de las Obligaciones Negociables en circulación, manifiesten su consentimiento de forma fehaciente con respecto a la implementación de la Modificación Propues</w:t>
      </w:r>
      <w:r w:rsidR="00BA3F7D" w:rsidRPr="00930F48">
        <w:rPr>
          <w:rFonts w:ascii="Times New Roman" w:eastAsia="Times New Roman" w:hAnsi="Times New Roman" w:cs="Times New Roman"/>
          <w:b/>
          <w:lang w:bidi="es-ES"/>
        </w:rPr>
        <w:t>ta, mediante la suscripción</w:t>
      </w:r>
      <w:r w:rsidR="003D074D" w:rsidRPr="00930F48">
        <w:rPr>
          <w:rFonts w:ascii="Times New Roman" w:eastAsia="Times New Roman" w:hAnsi="Times New Roman" w:cs="Times New Roman"/>
          <w:b/>
          <w:lang w:bidi="es-ES"/>
        </w:rPr>
        <w:t xml:space="preserve"> y presentación</w:t>
      </w:r>
      <w:r w:rsidR="00BA3F7D" w:rsidRPr="00930F48">
        <w:rPr>
          <w:rFonts w:ascii="Times New Roman" w:eastAsia="Times New Roman" w:hAnsi="Times New Roman" w:cs="Times New Roman"/>
          <w:b/>
          <w:lang w:bidi="es-ES"/>
        </w:rPr>
        <w:t xml:space="preserve"> de la Manifestación de Consentimiento</w:t>
      </w:r>
      <w:r w:rsidR="003D074D" w:rsidRPr="00930F48">
        <w:rPr>
          <w:rFonts w:ascii="Times New Roman" w:eastAsia="Times New Roman" w:hAnsi="Times New Roman" w:cs="Times New Roman"/>
          <w:b/>
          <w:lang w:bidi="es-ES"/>
        </w:rPr>
        <w:t xml:space="preserve"> ante la Sociedad</w:t>
      </w:r>
      <w:r w:rsidR="00A178F7">
        <w:rPr>
          <w:rFonts w:ascii="Times New Roman" w:eastAsia="Times New Roman" w:hAnsi="Times New Roman" w:cs="Times New Roman"/>
          <w:color w:val="000000"/>
          <w:position w:val="0"/>
          <w:shd w:val="clear" w:color="auto" w:fill="FFFFFF"/>
          <w:lang w:eastAsia="es-ES"/>
        </w:rPr>
        <w:t xml:space="preserve"> </w:t>
      </w:r>
      <w:r w:rsidR="00F654CD" w:rsidRPr="00A22099">
        <w:rPr>
          <w:rFonts w:ascii="Times New Roman" w:hAnsi="Times New Roman"/>
          <w:b/>
        </w:rPr>
        <w:t>antes del 7 de mayo de 2021 a las 1</w:t>
      </w:r>
      <w:r w:rsidR="00F24DB4" w:rsidRPr="00A22099">
        <w:rPr>
          <w:rFonts w:ascii="Times New Roman" w:hAnsi="Times New Roman"/>
          <w:b/>
        </w:rPr>
        <w:t>2</w:t>
      </w:r>
      <w:r w:rsidR="00F654CD" w:rsidRPr="00A22099">
        <w:rPr>
          <w:rFonts w:ascii="Times New Roman" w:hAnsi="Times New Roman"/>
          <w:b/>
        </w:rPr>
        <w:t xml:space="preserve"> horas</w:t>
      </w:r>
      <w:r w:rsidRPr="00930F48">
        <w:rPr>
          <w:rFonts w:ascii="Times New Roman" w:eastAsia="Times New Roman" w:hAnsi="Times New Roman" w:cs="Times New Roman"/>
          <w:b/>
          <w:lang w:bidi="es-ES"/>
        </w:rPr>
        <w:t xml:space="preserve"> (la “</w:t>
      </w:r>
      <w:r w:rsidRPr="00930F48">
        <w:rPr>
          <w:rFonts w:ascii="Times New Roman" w:eastAsia="Times New Roman" w:hAnsi="Times New Roman" w:cs="Times New Roman"/>
          <w:b/>
          <w:u w:val="single"/>
          <w:lang w:bidi="es-ES"/>
        </w:rPr>
        <w:t>Fecha Límite</w:t>
      </w:r>
      <w:r w:rsidRPr="00930F48">
        <w:rPr>
          <w:rFonts w:ascii="Times New Roman" w:eastAsia="Times New Roman" w:hAnsi="Times New Roman" w:cs="Times New Roman"/>
          <w:b/>
          <w:lang w:bidi="es-ES"/>
        </w:rPr>
        <w:t>”);</w:t>
      </w:r>
    </w:p>
    <w:p w14:paraId="5A68DF5B" w14:textId="044D939C" w:rsidR="00302D17" w:rsidRPr="00930F48" w:rsidRDefault="00302D17" w:rsidP="00E623E1">
      <w:pPr>
        <w:spacing w:after="0" w:line="240" w:lineRule="auto"/>
        <w:ind w:left="-2" w:firstLineChars="0" w:firstLine="0"/>
        <w:jc w:val="both"/>
        <w:rPr>
          <w:rFonts w:ascii="Times New Roman" w:eastAsia="Times New Roman" w:hAnsi="Times New Roman" w:cs="Times New Roman"/>
          <w:b/>
          <w:lang w:bidi="es-ES"/>
        </w:rPr>
      </w:pPr>
    </w:p>
    <w:p w14:paraId="2F246A37" w14:textId="52F19E37" w:rsidR="00302D17" w:rsidRDefault="00302D17" w:rsidP="00302D17">
      <w:pPr>
        <w:spacing w:after="0" w:line="240" w:lineRule="auto"/>
        <w:ind w:left="-2" w:firstLineChars="0" w:firstLine="0"/>
        <w:jc w:val="both"/>
        <w:rPr>
          <w:rFonts w:ascii="Times New Roman" w:eastAsia="Times New Roman" w:hAnsi="Times New Roman" w:cs="Times New Roman"/>
          <w:b/>
          <w:lang w:bidi="es-ES"/>
        </w:rPr>
      </w:pPr>
      <w:r w:rsidRPr="00930F48">
        <w:rPr>
          <w:rFonts w:ascii="Times New Roman" w:eastAsia="Times New Roman" w:hAnsi="Times New Roman" w:cs="Times New Roman"/>
          <w:b/>
          <w:lang w:bidi="es-ES"/>
        </w:rPr>
        <w:t xml:space="preserve">(ii) en caso que la Modificación Propuesta no sea aprobada por la Mayoría Necesaria en o antes de la Fecha Límite, esta circunstancia podría dar lugar a que la Sociedad incurra en eventos de incumplimiento bajo todos o algunos de los otros financiamientos de los cuales la Sociedad es actualmente deudora (algunos de los cuales se encuentran a su vez garantizados por ciertos </w:t>
      </w:r>
      <w:r w:rsidR="00E81F14" w:rsidRPr="00930F48">
        <w:rPr>
          <w:rFonts w:ascii="Times New Roman" w:eastAsia="Times New Roman" w:hAnsi="Times New Roman" w:cs="Times New Roman"/>
          <w:b/>
          <w:lang w:bidi="es-ES"/>
        </w:rPr>
        <w:t xml:space="preserve">bienes y/o derechos de la Sociedad </w:t>
      </w:r>
      <w:r w:rsidRPr="00930F48">
        <w:rPr>
          <w:rFonts w:ascii="Times New Roman" w:eastAsia="Times New Roman" w:hAnsi="Times New Roman" w:cs="Times New Roman"/>
          <w:b/>
          <w:lang w:bidi="es-ES"/>
        </w:rPr>
        <w:t>y/o de sus subsidiarias), y a que los acreedores de dichos financiamientos dispongan la aceleración de los mismos y requieran a la Sociedad el inmediato pago de la totalidad del capital y los intereses adeudados bajo los mismos;</w:t>
      </w:r>
    </w:p>
    <w:p w14:paraId="1A4F852A" w14:textId="77B46649" w:rsidR="00837B4F" w:rsidRDefault="00837B4F" w:rsidP="00302D17">
      <w:pPr>
        <w:spacing w:after="0" w:line="240" w:lineRule="auto"/>
        <w:ind w:left="-2" w:firstLineChars="0" w:firstLine="0"/>
        <w:jc w:val="both"/>
        <w:rPr>
          <w:rFonts w:ascii="Times New Roman" w:eastAsia="Times New Roman" w:hAnsi="Times New Roman" w:cs="Times New Roman"/>
          <w:b/>
          <w:lang w:bidi="es-ES"/>
        </w:rPr>
      </w:pPr>
    </w:p>
    <w:p w14:paraId="25562FAB" w14:textId="1844CB47" w:rsidR="00837B4F" w:rsidRPr="00E5249D" w:rsidRDefault="00837B4F" w:rsidP="00E5249D">
      <w:pPr>
        <w:spacing w:after="0" w:line="240" w:lineRule="auto"/>
        <w:ind w:left="-2" w:firstLineChars="0" w:firstLine="0"/>
        <w:jc w:val="both"/>
        <w:rPr>
          <w:rFonts w:ascii="Times New Roman" w:eastAsia="Times New Roman" w:hAnsi="Times New Roman" w:cs="Times New Roman"/>
          <w:b/>
          <w:lang w:bidi="es-ES"/>
        </w:rPr>
      </w:pPr>
      <w:r>
        <w:rPr>
          <w:rFonts w:ascii="Times New Roman" w:eastAsia="Times New Roman" w:hAnsi="Times New Roman" w:cs="Times New Roman"/>
          <w:b/>
          <w:lang w:bidi="es-ES"/>
        </w:rPr>
        <w:t xml:space="preserve">(iii) </w:t>
      </w:r>
      <w:r w:rsidR="00920711" w:rsidRPr="00920711">
        <w:rPr>
          <w:rFonts w:ascii="Times New Roman" w:eastAsia="Times New Roman" w:hAnsi="Times New Roman" w:cs="Times New Roman"/>
          <w:b/>
          <w:lang w:val="es-AR" w:bidi="es-ES"/>
        </w:rPr>
        <w:t>la Sociedad podrá, a su exclusivo criterio y en cualquier momento, dejar sin efecto la Solicitud de Consentimiento, lo cual implicaría que las Manifestaciones de C</w:t>
      </w:r>
      <w:r w:rsidR="00920711">
        <w:rPr>
          <w:rFonts w:ascii="Times New Roman" w:eastAsia="Times New Roman" w:hAnsi="Times New Roman" w:cs="Times New Roman"/>
          <w:b/>
          <w:lang w:val="es-AR" w:bidi="es-ES"/>
        </w:rPr>
        <w:t>onsentimiento recibidas quedará</w:t>
      </w:r>
      <w:r w:rsidR="00920711" w:rsidRPr="00920711">
        <w:rPr>
          <w:rFonts w:ascii="Times New Roman" w:eastAsia="Times New Roman" w:hAnsi="Times New Roman" w:cs="Times New Roman"/>
          <w:b/>
          <w:lang w:val="es-AR" w:bidi="es-ES"/>
        </w:rPr>
        <w:t>n automáticamente sin efecto</w:t>
      </w:r>
      <w:r w:rsidR="00E5249D">
        <w:rPr>
          <w:rFonts w:ascii="Times New Roman" w:eastAsia="Times New Roman" w:hAnsi="Times New Roman" w:cs="Times New Roman"/>
          <w:b/>
          <w:lang w:val="es-AR" w:bidi="es-ES"/>
        </w:rPr>
        <w:t>. T</w:t>
      </w:r>
      <w:r w:rsidR="00E5249D" w:rsidRPr="00837B4F">
        <w:rPr>
          <w:rFonts w:ascii="Times New Roman" w:eastAsia="Times New Roman" w:hAnsi="Times New Roman" w:cs="Times New Roman"/>
          <w:b/>
          <w:lang w:val="es-AR" w:bidi="es-ES"/>
        </w:rPr>
        <w:t>al</w:t>
      </w:r>
      <w:r w:rsidR="00E5249D">
        <w:rPr>
          <w:rFonts w:ascii="Times New Roman" w:eastAsia="Times New Roman" w:hAnsi="Times New Roman" w:cs="Times New Roman"/>
          <w:b/>
          <w:lang w:val="es-AR" w:bidi="es-ES"/>
        </w:rPr>
        <w:t xml:space="preserve"> </w:t>
      </w:r>
      <w:r w:rsidR="00E5249D" w:rsidRPr="00837B4F">
        <w:rPr>
          <w:rFonts w:ascii="Times New Roman" w:eastAsia="Times New Roman" w:hAnsi="Times New Roman" w:cs="Times New Roman"/>
          <w:b/>
          <w:lang w:val="es-AR" w:bidi="es-ES"/>
        </w:rPr>
        <w:t>circunstancia no generará responsabilidad de ningún tipo para la</w:t>
      </w:r>
      <w:r w:rsidR="00E5249D">
        <w:rPr>
          <w:rFonts w:ascii="Times New Roman" w:eastAsia="Times New Roman" w:hAnsi="Times New Roman" w:cs="Times New Roman"/>
          <w:b/>
          <w:lang w:val="es-AR" w:bidi="es-ES"/>
        </w:rPr>
        <w:t xml:space="preserve"> Sociedad</w:t>
      </w:r>
      <w:r w:rsidR="00E5249D" w:rsidRPr="00837B4F">
        <w:rPr>
          <w:rFonts w:ascii="Times New Roman" w:eastAsia="Times New Roman" w:hAnsi="Times New Roman" w:cs="Times New Roman"/>
          <w:b/>
          <w:lang w:val="es-AR" w:bidi="es-ES"/>
        </w:rPr>
        <w:t xml:space="preserve">, ni para </w:t>
      </w:r>
      <w:r w:rsidR="00E5249D">
        <w:rPr>
          <w:rFonts w:ascii="Times New Roman" w:eastAsia="Times New Roman" w:hAnsi="Times New Roman" w:cs="Times New Roman"/>
          <w:b/>
          <w:lang w:val="es-AR" w:bidi="es-ES"/>
        </w:rPr>
        <w:t>su asesor financiero</w:t>
      </w:r>
      <w:r w:rsidR="00E5249D" w:rsidRPr="00837B4F">
        <w:rPr>
          <w:rFonts w:ascii="Times New Roman" w:eastAsia="Times New Roman" w:hAnsi="Times New Roman" w:cs="Times New Roman"/>
          <w:b/>
          <w:lang w:val="es-AR" w:bidi="es-ES"/>
        </w:rPr>
        <w:t xml:space="preserve">, ni otorgará a los </w:t>
      </w:r>
      <w:r w:rsidR="00E5249D">
        <w:rPr>
          <w:rFonts w:ascii="Times New Roman" w:eastAsia="Times New Roman" w:hAnsi="Times New Roman" w:cs="Times New Roman"/>
          <w:b/>
          <w:lang w:val="es-AR" w:bidi="es-ES"/>
        </w:rPr>
        <w:t>Tenedores</w:t>
      </w:r>
      <w:r w:rsidR="00E5249D" w:rsidRPr="00837B4F">
        <w:rPr>
          <w:rFonts w:ascii="Times New Roman" w:eastAsia="Times New Roman" w:hAnsi="Times New Roman" w:cs="Times New Roman"/>
          <w:b/>
          <w:lang w:val="es-AR" w:bidi="es-ES"/>
        </w:rPr>
        <w:t xml:space="preserve"> que</w:t>
      </w:r>
      <w:r w:rsidR="00E5249D">
        <w:rPr>
          <w:rFonts w:ascii="Times New Roman" w:eastAsia="Times New Roman" w:hAnsi="Times New Roman" w:cs="Times New Roman"/>
          <w:b/>
          <w:lang w:val="es-AR" w:bidi="es-ES"/>
        </w:rPr>
        <w:t xml:space="preserve"> </w:t>
      </w:r>
      <w:r w:rsidR="00E5249D" w:rsidRPr="00837B4F">
        <w:rPr>
          <w:rFonts w:ascii="Times New Roman" w:eastAsia="Times New Roman" w:hAnsi="Times New Roman" w:cs="Times New Roman"/>
          <w:b/>
          <w:lang w:val="es-AR" w:bidi="es-ES"/>
        </w:rPr>
        <w:t xml:space="preserve">remitieron dichas </w:t>
      </w:r>
      <w:r w:rsidR="00E5249D">
        <w:rPr>
          <w:rFonts w:ascii="Times New Roman" w:eastAsia="Times New Roman" w:hAnsi="Times New Roman" w:cs="Times New Roman"/>
          <w:b/>
          <w:lang w:val="es-AR" w:bidi="es-ES"/>
        </w:rPr>
        <w:t>Manifestaciones de Consentimiento</w:t>
      </w:r>
      <w:r w:rsidR="00E5249D" w:rsidRPr="00837B4F">
        <w:rPr>
          <w:rFonts w:ascii="Times New Roman" w:eastAsia="Times New Roman" w:hAnsi="Times New Roman" w:cs="Times New Roman"/>
          <w:b/>
          <w:lang w:val="es-AR" w:bidi="es-ES"/>
        </w:rPr>
        <w:t xml:space="preserve"> derecho a compensación ni</w:t>
      </w:r>
      <w:r w:rsidR="00E5249D">
        <w:rPr>
          <w:rFonts w:ascii="Times New Roman" w:eastAsia="Times New Roman" w:hAnsi="Times New Roman" w:cs="Times New Roman"/>
          <w:b/>
          <w:lang w:val="es-AR" w:bidi="es-ES"/>
        </w:rPr>
        <w:t xml:space="preserve"> </w:t>
      </w:r>
      <w:r w:rsidR="00C05101">
        <w:rPr>
          <w:rFonts w:ascii="Times New Roman" w:eastAsia="Times New Roman" w:hAnsi="Times New Roman" w:cs="Times New Roman"/>
          <w:b/>
          <w:lang w:val="es-AR" w:bidi="es-ES"/>
        </w:rPr>
        <w:t>indemnización alguna. N</w:t>
      </w:r>
      <w:r w:rsidR="00E5249D" w:rsidRPr="00837B4F">
        <w:rPr>
          <w:rFonts w:ascii="Times New Roman" w:eastAsia="Times New Roman" w:hAnsi="Times New Roman" w:cs="Times New Roman"/>
          <w:b/>
          <w:lang w:val="es-AR" w:bidi="es-ES"/>
        </w:rPr>
        <w:t xml:space="preserve">i la </w:t>
      </w:r>
      <w:r w:rsidR="00E5249D">
        <w:rPr>
          <w:rFonts w:ascii="Times New Roman" w:eastAsia="Times New Roman" w:hAnsi="Times New Roman" w:cs="Times New Roman"/>
          <w:b/>
          <w:lang w:val="es-AR" w:bidi="es-ES"/>
        </w:rPr>
        <w:t>Sociedad</w:t>
      </w:r>
      <w:r w:rsidR="00E5249D" w:rsidRPr="00837B4F">
        <w:rPr>
          <w:rFonts w:ascii="Times New Roman" w:eastAsia="Times New Roman" w:hAnsi="Times New Roman" w:cs="Times New Roman"/>
          <w:b/>
          <w:lang w:val="es-AR" w:bidi="es-ES"/>
        </w:rPr>
        <w:t xml:space="preserve">, ni </w:t>
      </w:r>
      <w:r w:rsidR="00E5249D">
        <w:rPr>
          <w:rFonts w:ascii="Times New Roman" w:eastAsia="Times New Roman" w:hAnsi="Times New Roman" w:cs="Times New Roman"/>
          <w:b/>
          <w:lang w:val="es-AR" w:bidi="es-ES"/>
        </w:rPr>
        <w:t>su asesor financiero</w:t>
      </w:r>
      <w:r w:rsidR="00E5249D" w:rsidRPr="00837B4F">
        <w:rPr>
          <w:rFonts w:ascii="Times New Roman" w:eastAsia="Times New Roman" w:hAnsi="Times New Roman" w:cs="Times New Roman"/>
          <w:b/>
          <w:lang w:val="es-AR" w:bidi="es-ES"/>
        </w:rPr>
        <w:t xml:space="preserve"> estarán</w:t>
      </w:r>
      <w:r w:rsidR="00E5249D">
        <w:rPr>
          <w:rFonts w:ascii="Times New Roman" w:eastAsia="Times New Roman" w:hAnsi="Times New Roman" w:cs="Times New Roman"/>
          <w:b/>
          <w:lang w:val="es-AR" w:bidi="es-ES"/>
        </w:rPr>
        <w:t xml:space="preserve"> </w:t>
      </w:r>
      <w:r w:rsidR="00E5249D" w:rsidRPr="00837B4F">
        <w:rPr>
          <w:rFonts w:ascii="Times New Roman" w:eastAsia="Times New Roman" w:hAnsi="Times New Roman" w:cs="Times New Roman"/>
          <w:b/>
          <w:lang w:val="es-AR" w:bidi="es-ES"/>
        </w:rPr>
        <w:t xml:space="preserve">obligados a informar </w:t>
      </w:r>
      <w:r w:rsidR="00920711">
        <w:rPr>
          <w:rFonts w:ascii="Times New Roman" w:eastAsia="Times New Roman" w:hAnsi="Times New Roman" w:cs="Times New Roman"/>
          <w:b/>
          <w:lang w:val="es-AR" w:bidi="es-ES"/>
        </w:rPr>
        <w:t>dicha circunstancia</w:t>
      </w:r>
      <w:r w:rsidR="00920711" w:rsidRPr="00837B4F">
        <w:rPr>
          <w:rFonts w:ascii="Times New Roman" w:eastAsia="Times New Roman" w:hAnsi="Times New Roman" w:cs="Times New Roman"/>
          <w:b/>
          <w:lang w:val="es-AR" w:bidi="es-ES"/>
        </w:rPr>
        <w:t xml:space="preserve"> </w:t>
      </w:r>
      <w:r w:rsidR="00E5249D" w:rsidRPr="00837B4F">
        <w:rPr>
          <w:rFonts w:ascii="Times New Roman" w:eastAsia="Times New Roman" w:hAnsi="Times New Roman" w:cs="Times New Roman"/>
          <w:b/>
          <w:lang w:val="es-AR" w:bidi="es-ES"/>
        </w:rPr>
        <w:t>de manera individual a cada uno de los</w:t>
      </w:r>
      <w:r w:rsidR="00E5249D">
        <w:rPr>
          <w:rFonts w:ascii="Times New Roman" w:eastAsia="Times New Roman" w:hAnsi="Times New Roman" w:cs="Times New Roman"/>
          <w:b/>
          <w:lang w:val="es-AR" w:bidi="es-ES"/>
        </w:rPr>
        <w:t xml:space="preserve"> Tenedores</w:t>
      </w:r>
      <w:r w:rsidR="00DA35DF">
        <w:rPr>
          <w:rFonts w:ascii="Times New Roman" w:eastAsia="Times New Roman" w:hAnsi="Times New Roman" w:cs="Times New Roman"/>
          <w:b/>
          <w:lang w:val="es-AR" w:bidi="es-ES"/>
        </w:rPr>
        <w:t>;</w:t>
      </w:r>
      <w:r w:rsidR="00E5249D">
        <w:rPr>
          <w:rFonts w:ascii="Times New Roman" w:eastAsia="Times New Roman" w:hAnsi="Times New Roman" w:cs="Times New Roman"/>
          <w:b/>
          <w:lang w:val="es-AR" w:bidi="es-ES"/>
        </w:rPr>
        <w:t xml:space="preserve"> </w:t>
      </w:r>
    </w:p>
    <w:p w14:paraId="333D73B0" w14:textId="14CBA971" w:rsidR="00302D17" w:rsidRPr="00930F48" w:rsidRDefault="00302D17" w:rsidP="00E5249D">
      <w:pPr>
        <w:spacing w:after="0" w:line="240" w:lineRule="auto"/>
        <w:ind w:leftChars="0" w:left="0" w:firstLineChars="0" w:firstLine="0"/>
        <w:jc w:val="both"/>
        <w:rPr>
          <w:rFonts w:ascii="Times New Roman" w:eastAsia="Times New Roman" w:hAnsi="Times New Roman" w:cs="Times New Roman"/>
          <w:b/>
          <w:lang w:bidi="es-ES"/>
        </w:rPr>
      </w:pPr>
    </w:p>
    <w:p w14:paraId="2504A4C8" w14:textId="52DB729D" w:rsidR="00EE2662" w:rsidRPr="00930F48" w:rsidRDefault="00302D17" w:rsidP="00EE39E3">
      <w:pPr>
        <w:spacing w:after="0" w:line="240" w:lineRule="auto"/>
        <w:ind w:left="-2" w:firstLineChars="0" w:firstLine="0"/>
        <w:jc w:val="both"/>
        <w:rPr>
          <w:highlight w:val="yellow"/>
        </w:rPr>
      </w:pPr>
      <w:r w:rsidRPr="00930F48">
        <w:rPr>
          <w:rFonts w:ascii="Times New Roman" w:eastAsia="Times New Roman" w:hAnsi="Times New Roman" w:cs="Times New Roman"/>
          <w:b/>
          <w:lang w:bidi="es-ES"/>
        </w:rPr>
        <w:t>(i</w:t>
      </w:r>
      <w:r w:rsidR="00862CD5">
        <w:rPr>
          <w:rFonts w:ascii="Times New Roman" w:eastAsia="Times New Roman" w:hAnsi="Times New Roman" w:cs="Times New Roman"/>
          <w:b/>
          <w:lang w:bidi="es-ES"/>
        </w:rPr>
        <w:t>v</w:t>
      </w:r>
      <w:r w:rsidRPr="00930F48">
        <w:rPr>
          <w:rFonts w:ascii="Times New Roman" w:eastAsia="Times New Roman" w:hAnsi="Times New Roman" w:cs="Times New Roman"/>
          <w:b/>
          <w:lang w:bidi="es-ES"/>
        </w:rPr>
        <w:t>)</w:t>
      </w:r>
      <w:r w:rsidR="00EE39E3" w:rsidRPr="00930F48">
        <w:rPr>
          <w:rFonts w:ascii="Times New Roman" w:eastAsia="Times New Roman" w:hAnsi="Times New Roman" w:cs="Times New Roman"/>
          <w:b/>
          <w:lang w:bidi="es-ES"/>
        </w:rPr>
        <w:t xml:space="preserve"> cada Tenedor</w:t>
      </w:r>
      <w:r w:rsidR="00294E56" w:rsidRPr="00930F48">
        <w:rPr>
          <w:rFonts w:ascii="Times New Roman" w:eastAsia="Times New Roman" w:hAnsi="Times New Roman" w:cs="Times New Roman"/>
          <w:b/>
          <w:lang w:bidi="es-ES"/>
        </w:rPr>
        <w:t xml:space="preserve">, antes de tomar cualquier decisión respecto </w:t>
      </w:r>
      <w:r w:rsidR="008A7745">
        <w:rPr>
          <w:rFonts w:ascii="Times New Roman" w:eastAsia="Times New Roman" w:hAnsi="Times New Roman" w:cs="Times New Roman"/>
          <w:b/>
          <w:lang w:bidi="es-ES"/>
        </w:rPr>
        <w:t>a la Solicitud de Consentimiento</w:t>
      </w:r>
      <w:r w:rsidR="00294E56" w:rsidRPr="00930F48">
        <w:rPr>
          <w:rFonts w:ascii="Times New Roman" w:eastAsia="Times New Roman" w:hAnsi="Times New Roman" w:cs="Times New Roman"/>
          <w:b/>
          <w:lang w:bidi="es-ES"/>
        </w:rPr>
        <w:t xml:space="preserve"> y/o la Modificación Propuesta,</w:t>
      </w:r>
      <w:r w:rsidR="00EE39E3" w:rsidRPr="00930F48">
        <w:rPr>
          <w:rFonts w:ascii="Times New Roman" w:eastAsia="Times New Roman" w:hAnsi="Times New Roman" w:cs="Times New Roman"/>
          <w:b/>
          <w:lang w:bidi="es-ES"/>
        </w:rPr>
        <w:t xml:space="preserve"> deberá hacer su propia evaluación independiente con respecto a</w:t>
      </w:r>
      <w:r w:rsidR="00EE2662" w:rsidRPr="00930F48">
        <w:rPr>
          <w:rFonts w:ascii="Times New Roman" w:eastAsia="Times New Roman" w:hAnsi="Times New Roman" w:cs="Times New Roman"/>
          <w:b/>
          <w:lang w:bidi="es-ES"/>
        </w:rPr>
        <w:t xml:space="preserve"> </w:t>
      </w:r>
      <w:r w:rsidR="00EE39E3" w:rsidRPr="00930F48">
        <w:rPr>
          <w:rFonts w:ascii="Times New Roman" w:eastAsia="Times New Roman" w:hAnsi="Times New Roman" w:cs="Times New Roman"/>
          <w:b/>
          <w:lang w:bidi="es-ES"/>
        </w:rPr>
        <w:t>l</w:t>
      </w:r>
      <w:r w:rsidR="00EE2662" w:rsidRPr="00930F48">
        <w:rPr>
          <w:rFonts w:ascii="Times New Roman" w:eastAsia="Times New Roman" w:hAnsi="Times New Roman" w:cs="Times New Roman"/>
          <w:b/>
          <w:lang w:bidi="es-ES"/>
        </w:rPr>
        <w:t>a información contenida en el</w:t>
      </w:r>
      <w:r w:rsidR="00EE39E3" w:rsidRPr="00930F48">
        <w:rPr>
          <w:rFonts w:ascii="Times New Roman" w:eastAsia="Times New Roman" w:hAnsi="Times New Roman" w:cs="Times New Roman"/>
          <w:b/>
          <w:lang w:bidi="es-ES"/>
        </w:rPr>
        <w:t xml:space="preserve"> Prospecto, el Suplementos de Prospecto, </w:t>
      </w:r>
      <w:r w:rsidR="00E81F14" w:rsidRPr="00930F48">
        <w:rPr>
          <w:rFonts w:ascii="Times New Roman" w:eastAsia="Times New Roman" w:hAnsi="Times New Roman" w:cs="Times New Roman"/>
          <w:b/>
          <w:lang w:bidi="es-ES"/>
        </w:rPr>
        <w:t>esta</w:t>
      </w:r>
      <w:r w:rsidR="00EE39E3" w:rsidRPr="00930F48">
        <w:rPr>
          <w:rFonts w:ascii="Times New Roman" w:eastAsia="Times New Roman" w:hAnsi="Times New Roman" w:cs="Times New Roman"/>
          <w:b/>
          <w:lang w:bidi="es-ES"/>
        </w:rPr>
        <w:t xml:space="preserve"> Solicitud de Consentimiento, la Modificación Propuesta</w:t>
      </w:r>
      <w:r w:rsidR="00EE2662" w:rsidRPr="00930F48">
        <w:rPr>
          <w:rFonts w:ascii="Times New Roman" w:eastAsia="Times New Roman" w:hAnsi="Times New Roman" w:cs="Times New Roman"/>
          <w:b/>
          <w:lang w:bidi="es-ES"/>
        </w:rPr>
        <w:t>,</w:t>
      </w:r>
      <w:r w:rsidR="00EE39E3" w:rsidRPr="00930F48">
        <w:rPr>
          <w:rFonts w:ascii="Times New Roman" w:eastAsia="Times New Roman" w:hAnsi="Times New Roman" w:cs="Times New Roman"/>
          <w:b/>
          <w:lang w:bidi="es-ES"/>
        </w:rPr>
        <w:t xml:space="preserve"> la Manifestación de Consentimiento</w:t>
      </w:r>
      <w:r w:rsidR="00EE2662" w:rsidRPr="00930F48">
        <w:rPr>
          <w:rFonts w:ascii="Times New Roman" w:eastAsia="Times New Roman" w:hAnsi="Times New Roman" w:cs="Times New Roman"/>
          <w:b/>
          <w:lang w:bidi="es-ES"/>
        </w:rPr>
        <w:t>, y de los beneficios y riesgos involucrados</w:t>
      </w:r>
      <w:r w:rsidR="00EE39E3" w:rsidRPr="00930F48">
        <w:rPr>
          <w:rFonts w:ascii="Times New Roman" w:eastAsia="Times New Roman" w:hAnsi="Times New Roman" w:cs="Times New Roman"/>
          <w:b/>
          <w:lang w:bidi="es-ES"/>
        </w:rPr>
        <w:t xml:space="preserve">; </w:t>
      </w:r>
      <w:r w:rsidR="00EE2662" w:rsidRPr="00930F48">
        <w:rPr>
          <w:rFonts w:ascii="Times New Roman" w:eastAsia="Times New Roman" w:hAnsi="Times New Roman" w:cs="Times New Roman"/>
          <w:b/>
          <w:lang w:bidi="es-ES"/>
        </w:rPr>
        <w:t>debiendo consultar con sus propios asesores respecto de los aspectos legales, comerciales, financieros, impositivos y/o de otro tipo relacionados con su inversión en las Obligaciones Negociables, con la Modificación Propuesta y con la Manifestación de Consentimiento;</w:t>
      </w:r>
    </w:p>
    <w:p w14:paraId="27B64DF8" w14:textId="77777777" w:rsidR="00EE2662" w:rsidRPr="00930F48" w:rsidRDefault="00EE2662" w:rsidP="00EE39E3">
      <w:pPr>
        <w:spacing w:after="0" w:line="240" w:lineRule="auto"/>
        <w:ind w:left="-2" w:firstLineChars="0" w:firstLine="0"/>
        <w:jc w:val="both"/>
        <w:rPr>
          <w:rFonts w:ascii="Times New Roman" w:eastAsia="Times New Roman" w:hAnsi="Times New Roman" w:cs="Times New Roman"/>
          <w:b/>
          <w:lang w:bidi="es-ES"/>
        </w:rPr>
      </w:pPr>
    </w:p>
    <w:p w14:paraId="3223372A" w14:textId="2237252E" w:rsidR="00302D17" w:rsidRPr="00930F48" w:rsidRDefault="00EE2662" w:rsidP="00EE39E3">
      <w:pPr>
        <w:spacing w:after="0" w:line="240" w:lineRule="auto"/>
        <w:ind w:left="-2" w:firstLineChars="0" w:firstLine="0"/>
        <w:jc w:val="both"/>
        <w:rPr>
          <w:rFonts w:ascii="Times New Roman" w:eastAsia="Times New Roman" w:hAnsi="Times New Roman" w:cs="Times New Roman"/>
          <w:b/>
          <w:lang w:bidi="es-ES"/>
        </w:rPr>
      </w:pPr>
      <w:r w:rsidRPr="00930F48">
        <w:rPr>
          <w:rFonts w:ascii="Times New Roman" w:eastAsia="Times New Roman" w:hAnsi="Times New Roman" w:cs="Times New Roman"/>
          <w:b/>
          <w:lang w:bidi="es-ES"/>
        </w:rPr>
        <w:t xml:space="preserve">(v) </w:t>
      </w:r>
      <w:r w:rsidR="00EE39E3" w:rsidRPr="00930F48">
        <w:rPr>
          <w:rFonts w:ascii="Times New Roman" w:eastAsia="Times New Roman" w:hAnsi="Times New Roman" w:cs="Times New Roman"/>
          <w:b/>
          <w:lang w:bidi="es-ES"/>
        </w:rPr>
        <w:t>la Solicitud de Consentimiento de la Sociedad no implica recomendación ni sugerencia de la Sociedad ni de cualquier agente u organizador o asesor financiero al inversor para que otorgue su Manifestación de Consentimiento;</w:t>
      </w:r>
      <w:r w:rsidR="006525A6" w:rsidRPr="00930F48">
        <w:rPr>
          <w:rFonts w:ascii="Times New Roman" w:eastAsia="Times New Roman" w:hAnsi="Times New Roman" w:cs="Times New Roman"/>
          <w:b/>
          <w:lang w:bidi="es-ES"/>
        </w:rPr>
        <w:t xml:space="preserve"> y nada de lo expresado</w:t>
      </w:r>
      <w:r w:rsidR="0068636C" w:rsidRPr="00930F48">
        <w:rPr>
          <w:rFonts w:ascii="Times New Roman" w:eastAsia="Times New Roman" w:hAnsi="Times New Roman" w:cs="Times New Roman"/>
          <w:b/>
          <w:lang w:bidi="es-ES"/>
        </w:rPr>
        <w:t xml:space="preserve"> en la presente</w:t>
      </w:r>
      <w:r w:rsidR="006B6091" w:rsidRPr="00930F48">
        <w:rPr>
          <w:rFonts w:ascii="Times New Roman" w:eastAsia="Times New Roman" w:hAnsi="Times New Roman" w:cs="Times New Roman"/>
          <w:b/>
          <w:lang w:bidi="es-ES"/>
        </w:rPr>
        <w:t xml:space="preserve"> debe ser interpretado como asesoramiento legal, comercial, financiero, impositivo y/o de otro tipo</w:t>
      </w:r>
      <w:r w:rsidR="008A7745">
        <w:rPr>
          <w:rFonts w:ascii="Times New Roman" w:eastAsia="Times New Roman" w:hAnsi="Times New Roman" w:cs="Times New Roman"/>
          <w:b/>
          <w:lang w:bidi="es-ES"/>
        </w:rPr>
        <w:t xml:space="preserve"> por parte de la </w:t>
      </w:r>
      <w:r w:rsidR="008A7745" w:rsidRPr="008A7745">
        <w:rPr>
          <w:rFonts w:ascii="Times New Roman" w:eastAsia="Times New Roman" w:hAnsi="Times New Roman" w:cs="Times New Roman"/>
          <w:b/>
          <w:lang w:bidi="es-ES"/>
        </w:rPr>
        <w:t>Sociedad ni de cualquier agente u organizador o asesor financiero</w:t>
      </w:r>
      <w:r w:rsidR="006B6091" w:rsidRPr="00930F48">
        <w:rPr>
          <w:rFonts w:ascii="Times New Roman" w:eastAsia="Times New Roman" w:hAnsi="Times New Roman" w:cs="Times New Roman"/>
          <w:b/>
          <w:lang w:bidi="es-ES"/>
        </w:rPr>
        <w:t>;</w:t>
      </w:r>
    </w:p>
    <w:p w14:paraId="49897AF1" w14:textId="3A3E54DB" w:rsidR="00294E56" w:rsidRPr="00930F48" w:rsidRDefault="00294E56" w:rsidP="00EE39E3">
      <w:pPr>
        <w:spacing w:after="0" w:line="240" w:lineRule="auto"/>
        <w:ind w:left="-2" w:firstLineChars="0" w:firstLine="0"/>
        <w:jc w:val="both"/>
        <w:rPr>
          <w:rFonts w:ascii="Times New Roman" w:eastAsia="Times New Roman" w:hAnsi="Times New Roman" w:cs="Times New Roman"/>
          <w:b/>
          <w:lang w:bidi="es-ES"/>
        </w:rPr>
      </w:pPr>
    </w:p>
    <w:p w14:paraId="4821D743" w14:textId="3D874F1D" w:rsidR="00B1360B" w:rsidRPr="00930F48" w:rsidRDefault="00EE2662" w:rsidP="00E84642">
      <w:pPr>
        <w:spacing w:after="0" w:line="240" w:lineRule="auto"/>
        <w:ind w:left="-2" w:firstLineChars="0" w:firstLine="0"/>
        <w:jc w:val="both"/>
        <w:rPr>
          <w:rFonts w:ascii="Times New Roman" w:eastAsia="Times New Roman" w:hAnsi="Times New Roman" w:cs="Times New Roman"/>
          <w:b/>
        </w:rPr>
      </w:pPr>
      <w:r w:rsidRPr="00930F48">
        <w:rPr>
          <w:rFonts w:ascii="Times New Roman" w:eastAsia="Times New Roman" w:hAnsi="Times New Roman" w:cs="Times New Roman"/>
          <w:b/>
        </w:rPr>
        <w:t>(</w:t>
      </w:r>
      <w:r w:rsidR="00EE39E3" w:rsidRPr="00930F48">
        <w:rPr>
          <w:rFonts w:ascii="Times New Roman" w:eastAsia="Times New Roman" w:hAnsi="Times New Roman" w:cs="Times New Roman"/>
          <w:b/>
        </w:rPr>
        <w:t>v</w:t>
      </w:r>
      <w:r w:rsidR="00FD1D13">
        <w:rPr>
          <w:rFonts w:ascii="Times New Roman" w:eastAsia="Times New Roman" w:hAnsi="Times New Roman" w:cs="Times New Roman"/>
          <w:b/>
        </w:rPr>
        <w:t>i</w:t>
      </w:r>
      <w:r w:rsidR="00EE39E3" w:rsidRPr="00930F48">
        <w:rPr>
          <w:rFonts w:ascii="Times New Roman" w:eastAsia="Times New Roman" w:hAnsi="Times New Roman" w:cs="Times New Roman"/>
          <w:b/>
        </w:rPr>
        <w:t xml:space="preserve">) podrá acceder a </w:t>
      </w:r>
      <w:r w:rsidR="00B1360B" w:rsidRPr="00930F48">
        <w:rPr>
          <w:rFonts w:ascii="Times New Roman" w:eastAsia="Times New Roman" w:hAnsi="Times New Roman" w:cs="Times New Roman"/>
          <w:b/>
        </w:rPr>
        <w:t xml:space="preserve">una copia del Prospecto, del Suplemento del Prospecto, de los estados contables de la Sociedad y de </w:t>
      </w:r>
      <w:r w:rsidR="00EE39E3" w:rsidRPr="00930F48">
        <w:rPr>
          <w:rFonts w:ascii="Times New Roman" w:eastAsia="Times New Roman" w:hAnsi="Times New Roman" w:cs="Times New Roman"/>
          <w:b/>
        </w:rPr>
        <w:t xml:space="preserve">la información </w:t>
      </w:r>
      <w:r w:rsidR="00B1360B" w:rsidRPr="00930F48">
        <w:rPr>
          <w:rFonts w:ascii="Times New Roman" w:eastAsia="Times New Roman" w:hAnsi="Times New Roman" w:cs="Times New Roman"/>
          <w:b/>
        </w:rPr>
        <w:t>relevante</w:t>
      </w:r>
      <w:r w:rsidR="00EE39E3" w:rsidRPr="00930F48">
        <w:rPr>
          <w:rFonts w:ascii="Times New Roman" w:eastAsia="Times New Roman" w:hAnsi="Times New Roman" w:cs="Times New Roman"/>
          <w:b/>
        </w:rPr>
        <w:t xml:space="preserve"> de la Sociedad publicada en la Autopista de la Información Financiera de la </w:t>
      </w:r>
      <w:r w:rsidR="00E81F14" w:rsidRPr="00930F48">
        <w:rPr>
          <w:rFonts w:ascii="Times New Roman" w:eastAsia="Times New Roman" w:hAnsi="Times New Roman" w:cs="Times New Roman"/>
          <w:b/>
        </w:rPr>
        <w:t>CNV</w:t>
      </w:r>
      <w:r w:rsidR="00680FBA">
        <w:rPr>
          <w:rFonts w:ascii="Times New Roman" w:eastAsia="Times New Roman" w:hAnsi="Times New Roman" w:cs="Times New Roman"/>
          <w:b/>
        </w:rPr>
        <w:t>;</w:t>
      </w:r>
      <w:r w:rsidR="00B1360B" w:rsidRPr="00930F48">
        <w:rPr>
          <w:rFonts w:ascii="Times New Roman" w:eastAsia="Times New Roman" w:hAnsi="Times New Roman" w:cs="Times New Roman"/>
          <w:b/>
        </w:rPr>
        <w:t xml:space="preserve"> en el sitio </w:t>
      </w:r>
      <w:r w:rsidR="008A7745">
        <w:rPr>
          <w:rFonts w:ascii="Times New Roman" w:eastAsia="Times New Roman" w:hAnsi="Times New Roman" w:cs="Times New Roman"/>
          <w:b/>
        </w:rPr>
        <w:t>web de la BCBA (www.bolsar.com);</w:t>
      </w:r>
      <w:r w:rsidR="00B1360B" w:rsidRPr="00930F48">
        <w:rPr>
          <w:rFonts w:ascii="Times New Roman" w:eastAsia="Times New Roman" w:hAnsi="Times New Roman" w:cs="Times New Roman"/>
          <w:b/>
        </w:rPr>
        <w:t xml:space="preserve"> en el sitio web del MAE;</w:t>
      </w:r>
      <w:r w:rsidR="00EE39E3" w:rsidRPr="00930F48">
        <w:rPr>
          <w:rFonts w:ascii="Times New Roman" w:eastAsia="Times New Roman" w:hAnsi="Times New Roman" w:cs="Times New Roman"/>
          <w:b/>
        </w:rPr>
        <w:t xml:space="preserve"> en la página web de la Sociedad </w:t>
      </w:r>
      <w:r w:rsidR="00EE39E3" w:rsidRPr="00930F48">
        <w:rPr>
          <w:rFonts w:ascii="Times New Roman" w:eastAsia="Times New Roman" w:hAnsi="Times New Roman" w:cs="Times New Roman"/>
          <w:b/>
        </w:rPr>
        <w:lastRenderedPageBreak/>
        <w:t>(</w:t>
      </w:r>
      <w:hyperlink r:id="rId8" w:history="1">
        <w:r w:rsidR="00EE39E3" w:rsidRPr="00930F48">
          <w:rPr>
            <w:rStyle w:val="Hipervnculo"/>
            <w:rFonts w:ascii="Times New Roman" w:eastAsia="Times New Roman" w:hAnsi="Times New Roman" w:cs="Times New Roman"/>
            <w:b/>
          </w:rPr>
          <w:t>http://ri.tglt.com/</w:t>
        </w:r>
      </w:hyperlink>
      <w:r w:rsidR="00EE39E3" w:rsidRPr="00930F48">
        <w:rPr>
          <w:rFonts w:ascii="Times New Roman" w:eastAsia="Times New Roman" w:hAnsi="Times New Roman" w:cs="Times New Roman"/>
          <w:b/>
        </w:rPr>
        <w:t>)</w:t>
      </w:r>
      <w:r w:rsidR="00B1360B" w:rsidRPr="00930F48">
        <w:rPr>
          <w:rFonts w:ascii="Times New Roman" w:eastAsia="Times New Roman" w:hAnsi="Times New Roman" w:cs="Times New Roman"/>
          <w:b/>
        </w:rPr>
        <w:t>;</w:t>
      </w:r>
      <w:r w:rsidR="00EE39E3" w:rsidRPr="00930F48">
        <w:rPr>
          <w:rFonts w:ascii="Times New Roman" w:eastAsia="Times New Roman" w:hAnsi="Times New Roman" w:cs="Times New Roman"/>
          <w:b/>
        </w:rPr>
        <w:t xml:space="preserve"> y</w:t>
      </w:r>
      <w:r w:rsidR="00B1360B" w:rsidRPr="00930F48">
        <w:rPr>
          <w:rFonts w:ascii="Times New Roman" w:eastAsia="Times New Roman" w:hAnsi="Times New Roman" w:cs="Times New Roman"/>
          <w:b/>
        </w:rPr>
        <w:t>, siempre que la situación sanitaria</w:t>
      </w:r>
      <w:r w:rsidR="008A7745">
        <w:rPr>
          <w:rFonts w:ascii="Times New Roman" w:eastAsia="Times New Roman" w:hAnsi="Times New Roman" w:cs="Times New Roman"/>
          <w:b/>
        </w:rPr>
        <w:t xml:space="preserve"> y las medidas de aislamiento o distanciamiento social</w:t>
      </w:r>
      <w:r w:rsidR="00B1360B" w:rsidRPr="00930F48">
        <w:rPr>
          <w:rFonts w:ascii="Times New Roman" w:eastAsia="Times New Roman" w:hAnsi="Times New Roman" w:cs="Times New Roman"/>
          <w:b/>
        </w:rPr>
        <w:t xml:space="preserve"> lo permita</w:t>
      </w:r>
      <w:r w:rsidR="008A7745">
        <w:rPr>
          <w:rFonts w:ascii="Times New Roman" w:eastAsia="Times New Roman" w:hAnsi="Times New Roman" w:cs="Times New Roman"/>
          <w:b/>
        </w:rPr>
        <w:t>n</w:t>
      </w:r>
      <w:r w:rsidR="00B1360B" w:rsidRPr="00930F48">
        <w:rPr>
          <w:rFonts w:ascii="Times New Roman" w:eastAsia="Times New Roman" w:hAnsi="Times New Roman" w:cs="Times New Roman"/>
          <w:b/>
        </w:rPr>
        <w:t>,</w:t>
      </w:r>
      <w:r w:rsidR="00EE39E3" w:rsidRPr="00930F48">
        <w:rPr>
          <w:rFonts w:ascii="Times New Roman" w:eastAsia="Times New Roman" w:hAnsi="Times New Roman" w:cs="Times New Roman"/>
          <w:b/>
        </w:rPr>
        <w:t xml:space="preserve"> </w:t>
      </w:r>
      <w:r w:rsidR="00B1360B" w:rsidRPr="00930F48">
        <w:rPr>
          <w:rFonts w:ascii="Times New Roman" w:eastAsia="Times New Roman" w:hAnsi="Times New Roman" w:cs="Times New Roman"/>
          <w:b/>
        </w:rPr>
        <w:t xml:space="preserve">en la sede social de la </w:t>
      </w:r>
      <w:r w:rsidR="00307836" w:rsidRPr="00930F48">
        <w:rPr>
          <w:rFonts w:ascii="Times New Roman" w:eastAsia="Times New Roman" w:hAnsi="Times New Roman" w:cs="Times New Roman"/>
          <w:b/>
        </w:rPr>
        <w:t>Sociedad</w:t>
      </w:r>
      <w:r w:rsidR="00B1360B" w:rsidRPr="00930F48">
        <w:rPr>
          <w:rFonts w:ascii="Times New Roman" w:eastAsia="Times New Roman" w:hAnsi="Times New Roman" w:cs="Times New Roman"/>
          <w:b/>
        </w:rPr>
        <w:t xml:space="preserve">, ubicada en </w:t>
      </w:r>
      <w:r w:rsidR="00EB5996">
        <w:rPr>
          <w:rFonts w:ascii="Times New Roman" w:eastAsia="Times New Roman" w:hAnsi="Times New Roman" w:cs="Times New Roman"/>
          <w:b/>
        </w:rPr>
        <w:t xml:space="preserve">Miñones 2177, planta baja “C”, </w:t>
      </w:r>
      <w:r w:rsidR="00B1360B" w:rsidRPr="00930F48">
        <w:rPr>
          <w:rFonts w:ascii="Times New Roman" w:eastAsia="Times New Roman" w:hAnsi="Times New Roman" w:cs="Times New Roman"/>
          <w:b/>
        </w:rPr>
        <w:t>Ciudad Autónoma de Buenos Aires, Argentina</w:t>
      </w:r>
      <w:r w:rsidR="00EB5996">
        <w:rPr>
          <w:rFonts w:ascii="Times New Roman" w:eastAsia="Times New Roman" w:hAnsi="Times New Roman" w:cs="Times New Roman"/>
          <w:b/>
        </w:rPr>
        <w:t xml:space="preserve"> y en las o</w:t>
      </w:r>
      <w:r w:rsidR="00430E7A">
        <w:rPr>
          <w:rFonts w:ascii="Times New Roman" w:eastAsia="Times New Roman" w:hAnsi="Times New Roman" w:cs="Times New Roman"/>
          <w:b/>
        </w:rPr>
        <w:t xml:space="preserve">ficinas del Asesor Financiero, </w:t>
      </w:r>
      <w:r w:rsidR="006D4CD9">
        <w:rPr>
          <w:rFonts w:ascii="Times New Roman" w:eastAsia="Times New Roman" w:hAnsi="Times New Roman" w:cs="Times New Roman"/>
          <w:b/>
        </w:rPr>
        <w:t xml:space="preserve">ubicadas en </w:t>
      </w:r>
      <w:r w:rsidR="00EB5996" w:rsidRPr="00EB5996">
        <w:rPr>
          <w:rFonts w:ascii="Times New Roman" w:eastAsia="Times New Roman" w:hAnsi="Times New Roman" w:cs="Times New Roman"/>
          <w:b/>
        </w:rPr>
        <w:t>Av. del Libertador 602</w:t>
      </w:r>
      <w:r w:rsidR="00B1360B" w:rsidRPr="00930F48">
        <w:rPr>
          <w:rFonts w:ascii="Times New Roman" w:eastAsia="Times New Roman" w:hAnsi="Times New Roman" w:cs="Times New Roman"/>
          <w:b/>
        </w:rPr>
        <w:t xml:space="preserve">, </w:t>
      </w:r>
      <w:r w:rsidR="00EB5996" w:rsidRPr="00EB5996">
        <w:rPr>
          <w:rFonts w:ascii="Times New Roman" w:eastAsia="Times New Roman" w:hAnsi="Times New Roman" w:cs="Times New Roman"/>
          <w:b/>
        </w:rPr>
        <w:t>Ciudad Autónoma de Buenos Aires, Argentina</w:t>
      </w:r>
      <w:r w:rsidR="00EB5996">
        <w:rPr>
          <w:rFonts w:ascii="Times New Roman" w:eastAsia="Times New Roman" w:hAnsi="Times New Roman" w:cs="Times New Roman"/>
          <w:b/>
        </w:rPr>
        <w:t>,</w:t>
      </w:r>
      <w:r w:rsidR="00EB5996" w:rsidRPr="00EB5996">
        <w:rPr>
          <w:rFonts w:ascii="Times New Roman" w:eastAsia="Times New Roman" w:hAnsi="Times New Roman" w:cs="Times New Roman"/>
          <w:b/>
        </w:rPr>
        <w:t xml:space="preserve"> </w:t>
      </w:r>
      <w:r w:rsidR="00B1360B" w:rsidRPr="00930F48">
        <w:rPr>
          <w:rFonts w:ascii="Times New Roman" w:eastAsia="Times New Roman" w:hAnsi="Times New Roman" w:cs="Times New Roman"/>
          <w:b/>
        </w:rPr>
        <w:t xml:space="preserve">en días hábiles en el horario de 10:00 a 18:00 horas; y, asimismo, podrá </w:t>
      </w:r>
      <w:r w:rsidR="00EE39E3" w:rsidRPr="00930F48">
        <w:rPr>
          <w:rFonts w:ascii="Times New Roman" w:eastAsia="Times New Roman" w:hAnsi="Times New Roman" w:cs="Times New Roman"/>
          <w:b/>
        </w:rPr>
        <w:t xml:space="preserve">formular todas las preguntas y dudas que tenga </w:t>
      </w:r>
      <w:r w:rsidR="00E84642" w:rsidRPr="00930F48">
        <w:rPr>
          <w:rFonts w:ascii="Times New Roman" w:eastAsia="Times New Roman" w:hAnsi="Times New Roman" w:cs="Times New Roman"/>
          <w:b/>
        </w:rPr>
        <w:t xml:space="preserve">con relación con la Modificación Propuesta </w:t>
      </w:r>
      <w:r w:rsidR="00EE39E3" w:rsidRPr="00930F48">
        <w:rPr>
          <w:rFonts w:ascii="Times New Roman" w:eastAsia="Times New Roman" w:hAnsi="Times New Roman" w:cs="Times New Roman"/>
          <w:b/>
        </w:rPr>
        <w:t xml:space="preserve">a los representantes de la </w:t>
      </w:r>
      <w:r w:rsidR="00E84642" w:rsidRPr="00930F48">
        <w:rPr>
          <w:rFonts w:ascii="Times New Roman" w:eastAsia="Times New Roman" w:hAnsi="Times New Roman" w:cs="Times New Roman"/>
          <w:b/>
        </w:rPr>
        <w:t>Sociedad, enviándolas a la siguiente dirección de contacto</w:t>
      </w:r>
      <w:r w:rsidR="00680FBA">
        <w:rPr>
          <w:rFonts w:ascii="Times New Roman" w:eastAsia="Times New Roman" w:hAnsi="Times New Roman" w:cs="Times New Roman"/>
          <w:b/>
        </w:rPr>
        <w:t>:</w:t>
      </w:r>
      <w:r w:rsidR="00E84642" w:rsidRPr="00930F48">
        <w:rPr>
          <w:rFonts w:ascii="Times New Roman" w:eastAsia="Times New Roman" w:hAnsi="Times New Roman" w:cs="Times New Roman"/>
          <w:b/>
        </w:rPr>
        <w:t xml:space="preserve"> </w:t>
      </w:r>
      <w:r w:rsidR="00680FBA">
        <w:rPr>
          <w:rFonts w:ascii="Times New Roman" w:eastAsia="Times New Roman" w:hAnsi="Times New Roman" w:cs="Times New Roman"/>
          <w:b/>
        </w:rPr>
        <w:t>inversores@tglt.com</w:t>
      </w:r>
      <w:r w:rsidR="00B1360B" w:rsidRPr="00930F48">
        <w:rPr>
          <w:rFonts w:ascii="Times New Roman" w:eastAsia="Times New Roman" w:hAnsi="Times New Roman" w:cs="Times New Roman"/>
          <w:b/>
        </w:rPr>
        <w:t>;</w:t>
      </w:r>
    </w:p>
    <w:p w14:paraId="5D8F7025" w14:textId="77777777" w:rsidR="00B1360B" w:rsidRPr="00930F48" w:rsidRDefault="00B1360B" w:rsidP="00E84642">
      <w:pPr>
        <w:spacing w:after="0" w:line="240" w:lineRule="auto"/>
        <w:ind w:left="-2" w:firstLineChars="0" w:firstLine="0"/>
        <w:jc w:val="both"/>
        <w:rPr>
          <w:rFonts w:ascii="Times New Roman" w:eastAsia="Times New Roman" w:hAnsi="Times New Roman" w:cs="Times New Roman"/>
          <w:b/>
        </w:rPr>
      </w:pPr>
    </w:p>
    <w:p w14:paraId="41ACD04C" w14:textId="61742127" w:rsidR="00E84642" w:rsidRPr="00930F48" w:rsidRDefault="00525ACD" w:rsidP="00E84642">
      <w:pPr>
        <w:spacing w:after="0" w:line="240" w:lineRule="auto"/>
        <w:ind w:left="-2" w:firstLineChars="0" w:firstLine="0"/>
        <w:jc w:val="both"/>
        <w:rPr>
          <w:rFonts w:ascii="Times New Roman" w:eastAsia="Times New Roman" w:hAnsi="Times New Roman" w:cs="Times New Roman"/>
          <w:b/>
        </w:rPr>
      </w:pPr>
      <w:r w:rsidRPr="00930F48">
        <w:rPr>
          <w:rFonts w:ascii="Times New Roman" w:eastAsia="Times New Roman" w:hAnsi="Times New Roman" w:cs="Times New Roman"/>
          <w:b/>
        </w:rPr>
        <w:t>(v</w:t>
      </w:r>
      <w:r w:rsidR="00FD1D13">
        <w:rPr>
          <w:rFonts w:ascii="Times New Roman" w:eastAsia="Times New Roman" w:hAnsi="Times New Roman" w:cs="Times New Roman"/>
          <w:b/>
        </w:rPr>
        <w:t>i</w:t>
      </w:r>
      <w:r w:rsidR="00EE2662" w:rsidRPr="00930F48">
        <w:rPr>
          <w:rFonts w:ascii="Times New Roman" w:eastAsia="Times New Roman" w:hAnsi="Times New Roman" w:cs="Times New Roman"/>
          <w:b/>
        </w:rPr>
        <w:t>i</w:t>
      </w:r>
      <w:r w:rsidRPr="00930F48">
        <w:rPr>
          <w:rFonts w:ascii="Times New Roman" w:eastAsia="Times New Roman" w:hAnsi="Times New Roman" w:cs="Times New Roman"/>
          <w:b/>
        </w:rPr>
        <w:t>) la presente Solicitud de Consentimiento, la Manifestación de Consentimiento y cualesquiera otros documentos relativos a la Modificación Propuesta podrá ser suscripta tanto en soporte físico como por cualquier medio electrónico. En todos los instrumentos generados por medios electrónicos, el requisito de la firma de una persona quedará satisfecho si se utiliza una firma electrónica, en cuyo caso se los considera instrumentos privados firmados de acuerdo con lo dispuesto por los artículos 286 y 287 del Código Civil y Comercial de la Nación, y resultarán válidos y vinculantes en todos sus términos y condiciones, aun cuando los mismos sean suscriptos mediante firma electrónica, y tendrá</w:t>
      </w:r>
      <w:r w:rsidR="008A7745">
        <w:rPr>
          <w:rFonts w:ascii="Times New Roman" w:eastAsia="Times New Roman" w:hAnsi="Times New Roman" w:cs="Times New Roman"/>
          <w:b/>
        </w:rPr>
        <w:t>n</w:t>
      </w:r>
      <w:r w:rsidRPr="00930F48">
        <w:rPr>
          <w:rFonts w:ascii="Times New Roman" w:eastAsia="Times New Roman" w:hAnsi="Times New Roman" w:cs="Times New Roman"/>
          <w:b/>
        </w:rPr>
        <w:t xml:space="preserve"> la misma validez que </w:t>
      </w:r>
      <w:r w:rsidR="008A7745">
        <w:rPr>
          <w:rFonts w:ascii="Times New Roman" w:eastAsia="Times New Roman" w:hAnsi="Times New Roman" w:cs="Times New Roman"/>
          <w:b/>
        </w:rPr>
        <w:t xml:space="preserve">si </w:t>
      </w:r>
      <w:r w:rsidRPr="00930F48">
        <w:rPr>
          <w:rFonts w:ascii="Times New Roman" w:eastAsia="Times New Roman" w:hAnsi="Times New Roman" w:cs="Times New Roman"/>
          <w:b/>
        </w:rPr>
        <w:t>hubieran si</w:t>
      </w:r>
      <w:r w:rsidR="00307836" w:rsidRPr="00930F48">
        <w:rPr>
          <w:rFonts w:ascii="Times New Roman" w:eastAsia="Times New Roman" w:hAnsi="Times New Roman" w:cs="Times New Roman"/>
          <w:b/>
        </w:rPr>
        <w:t>do firmados en soporte físico;</w:t>
      </w:r>
    </w:p>
    <w:p w14:paraId="7A19045E" w14:textId="77777777" w:rsidR="00E84642" w:rsidRPr="00930F48" w:rsidRDefault="00E84642" w:rsidP="00EE39E3">
      <w:pPr>
        <w:spacing w:after="0" w:line="240" w:lineRule="auto"/>
        <w:ind w:left="-2" w:firstLineChars="0" w:firstLine="0"/>
        <w:jc w:val="both"/>
        <w:rPr>
          <w:rFonts w:ascii="Times New Roman" w:eastAsia="Times New Roman" w:hAnsi="Times New Roman" w:cs="Times New Roman"/>
          <w:b/>
        </w:rPr>
      </w:pPr>
    </w:p>
    <w:p w14:paraId="63619920" w14:textId="6EA7EBE7" w:rsidR="00EE39E3" w:rsidRPr="00930F48" w:rsidRDefault="00EE39E3" w:rsidP="00E84642">
      <w:pPr>
        <w:spacing w:after="0" w:line="240" w:lineRule="auto"/>
        <w:ind w:left="-2" w:firstLineChars="0" w:firstLine="0"/>
        <w:jc w:val="both"/>
        <w:rPr>
          <w:rFonts w:ascii="Times New Roman" w:eastAsia="Times New Roman" w:hAnsi="Times New Roman" w:cs="Times New Roman"/>
          <w:b/>
        </w:rPr>
      </w:pPr>
      <w:r w:rsidRPr="00930F48">
        <w:rPr>
          <w:rFonts w:ascii="Times New Roman" w:eastAsia="Times New Roman" w:hAnsi="Times New Roman" w:cs="Times New Roman"/>
          <w:b/>
        </w:rPr>
        <w:t>(</w:t>
      </w:r>
      <w:r w:rsidR="00E84642" w:rsidRPr="00930F48">
        <w:rPr>
          <w:rFonts w:ascii="Times New Roman" w:eastAsia="Times New Roman" w:hAnsi="Times New Roman" w:cs="Times New Roman"/>
          <w:b/>
        </w:rPr>
        <w:t>v</w:t>
      </w:r>
      <w:r w:rsidR="00525ACD" w:rsidRPr="00930F48">
        <w:rPr>
          <w:rFonts w:ascii="Times New Roman" w:eastAsia="Times New Roman" w:hAnsi="Times New Roman" w:cs="Times New Roman"/>
          <w:b/>
        </w:rPr>
        <w:t>i</w:t>
      </w:r>
      <w:r w:rsidR="00EE2662" w:rsidRPr="00930F48">
        <w:rPr>
          <w:rFonts w:ascii="Times New Roman" w:eastAsia="Times New Roman" w:hAnsi="Times New Roman" w:cs="Times New Roman"/>
          <w:b/>
        </w:rPr>
        <w:t>i</w:t>
      </w:r>
      <w:r w:rsidR="00FD1D13">
        <w:rPr>
          <w:rFonts w:ascii="Times New Roman" w:eastAsia="Times New Roman" w:hAnsi="Times New Roman" w:cs="Times New Roman"/>
          <w:b/>
        </w:rPr>
        <w:t>i</w:t>
      </w:r>
      <w:r w:rsidRPr="00930F48">
        <w:rPr>
          <w:rFonts w:ascii="Times New Roman" w:eastAsia="Times New Roman" w:hAnsi="Times New Roman" w:cs="Times New Roman"/>
          <w:b/>
        </w:rPr>
        <w:t xml:space="preserve">) la presentación de </w:t>
      </w:r>
      <w:r w:rsidR="00E84642" w:rsidRPr="00930F48">
        <w:rPr>
          <w:rFonts w:ascii="Times New Roman" w:eastAsia="Times New Roman" w:hAnsi="Times New Roman" w:cs="Times New Roman"/>
          <w:b/>
        </w:rPr>
        <w:t>una</w:t>
      </w:r>
      <w:r w:rsidRPr="00930F48">
        <w:rPr>
          <w:rFonts w:ascii="Times New Roman" w:eastAsia="Times New Roman" w:hAnsi="Times New Roman" w:cs="Times New Roman"/>
          <w:b/>
        </w:rPr>
        <w:t xml:space="preserve"> Manifestación de</w:t>
      </w:r>
      <w:r w:rsidR="00E84642" w:rsidRPr="00930F48">
        <w:rPr>
          <w:rFonts w:ascii="Times New Roman" w:eastAsia="Times New Roman" w:hAnsi="Times New Roman" w:cs="Times New Roman"/>
          <w:b/>
        </w:rPr>
        <w:t xml:space="preserve"> </w:t>
      </w:r>
      <w:r w:rsidRPr="00930F48">
        <w:rPr>
          <w:rFonts w:ascii="Times New Roman" w:eastAsia="Times New Roman" w:hAnsi="Times New Roman" w:cs="Times New Roman"/>
          <w:b/>
        </w:rPr>
        <w:t>Consentimiento constituirá un compromiso irrevocable a otorgar aquellos otros documentos y</w:t>
      </w:r>
      <w:r w:rsidR="00E84642" w:rsidRPr="00930F48">
        <w:rPr>
          <w:rFonts w:ascii="Times New Roman" w:eastAsia="Times New Roman" w:hAnsi="Times New Roman" w:cs="Times New Roman"/>
          <w:b/>
        </w:rPr>
        <w:t xml:space="preserve"> consentimientos que pudieran ser necesari</w:t>
      </w:r>
      <w:r w:rsidR="00223E01" w:rsidRPr="00930F48">
        <w:rPr>
          <w:rFonts w:ascii="Times New Roman" w:eastAsia="Times New Roman" w:hAnsi="Times New Roman" w:cs="Times New Roman"/>
          <w:b/>
        </w:rPr>
        <w:t>o</w:t>
      </w:r>
      <w:r w:rsidR="00E84642" w:rsidRPr="00930F48">
        <w:rPr>
          <w:rFonts w:ascii="Times New Roman" w:eastAsia="Times New Roman" w:hAnsi="Times New Roman" w:cs="Times New Roman"/>
          <w:b/>
        </w:rPr>
        <w:t>s o de cualquier modo requeridos por la Sociedad, a los efectos de implementar válida</w:t>
      </w:r>
      <w:r w:rsidR="00307836" w:rsidRPr="00930F48">
        <w:rPr>
          <w:rFonts w:ascii="Times New Roman" w:eastAsia="Times New Roman" w:hAnsi="Times New Roman" w:cs="Times New Roman"/>
          <w:b/>
        </w:rPr>
        <w:t>me</w:t>
      </w:r>
      <w:r w:rsidR="008421D6">
        <w:rPr>
          <w:rFonts w:ascii="Times New Roman" w:eastAsia="Times New Roman" w:hAnsi="Times New Roman" w:cs="Times New Roman"/>
          <w:b/>
        </w:rPr>
        <w:t xml:space="preserve">nte la Modificación Propuesta; </w:t>
      </w:r>
    </w:p>
    <w:p w14:paraId="7CDD05EE" w14:textId="46396C14" w:rsidR="00307836" w:rsidRPr="00930F48" w:rsidRDefault="00307836" w:rsidP="00E84642">
      <w:pPr>
        <w:spacing w:after="0" w:line="240" w:lineRule="auto"/>
        <w:ind w:left="-2" w:firstLineChars="0" w:firstLine="0"/>
        <w:jc w:val="both"/>
        <w:rPr>
          <w:rFonts w:ascii="Times New Roman" w:eastAsia="Times New Roman" w:hAnsi="Times New Roman" w:cs="Times New Roman"/>
          <w:b/>
        </w:rPr>
      </w:pPr>
    </w:p>
    <w:p w14:paraId="28ABAEA6" w14:textId="3B11EE96" w:rsidR="00307836" w:rsidRDefault="00307836" w:rsidP="00307836">
      <w:pPr>
        <w:spacing w:after="0" w:line="240" w:lineRule="auto"/>
        <w:ind w:left="0" w:hanging="2"/>
        <w:jc w:val="both"/>
        <w:rPr>
          <w:rFonts w:ascii="Times New Roman" w:eastAsia="Times New Roman" w:hAnsi="Times New Roman" w:cs="Times New Roman"/>
          <w:b/>
          <w:color w:val="000000"/>
          <w:lang w:eastAsia="es-ES"/>
        </w:rPr>
      </w:pPr>
      <w:r w:rsidRPr="00930F48">
        <w:rPr>
          <w:rFonts w:ascii="Times New Roman" w:eastAsia="Times New Roman" w:hAnsi="Times New Roman" w:cs="Times New Roman"/>
          <w:b/>
        </w:rPr>
        <w:t>(</w:t>
      </w:r>
      <w:r w:rsidR="00FD1D13">
        <w:rPr>
          <w:rFonts w:ascii="Times New Roman" w:eastAsia="Times New Roman" w:hAnsi="Times New Roman" w:cs="Times New Roman"/>
          <w:b/>
        </w:rPr>
        <w:t>ix</w:t>
      </w:r>
      <w:r w:rsidRPr="00930F48">
        <w:rPr>
          <w:rFonts w:ascii="Times New Roman" w:eastAsia="Times New Roman" w:hAnsi="Times New Roman" w:cs="Times New Roman"/>
          <w:b/>
        </w:rPr>
        <w:t xml:space="preserve">) (a) </w:t>
      </w:r>
      <w:r w:rsidRPr="00930F48">
        <w:rPr>
          <w:rFonts w:ascii="Times New Roman" w:eastAsia="Times New Roman" w:hAnsi="Times New Roman" w:cs="Times New Roman"/>
          <w:b/>
          <w:color w:val="000000"/>
          <w:lang w:eastAsia="es-ES"/>
        </w:rPr>
        <w:t xml:space="preserve">se le brinda la oportunidad de solicitar a la Sociedad el examen de toda la información pública adicional que dicho inversor considere necesaria para verificar la exactitud de la información contenida en </w:t>
      </w:r>
      <w:r w:rsidR="008A7745">
        <w:rPr>
          <w:rFonts w:ascii="Times New Roman" w:eastAsia="Times New Roman" w:hAnsi="Times New Roman" w:cs="Times New Roman"/>
          <w:b/>
          <w:color w:val="000000"/>
          <w:lang w:eastAsia="es-ES"/>
        </w:rPr>
        <w:t xml:space="preserve">el Prospecto, el Suplemento de Prospecto, los estados contables, </w:t>
      </w:r>
      <w:r w:rsidRPr="00930F48">
        <w:rPr>
          <w:rFonts w:ascii="Times New Roman" w:eastAsia="Times New Roman" w:hAnsi="Times New Roman" w:cs="Times New Roman"/>
          <w:b/>
          <w:color w:val="000000"/>
          <w:lang w:eastAsia="es-ES"/>
        </w:rPr>
        <w:t>la Solicitud de Consentimiento y en la Manifestación de Consentimiento; (b) no deberá basarse en la Sociedad, ni en ninguna persona vinculada a la Sociedad, en relación con su investigación de la exactitud de dicha información o su decisión de inversión; (c) ninguna persona ha sido autorizada a suministrar ninguna información o a formular ninguna declaración sobre la Sociedad o las Obligaciones Negociables, salvo por las contenidas en el Suplemento de Prospecto y en la Solicitud de Consentimiento. En caso de que le haya sido o le sea suministrada o formulada, no deberá tenerse a dicha información o declaración como autorizada ni consentida por la Sociedad, ni atribuirse a la Sociedad; y (d) al momento de otorgar su Manifestación de Consentimiento para la implementación de la Modificación Propuesta a los términos de las Obligaciones Negociables, deberá conocer todas las implicancias que eso conlleva, y reconocer que la obtención de los consentimientos sin necesidad de asamblea resulta un mecanismo válido para adoptar la Modificación Propu</w:t>
      </w:r>
      <w:r w:rsidR="008421D6">
        <w:rPr>
          <w:rFonts w:ascii="Times New Roman" w:eastAsia="Times New Roman" w:hAnsi="Times New Roman" w:cs="Times New Roman"/>
          <w:b/>
          <w:color w:val="000000"/>
          <w:lang w:eastAsia="es-ES"/>
        </w:rPr>
        <w:t>esta; y</w:t>
      </w:r>
    </w:p>
    <w:p w14:paraId="31B92BB9" w14:textId="77777777" w:rsidR="008421D6" w:rsidRDefault="008421D6" w:rsidP="00307836">
      <w:pPr>
        <w:spacing w:after="0" w:line="240" w:lineRule="auto"/>
        <w:ind w:left="0" w:hanging="2"/>
        <w:jc w:val="both"/>
        <w:rPr>
          <w:rFonts w:ascii="Times New Roman" w:eastAsia="Times New Roman" w:hAnsi="Times New Roman" w:cs="Times New Roman"/>
          <w:b/>
          <w:color w:val="000000"/>
          <w:lang w:eastAsia="es-ES"/>
        </w:rPr>
      </w:pPr>
    </w:p>
    <w:p w14:paraId="508C6161" w14:textId="39FAB919" w:rsidR="008421D6" w:rsidRPr="00930F48" w:rsidRDefault="008421D6" w:rsidP="00307836">
      <w:pPr>
        <w:spacing w:after="0" w:line="240" w:lineRule="auto"/>
        <w:ind w:left="0" w:hanging="2"/>
        <w:jc w:val="both"/>
        <w:rPr>
          <w:rFonts w:ascii="Times New Roman" w:eastAsia="Times New Roman" w:hAnsi="Times New Roman" w:cs="Times New Roman"/>
          <w:b/>
          <w:color w:val="000000"/>
          <w:position w:val="0"/>
          <w:lang w:eastAsia="es-ES"/>
        </w:rPr>
      </w:pPr>
      <w:r>
        <w:rPr>
          <w:rFonts w:ascii="Times New Roman" w:eastAsia="Times New Roman" w:hAnsi="Times New Roman" w:cs="Times New Roman"/>
          <w:b/>
          <w:color w:val="000000"/>
          <w:position w:val="0"/>
          <w:lang w:eastAsia="es-ES"/>
        </w:rPr>
        <w:t>(x) co</w:t>
      </w:r>
      <w:r w:rsidRPr="008421D6">
        <w:rPr>
          <w:rFonts w:ascii="Times New Roman" w:eastAsia="Times New Roman" w:hAnsi="Times New Roman" w:cs="Times New Roman"/>
          <w:b/>
          <w:color w:val="000000"/>
          <w:position w:val="0"/>
          <w:lang w:eastAsia="es-ES"/>
        </w:rPr>
        <w:t xml:space="preserve">n excepción de lo dispuesto en el artículo 120 de la Ley N° 26.831 con sus modificatorias y suplementarias, </w:t>
      </w:r>
      <w:r w:rsidR="004F3995">
        <w:rPr>
          <w:rFonts w:ascii="Times New Roman" w:eastAsia="Times New Roman" w:hAnsi="Times New Roman" w:cs="Times New Roman"/>
          <w:b/>
          <w:color w:val="000000"/>
          <w:position w:val="0"/>
          <w:lang w:eastAsia="es-ES"/>
        </w:rPr>
        <w:t>la Sociedad</w:t>
      </w:r>
      <w:r w:rsidRPr="008421D6">
        <w:rPr>
          <w:rFonts w:ascii="Times New Roman" w:eastAsia="Times New Roman" w:hAnsi="Times New Roman" w:cs="Times New Roman"/>
          <w:b/>
          <w:color w:val="000000"/>
          <w:position w:val="0"/>
          <w:lang w:eastAsia="es-ES"/>
        </w:rPr>
        <w:t xml:space="preserve"> y su asesor financiero no asumen ningún tipo de responsabilidad por los daños y perjuicios que pudiera sufrir el Tenedor, directa o indirectamente relacionados </w:t>
      </w:r>
      <w:r w:rsidR="004F3995">
        <w:rPr>
          <w:rFonts w:ascii="Times New Roman" w:eastAsia="Times New Roman" w:hAnsi="Times New Roman" w:cs="Times New Roman"/>
          <w:b/>
          <w:color w:val="000000"/>
          <w:position w:val="0"/>
          <w:lang w:eastAsia="es-ES"/>
        </w:rPr>
        <w:t xml:space="preserve">con </w:t>
      </w:r>
      <w:r w:rsidRPr="008421D6">
        <w:rPr>
          <w:rFonts w:ascii="Times New Roman" w:eastAsia="Times New Roman" w:hAnsi="Times New Roman" w:cs="Times New Roman"/>
          <w:b/>
          <w:color w:val="000000"/>
          <w:position w:val="0"/>
          <w:lang w:eastAsia="es-ES"/>
        </w:rPr>
        <w:t>la Manifestación del Consentimiento, la Solicitud de Consentimiento y la implementación de la Modificación Propuesta, según corresponda, cualesquiera fuere el origen de tales daños y perjuicios</w:t>
      </w:r>
      <w:r w:rsidR="004F3995">
        <w:rPr>
          <w:rFonts w:ascii="Times New Roman" w:eastAsia="Times New Roman" w:hAnsi="Times New Roman" w:cs="Times New Roman"/>
          <w:b/>
          <w:color w:val="000000"/>
          <w:position w:val="0"/>
          <w:lang w:eastAsia="es-ES"/>
        </w:rPr>
        <w:t>.</w:t>
      </w:r>
    </w:p>
    <w:p w14:paraId="23F41568" w14:textId="39743415" w:rsidR="00307836" w:rsidRPr="00930F48" w:rsidRDefault="00307836" w:rsidP="00E84642">
      <w:pPr>
        <w:spacing w:after="0" w:line="240" w:lineRule="auto"/>
        <w:ind w:left="-2" w:firstLineChars="0" w:firstLine="0"/>
        <w:jc w:val="both"/>
        <w:rPr>
          <w:rFonts w:ascii="Times New Roman" w:eastAsia="Times New Roman" w:hAnsi="Times New Roman" w:cs="Times New Roman"/>
        </w:rPr>
      </w:pPr>
    </w:p>
    <w:p w14:paraId="54C3857D" w14:textId="06496160" w:rsidR="00E93799" w:rsidRPr="00930F48" w:rsidRDefault="00F906C6" w:rsidP="00E623E1">
      <w:pPr>
        <w:spacing w:after="0" w:line="240" w:lineRule="auto"/>
        <w:ind w:left="-2" w:firstLineChars="0" w:firstLine="0"/>
        <w:jc w:val="both"/>
        <w:rPr>
          <w:rFonts w:ascii="Times New Roman" w:eastAsia="Times New Roman" w:hAnsi="Times New Roman" w:cs="Times New Roman"/>
        </w:rPr>
      </w:pPr>
      <w:r w:rsidRPr="00930F48">
        <w:rPr>
          <w:rFonts w:ascii="Times New Roman" w:eastAsia="Times New Roman" w:hAnsi="Times New Roman" w:cs="Times New Roman"/>
        </w:rPr>
        <w:t>Los Tenedores que deseen remitir a la Sociedad sus Manifestaciones de Consentimiento podrán hacerlo a partir de la fecha del presente, y hasta la Fecha</w:t>
      </w:r>
      <w:r w:rsidR="0011729A">
        <w:rPr>
          <w:rFonts w:ascii="Times New Roman" w:eastAsia="Times New Roman" w:hAnsi="Times New Roman" w:cs="Times New Roman"/>
        </w:rPr>
        <w:t xml:space="preserve"> Límite, a través de cualquiera de las siguientes alternativas: (i) el envío de la Manifestación de Consentimiento firmada a la Sociedad, en soporte papel, al domicilio de </w:t>
      </w:r>
      <w:r w:rsidR="0011729A" w:rsidRPr="0011729A">
        <w:rPr>
          <w:rFonts w:ascii="Times New Roman" w:eastAsia="Times New Roman" w:hAnsi="Times New Roman" w:cs="Times New Roman"/>
        </w:rPr>
        <w:t>Miñones 2177, planta baja “C”, (C1428ATG) Ciudad Autónoma de Buenos Aires, Argentina</w:t>
      </w:r>
      <w:r w:rsidR="0011729A">
        <w:rPr>
          <w:rFonts w:ascii="Times New Roman" w:eastAsia="Times New Roman" w:hAnsi="Times New Roman" w:cs="Times New Roman"/>
        </w:rPr>
        <w:t xml:space="preserve">; o (ii) el envío de la Manifestación de Consentimiento firmada a la Sociedad, en soporte digital, a la dirección de correo electrónico </w:t>
      </w:r>
      <w:r w:rsidR="00680FBA">
        <w:rPr>
          <w:rFonts w:ascii="Times New Roman" w:eastAsia="Times New Roman" w:hAnsi="Times New Roman" w:cs="Times New Roman"/>
        </w:rPr>
        <w:t>inversores@tglt.com</w:t>
      </w:r>
      <w:r w:rsidR="0011729A">
        <w:rPr>
          <w:rFonts w:ascii="Times New Roman" w:eastAsia="Times New Roman" w:hAnsi="Times New Roman" w:cs="Times New Roman"/>
        </w:rPr>
        <w:t xml:space="preserve">; o (iii) el </w:t>
      </w:r>
      <w:r w:rsidR="0011729A">
        <w:rPr>
          <w:rFonts w:ascii="Times New Roman" w:eastAsia="Times New Roman" w:hAnsi="Times New Roman" w:cs="Times New Roman"/>
        </w:rPr>
        <w:lastRenderedPageBreak/>
        <w:t>envío de la Manifestación de Consentimiento a la Sociedad, en soporte digital, a través del agente de negociación o liquidación del Tenedor</w:t>
      </w:r>
      <w:r w:rsidR="00100E44">
        <w:rPr>
          <w:rFonts w:ascii="Times New Roman" w:eastAsia="Times New Roman" w:hAnsi="Times New Roman" w:cs="Times New Roman"/>
        </w:rPr>
        <w:t>.</w:t>
      </w:r>
    </w:p>
    <w:p w14:paraId="481FAE63" w14:textId="77777777" w:rsidR="00E93799" w:rsidRPr="00930F48" w:rsidRDefault="00E93799" w:rsidP="00E623E1">
      <w:pPr>
        <w:spacing w:after="0" w:line="240" w:lineRule="auto"/>
        <w:ind w:left="-2" w:firstLineChars="0" w:firstLine="0"/>
        <w:jc w:val="both"/>
        <w:rPr>
          <w:rFonts w:ascii="Times New Roman" w:eastAsia="Times New Roman" w:hAnsi="Times New Roman" w:cs="Times New Roman"/>
        </w:rPr>
      </w:pPr>
    </w:p>
    <w:p w14:paraId="6CA92EDF" w14:textId="3CFFDF9A" w:rsidR="00F906C6" w:rsidRPr="00930F48" w:rsidRDefault="00BC164A" w:rsidP="00E623E1">
      <w:pPr>
        <w:spacing w:after="0" w:line="240" w:lineRule="auto"/>
        <w:ind w:left="-2" w:firstLineChars="0" w:firstLine="0"/>
        <w:jc w:val="both"/>
        <w:rPr>
          <w:rFonts w:ascii="Times New Roman" w:eastAsia="Times New Roman" w:hAnsi="Times New Roman" w:cs="Times New Roman"/>
        </w:rPr>
      </w:pPr>
      <w:r w:rsidRPr="00930F48">
        <w:rPr>
          <w:rFonts w:ascii="Times New Roman" w:eastAsia="Times New Roman" w:hAnsi="Times New Roman" w:cs="Times New Roman"/>
        </w:rPr>
        <w:t>Las Manifestaciones de Consentimiento serán irrevocables luego de efectuadas, no p</w:t>
      </w:r>
      <w:r w:rsidR="00555D8E">
        <w:rPr>
          <w:rFonts w:ascii="Times New Roman" w:eastAsia="Times New Roman" w:hAnsi="Times New Roman" w:cs="Times New Roman"/>
        </w:rPr>
        <w:t>udiendo revocarse ni retirarse</w:t>
      </w:r>
      <w:r w:rsidRPr="00930F48">
        <w:rPr>
          <w:rFonts w:ascii="Times New Roman" w:eastAsia="Times New Roman" w:hAnsi="Times New Roman" w:cs="Times New Roman"/>
        </w:rPr>
        <w:t xml:space="preserve"> </w:t>
      </w:r>
      <w:r w:rsidR="00EA2987">
        <w:rPr>
          <w:rFonts w:ascii="Times New Roman" w:eastAsia="Times New Roman" w:hAnsi="Times New Roman" w:cs="Times New Roman"/>
        </w:rPr>
        <w:t>con posterioridad a</w:t>
      </w:r>
      <w:r w:rsidR="00555D8E">
        <w:rPr>
          <w:rFonts w:ascii="Times New Roman" w:eastAsia="Times New Roman" w:hAnsi="Times New Roman" w:cs="Times New Roman"/>
        </w:rPr>
        <w:t xml:space="preserve"> su presentación</w:t>
      </w:r>
      <w:r w:rsidRPr="00930F48">
        <w:rPr>
          <w:rFonts w:ascii="Times New Roman" w:eastAsia="Times New Roman" w:hAnsi="Times New Roman" w:cs="Times New Roman"/>
        </w:rPr>
        <w:t>, y deberán presentarse antes</w:t>
      </w:r>
      <w:r w:rsidR="00E93799" w:rsidRPr="00930F48">
        <w:rPr>
          <w:rFonts w:ascii="Times New Roman" w:eastAsia="Times New Roman" w:hAnsi="Times New Roman" w:cs="Times New Roman"/>
        </w:rPr>
        <w:t xml:space="preserve"> de,</w:t>
      </w:r>
      <w:r w:rsidRPr="00930F48">
        <w:rPr>
          <w:rFonts w:ascii="Times New Roman" w:eastAsia="Times New Roman" w:hAnsi="Times New Roman" w:cs="Times New Roman"/>
        </w:rPr>
        <w:t xml:space="preserve"> </w:t>
      </w:r>
      <w:r w:rsidR="00E93799" w:rsidRPr="00930F48">
        <w:rPr>
          <w:rFonts w:ascii="Times New Roman" w:eastAsia="Times New Roman" w:hAnsi="Times New Roman" w:cs="Times New Roman"/>
        </w:rPr>
        <w:t xml:space="preserve">o en, </w:t>
      </w:r>
      <w:r w:rsidRPr="00930F48">
        <w:rPr>
          <w:rFonts w:ascii="Times New Roman" w:eastAsia="Times New Roman" w:hAnsi="Times New Roman" w:cs="Times New Roman"/>
        </w:rPr>
        <w:t xml:space="preserve">la Fecha Límite. La Sociedad determinará todas las cuestiones </w:t>
      </w:r>
      <w:r w:rsidR="00E93799" w:rsidRPr="00930F48">
        <w:rPr>
          <w:rFonts w:ascii="Times New Roman" w:eastAsia="Times New Roman" w:hAnsi="Times New Roman" w:cs="Times New Roman"/>
        </w:rPr>
        <w:t>relativas</w:t>
      </w:r>
      <w:r w:rsidRPr="00930F48">
        <w:rPr>
          <w:rFonts w:ascii="Times New Roman" w:eastAsia="Times New Roman" w:hAnsi="Times New Roman" w:cs="Times New Roman"/>
        </w:rPr>
        <w:t xml:space="preserve"> a la validez, forma, fecha de recepción y recaudos formales de las Manifestaciones de Consentimiento y </w:t>
      </w:r>
      <w:r w:rsidR="00555D8E">
        <w:rPr>
          <w:rFonts w:ascii="Times New Roman" w:eastAsia="Times New Roman" w:hAnsi="Times New Roman" w:cs="Times New Roman"/>
        </w:rPr>
        <w:t>de la obtención</w:t>
      </w:r>
      <w:r w:rsidRPr="00930F48">
        <w:rPr>
          <w:rFonts w:ascii="Times New Roman" w:eastAsia="Times New Roman" w:hAnsi="Times New Roman" w:cs="Times New Roman"/>
        </w:rPr>
        <w:t xml:space="preserve"> de la Mayoría Necesaria. La interpretación de la presente Solicitud de Consentimiento</w:t>
      </w:r>
      <w:r w:rsidR="005A1147" w:rsidRPr="00930F48">
        <w:rPr>
          <w:rFonts w:ascii="Times New Roman" w:eastAsia="Times New Roman" w:hAnsi="Times New Roman" w:cs="Times New Roman"/>
        </w:rPr>
        <w:t xml:space="preserve"> y de la Manifestación de Consentimiento será efectuada por la Sociedad y tendrá carácter definitivo y concluyente, sin que ésta esté obligada a notificar cualquier irregularidad en las presentaciones efectuadas por los Tenedores o sus agentes.</w:t>
      </w:r>
    </w:p>
    <w:p w14:paraId="05079B79" w14:textId="0FE41873" w:rsidR="00E93799" w:rsidRPr="00930F48" w:rsidRDefault="00E93799" w:rsidP="00E623E1">
      <w:pPr>
        <w:spacing w:after="0" w:line="240" w:lineRule="auto"/>
        <w:ind w:left="-2" w:firstLineChars="0" w:firstLine="0"/>
        <w:jc w:val="both"/>
        <w:rPr>
          <w:rFonts w:ascii="Times New Roman" w:eastAsia="Times New Roman" w:hAnsi="Times New Roman" w:cs="Times New Roman"/>
        </w:rPr>
      </w:pPr>
    </w:p>
    <w:p w14:paraId="00000011" w14:textId="56DBDB83" w:rsidR="00BB4838" w:rsidRPr="00930F48" w:rsidRDefault="00D106B9" w:rsidP="00E623E1">
      <w:pPr>
        <w:spacing w:after="0" w:line="240" w:lineRule="auto"/>
        <w:ind w:left="-2" w:firstLineChars="0" w:firstLine="0"/>
        <w:jc w:val="both"/>
        <w:rPr>
          <w:rFonts w:ascii="Times New Roman" w:eastAsia="Times New Roman" w:hAnsi="Times New Roman" w:cs="Times New Roman"/>
        </w:rPr>
      </w:pPr>
      <w:r>
        <w:rPr>
          <w:rFonts w:ascii="Times New Roman" w:eastAsia="Times New Roman" w:hAnsi="Times New Roman" w:cs="Times New Roman"/>
        </w:rPr>
        <w:t>S</w:t>
      </w:r>
      <w:r w:rsidR="00F77139" w:rsidRPr="00930F48">
        <w:rPr>
          <w:rFonts w:ascii="Times New Roman" w:eastAsia="Times New Roman" w:hAnsi="Times New Roman" w:cs="Times New Roman"/>
        </w:rPr>
        <w:t xml:space="preserve">e pone en conocimiento del público inversor que, </w:t>
      </w:r>
      <w:r w:rsidR="00200CB4" w:rsidRPr="00930F48">
        <w:rPr>
          <w:rFonts w:ascii="Times New Roman" w:eastAsia="Times New Roman" w:hAnsi="Times New Roman" w:cs="Times New Roman"/>
        </w:rPr>
        <w:t>en caso que la Sociedad obtenga la</w:t>
      </w:r>
      <w:r w:rsidR="00302D17" w:rsidRPr="00930F48">
        <w:rPr>
          <w:rFonts w:ascii="Times New Roman" w:eastAsia="Times New Roman" w:hAnsi="Times New Roman" w:cs="Times New Roman"/>
        </w:rPr>
        <w:t xml:space="preserve"> Mayoría Necesaria</w:t>
      </w:r>
      <w:r w:rsidR="00200CB4" w:rsidRPr="00930F48">
        <w:rPr>
          <w:rFonts w:ascii="Times New Roman" w:eastAsia="Times New Roman" w:hAnsi="Times New Roman" w:cs="Times New Roman"/>
        </w:rPr>
        <w:t xml:space="preserve">, la Modificación Propuesta será concluyente y obligatoria para todos los Tenedores, hayan efectuado la Manifestación de Consentimiento o no, y también lo será para todos los futuros tenedores de dichas Obligaciones Negociables. En este caso, la Modificación Propuesta se instrumentará mediante </w:t>
      </w:r>
      <w:r w:rsidR="00200CB4" w:rsidRPr="00930F48">
        <w:rPr>
          <w:rFonts w:ascii="Times New Roman" w:eastAsia="Times New Roman" w:hAnsi="Times New Roman" w:cs="Times New Roman"/>
          <w:b/>
        </w:rPr>
        <w:t>(a)</w:t>
      </w:r>
      <w:r w:rsidR="00200CB4" w:rsidRPr="00930F48">
        <w:rPr>
          <w:rFonts w:ascii="Times New Roman" w:eastAsia="Times New Roman" w:hAnsi="Times New Roman" w:cs="Times New Roman"/>
        </w:rPr>
        <w:t xml:space="preserve"> la publicación de una adenda al Suplemento de Prospecto en: (i) los sistemas de información de los mercados en donde se haya solicitado el listado y/o negociación de las Obligaciones Negociables; (ii) la página web de la CNV; y (iii) en la página web del MAE; y </w:t>
      </w:r>
      <w:r w:rsidR="00200CB4" w:rsidRPr="00930F48">
        <w:rPr>
          <w:rFonts w:ascii="Times New Roman" w:eastAsia="Times New Roman" w:hAnsi="Times New Roman" w:cs="Times New Roman"/>
          <w:b/>
        </w:rPr>
        <w:t>(b)</w:t>
      </w:r>
      <w:r w:rsidR="00200CB4" w:rsidRPr="00930F48">
        <w:rPr>
          <w:rFonts w:ascii="Times New Roman" w:eastAsia="Times New Roman" w:hAnsi="Times New Roman" w:cs="Times New Roman"/>
        </w:rPr>
        <w:t xml:space="preserve"> el reemplazo de los certificados globales correspondientes a las Obligaciones Negociables que se encuentran depositados en Caja de Valores S.A.</w:t>
      </w:r>
    </w:p>
    <w:p w14:paraId="4120C76C" w14:textId="218F51D4" w:rsidR="005E0734" w:rsidRPr="00930F48" w:rsidRDefault="005E0734" w:rsidP="00E623E1">
      <w:pPr>
        <w:spacing w:after="0" w:line="240" w:lineRule="auto"/>
        <w:ind w:left="-2" w:firstLineChars="0" w:firstLine="0"/>
        <w:jc w:val="both"/>
        <w:rPr>
          <w:rFonts w:ascii="Times New Roman" w:eastAsia="Times New Roman" w:hAnsi="Times New Roman" w:cs="Times New Roman"/>
        </w:rPr>
      </w:pPr>
    </w:p>
    <w:p w14:paraId="1242F275" w14:textId="510CD110" w:rsidR="005E0734" w:rsidRDefault="00D106B9" w:rsidP="00E623E1">
      <w:pPr>
        <w:spacing w:after="0" w:line="240" w:lineRule="auto"/>
        <w:ind w:left="-2" w:firstLineChars="0" w:firstLine="0"/>
        <w:jc w:val="both"/>
        <w:rPr>
          <w:rFonts w:ascii="Times New Roman" w:eastAsia="Times New Roman" w:hAnsi="Times New Roman" w:cs="Times New Roman"/>
        </w:rPr>
      </w:pPr>
      <w:r w:rsidRPr="00D106B9">
        <w:rPr>
          <w:rFonts w:ascii="Times New Roman" w:eastAsia="Times New Roman" w:hAnsi="Times New Roman" w:cs="Times New Roman"/>
        </w:rPr>
        <w:t xml:space="preserve">Por último, </w:t>
      </w:r>
      <w:r>
        <w:rPr>
          <w:rFonts w:ascii="Times New Roman" w:eastAsia="Times New Roman" w:hAnsi="Times New Roman" w:cs="Times New Roman"/>
        </w:rPr>
        <w:t>se informa que l</w:t>
      </w:r>
      <w:r w:rsidR="005E0734" w:rsidRPr="00930F48">
        <w:rPr>
          <w:rFonts w:ascii="Times New Roman" w:eastAsia="Times New Roman" w:hAnsi="Times New Roman" w:cs="Times New Roman"/>
        </w:rPr>
        <w:t xml:space="preserve">a Sociedad ha designado como su asesor financiero en relación con la Solicitud de Consentimiento a </w:t>
      </w:r>
      <w:r w:rsidR="00DA126F">
        <w:rPr>
          <w:rFonts w:ascii="Times New Roman" w:eastAsia="Times New Roman" w:hAnsi="Times New Roman" w:cs="Times New Roman"/>
        </w:rPr>
        <w:t xml:space="preserve">Finanzas </w:t>
      </w:r>
      <w:r w:rsidR="00FB561F">
        <w:rPr>
          <w:rFonts w:ascii="Times New Roman" w:eastAsia="Times New Roman" w:hAnsi="Times New Roman" w:cs="Times New Roman"/>
        </w:rPr>
        <w:t>&amp;</w:t>
      </w:r>
      <w:r w:rsidR="00DA126F">
        <w:rPr>
          <w:rFonts w:ascii="Times New Roman" w:eastAsia="Times New Roman" w:hAnsi="Times New Roman" w:cs="Times New Roman"/>
        </w:rPr>
        <w:t xml:space="preserve"> Gestión S.A</w:t>
      </w:r>
      <w:r w:rsidR="00930F48">
        <w:rPr>
          <w:rFonts w:ascii="Times New Roman" w:eastAsia="Times New Roman" w:hAnsi="Times New Roman" w:cs="Times New Roman"/>
        </w:rPr>
        <w:t>.</w:t>
      </w:r>
      <w:r w:rsidR="00EB5996">
        <w:rPr>
          <w:rFonts w:ascii="Times New Roman" w:eastAsia="Times New Roman" w:hAnsi="Times New Roman" w:cs="Times New Roman"/>
        </w:rPr>
        <w:t xml:space="preserve">, </w:t>
      </w:r>
      <w:r w:rsidR="00EB5996" w:rsidRPr="00EB5996">
        <w:rPr>
          <w:rFonts w:ascii="Times New Roman" w:eastAsia="Times New Roman" w:hAnsi="Times New Roman" w:cs="Times New Roman"/>
        </w:rPr>
        <w:t>Av. del Libertador 602, Ciudad Autónoma de Buenos</w:t>
      </w:r>
      <w:r w:rsidR="00680FBA">
        <w:rPr>
          <w:rFonts w:ascii="Times New Roman" w:eastAsia="Times New Roman" w:hAnsi="Times New Roman" w:cs="Times New Roman"/>
        </w:rPr>
        <w:t xml:space="preserve"> Aires, Argentina</w:t>
      </w:r>
      <w:r w:rsidR="00EB5996">
        <w:rPr>
          <w:rFonts w:ascii="Times New Roman" w:eastAsia="Times New Roman" w:hAnsi="Times New Roman" w:cs="Times New Roman"/>
        </w:rPr>
        <w:t>.</w:t>
      </w:r>
    </w:p>
    <w:p w14:paraId="57CC991F" w14:textId="5F1B0F74" w:rsidR="00302D17" w:rsidRPr="00930F48" w:rsidRDefault="00302D17" w:rsidP="001F6574">
      <w:pPr>
        <w:spacing w:after="0" w:line="240" w:lineRule="auto"/>
        <w:ind w:leftChars="0" w:left="0" w:firstLineChars="0" w:firstLine="0"/>
        <w:jc w:val="both"/>
        <w:rPr>
          <w:rFonts w:ascii="Times New Roman" w:eastAsia="Times New Roman" w:hAnsi="Times New Roman" w:cs="Times New Roman"/>
        </w:rPr>
      </w:pPr>
    </w:p>
    <w:p w14:paraId="00000012" w14:textId="77777777" w:rsidR="00BB4838" w:rsidRPr="00930F48" w:rsidRDefault="00200CB4" w:rsidP="00E623E1">
      <w:pPr>
        <w:spacing w:after="0" w:line="240" w:lineRule="auto"/>
        <w:ind w:left="-2" w:firstLineChars="0" w:firstLine="0"/>
        <w:jc w:val="both"/>
        <w:rPr>
          <w:rFonts w:ascii="Times New Roman" w:eastAsia="Times New Roman" w:hAnsi="Times New Roman" w:cs="Times New Roman"/>
        </w:rPr>
      </w:pPr>
      <w:r w:rsidRPr="00930F48">
        <w:rPr>
          <w:rFonts w:ascii="Times New Roman" w:eastAsia="Times New Roman" w:hAnsi="Times New Roman" w:cs="Times New Roman"/>
        </w:rPr>
        <w:t>Sin otro particular, saludo a Uds. muy atentamente.</w:t>
      </w:r>
    </w:p>
    <w:p w14:paraId="00000013" w14:textId="77777777" w:rsidR="00BB4838" w:rsidRPr="00930F48" w:rsidRDefault="00BB4838" w:rsidP="00E623E1">
      <w:pPr>
        <w:spacing w:after="0" w:line="240" w:lineRule="auto"/>
        <w:ind w:left="-2" w:firstLineChars="0" w:firstLine="0"/>
        <w:jc w:val="both"/>
        <w:rPr>
          <w:rFonts w:ascii="Times New Roman" w:eastAsia="Times New Roman" w:hAnsi="Times New Roman" w:cs="Times New Roman"/>
        </w:rPr>
      </w:pPr>
    </w:p>
    <w:p w14:paraId="00000014" w14:textId="77777777" w:rsidR="00BB4838" w:rsidRPr="00930F48" w:rsidRDefault="00BB4838" w:rsidP="00E623E1">
      <w:pPr>
        <w:spacing w:after="0" w:line="240" w:lineRule="auto"/>
        <w:ind w:left="-2" w:firstLineChars="0" w:firstLine="0"/>
        <w:jc w:val="both"/>
        <w:rPr>
          <w:rFonts w:ascii="Times New Roman" w:eastAsia="Times New Roman" w:hAnsi="Times New Roman" w:cs="Times New Roman"/>
        </w:rPr>
      </w:pPr>
    </w:p>
    <w:p w14:paraId="00000015" w14:textId="77777777" w:rsidR="00BB4838" w:rsidRPr="00930F48" w:rsidRDefault="00BB4838" w:rsidP="00E623E1">
      <w:pPr>
        <w:spacing w:after="0" w:line="240" w:lineRule="auto"/>
        <w:ind w:left="-2" w:firstLineChars="0" w:firstLine="0"/>
        <w:jc w:val="both"/>
        <w:rPr>
          <w:rFonts w:ascii="Times New Roman" w:eastAsia="Times New Roman" w:hAnsi="Times New Roman" w:cs="Times New Roman"/>
        </w:rPr>
      </w:pPr>
    </w:p>
    <w:p w14:paraId="00000016" w14:textId="77777777" w:rsidR="00BB4838" w:rsidRPr="00930F48" w:rsidRDefault="00200CB4" w:rsidP="00E623E1">
      <w:pPr>
        <w:spacing w:after="0" w:line="240" w:lineRule="auto"/>
        <w:ind w:left="-2" w:firstLineChars="0" w:firstLine="0"/>
        <w:jc w:val="both"/>
        <w:rPr>
          <w:rFonts w:ascii="Times New Roman" w:eastAsia="Times New Roman" w:hAnsi="Times New Roman" w:cs="Times New Roman"/>
        </w:rPr>
      </w:pPr>
      <w:r w:rsidRPr="00930F48">
        <w:rPr>
          <w:rFonts w:ascii="Times New Roman" w:eastAsia="Times New Roman" w:hAnsi="Times New Roman" w:cs="Times New Roman"/>
        </w:rPr>
        <w:t>___________________________</w:t>
      </w:r>
    </w:p>
    <w:p w14:paraId="00000017" w14:textId="2516BFDB" w:rsidR="00BB4838" w:rsidRPr="00930F48" w:rsidRDefault="00680FBA" w:rsidP="00E623E1">
      <w:pPr>
        <w:keepNext/>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José M. Krasñansky</w:t>
      </w:r>
    </w:p>
    <w:p w14:paraId="00000018" w14:textId="77777777" w:rsidR="00BB4838" w:rsidRPr="00930F48" w:rsidRDefault="00200CB4" w:rsidP="00E623E1">
      <w:pPr>
        <w:keepNext/>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rPr>
      </w:pPr>
      <w:r w:rsidRPr="00930F48">
        <w:rPr>
          <w:rFonts w:ascii="Times New Roman" w:eastAsia="Times New Roman" w:hAnsi="Times New Roman" w:cs="Times New Roman"/>
          <w:color w:val="000000"/>
        </w:rPr>
        <w:t>Responsable de Relaciones con el Mercado</w:t>
      </w:r>
    </w:p>
    <w:p w14:paraId="00000019" w14:textId="77777777" w:rsidR="00BB4838" w:rsidRPr="00930F48" w:rsidRDefault="00200CB4" w:rsidP="00E623E1">
      <w:pPr>
        <w:spacing w:after="0" w:line="240" w:lineRule="auto"/>
        <w:ind w:left="-2" w:firstLineChars="0" w:firstLine="0"/>
        <w:jc w:val="both"/>
        <w:rPr>
          <w:rFonts w:ascii="Times New Roman" w:eastAsia="Times New Roman" w:hAnsi="Times New Roman" w:cs="Times New Roman"/>
        </w:rPr>
      </w:pPr>
      <w:r w:rsidRPr="00930F48">
        <w:rPr>
          <w:rFonts w:ascii="Times New Roman" w:eastAsia="Times New Roman" w:hAnsi="Times New Roman" w:cs="Times New Roman"/>
          <w:b/>
        </w:rPr>
        <w:t>TGLT S.A.</w:t>
      </w:r>
    </w:p>
    <w:p w14:paraId="0000001A" w14:textId="77777777" w:rsidR="00BB4838" w:rsidRPr="00930F48" w:rsidRDefault="00200CB4" w:rsidP="00E623E1">
      <w:pPr>
        <w:keepNext/>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b/>
          <w:color w:val="000000"/>
        </w:rPr>
      </w:pPr>
      <w:r w:rsidRPr="00930F48">
        <w:rPr>
          <w:rFonts w:ascii="Times New Roman" w:eastAsia="Times New Roman" w:hAnsi="Times New Roman" w:cs="Times New Roman"/>
          <w:b/>
          <w:color w:val="000000"/>
        </w:rPr>
        <w:t xml:space="preserve"> </w:t>
      </w:r>
    </w:p>
    <w:p w14:paraId="0000001B" w14:textId="77777777" w:rsidR="00BB4838" w:rsidRPr="00930F48" w:rsidRDefault="00BB4838" w:rsidP="00E623E1">
      <w:pPr>
        <w:keepNext/>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b/>
          <w:color w:val="000000"/>
        </w:rPr>
      </w:pPr>
    </w:p>
    <w:p w14:paraId="0000001C" w14:textId="77777777" w:rsidR="00BB4838" w:rsidRPr="00930F48" w:rsidRDefault="00430E7A" w:rsidP="00E623E1">
      <w:pPr>
        <w:spacing w:after="0" w:line="240" w:lineRule="auto"/>
        <w:ind w:left="-2" w:firstLineChars="0" w:firstLine="0"/>
        <w:jc w:val="both"/>
        <w:rPr>
          <w:rFonts w:ascii="Times New Roman" w:hAnsi="Times New Roman" w:cs="Times New Roman"/>
        </w:rPr>
      </w:pPr>
      <w:r>
        <w:rPr>
          <w:rFonts w:ascii="Times New Roman" w:hAnsi="Times New Roman" w:cs="Times New Roman"/>
        </w:rPr>
        <w:object w:dxaOrig="1543" w:dyaOrig="991" w14:anchorId="3FA03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49.5pt" o:ole="">
            <v:imagedata r:id="rId9" o:title=""/>
          </v:shape>
          <o:OLEObject Type="Embed" ProgID="AcroExch.Document.DC" ShapeID="_x0000_i1026" DrawAspect="Icon" ObjectID="_1681624672" r:id="rId10"/>
        </w:object>
      </w:r>
    </w:p>
    <w:p w14:paraId="0000001E" w14:textId="77777777" w:rsidR="00BB4838" w:rsidRPr="00930F48" w:rsidRDefault="00BB4838" w:rsidP="00E623E1">
      <w:pPr>
        <w:spacing w:after="0" w:line="240" w:lineRule="auto"/>
        <w:ind w:left="-2" w:firstLineChars="0" w:firstLine="0"/>
        <w:jc w:val="both"/>
        <w:rPr>
          <w:rFonts w:ascii="Times New Roman" w:eastAsia="Times New Roman" w:hAnsi="Times New Roman" w:cs="Times New Roman"/>
        </w:rPr>
      </w:pPr>
      <w:bookmarkStart w:id="0" w:name="_heading=h.gjdgxs" w:colFirst="0" w:colLast="0"/>
      <w:bookmarkStart w:id="1" w:name="_GoBack"/>
      <w:bookmarkEnd w:id="0"/>
      <w:bookmarkEnd w:id="1"/>
    </w:p>
    <w:sectPr w:rsidR="00BB4838" w:rsidRPr="00930F48">
      <w:headerReference w:type="default" r:id="rId11"/>
      <w:footerReference w:type="default" r:id="rId12"/>
      <w:pgSz w:w="11906" w:h="16838"/>
      <w:pgMar w:top="1134" w:right="1701" w:bottom="170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EB9EB" w14:textId="77777777" w:rsidR="00A72764" w:rsidRDefault="00A72764">
      <w:pPr>
        <w:spacing w:after="0" w:line="240" w:lineRule="auto"/>
        <w:ind w:left="0" w:hanging="2"/>
      </w:pPr>
      <w:r>
        <w:separator/>
      </w:r>
    </w:p>
  </w:endnote>
  <w:endnote w:type="continuationSeparator" w:id="0">
    <w:p w14:paraId="538F7C97" w14:textId="77777777" w:rsidR="00A72764" w:rsidRDefault="00A72764">
      <w:pPr>
        <w:spacing w:after="0" w:line="240" w:lineRule="auto"/>
        <w:ind w:left="0" w:hanging="2"/>
      </w:pPr>
      <w:r>
        <w:continuationSeparator/>
      </w:r>
    </w:p>
  </w:endnote>
  <w:endnote w:type="continuationNotice" w:id="1">
    <w:p w14:paraId="4B9CF257" w14:textId="77777777" w:rsidR="00A72764" w:rsidRDefault="00A72764">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8C921" w14:textId="77777777" w:rsidR="006D4CD9" w:rsidRDefault="006D4CD9">
    <w:pPr>
      <w:pStyle w:val="Piedep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EBA69" w14:textId="77777777" w:rsidR="00A72764" w:rsidRDefault="00A72764">
      <w:pPr>
        <w:spacing w:after="0" w:line="240" w:lineRule="auto"/>
        <w:ind w:left="0" w:hanging="2"/>
      </w:pPr>
      <w:r>
        <w:separator/>
      </w:r>
    </w:p>
  </w:footnote>
  <w:footnote w:type="continuationSeparator" w:id="0">
    <w:p w14:paraId="72B23B9E" w14:textId="77777777" w:rsidR="00A72764" w:rsidRDefault="00A72764">
      <w:pPr>
        <w:spacing w:after="0" w:line="240" w:lineRule="auto"/>
        <w:ind w:left="0" w:hanging="2"/>
      </w:pPr>
      <w:r>
        <w:continuationSeparator/>
      </w:r>
    </w:p>
  </w:footnote>
  <w:footnote w:type="continuationNotice" w:id="1">
    <w:p w14:paraId="0F486CDB" w14:textId="77777777" w:rsidR="00A72764" w:rsidRDefault="00A72764">
      <w:pPr>
        <w:spacing w:after="0" w:line="240" w:lineRule="auto"/>
        <w:ind w:left="0" w:hanging="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F" w14:textId="77777777" w:rsidR="00BB4838" w:rsidRDefault="00BB4838">
    <w:pPr>
      <w:pBdr>
        <w:top w:val="nil"/>
        <w:left w:val="nil"/>
        <w:bottom w:val="nil"/>
        <w:right w:val="nil"/>
        <w:between w:val="nil"/>
      </w:pBdr>
      <w:spacing w:after="0" w:line="240" w:lineRule="auto"/>
      <w:ind w:left="0" w:hanging="2"/>
      <w:rPr>
        <w:color w:val="000000"/>
      </w:rPr>
    </w:pPr>
  </w:p>
  <w:p w14:paraId="00000020" w14:textId="77777777" w:rsidR="00BB4838" w:rsidRDefault="00BB4838">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38"/>
    <w:rsid w:val="00011006"/>
    <w:rsid w:val="00022827"/>
    <w:rsid w:val="0008245D"/>
    <w:rsid w:val="00100E44"/>
    <w:rsid w:val="001141E7"/>
    <w:rsid w:val="0011729A"/>
    <w:rsid w:val="00126A54"/>
    <w:rsid w:val="001F6574"/>
    <w:rsid w:val="00200CB4"/>
    <w:rsid w:val="00223E01"/>
    <w:rsid w:val="00237DF2"/>
    <w:rsid w:val="00272F0C"/>
    <w:rsid w:val="00273F26"/>
    <w:rsid w:val="002936E1"/>
    <w:rsid w:val="00294E56"/>
    <w:rsid w:val="002F55BC"/>
    <w:rsid w:val="002F6BE9"/>
    <w:rsid w:val="00302D17"/>
    <w:rsid w:val="00304FFE"/>
    <w:rsid w:val="00307836"/>
    <w:rsid w:val="003D074D"/>
    <w:rsid w:val="004221A4"/>
    <w:rsid w:val="00430E7A"/>
    <w:rsid w:val="004E2059"/>
    <w:rsid w:val="004F3995"/>
    <w:rsid w:val="00525ACD"/>
    <w:rsid w:val="00555D8E"/>
    <w:rsid w:val="00563EF9"/>
    <w:rsid w:val="00580DE0"/>
    <w:rsid w:val="005A1147"/>
    <w:rsid w:val="005C388C"/>
    <w:rsid w:val="005E0734"/>
    <w:rsid w:val="00601C07"/>
    <w:rsid w:val="006525A6"/>
    <w:rsid w:val="00680FBA"/>
    <w:rsid w:val="0068636C"/>
    <w:rsid w:val="006B364A"/>
    <w:rsid w:val="006B6091"/>
    <w:rsid w:val="006D4CD9"/>
    <w:rsid w:val="00723B95"/>
    <w:rsid w:val="008175F0"/>
    <w:rsid w:val="00831398"/>
    <w:rsid w:val="00837B4F"/>
    <w:rsid w:val="008421D6"/>
    <w:rsid w:val="0085169E"/>
    <w:rsid w:val="00852739"/>
    <w:rsid w:val="00856C8A"/>
    <w:rsid w:val="00862CD5"/>
    <w:rsid w:val="00894158"/>
    <w:rsid w:val="008A7745"/>
    <w:rsid w:val="00920711"/>
    <w:rsid w:val="00930F48"/>
    <w:rsid w:val="00933E27"/>
    <w:rsid w:val="00934543"/>
    <w:rsid w:val="00976717"/>
    <w:rsid w:val="009C20EE"/>
    <w:rsid w:val="00A178F7"/>
    <w:rsid w:val="00A22099"/>
    <w:rsid w:val="00A52AE7"/>
    <w:rsid w:val="00A659E5"/>
    <w:rsid w:val="00A72764"/>
    <w:rsid w:val="00A94CB3"/>
    <w:rsid w:val="00AE279A"/>
    <w:rsid w:val="00AE6E38"/>
    <w:rsid w:val="00AF066D"/>
    <w:rsid w:val="00B1360B"/>
    <w:rsid w:val="00B759F7"/>
    <w:rsid w:val="00BA3F7D"/>
    <w:rsid w:val="00BB4838"/>
    <w:rsid w:val="00BC164A"/>
    <w:rsid w:val="00BD7771"/>
    <w:rsid w:val="00C05101"/>
    <w:rsid w:val="00C360CB"/>
    <w:rsid w:val="00D106B9"/>
    <w:rsid w:val="00D13DC1"/>
    <w:rsid w:val="00D241E9"/>
    <w:rsid w:val="00D65B2D"/>
    <w:rsid w:val="00D806DA"/>
    <w:rsid w:val="00DA126F"/>
    <w:rsid w:val="00DA35DF"/>
    <w:rsid w:val="00DE748C"/>
    <w:rsid w:val="00E2035E"/>
    <w:rsid w:val="00E5249D"/>
    <w:rsid w:val="00E56E7C"/>
    <w:rsid w:val="00E623E1"/>
    <w:rsid w:val="00E81F14"/>
    <w:rsid w:val="00E84642"/>
    <w:rsid w:val="00E93799"/>
    <w:rsid w:val="00E977CA"/>
    <w:rsid w:val="00EA2987"/>
    <w:rsid w:val="00EB1510"/>
    <w:rsid w:val="00EB4675"/>
    <w:rsid w:val="00EB5996"/>
    <w:rsid w:val="00EC071E"/>
    <w:rsid w:val="00ED2085"/>
    <w:rsid w:val="00ED2AE7"/>
    <w:rsid w:val="00EE2662"/>
    <w:rsid w:val="00EE39E3"/>
    <w:rsid w:val="00F076F2"/>
    <w:rsid w:val="00F23FF3"/>
    <w:rsid w:val="00F24DB4"/>
    <w:rsid w:val="00F57356"/>
    <w:rsid w:val="00F64915"/>
    <w:rsid w:val="00F654CD"/>
    <w:rsid w:val="00F77139"/>
    <w:rsid w:val="00F906C6"/>
    <w:rsid w:val="00FB561F"/>
    <w:rsid w:val="00FB73A2"/>
    <w:rsid w:val="00FD1D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ACC0"/>
  <w15:docId w15:val="{18539D27-948C-4826-9FD3-68D413B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qFormat/>
    <w:pPr>
      <w:keepNext/>
      <w:spacing w:after="0" w:line="240" w:lineRule="auto"/>
      <w:jc w:val="center"/>
      <w:outlineLvl w:val="2"/>
    </w:pPr>
    <w:rPr>
      <w:rFonts w:ascii="Book Antiqua" w:eastAsia="Times New Roman" w:hAnsi="Book Antiqua" w:cs="Times New Roman"/>
      <w:b/>
      <w:bCs/>
      <w:szCs w:val="24"/>
      <w:lang w:val="es-MX" w:eastAsia="es-ES"/>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Ttulo3Car">
    <w:name w:val="Título 3 Car"/>
    <w:rPr>
      <w:rFonts w:ascii="Book Antiqua" w:eastAsia="Times New Roman" w:hAnsi="Book Antiqua" w:cs="Times New Roman"/>
      <w:b/>
      <w:bCs/>
      <w:w w:val="100"/>
      <w:position w:val="-1"/>
      <w:szCs w:val="24"/>
      <w:effect w:val="none"/>
      <w:vertAlign w:val="baseline"/>
      <w:cs w:val="0"/>
      <w:em w:val="none"/>
      <w:lang w:val="es-MX" w:eastAsia="es-ES"/>
    </w:rPr>
  </w:style>
  <w:style w:type="character" w:customStyle="1" w:styleId="TextoindependienteCar">
    <w:name w:val="Texto independiente Car"/>
    <w:aliases w:val="Body Text Char Char Char Car"/>
    <w:rPr>
      <w:rFonts w:ascii="Book Antiqua" w:hAnsi="Book Antiqua"/>
      <w:w w:val="100"/>
      <w:position w:val="-1"/>
      <w:szCs w:val="24"/>
      <w:u w:val="single"/>
      <w:effect w:val="none"/>
      <w:vertAlign w:val="baseline"/>
      <w:cs w:val="0"/>
      <w:em w:val="none"/>
      <w:lang w:val="es-AR" w:eastAsia="es-ES"/>
    </w:rPr>
  </w:style>
  <w:style w:type="paragraph" w:customStyle="1" w:styleId="Textoindependiente1">
    <w:name w:val="Texto independiente1"/>
    <w:aliases w:val="Body Text Char Char Char"/>
    <w:basedOn w:val="Normal"/>
    <w:qFormat/>
    <w:pPr>
      <w:spacing w:after="0" w:line="240" w:lineRule="auto"/>
    </w:pPr>
    <w:rPr>
      <w:rFonts w:ascii="Book Antiqua" w:hAnsi="Book Antiqua"/>
      <w:szCs w:val="24"/>
      <w:u w:val="single"/>
      <w:lang w:val="es-AR" w:eastAsia="es-ES"/>
    </w:rPr>
  </w:style>
  <w:style w:type="character" w:customStyle="1" w:styleId="BodyTextChar1">
    <w:name w:val="Body Text Char1"/>
    <w:basedOn w:val="Fuentedeprrafopredeter"/>
    <w:rPr>
      <w:w w:val="100"/>
      <w:position w:val="-1"/>
      <w:effect w:val="none"/>
      <w:vertAlign w:val="baseline"/>
      <w:cs w:val="0"/>
      <w:em w:val="none"/>
    </w:rPr>
  </w:style>
  <w:style w:type="paragraph" w:styleId="Sangradetextonormal">
    <w:name w:val="Body Text Indent"/>
    <w:basedOn w:val="Normal"/>
    <w:qFormat/>
    <w:pPr>
      <w:spacing w:after="0" w:line="240" w:lineRule="auto"/>
      <w:ind w:left="4678" w:hanging="425"/>
      <w:jc w:val="both"/>
    </w:pPr>
    <w:rPr>
      <w:rFonts w:ascii="Times New Roman" w:eastAsia="Times New Roman" w:hAnsi="Times New Roman" w:cs="Times New Roman"/>
      <w:b/>
      <w:sz w:val="24"/>
      <w:szCs w:val="20"/>
      <w:lang w:val="es-AR" w:eastAsia="es-ES"/>
    </w:rPr>
  </w:style>
  <w:style w:type="character" w:customStyle="1" w:styleId="SangradetextonormalCar">
    <w:name w:val="Sangría de texto normal Car"/>
    <w:rPr>
      <w:rFonts w:ascii="Times New Roman" w:eastAsia="Times New Roman" w:hAnsi="Times New Roman" w:cs="Times New Roman"/>
      <w:b/>
      <w:w w:val="100"/>
      <w:position w:val="-1"/>
      <w:sz w:val="24"/>
      <w:szCs w:val="20"/>
      <w:effect w:val="none"/>
      <w:vertAlign w:val="baseline"/>
      <w:cs w:val="0"/>
      <w:em w:val="none"/>
      <w:lang w:val="es-AR" w:eastAsia="es-ES"/>
    </w:rPr>
  </w:style>
  <w:style w:type="paragraph" w:customStyle="1" w:styleId="BodyText21">
    <w:name w:val="Body Text 21"/>
    <w:basedOn w:val="Normal"/>
    <w:pPr>
      <w:spacing w:after="0" w:line="240" w:lineRule="auto"/>
    </w:pPr>
    <w:rPr>
      <w:rFonts w:ascii="Times New Roman" w:eastAsia="Times New Roman" w:hAnsi="Times New Roman" w:cs="Times New Roman"/>
      <w:sz w:val="24"/>
      <w:szCs w:val="20"/>
      <w:lang w:val="en-US" w:eastAsia="es-ES"/>
    </w:rPr>
  </w:style>
  <w:style w:type="paragraph" w:styleId="Prrafodelista">
    <w:name w:val="List Paragraph"/>
    <w:basedOn w:val="Normal"/>
    <w:pPr>
      <w:ind w:left="720"/>
      <w:contextualSpacing/>
    </w:pPr>
  </w:style>
  <w:style w:type="paragraph" w:styleId="NormalWeb">
    <w:name w:val="Normal (Web)"/>
    <w:basedOn w:val="Normal"/>
    <w:qFormat/>
    <w:rPr>
      <w:rFonts w:ascii="Times New Roman" w:hAnsi="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AE27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279A"/>
    <w:rPr>
      <w:position w:val="-1"/>
      <w:sz w:val="20"/>
      <w:szCs w:val="20"/>
      <w:lang w:eastAsia="en-US"/>
    </w:rPr>
  </w:style>
  <w:style w:type="character" w:styleId="Refdenotaalpie">
    <w:name w:val="footnote reference"/>
    <w:basedOn w:val="Fuentedeprrafopredeter"/>
    <w:uiPriority w:val="99"/>
    <w:semiHidden/>
    <w:unhideWhenUsed/>
    <w:rsid w:val="00AE279A"/>
    <w:rPr>
      <w:vertAlign w:val="superscript"/>
    </w:rPr>
  </w:style>
  <w:style w:type="character" w:styleId="Hipervnculo">
    <w:name w:val="Hyperlink"/>
    <w:basedOn w:val="Fuentedeprrafopredeter"/>
    <w:uiPriority w:val="99"/>
    <w:unhideWhenUsed/>
    <w:rsid w:val="00EE39E3"/>
    <w:rPr>
      <w:color w:val="0000FF" w:themeColor="hyperlink"/>
      <w:u w:val="single"/>
    </w:rPr>
  </w:style>
  <w:style w:type="paragraph" w:customStyle="1" w:styleId="BHTexto">
    <w:name w:val="BH Texto"/>
    <w:basedOn w:val="Normal"/>
    <w:link w:val="BHTextoCar"/>
    <w:qFormat/>
    <w:rsid w:val="00294E56"/>
    <w:pPr>
      <w:suppressAutoHyphens w:val="0"/>
      <w:autoSpaceDE w:val="0"/>
      <w:autoSpaceDN w:val="0"/>
      <w:adjustRightInd w:val="0"/>
      <w:spacing w:before="120" w:after="120" w:line="240" w:lineRule="auto"/>
      <w:ind w:leftChars="0" w:left="0" w:firstLineChars="0" w:firstLine="0"/>
      <w:jc w:val="both"/>
      <w:textDirection w:val="lrTb"/>
      <w:textAlignment w:val="auto"/>
      <w:outlineLvl w:val="9"/>
    </w:pPr>
    <w:rPr>
      <w:rFonts w:ascii="Times New Roman" w:hAnsi="Times New Roman" w:cs="Times New Roman"/>
      <w:position w:val="0"/>
      <w:sz w:val="20"/>
      <w:szCs w:val="20"/>
      <w:lang w:eastAsia="x-none"/>
    </w:rPr>
  </w:style>
  <w:style w:type="character" w:customStyle="1" w:styleId="BHTextoCar">
    <w:name w:val="BH Texto Car"/>
    <w:link w:val="BHTexto"/>
    <w:rsid w:val="00294E56"/>
    <w:rPr>
      <w:rFonts w:ascii="Times New Roman" w:hAnsi="Times New Roman"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0116">
      <w:bodyDiv w:val="1"/>
      <w:marLeft w:val="0"/>
      <w:marRight w:val="0"/>
      <w:marTop w:val="0"/>
      <w:marBottom w:val="0"/>
      <w:divBdr>
        <w:top w:val="none" w:sz="0" w:space="0" w:color="auto"/>
        <w:left w:val="none" w:sz="0" w:space="0" w:color="auto"/>
        <w:bottom w:val="none" w:sz="0" w:space="0" w:color="auto"/>
        <w:right w:val="none" w:sz="0" w:space="0" w:color="auto"/>
      </w:divBdr>
    </w:div>
    <w:div w:id="124584372">
      <w:bodyDiv w:val="1"/>
      <w:marLeft w:val="0"/>
      <w:marRight w:val="0"/>
      <w:marTop w:val="0"/>
      <w:marBottom w:val="0"/>
      <w:divBdr>
        <w:top w:val="none" w:sz="0" w:space="0" w:color="auto"/>
        <w:left w:val="none" w:sz="0" w:space="0" w:color="auto"/>
        <w:bottom w:val="none" w:sz="0" w:space="0" w:color="auto"/>
        <w:right w:val="none" w:sz="0" w:space="0" w:color="auto"/>
      </w:divBdr>
    </w:div>
    <w:div w:id="1260526318">
      <w:bodyDiv w:val="1"/>
      <w:marLeft w:val="0"/>
      <w:marRight w:val="0"/>
      <w:marTop w:val="0"/>
      <w:marBottom w:val="0"/>
      <w:divBdr>
        <w:top w:val="none" w:sz="0" w:space="0" w:color="auto"/>
        <w:left w:val="none" w:sz="0" w:space="0" w:color="auto"/>
        <w:bottom w:val="none" w:sz="0" w:space="0" w:color="auto"/>
        <w:right w:val="none" w:sz="0" w:space="0" w:color="auto"/>
      </w:divBdr>
    </w:div>
    <w:div w:id="1619491115">
      <w:bodyDiv w:val="1"/>
      <w:marLeft w:val="0"/>
      <w:marRight w:val="0"/>
      <w:marTop w:val="0"/>
      <w:marBottom w:val="0"/>
      <w:divBdr>
        <w:top w:val="none" w:sz="0" w:space="0" w:color="auto"/>
        <w:left w:val="none" w:sz="0" w:space="0" w:color="auto"/>
        <w:bottom w:val="none" w:sz="0" w:space="0" w:color="auto"/>
        <w:right w:val="none" w:sz="0" w:space="0" w:color="auto"/>
      </w:divBdr>
    </w:div>
    <w:div w:id="1634795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i.tgl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6/5vwxk4JJHlfdyZT9LZnRX9qQ==">AMUW2mXvS8zi40O1qq/W9x5pJHjrFzTLe0zwCwh3/xbSKLbtIR3+ARVxU+9GbPqrmazqFcR1Obk09+OzDcn+KI5IfRIt0GWv3wemI52+E9/T/Y6lI29zWMxYj7iXev4kPsfvNSeswGlR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A15071-59D9-4A40-8B58-2A33B3CC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2142</Words>
  <Characters>11781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Vega Olmos</dc:creator>
  <cp:lastModifiedBy>Jose Maria Krasnansky Simari</cp:lastModifiedBy>
  <cp:revision>4</cp:revision>
  <dcterms:created xsi:type="dcterms:W3CDTF">2021-05-03T21:24:00Z</dcterms:created>
  <dcterms:modified xsi:type="dcterms:W3CDTF">2021-05-04T12:11:00Z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0x010100501D19C8CAA1EF4583F5726C0B720D6C</vt:lpwstr>
  </property>
</Properties>
</file>