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4C89D0AE" w:rsidR="00BB4838" w:rsidRPr="0032028C" w:rsidRDefault="00200CB4" w:rsidP="00CE3FA5">
      <w:pPr>
        <w:pBdr>
          <w:top w:val="nil"/>
          <w:left w:val="nil"/>
          <w:bottom w:val="nil"/>
          <w:right w:val="nil"/>
          <w:between w:val="nil"/>
        </w:pBdr>
        <w:spacing w:after="0" w:line="240" w:lineRule="auto"/>
        <w:ind w:leftChars="653" w:left="1437" w:firstLineChars="0" w:firstLine="722"/>
        <w:jc w:val="right"/>
        <w:rPr>
          <w:rFonts w:ascii="Times New Roman" w:eastAsia="Times New Roman" w:hAnsi="Times New Roman" w:cs="Times New Roman"/>
          <w:color w:val="000000"/>
        </w:rPr>
      </w:pPr>
      <w:r w:rsidRPr="0032028C">
        <w:rPr>
          <w:rFonts w:ascii="Times New Roman" w:eastAsia="Times New Roman" w:hAnsi="Times New Roman" w:cs="Times New Roman"/>
          <w:color w:val="000000"/>
        </w:rPr>
        <w:t xml:space="preserve">Ciudad Autónoma de Buenos Aires, </w:t>
      </w:r>
      <w:r w:rsidR="006F6D8C">
        <w:rPr>
          <w:rFonts w:ascii="Times New Roman" w:eastAsia="Times New Roman" w:hAnsi="Times New Roman" w:cs="Times New Roman"/>
          <w:color w:val="000000"/>
        </w:rPr>
        <w:t>28</w:t>
      </w:r>
      <w:r w:rsidRPr="0032028C">
        <w:rPr>
          <w:rFonts w:ascii="Times New Roman" w:eastAsia="Times New Roman" w:hAnsi="Times New Roman" w:cs="Times New Roman"/>
          <w:color w:val="000000"/>
        </w:rPr>
        <w:t xml:space="preserve"> de </w:t>
      </w:r>
      <w:r w:rsidR="00C75560" w:rsidRPr="0032028C">
        <w:rPr>
          <w:rFonts w:ascii="Times New Roman" w:eastAsia="Times New Roman" w:hAnsi="Times New Roman" w:cs="Times New Roman"/>
          <w:color w:val="000000"/>
        </w:rPr>
        <w:t>septiembre</w:t>
      </w:r>
      <w:r w:rsidRPr="0032028C">
        <w:rPr>
          <w:rFonts w:ascii="Times New Roman" w:eastAsia="Times New Roman" w:hAnsi="Times New Roman" w:cs="Times New Roman"/>
          <w:color w:val="000000"/>
        </w:rPr>
        <w:t xml:space="preserve"> de 2021</w:t>
      </w:r>
    </w:p>
    <w:p w14:paraId="00000003" w14:textId="77777777" w:rsidR="00BB4838" w:rsidRPr="0032028C" w:rsidRDefault="00BB4838" w:rsidP="008E25F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6A465D53" w14:textId="77777777" w:rsidR="0020113E" w:rsidRDefault="0020113E" w:rsidP="008E25F1">
      <w:pPr>
        <w:widowControl w:val="0"/>
        <w:spacing w:after="0" w:line="240" w:lineRule="auto"/>
        <w:ind w:left="-2" w:firstLineChars="0" w:firstLine="0"/>
        <w:jc w:val="both"/>
        <w:rPr>
          <w:rFonts w:ascii="Times New Roman" w:eastAsia="Times New Roman" w:hAnsi="Times New Roman" w:cs="Times New Roman"/>
        </w:rPr>
      </w:pPr>
    </w:p>
    <w:p w14:paraId="00000004" w14:textId="33C366AA" w:rsidR="00BB4838" w:rsidRPr="0032028C" w:rsidRDefault="00200CB4" w:rsidP="008E25F1">
      <w:pPr>
        <w:widowControl w:val="0"/>
        <w:spacing w:after="0" w:line="240" w:lineRule="auto"/>
        <w:ind w:left="-2" w:firstLineChars="0" w:firstLine="0"/>
        <w:jc w:val="both"/>
        <w:rPr>
          <w:rFonts w:ascii="Times New Roman" w:eastAsia="Times New Roman" w:hAnsi="Times New Roman" w:cs="Times New Roman"/>
        </w:rPr>
      </w:pPr>
      <w:r w:rsidRPr="0032028C">
        <w:rPr>
          <w:rFonts w:ascii="Times New Roman" w:eastAsia="Times New Roman" w:hAnsi="Times New Roman" w:cs="Times New Roman"/>
        </w:rPr>
        <w:t>Señores</w:t>
      </w:r>
    </w:p>
    <w:p w14:paraId="00000005" w14:textId="77777777" w:rsidR="00BB4838" w:rsidRPr="0032028C" w:rsidRDefault="00200CB4" w:rsidP="008E25F1">
      <w:pPr>
        <w:widowControl w:val="0"/>
        <w:pBdr>
          <w:top w:val="nil"/>
          <w:left w:val="nil"/>
          <w:bottom w:val="nil"/>
          <w:right w:val="nil"/>
          <w:between w:val="nil"/>
        </w:pBdr>
        <w:spacing w:after="0" w:line="240" w:lineRule="auto"/>
        <w:ind w:left="-2" w:firstLineChars="0" w:firstLine="0"/>
        <w:jc w:val="both"/>
        <w:rPr>
          <w:rFonts w:ascii="Times New Roman" w:eastAsia="Times New Roman" w:hAnsi="Times New Roman" w:cs="Times New Roman"/>
          <w:color w:val="000000"/>
          <w:u w:val="single"/>
        </w:rPr>
      </w:pPr>
      <w:r w:rsidRPr="0032028C">
        <w:rPr>
          <w:rFonts w:ascii="Times New Roman" w:eastAsia="Times New Roman" w:hAnsi="Times New Roman" w:cs="Times New Roman"/>
          <w:b/>
          <w:color w:val="000000"/>
          <w:u w:val="single"/>
        </w:rPr>
        <w:t>Comisión Nacional de Valores</w:t>
      </w:r>
    </w:p>
    <w:p w14:paraId="00000006" w14:textId="77777777" w:rsidR="00BB4838" w:rsidRPr="0032028C" w:rsidRDefault="00200CB4" w:rsidP="008E25F1">
      <w:pPr>
        <w:widowControl w:val="0"/>
        <w:pBdr>
          <w:top w:val="nil"/>
          <w:left w:val="nil"/>
          <w:bottom w:val="nil"/>
          <w:right w:val="nil"/>
          <w:between w:val="nil"/>
        </w:pBdr>
        <w:spacing w:after="0" w:line="240" w:lineRule="auto"/>
        <w:ind w:left="-2" w:firstLineChars="0" w:firstLine="0"/>
        <w:jc w:val="both"/>
        <w:rPr>
          <w:rFonts w:ascii="Times New Roman" w:eastAsia="Times New Roman" w:hAnsi="Times New Roman" w:cs="Times New Roman"/>
          <w:color w:val="000000"/>
          <w:u w:val="single"/>
        </w:rPr>
      </w:pPr>
      <w:r w:rsidRPr="0032028C">
        <w:rPr>
          <w:rFonts w:ascii="Times New Roman" w:eastAsia="Times New Roman" w:hAnsi="Times New Roman" w:cs="Times New Roman"/>
          <w:b/>
          <w:color w:val="000000"/>
          <w:u w:val="single"/>
        </w:rPr>
        <w:t>Bolsas y Mercados Argentinos S.A.</w:t>
      </w:r>
    </w:p>
    <w:p w14:paraId="00000007" w14:textId="77777777" w:rsidR="00BB4838" w:rsidRPr="0032028C" w:rsidRDefault="00200CB4" w:rsidP="008E25F1">
      <w:pPr>
        <w:widowControl w:val="0"/>
        <w:pBdr>
          <w:top w:val="nil"/>
          <w:left w:val="nil"/>
          <w:bottom w:val="nil"/>
          <w:right w:val="nil"/>
          <w:between w:val="nil"/>
        </w:pBdr>
        <w:spacing w:after="0" w:line="240" w:lineRule="auto"/>
        <w:ind w:left="-2" w:firstLineChars="0" w:firstLine="0"/>
        <w:jc w:val="both"/>
        <w:rPr>
          <w:rFonts w:ascii="Times New Roman" w:eastAsia="Times New Roman" w:hAnsi="Times New Roman" w:cs="Times New Roman"/>
          <w:color w:val="000000"/>
          <w:u w:val="single"/>
        </w:rPr>
      </w:pPr>
      <w:r w:rsidRPr="0032028C">
        <w:rPr>
          <w:rFonts w:ascii="Times New Roman" w:eastAsia="Times New Roman" w:hAnsi="Times New Roman" w:cs="Times New Roman"/>
          <w:b/>
          <w:color w:val="000000"/>
          <w:u w:val="single"/>
        </w:rPr>
        <w:t>Mercado Abierto Electrónico S.A.</w:t>
      </w:r>
    </w:p>
    <w:p w14:paraId="00000008" w14:textId="77777777" w:rsidR="00BB4838" w:rsidRPr="0032028C" w:rsidRDefault="00200CB4" w:rsidP="008E25F1">
      <w:pPr>
        <w:widowControl w:val="0"/>
        <w:spacing w:after="0" w:line="240" w:lineRule="auto"/>
        <w:ind w:left="-2" w:firstLineChars="0" w:firstLine="0"/>
        <w:jc w:val="both"/>
        <w:rPr>
          <w:rFonts w:ascii="Times New Roman" w:eastAsia="Times New Roman" w:hAnsi="Times New Roman" w:cs="Times New Roman"/>
          <w:u w:val="single"/>
        </w:rPr>
      </w:pPr>
      <w:r w:rsidRPr="0032028C">
        <w:rPr>
          <w:rFonts w:ascii="Times New Roman" w:eastAsia="Times New Roman" w:hAnsi="Times New Roman" w:cs="Times New Roman"/>
          <w:u w:val="single"/>
        </w:rPr>
        <w:t>Presente</w:t>
      </w:r>
    </w:p>
    <w:p w14:paraId="00000009" w14:textId="77777777" w:rsidR="00BB4838" w:rsidRPr="0032028C" w:rsidRDefault="00BB4838" w:rsidP="008E25F1">
      <w:pPr>
        <w:widowControl w:val="0"/>
        <w:spacing w:after="0" w:line="240" w:lineRule="auto"/>
        <w:ind w:left="-2" w:firstLineChars="0" w:firstLine="0"/>
        <w:jc w:val="both"/>
        <w:rPr>
          <w:rFonts w:ascii="Times New Roman" w:eastAsia="Times New Roman" w:hAnsi="Times New Roman" w:cs="Times New Roman"/>
        </w:rPr>
      </w:pPr>
    </w:p>
    <w:p w14:paraId="0000000A" w14:textId="77777777" w:rsidR="00BB4838" w:rsidRPr="0032028C" w:rsidRDefault="00BB4838" w:rsidP="008E25F1">
      <w:pPr>
        <w:widowControl w:val="0"/>
        <w:spacing w:after="0" w:line="240" w:lineRule="auto"/>
        <w:ind w:left="-2" w:firstLineChars="0" w:firstLine="0"/>
        <w:jc w:val="both"/>
        <w:rPr>
          <w:rFonts w:ascii="Times New Roman" w:eastAsia="Times New Roman" w:hAnsi="Times New Roman" w:cs="Times New Roman"/>
          <w:b/>
        </w:rPr>
      </w:pPr>
    </w:p>
    <w:p w14:paraId="1B6D9142" w14:textId="77777777" w:rsidR="00223E01" w:rsidRPr="0032028C" w:rsidRDefault="00200CB4" w:rsidP="008E25F1">
      <w:pPr>
        <w:pBdr>
          <w:top w:val="nil"/>
          <w:left w:val="nil"/>
          <w:bottom w:val="nil"/>
          <w:right w:val="nil"/>
          <w:between w:val="nil"/>
        </w:pBdr>
        <w:tabs>
          <w:tab w:val="left" w:pos="4678"/>
        </w:tabs>
        <w:spacing w:after="0" w:line="240" w:lineRule="auto"/>
        <w:ind w:left="-2" w:firstLineChars="0" w:firstLine="4680"/>
        <w:jc w:val="both"/>
        <w:rPr>
          <w:rFonts w:ascii="Times New Roman" w:eastAsia="Times New Roman" w:hAnsi="Times New Roman" w:cs="Times New Roman"/>
          <w:b/>
          <w:i/>
          <w:color w:val="000000"/>
        </w:rPr>
      </w:pPr>
      <w:r w:rsidRPr="0032028C">
        <w:rPr>
          <w:rFonts w:ascii="Times New Roman" w:eastAsia="Times New Roman" w:hAnsi="Times New Roman" w:cs="Times New Roman"/>
          <w:b/>
          <w:color w:val="000000"/>
          <w:u w:val="single"/>
        </w:rPr>
        <w:t>Ref.</w:t>
      </w:r>
      <w:r w:rsidRPr="0032028C">
        <w:rPr>
          <w:rFonts w:ascii="Times New Roman" w:eastAsia="Times New Roman" w:hAnsi="Times New Roman" w:cs="Times New Roman"/>
          <w:b/>
          <w:color w:val="000000"/>
        </w:rPr>
        <w:t xml:space="preserve">: </w:t>
      </w:r>
      <w:r w:rsidRPr="0032028C">
        <w:rPr>
          <w:rFonts w:ascii="Times New Roman" w:eastAsia="Times New Roman" w:hAnsi="Times New Roman" w:cs="Times New Roman"/>
          <w:b/>
          <w:i/>
          <w:color w:val="000000"/>
        </w:rPr>
        <w:t xml:space="preserve">TGLT S.A. </w:t>
      </w:r>
      <w:r w:rsidRPr="0032028C">
        <w:rPr>
          <w:rFonts w:ascii="Times New Roman" w:eastAsia="Times New Roman" w:hAnsi="Times New Roman" w:cs="Times New Roman"/>
          <w:b/>
          <w:color w:val="000000"/>
        </w:rPr>
        <w:t>-</w:t>
      </w:r>
      <w:r w:rsidRPr="0032028C">
        <w:rPr>
          <w:rFonts w:ascii="Times New Roman" w:eastAsia="Times New Roman" w:hAnsi="Times New Roman" w:cs="Times New Roman"/>
          <w:b/>
          <w:i/>
          <w:color w:val="000000"/>
        </w:rPr>
        <w:t xml:space="preserve"> Hecho relevante. </w:t>
      </w:r>
    </w:p>
    <w:p w14:paraId="0000000B" w14:textId="1E14B35A" w:rsidR="00BB4838" w:rsidRPr="0032028C" w:rsidRDefault="00200CB4" w:rsidP="008E25F1">
      <w:pPr>
        <w:pBdr>
          <w:top w:val="nil"/>
          <w:left w:val="nil"/>
          <w:bottom w:val="nil"/>
          <w:right w:val="nil"/>
          <w:between w:val="nil"/>
        </w:pBdr>
        <w:spacing w:after="0" w:line="240" w:lineRule="auto"/>
        <w:ind w:leftChars="2126" w:left="4677" w:firstLineChars="0" w:firstLine="0"/>
        <w:jc w:val="both"/>
        <w:rPr>
          <w:rFonts w:ascii="Times New Roman" w:eastAsia="Times New Roman" w:hAnsi="Times New Roman" w:cs="Times New Roman"/>
          <w:b/>
          <w:color w:val="000000"/>
        </w:rPr>
      </w:pPr>
      <w:r w:rsidRPr="0032028C">
        <w:rPr>
          <w:rFonts w:ascii="Times New Roman" w:eastAsia="Times New Roman" w:hAnsi="Times New Roman" w:cs="Times New Roman"/>
          <w:b/>
          <w:i/>
          <w:color w:val="000000"/>
        </w:rPr>
        <w:t xml:space="preserve">Solicitud de Consentimiento – Obligaciones </w:t>
      </w:r>
      <w:r w:rsidR="00BA3289" w:rsidRPr="0032028C">
        <w:rPr>
          <w:rFonts w:ascii="Times New Roman" w:eastAsia="Times New Roman" w:hAnsi="Times New Roman" w:cs="Times New Roman"/>
          <w:b/>
          <w:i/>
          <w:color w:val="000000"/>
        </w:rPr>
        <w:t>Negociables Clase XVI</w:t>
      </w:r>
    </w:p>
    <w:p w14:paraId="0000000C" w14:textId="77777777" w:rsidR="00BB4838" w:rsidRPr="0032028C" w:rsidRDefault="00BB4838" w:rsidP="008E25F1">
      <w:pPr>
        <w:spacing w:after="0" w:line="240" w:lineRule="auto"/>
        <w:ind w:left="-2" w:firstLineChars="0" w:firstLine="0"/>
        <w:jc w:val="both"/>
        <w:rPr>
          <w:rFonts w:ascii="Times New Roman" w:eastAsia="Times New Roman" w:hAnsi="Times New Roman" w:cs="Times New Roman"/>
        </w:rPr>
      </w:pPr>
    </w:p>
    <w:p w14:paraId="0000000D" w14:textId="53292DD7" w:rsidR="00BB4838" w:rsidRPr="0032028C" w:rsidRDefault="00200CB4" w:rsidP="008E25F1">
      <w:pPr>
        <w:spacing w:after="0" w:line="240" w:lineRule="auto"/>
        <w:ind w:left="-2" w:firstLineChars="0" w:firstLine="0"/>
        <w:jc w:val="both"/>
        <w:rPr>
          <w:rFonts w:ascii="Times New Roman" w:eastAsia="Times New Roman" w:hAnsi="Times New Roman" w:cs="Times New Roman"/>
        </w:rPr>
      </w:pPr>
      <w:r w:rsidRPr="0032028C">
        <w:rPr>
          <w:rFonts w:ascii="Times New Roman" w:eastAsia="Times New Roman" w:hAnsi="Times New Roman" w:cs="Times New Roman"/>
        </w:rPr>
        <w:t>De mi</w:t>
      </w:r>
      <w:r w:rsidR="00F77139" w:rsidRPr="0032028C">
        <w:rPr>
          <w:rFonts w:ascii="Times New Roman" w:eastAsia="Times New Roman" w:hAnsi="Times New Roman" w:cs="Times New Roman"/>
        </w:rPr>
        <w:t xml:space="preserve"> mayor</w:t>
      </w:r>
      <w:r w:rsidRPr="0032028C">
        <w:rPr>
          <w:rFonts w:ascii="Times New Roman" w:eastAsia="Times New Roman" w:hAnsi="Times New Roman" w:cs="Times New Roman"/>
        </w:rPr>
        <w:t xml:space="preserve"> consideración:</w:t>
      </w:r>
    </w:p>
    <w:p w14:paraId="0000000E" w14:textId="77777777" w:rsidR="00BB4838" w:rsidRPr="0032028C" w:rsidRDefault="00BB4838" w:rsidP="008E25F1">
      <w:pPr>
        <w:spacing w:after="0" w:line="240" w:lineRule="auto"/>
        <w:ind w:left="-2" w:firstLineChars="0" w:firstLine="0"/>
        <w:jc w:val="both"/>
        <w:rPr>
          <w:rFonts w:ascii="Times New Roman" w:eastAsia="Times New Roman" w:hAnsi="Times New Roman" w:cs="Times New Roman"/>
        </w:rPr>
      </w:pPr>
    </w:p>
    <w:p w14:paraId="1456F146" w14:textId="7961B59A" w:rsidR="00845CFC" w:rsidRPr="0032028C" w:rsidRDefault="00200CB4" w:rsidP="008E25F1">
      <w:pPr>
        <w:spacing w:after="0" w:line="240" w:lineRule="auto"/>
        <w:ind w:left="-2" w:firstLineChars="0" w:firstLine="0"/>
        <w:jc w:val="both"/>
        <w:rPr>
          <w:rFonts w:ascii="Times New Roman" w:eastAsia="Times New Roman" w:hAnsi="Times New Roman" w:cs="Times New Roman"/>
        </w:rPr>
      </w:pPr>
      <w:r w:rsidRPr="0032028C">
        <w:rPr>
          <w:rFonts w:ascii="Times New Roman" w:eastAsia="Times New Roman" w:hAnsi="Times New Roman" w:cs="Times New Roman"/>
        </w:rPr>
        <w:t>Tengo el agrado de dirigirme a Uds., en mi carácter de Responsable de Relaciones con el Mercado de TGLT S.A. (la “</w:t>
      </w:r>
      <w:r w:rsidRPr="0032028C">
        <w:rPr>
          <w:rFonts w:ascii="Times New Roman" w:eastAsia="Times New Roman" w:hAnsi="Times New Roman" w:cs="Times New Roman"/>
          <w:u w:val="single"/>
        </w:rPr>
        <w:t>Sociedad</w:t>
      </w:r>
      <w:r w:rsidR="00BA3289" w:rsidRPr="0032028C">
        <w:rPr>
          <w:rFonts w:ascii="Times New Roman" w:eastAsia="Times New Roman" w:hAnsi="Times New Roman" w:cs="Times New Roman"/>
        </w:rPr>
        <w:t>”), a fin de informar que</w:t>
      </w:r>
      <w:r w:rsidR="00EF013D">
        <w:rPr>
          <w:rFonts w:ascii="Times New Roman" w:eastAsia="Times New Roman" w:hAnsi="Times New Roman" w:cs="Times New Roman"/>
        </w:rPr>
        <w:t>,</w:t>
      </w:r>
      <w:r w:rsidR="00BA3289" w:rsidRPr="0032028C">
        <w:rPr>
          <w:rFonts w:ascii="Times New Roman" w:eastAsia="Times New Roman" w:hAnsi="Times New Roman" w:cs="Times New Roman"/>
        </w:rPr>
        <w:t xml:space="preserve"> mediante</w:t>
      </w:r>
      <w:r w:rsidRPr="0032028C">
        <w:rPr>
          <w:rFonts w:ascii="Times New Roman" w:eastAsia="Times New Roman" w:hAnsi="Times New Roman" w:cs="Times New Roman"/>
        </w:rPr>
        <w:t xml:space="preserve"> la reunión de Directorio de l</w:t>
      </w:r>
      <w:r w:rsidR="003D2F10" w:rsidRPr="0032028C">
        <w:rPr>
          <w:rFonts w:ascii="Times New Roman" w:eastAsia="Times New Roman" w:hAnsi="Times New Roman" w:cs="Times New Roman"/>
        </w:rPr>
        <w:t xml:space="preserve">a Sociedad de fecha </w:t>
      </w:r>
      <w:r w:rsidR="006F6D8C" w:rsidRPr="00C14A55">
        <w:rPr>
          <w:rFonts w:ascii="Times New Roman" w:eastAsia="Times New Roman" w:hAnsi="Times New Roman" w:cs="Times New Roman"/>
        </w:rPr>
        <w:t>28</w:t>
      </w:r>
      <w:r w:rsidR="003D2F10" w:rsidRPr="0032028C">
        <w:rPr>
          <w:rFonts w:ascii="Times New Roman" w:eastAsia="Times New Roman" w:hAnsi="Times New Roman" w:cs="Times New Roman"/>
        </w:rPr>
        <w:t xml:space="preserve"> de </w:t>
      </w:r>
      <w:r w:rsidR="00C114E8" w:rsidRPr="00C14A55">
        <w:rPr>
          <w:rFonts w:ascii="Times New Roman" w:eastAsia="Times New Roman" w:hAnsi="Times New Roman" w:cs="Times New Roman"/>
        </w:rPr>
        <w:t>septiembre</w:t>
      </w:r>
      <w:r w:rsidRPr="0032028C">
        <w:rPr>
          <w:rFonts w:ascii="Times New Roman" w:eastAsia="Times New Roman" w:hAnsi="Times New Roman" w:cs="Times New Roman"/>
        </w:rPr>
        <w:t xml:space="preserve"> de 2021</w:t>
      </w:r>
      <w:r w:rsidR="00EF013D">
        <w:rPr>
          <w:rFonts w:ascii="Times New Roman" w:eastAsia="Times New Roman" w:hAnsi="Times New Roman" w:cs="Times New Roman"/>
        </w:rPr>
        <w:t>,</w:t>
      </w:r>
      <w:r w:rsidRPr="0032028C">
        <w:rPr>
          <w:rFonts w:ascii="Times New Roman" w:eastAsia="Times New Roman" w:hAnsi="Times New Roman" w:cs="Times New Roman"/>
        </w:rPr>
        <w:t xml:space="preserve"> se resolvió</w:t>
      </w:r>
      <w:r w:rsidR="00F77139" w:rsidRPr="0032028C">
        <w:rPr>
          <w:rFonts w:ascii="Times New Roman" w:eastAsia="Times New Roman" w:hAnsi="Times New Roman" w:cs="Times New Roman"/>
        </w:rPr>
        <w:t>:</w:t>
      </w:r>
      <w:r w:rsidR="00ED2AE7" w:rsidRPr="0032028C">
        <w:rPr>
          <w:rFonts w:ascii="Times New Roman" w:eastAsia="Times New Roman" w:hAnsi="Times New Roman" w:cs="Times New Roman"/>
        </w:rPr>
        <w:t xml:space="preserve"> </w:t>
      </w:r>
      <w:r w:rsidR="00487D4A" w:rsidRPr="0032028C">
        <w:rPr>
          <w:rFonts w:ascii="Times New Roman" w:eastAsia="Times New Roman" w:hAnsi="Times New Roman" w:cs="Times New Roman"/>
        </w:rPr>
        <w:t xml:space="preserve"> </w:t>
      </w:r>
    </w:p>
    <w:p w14:paraId="5A178886" w14:textId="77777777" w:rsidR="00845CFC" w:rsidRPr="0032028C" w:rsidRDefault="00845CFC" w:rsidP="008E25F1">
      <w:pPr>
        <w:spacing w:after="0" w:line="240" w:lineRule="auto"/>
        <w:ind w:left="-2" w:firstLineChars="0" w:firstLine="0"/>
        <w:jc w:val="both"/>
        <w:rPr>
          <w:rFonts w:ascii="Times New Roman" w:eastAsia="Times New Roman" w:hAnsi="Times New Roman" w:cs="Times New Roman"/>
        </w:rPr>
      </w:pPr>
    </w:p>
    <w:p w14:paraId="74EB6FCC" w14:textId="69DC0B1C" w:rsidR="00845CFC" w:rsidRPr="0032028C" w:rsidRDefault="00ED2AE7" w:rsidP="008E25F1">
      <w:pPr>
        <w:spacing w:after="0" w:line="240" w:lineRule="auto"/>
        <w:ind w:left="-2" w:firstLineChars="0" w:firstLine="0"/>
        <w:jc w:val="both"/>
        <w:rPr>
          <w:rFonts w:ascii="Times New Roman" w:eastAsia="Times New Roman" w:hAnsi="Times New Roman" w:cs="Times New Roman"/>
        </w:rPr>
      </w:pPr>
      <w:r w:rsidRPr="0032028C">
        <w:rPr>
          <w:rFonts w:ascii="Times New Roman" w:eastAsia="Times New Roman" w:hAnsi="Times New Roman" w:cs="Times New Roman"/>
          <w:b/>
        </w:rPr>
        <w:t>(a)</w:t>
      </w:r>
      <w:r w:rsidR="00E623E1" w:rsidRPr="0032028C">
        <w:rPr>
          <w:rFonts w:ascii="Times New Roman" w:eastAsia="Times New Roman" w:hAnsi="Times New Roman" w:cs="Times New Roman"/>
        </w:rPr>
        <w:t xml:space="preserve"> </w:t>
      </w:r>
      <w:r w:rsidR="00A02A1D" w:rsidRPr="0032028C">
        <w:rPr>
          <w:rFonts w:ascii="Times New Roman" w:eastAsia="Times New Roman" w:hAnsi="Times New Roman" w:cs="Times New Roman"/>
        </w:rPr>
        <w:t>S</w:t>
      </w:r>
      <w:r w:rsidR="00E623E1" w:rsidRPr="0032028C">
        <w:rPr>
          <w:rFonts w:ascii="Times New Roman" w:eastAsia="Times New Roman" w:hAnsi="Times New Roman" w:cs="Times New Roman"/>
        </w:rPr>
        <w:t>ujeto a la obtención de</w:t>
      </w:r>
      <w:r w:rsidR="009C2A02" w:rsidRPr="0032028C">
        <w:rPr>
          <w:rFonts w:ascii="Times New Roman" w:eastAsia="Times New Roman" w:hAnsi="Times New Roman" w:cs="Times New Roman"/>
        </w:rPr>
        <w:t>l consentimiento de</w:t>
      </w:r>
      <w:r w:rsidR="00E623E1" w:rsidRPr="0032028C">
        <w:rPr>
          <w:rFonts w:ascii="Times New Roman" w:eastAsia="Times New Roman" w:hAnsi="Times New Roman" w:cs="Times New Roman"/>
        </w:rPr>
        <w:t xml:space="preserve"> la Mayoría Necesaria (conforme dicho término se define </w:t>
      </w:r>
      <w:r w:rsidR="004C0B5C" w:rsidRPr="0032028C">
        <w:rPr>
          <w:rFonts w:ascii="Times New Roman" w:eastAsia="Times New Roman" w:hAnsi="Times New Roman" w:cs="Times New Roman"/>
        </w:rPr>
        <w:t>más adelante</w:t>
      </w:r>
      <w:r w:rsidR="00E623E1" w:rsidRPr="0032028C">
        <w:rPr>
          <w:rFonts w:ascii="Times New Roman" w:eastAsia="Times New Roman" w:hAnsi="Times New Roman" w:cs="Times New Roman"/>
        </w:rPr>
        <w:t xml:space="preserve">), </w:t>
      </w:r>
      <w:r w:rsidR="00FB73A2" w:rsidRPr="0032028C">
        <w:rPr>
          <w:rFonts w:ascii="Times New Roman" w:eastAsia="Times New Roman" w:hAnsi="Times New Roman" w:cs="Times New Roman"/>
        </w:rPr>
        <w:t>modificar ciertos términos y condiciones</w:t>
      </w:r>
      <w:r w:rsidR="00F77139" w:rsidRPr="0032028C">
        <w:rPr>
          <w:rFonts w:ascii="Times New Roman" w:eastAsia="Times New Roman" w:hAnsi="Times New Roman" w:cs="Times New Roman"/>
        </w:rPr>
        <w:t xml:space="preserve"> esenciales</w:t>
      </w:r>
      <w:r w:rsidR="00433943" w:rsidRPr="0032028C">
        <w:rPr>
          <w:rFonts w:ascii="Times New Roman" w:eastAsia="Times New Roman" w:hAnsi="Times New Roman" w:cs="Times New Roman"/>
        </w:rPr>
        <w:t xml:space="preserve"> y no esenciales</w:t>
      </w:r>
      <w:r w:rsidR="00FB73A2" w:rsidRPr="0032028C">
        <w:rPr>
          <w:rFonts w:ascii="Times New Roman" w:eastAsia="Times New Roman" w:hAnsi="Times New Roman" w:cs="Times New Roman"/>
        </w:rPr>
        <w:t xml:space="preserve"> de</w:t>
      </w:r>
      <w:r w:rsidR="00FC569F" w:rsidRPr="0032028C">
        <w:rPr>
          <w:rFonts w:ascii="Times New Roman" w:eastAsia="Times New Roman" w:hAnsi="Times New Roman" w:cs="Times New Roman"/>
        </w:rPr>
        <w:t xml:space="preserve"> </w:t>
      </w:r>
      <w:r w:rsidR="003D2F10" w:rsidRPr="0032028C">
        <w:rPr>
          <w:rFonts w:ascii="Times New Roman" w:eastAsia="Times New Roman" w:hAnsi="Times New Roman" w:cs="Times New Roman"/>
          <w:lang w:bidi="es-ES"/>
        </w:rPr>
        <w:t>las obligaciones negociables Clase XVI, garantizadas, a tasa de interés fija incremental, con vencimiento el 11 de febrero de 2023, por un valor nominal de US$ 20.305.100</w:t>
      </w:r>
      <w:r w:rsidR="00C4573A" w:rsidRPr="0032028C">
        <w:rPr>
          <w:rFonts w:ascii="Times New Roman" w:eastAsia="Times New Roman" w:hAnsi="Times New Roman" w:cs="Times New Roman"/>
          <w:lang w:bidi="es-ES"/>
        </w:rPr>
        <w:t xml:space="preserve"> (Dólares Estadounidenses veinte millones trescientos cinco mil cien)</w:t>
      </w:r>
      <w:r w:rsidR="00A47B94" w:rsidRPr="0032028C">
        <w:rPr>
          <w:rFonts w:ascii="Times New Roman" w:eastAsia="Times New Roman" w:hAnsi="Times New Roman" w:cs="Times New Roman"/>
          <w:lang w:bidi="es-ES"/>
        </w:rPr>
        <w:t xml:space="preserve"> (ISIN: ARTGLT5600I6)</w:t>
      </w:r>
      <w:r w:rsidR="00C114E8" w:rsidRPr="0032028C">
        <w:rPr>
          <w:rFonts w:ascii="Times New Roman" w:eastAsia="Times New Roman" w:hAnsi="Times New Roman" w:cs="Times New Roman"/>
          <w:lang w:bidi="es-ES"/>
        </w:rPr>
        <w:t xml:space="preserve"> (</w:t>
      </w:r>
      <w:r w:rsidR="003D2F10" w:rsidRPr="0032028C">
        <w:rPr>
          <w:rFonts w:ascii="Times New Roman" w:eastAsia="Times New Roman" w:hAnsi="Times New Roman" w:cs="Times New Roman"/>
          <w:lang w:bidi="es-ES"/>
        </w:rPr>
        <w:t>las “</w:t>
      </w:r>
      <w:r w:rsidR="003D2F10" w:rsidRPr="0032028C">
        <w:rPr>
          <w:rFonts w:ascii="Times New Roman" w:eastAsia="Times New Roman" w:hAnsi="Times New Roman" w:cs="Times New Roman"/>
          <w:u w:val="single"/>
          <w:lang w:bidi="es-ES"/>
        </w:rPr>
        <w:t>Obligaciones Negociables</w:t>
      </w:r>
      <w:r w:rsidR="003D2F10" w:rsidRPr="0032028C">
        <w:rPr>
          <w:rFonts w:ascii="Times New Roman" w:eastAsia="Times New Roman" w:hAnsi="Times New Roman" w:cs="Times New Roman"/>
          <w:lang w:bidi="es-ES"/>
        </w:rPr>
        <w:t>”),</w:t>
      </w:r>
      <w:r w:rsidR="00BA3289" w:rsidRPr="0032028C">
        <w:rPr>
          <w:rFonts w:ascii="Times New Roman" w:eastAsia="Times New Roman" w:hAnsi="Times New Roman" w:cs="Times New Roman"/>
          <w:lang w:bidi="es-ES"/>
        </w:rPr>
        <w:t xml:space="preserve"> emitidas</w:t>
      </w:r>
      <w:r w:rsidR="00FB73A2" w:rsidRPr="0032028C">
        <w:rPr>
          <w:rFonts w:ascii="Times New Roman" w:eastAsia="Times New Roman" w:hAnsi="Times New Roman" w:cs="Times New Roman"/>
        </w:rPr>
        <w:t xml:space="preserve"> </w:t>
      </w:r>
      <w:r w:rsidR="00041E2A" w:rsidRPr="0032028C">
        <w:rPr>
          <w:rFonts w:ascii="Times New Roman" w:eastAsia="Times New Roman" w:hAnsi="Times New Roman" w:cs="Times New Roman"/>
        </w:rPr>
        <w:t xml:space="preserve">por la Sociedad </w:t>
      </w:r>
      <w:r w:rsidR="00FB73A2" w:rsidRPr="0032028C">
        <w:rPr>
          <w:rFonts w:ascii="Times New Roman" w:eastAsia="Times New Roman" w:hAnsi="Times New Roman" w:cs="Times New Roman"/>
        </w:rPr>
        <w:t>en el marco del Programa Global de Emisión de Obligaciones Negociables por un valor nominal de hasta US$50.000.000 (Dólares Estadounidenses cincuenta millones) (o su equivalente en otras monedas) (el “</w:t>
      </w:r>
      <w:r w:rsidR="00FB73A2" w:rsidRPr="0032028C">
        <w:rPr>
          <w:rFonts w:ascii="Times New Roman" w:eastAsia="Times New Roman" w:hAnsi="Times New Roman" w:cs="Times New Roman"/>
          <w:u w:val="single"/>
        </w:rPr>
        <w:t>Programa</w:t>
      </w:r>
      <w:r w:rsidR="00FB73A2" w:rsidRPr="0032028C">
        <w:rPr>
          <w:rFonts w:ascii="Times New Roman" w:eastAsia="Times New Roman" w:hAnsi="Times New Roman" w:cs="Times New Roman"/>
        </w:rPr>
        <w:t>”), y de acuerdo a los términos y condiciones establecidos en: (i) el prospecto del Programa de fecha 27 de enero de 2020 (el “</w:t>
      </w:r>
      <w:r w:rsidR="00FB73A2" w:rsidRPr="0032028C">
        <w:rPr>
          <w:rFonts w:ascii="Times New Roman" w:eastAsia="Times New Roman" w:hAnsi="Times New Roman" w:cs="Times New Roman"/>
          <w:u w:val="single"/>
        </w:rPr>
        <w:t>Prospecto</w:t>
      </w:r>
      <w:r w:rsidR="00FB73A2" w:rsidRPr="0032028C">
        <w:rPr>
          <w:rFonts w:ascii="Times New Roman" w:eastAsia="Times New Roman" w:hAnsi="Times New Roman" w:cs="Times New Roman"/>
        </w:rPr>
        <w:t>”); (ii) el suplemento de prospecto de las Obligaciones Negociables de fecha 3 de febrero de 2020</w:t>
      </w:r>
      <w:r w:rsidR="002E6F9C" w:rsidRPr="0032028C">
        <w:rPr>
          <w:rFonts w:ascii="Times New Roman" w:eastAsia="Times New Roman" w:hAnsi="Times New Roman" w:cs="Times New Roman"/>
        </w:rPr>
        <w:t xml:space="preserve">, </w:t>
      </w:r>
      <w:r w:rsidR="0031640E" w:rsidRPr="0032028C">
        <w:rPr>
          <w:rFonts w:ascii="Times New Roman" w:eastAsia="Times New Roman" w:hAnsi="Times New Roman" w:cs="Times New Roman"/>
        </w:rPr>
        <w:t xml:space="preserve">según fuera </w:t>
      </w:r>
      <w:r w:rsidR="002E6F9C" w:rsidRPr="0032028C">
        <w:rPr>
          <w:rFonts w:ascii="Times New Roman" w:eastAsia="Times New Roman" w:hAnsi="Times New Roman" w:cs="Times New Roman"/>
        </w:rPr>
        <w:t>modificado por la</w:t>
      </w:r>
      <w:r w:rsidR="00C114E8" w:rsidRPr="0032028C">
        <w:rPr>
          <w:rFonts w:ascii="Times New Roman" w:eastAsia="Times New Roman" w:hAnsi="Times New Roman" w:cs="Times New Roman"/>
        </w:rPr>
        <w:t>s</w:t>
      </w:r>
      <w:r w:rsidR="00C539EA" w:rsidRPr="0032028C">
        <w:rPr>
          <w:rFonts w:ascii="Times New Roman" w:eastAsia="Times New Roman" w:hAnsi="Times New Roman" w:cs="Times New Roman"/>
        </w:rPr>
        <w:t xml:space="preserve"> adenda</w:t>
      </w:r>
      <w:r w:rsidR="00C114E8" w:rsidRPr="0032028C">
        <w:rPr>
          <w:rFonts w:ascii="Times New Roman" w:eastAsia="Times New Roman" w:hAnsi="Times New Roman" w:cs="Times New Roman"/>
        </w:rPr>
        <w:t>s</w:t>
      </w:r>
      <w:r w:rsidR="00C539EA" w:rsidRPr="0032028C">
        <w:rPr>
          <w:rFonts w:ascii="Times New Roman" w:eastAsia="Times New Roman" w:hAnsi="Times New Roman" w:cs="Times New Roman"/>
        </w:rPr>
        <w:t xml:space="preserve"> de fecha 7 de mayo de 2021</w:t>
      </w:r>
      <w:r w:rsidR="00C114E8" w:rsidRPr="0032028C">
        <w:rPr>
          <w:rFonts w:ascii="Times New Roman" w:eastAsia="Times New Roman" w:hAnsi="Times New Roman" w:cs="Times New Roman"/>
        </w:rPr>
        <w:t xml:space="preserve"> y 10 de agosto de 2021</w:t>
      </w:r>
      <w:r w:rsidR="00FB73A2" w:rsidRPr="0032028C">
        <w:rPr>
          <w:rFonts w:ascii="Times New Roman" w:eastAsia="Times New Roman" w:hAnsi="Times New Roman" w:cs="Times New Roman"/>
        </w:rPr>
        <w:t xml:space="preserve"> (el “</w:t>
      </w:r>
      <w:r w:rsidR="00FB73A2" w:rsidRPr="0032028C">
        <w:rPr>
          <w:rFonts w:ascii="Times New Roman" w:eastAsia="Times New Roman" w:hAnsi="Times New Roman" w:cs="Times New Roman"/>
          <w:u w:val="single"/>
        </w:rPr>
        <w:t>Suplemento de Prospecto</w:t>
      </w:r>
      <w:r w:rsidR="00FB73A2" w:rsidRPr="0032028C">
        <w:rPr>
          <w:rFonts w:ascii="Times New Roman" w:eastAsia="Times New Roman" w:hAnsi="Times New Roman" w:cs="Times New Roman"/>
        </w:rPr>
        <w:t xml:space="preserve">”), entre otros documentos relativos a </w:t>
      </w:r>
      <w:r w:rsidR="00E623E1" w:rsidRPr="0032028C">
        <w:rPr>
          <w:rFonts w:ascii="Times New Roman" w:eastAsia="Times New Roman" w:hAnsi="Times New Roman" w:cs="Times New Roman"/>
        </w:rPr>
        <w:t>su</w:t>
      </w:r>
      <w:r w:rsidR="00FB73A2" w:rsidRPr="0032028C">
        <w:rPr>
          <w:rFonts w:ascii="Times New Roman" w:eastAsia="Times New Roman" w:hAnsi="Times New Roman" w:cs="Times New Roman"/>
        </w:rPr>
        <w:t xml:space="preserve"> emisión;</w:t>
      </w:r>
      <w:r w:rsidR="00845CFC" w:rsidRPr="0032028C">
        <w:rPr>
          <w:rFonts w:ascii="Times New Roman" w:eastAsia="Times New Roman" w:hAnsi="Times New Roman" w:cs="Times New Roman"/>
        </w:rPr>
        <w:t xml:space="preserve"> y (iii) el</w:t>
      </w:r>
      <w:r w:rsidR="001F71D4" w:rsidRPr="0032028C">
        <w:rPr>
          <w:rFonts w:ascii="Times New Roman" w:eastAsia="Times New Roman" w:hAnsi="Times New Roman" w:cs="Times New Roman"/>
        </w:rPr>
        <w:t xml:space="preserve"> contrato de cesión pasiva en garantía entre la Sociedad, en su carácter de cedente, y Banco de Servicios y Transacciones S.A., en su carácter de Agente de la Garantía (“</w:t>
      </w:r>
      <w:r w:rsidR="001F71D4" w:rsidRPr="0032028C">
        <w:rPr>
          <w:rFonts w:ascii="Times New Roman" w:eastAsia="Times New Roman" w:hAnsi="Times New Roman" w:cs="Times New Roman"/>
          <w:u w:val="single"/>
        </w:rPr>
        <w:t>BST</w:t>
      </w:r>
      <w:r w:rsidR="001F71D4" w:rsidRPr="0032028C">
        <w:rPr>
          <w:rFonts w:ascii="Times New Roman" w:eastAsia="Times New Roman" w:hAnsi="Times New Roman" w:cs="Times New Roman"/>
        </w:rPr>
        <w:t>” o el “</w:t>
      </w:r>
      <w:r w:rsidR="001F71D4" w:rsidRPr="0032028C">
        <w:rPr>
          <w:rFonts w:ascii="Times New Roman" w:eastAsia="Times New Roman" w:hAnsi="Times New Roman" w:cs="Times New Roman"/>
          <w:u w:val="single"/>
        </w:rPr>
        <w:t>Agente de la Garantía</w:t>
      </w:r>
      <w:r w:rsidR="001F71D4" w:rsidRPr="0032028C">
        <w:rPr>
          <w:rFonts w:ascii="Times New Roman" w:eastAsia="Times New Roman" w:hAnsi="Times New Roman" w:cs="Times New Roman"/>
        </w:rPr>
        <w:t>”), para beneficio de los tenedores de las Obligaciones Negociables y del Agente de la Garantía</w:t>
      </w:r>
      <w:r w:rsidR="00845CFC" w:rsidRPr="0032028C">
        <w:rPr>
          <w:rFonts w:ascii="Times New Roman" w:eastAsia="Times New Roman" w:hAnsi="Times New Roman" w:cs="Times New Roman"/>
        </w:rPr>
        <w:t xml:space="preserve"> (el “</w:t>
      </w:r>
      <w:r w:rsidR="001F71D4" w:rsidRPr="0032028C">
        <w:rPr>
          <w:rFonts w:ascii="Times New Roman" w:eastAsia="Times New Roman" w:hAnsi="Times New Roman" w:cs="Times New Roman"/>
          <w:u w:val="single"/>
        </w:rPr>
        <w:t>Contrato de Cesión Pasiva</w:t>
      </w:r>
      <w:r w:rsidR="00845CFC" w:rsidRPr="0032028C">
        <w:rPr>
          <w:rFonts w:ascii="Times New Roman" w:eastAsia="Times New Roman" w:hAnsi="Times New Roman" w:cs="Times New Roman"/>
        </w:rPr>
        <w:t>”)</w:t>
      </w:r>
      <w:r w:rsidR="001F71D4" w:rsidRPr="0032028C">
        <w:rPr>
          <w:rFonts w:ascii="Times New Roman" w:eastAsia="Times New Roman" w:hAnsi="Times New Roman" w:cs="Times New Roman"/>
        </w:rPr>
        <w:t>.</w:t>
      </w:r>
      <w:r w:rsidR="00FB73A2" w:rsidRPr="0032028C">
        <w:rPr>
          <w:rFonts w:ascii="Times New Roman" w:eastAsia="Times New Roman" w:hAnsi="Times New Roman" w:cs="Times New Roman"/>
        </w:rPr>
        <w:t xml:space="preserve"> </w:t>
      </w:r>
    </w:p>
    <w:p w14:paraId="5CDF686B" w14:textId="77777777" w:rsidR="00845CFC" w:rsidRPr="0032028C" w:rsidRDefault="00845CFC">
      <w:pPr>
        <w:spacing w:after="0" w:line="240" w:lineRule="auto"/>
        <w:ind w:left="-2" w:firstLineChars="0" w:firstLine="0"/>
        <w:jc w:val="both"/>
        <w:rPr>
          <w:rFonts w:ascii="Times New Roman" w:eastAsia="Times New Roman" w:hAnsi="Times New Roman" w:cs="Times New Roman"/>
          <w:b/>
        </w:rPr>
      </w:pPr>
    </w:p>
    <w:p w14:paraId="3CD027AC" w14:textId="51F6D72A" w:rsidR="001F71D4" w:rsidRDefault="00FB73A2">
      <w:pPr>
        <w:spacing w:after="0" w:line="240" w:lineRule="auto"/>
        <w:ind w:left="-2" w:firstLineChars="0" w:firstLine="0"/>
        <w:jc w:val="both"/>
        <w:rPr>
          <w:rFonts w:ascii="Times New Roman" w:eastAsia="Times New Roman" w:hAnsi="Times New Roman" w:cs="Times New Roman"/>
          <w:lang w:bidi="es-ES"/>
        </w:rPr>
      </w:pPr>
      <w:r w:rsidRPr="0032028C">
        <w:rPr>
          <w:rFonts w:ascii="Times New Roman" w:eastAsia="Times New Roman" w:hAnsi="Times New Roman" w:cs="Times New Roman"/>
          <w:b/>
        </w:rPr>
        <w:t xml:space="preserve">(b) </w:t>
      </w:r>
      <w:r w:rsidR="00A02A1D" w:rsidRPr="0032028C">
        <w:rPr>
          <w:rFonts w:ascii="Times New Roman" w:eastAsia="Times New Roman" w:hAnsi="Times New Roman" w:cs="Times New Roman"/>
        </w:rPr>
        <w:t>S</w:t>
      </w:r>
      <w:r w:rsidR="00934543" w:rsidRPr="0032028C">
        <w:rPr>
          <w:rFonts w:ascii="Times New Roman" w:eastAsia="Times New Roman" w:hAnsi="Times New Roman" w:cs="Times New Roman"/>
        </w:rPr>
        <w:t xml:space="preserve">olicitar </w:t>
      </w:r>
      <w:r w:rsidR="005A1147" w:rsidRPr="0032028C">
        <w:rPr>
          <w:rFonts w:ascii="Times New Roman" w:eastAsia="Times New Roman" w:hAnsi="Times New Roman" w:cs="Times New Roman"/>
        </w:rPr>
        <w:t xml:space="preserve">mediante la presente </w:t>
      </w:r>
      <w:r w:rsidR="003D2F10" w:rsidRPr="0032028C">
        <w:rPr>
          <w:rFonts w:ascii="Times New Roman" w:eastAsia="Times New Roman" w:hAnsi="Times New Roman" w:cs="Times New Roman"/>
        </w:rPr>
        <w:t xml:space="preserve">solicitud de consentimiento </w:t>
      </w:r>
      <w:r w:rsidR="005A1147" w:rsidRPr="0032028C">
        <w:rPr>
          <w:rFonts w:ascii="Times New Roman" w:eastAsia="Times New Roman" w:hAnsi="Times New Roman" w:cs="Times New Roman"/>
        </w:rPr>
        <w:t>(la “</w:t>
      </w:r>
      <w:r w:rsidR="005A1147" w:rsidRPr="0032028C">
        <w:rPr>
          <w:rFonts w:ascii="Times New Roman" w:eastAsia="Times New Roman" w:hAnsi="Times New Roman" w:cs="Times New Roman"/>
          <w:u w:val="single"/>
        </w:rPr>
        <w:t>Solicitud de Consentimiento</w:t>
      </w:r>
      <w:r w:rsidR="005A1147" w:rsidRPr="0032028C">
        <w:rPr>
          <w:rFonts w:ascii="Times New Roman" w:eastAsia="Times New Roman" w:hAnsi="Times New Roman" w:cs="Times New Roman"/>
        </w:rPr>
        <w:t>”)</w:t>
      </w:r>
      <w:r w:rsidR="00BA3289" w:rsidRPr="0032028C">
        <w:rPr>
          <w:rFonts w:ascii="Times New Roman" w:eastAsia="Times New Roman" w:hAnsi="Times New Roman" w:cs="Times New Roman"/>
        </w:rPr>
        <w:t>,</w:t>
      </w:r>
      <w:r w:rsidR="005A1147" w:rsidRPr="0032028C">
        <w:rPr>
          <w:rFonts w:ascii="Times New Roman" w:eastAsia="Times New Roman" w:hAnsi="Times New Roman" w:cs="Times New Roman"/>
        </w:rPr>
        <w:t xml:space="preserve"> </w:t>
      </w:r>
      <w:r w:rsidR="00934543" w:rsidRPr="0032028C">
        <w:rPr>
          <w:rFonts w:ascii="Times New Roman" w:eastAsia="Times New Roman" w:hAnsi="Times New Roman" w:cs="Times New Roman"/>
        </w:rPr>
        <w:t>la conformidad de los tenedores de las Obligaciones Negociables</w:t>
      </w:r>
      <w:r w:rsidR="00EF7D05" w:rsidRPr="0032028C">
        <w:rPr>
          <w:rFonts w:ascii="Times New Roman" w:eastAsia="Times New Roman" w:hAnsi="Times New Roman" w:cs="Times New Roman"/>
        </w:rPr>
        <w:t xml:space="preserve"> </w:t>
      </w:r>
      <w:r w:rsidR="00934543" w:rsidRPr="0032028C">
        <w:rPr>
          <w:rFonts w:ascii="Times New Roman" w:eastAsia="Times New Roman" w:hAnsi="Times New Roman" w:cs="Times New Roman"/>
        </w:rPr>
        <w:t>(los “</w:t>
      </w:r>
      <w:r w:rsidR="00934543" w:rsidRPr="0032028C">
        <w:rPr>
          <w:rFonts w:ascii="Times New Roman" w:eastAsia="Times New Roman" w:hAnsi="Times New Roman" w:cs="Times New Roman"/>
          <w:u w:val="single"/>
        </w:rPr>
        <w:t>Tenedores</w:t>
      </w:r>
      <w:r w:rsidR="00934543" w:rsidRPr="0032028C">
        <w:rPr>
          <w:rFonts w:ascii="Times New Roman" w:eastAsia="Times New Roman" w:hAnsi="Times New Roman" w:cs="Times New Roman"/>
        </w:rPr>
        <w:t xml:space="preserve">”) </w:t>
      </w:r>
      <w:r w:rsidR="00C71580" w:rsidRPr="0032028C">
        <w:rPr>
          <w:rFonts w:ascii="Times New Roman" w:eastAsia="Times New Roman" w:hAnsi="Times New Roman" w:cs="Times New Roman"/>
          <w:lang w:bidi="es-ES"/>
        </w:rPr>
        <w:t xml:space="preserve">para realizar </w:t>
      </w:r>
      <w:r w:rsidR="004C0B5C" w:rsidRPr="0032028C">
        <w:rPr>
          <w:rFonts w:ascii="Times New Roman" w:eastAsia="Times New Roman" w:hAnsi="Times New Roman" w:cs="Times New Roman"/>
          <w:lang w:bidi="es-ES"/>
        </w:rPr>
        <w:t xml:space="preserve">las </w:t>
      </w:r>
      <w:r w:rsidR="00C71580" w:rsidRPr="0032028C">
        <w:rPr>
          <w:rFonts w:ascii="Times New Roman" w:eastAsia="Times New Roman" w:hAnsi="Times New Roman" w:cs="Times New Roman"/>
          <w:lang w:bidi="es-ES"/>
        </w:rPr>
        <w:t>modificaci</w:t>
      </w:r>
      <w:r w:rsidR="004C0B5C" w:rsidRPr="0032028C">
        <w:rPr>
          <w:rFonts w:ascii="Times New Roman" w:eastAsia="Times New Roman" w:hAnsi="Times New Roman" w:cs="Times New Roman"/>
          <w:lang w:bidi="es-ES"/>
        </w:rPr>
        <w:t>ones</w:t>
      </w:r>
      <w:r w:rsidR="00C71580" w:rsidRPr="0032028C">
        <w:rPr>
          <w:rFonts w:ascii="Times New Roman" w:eastAsia="Times New Roman" w:hAnsi="Times New Roman" w:cs="Times New Roman"/>
          <w:lang w:bidi="es-ES"/>
        </w:rPr>
        <w:t xml:space="preserve"> </w:t>
      </w:r>
      <w:r w:rsidR="004C0B5C" w:rsidRPr="0032028C">
        <w:rPr>
          <w:rFonts w:ascii="Times New Roman" w:eastAsia="Times New Roman" w:hAnsi="Times New Roman" w:cs="Times New Roman"/>
          <w:lang w:bidi="es-ES"/>
        </w:rPr>
        <w:t xml:space="preserve">a </w:t>
      </w:r>
      <w:r w:rsidR="004C0B5C" w:rsidRPr="0032028C">
        <w:rPr>
          <w:rFonts w:ascii="Times New Roman" w:eastAsia="Times New Roman" w:hAnsi="Times New Roman" w:cs="Times New Roman"/>
        </w:rPr>
        <w:t xml:space="preserve">ciertos términos y condiciones esenciales y no esenciales de las Obligaciones Negociables </w:t>
      </w:r>
      <w:r w:rsidR="001F71D4" w:rsidRPr="0032028C">
        <w:rPr>
          <w:rFonts w:ascii="Times New Roman" w:eastAsia="Times New Roman" w:hAnsi="Times New Roman" w:cs="Times New Roman"/>
          <w:lang w:bidi="es-ES"/>
        </w:rPr>
        <w:t>(incluyendo el Contrato de Cesión Pasiva) (la “</w:t>
      </w:r>
      <w:r w:rsidR="005E5B30" w:rsidRPr="0032028C">
        <w:rPr>
          <w:rFonts w:ascii="Times New Roman" w:eastAsia="Times New Roman" w:hAnsi="Times New Roman" w:cs="Times New Roman"/>
          <w:u w:val="single"/>
          <w:lang w:bidi="es-ES"/>
        </w:rPr>
        <w:t>Modificación Propuesta</w:t>
      </w:r>
      <w:r w:rsidR="001F71D4" w:rsidRPr="0032028C">
        <w:rPr>
          <w:rFonts w:ascii="Times New Roman" w:eastAsia="Times New Roman" w:hAnsi="Times New Roman" w:cs="Times New Roman"/>
          <w:lang w:bidi="es-ES"/>
        </w:rPr>
        <w:t>”)</w:t>
      </w:r>
      <w:r w:rsidR="000B1FD2" w:rsidRPr="0032028C">
        <w:rPr>
          <w:rFonts w:ascii="Times New Roman" w:eastAsia="Times New Roman" w:hAnsi="Times New Roman" w:cs="Times New Roman"/>
          <w:lang w:bidi="es-ES"/>
        </w:rPr>
        <w:t>, que se describen a continuación</w:t>
      </w:r>
      <w:r w:rsidR="00BF2EBC" w:rsidRPr="0032028C">
        <w:rPr>
          <w:rFonts w:ascii="Times New Roman" w:eastAsia="Times New Roman" w:hAnsi="Times New Roman" w:cs="Times New Roman"/>
          <w:lang w:bidi="es-ES"/>
        </w:rPr>
        <w:t>:</w:t>
      </w:r>
      <w:r w:rsidR="00A90DE7" w:rsidRPr="0032028C">
        <w:rPr>
          <w:rFonts w:ascii="Times New Roman" w:eastAsia="Times New Roman" w:hAnsi="Times New Roman" w:cs="Times New Roman"/>
          <w:lang w:bidi="es-ES"/>
        </w:rPr>
        <w:t xml:space="preserve"> </w:t>
      </w:r>
    </w:p>
    <w:p w14:paraId="05A93C34" w14:textId="4877577B" w:rsidR="004270E8" w:rsidRDefault="004270E8">
      <w:pPr>
        <w:spacing w:after="0" w:line="240" w:lineRule="auto"/>
        <w:ind w:left="-2" w:firstLineChars="0" w:firstLine="0"/>
        <w:jc w:val="both"/>
        <w:rPr>
          <w:rFonts w:ascii="Times New Roman" w:eastAsia="Times New Roman" w:hAnsi="Times New Roman" w:cs="Times New Roman"/>
          <w:lang w:bidi="es-ES"/>
        </w:rPr>
      </w:pPr>
    </w:p>
    <w:p w14:paraId="2220596A" w14:textId="4BD14753" w:rsidR="004270E8" w:rsidRPr="00D60D4C" w:rsidRDefault="004270E8" w:rsidP="00F93ED5">
      <w:pPr>
        <w:pStyle w:val="Prrafodelista"/>
        <w:numPr>
          <w:ilvl w:val="0"/>
          <w:numId w:val="18"/>
        </w:numPr>
        <w:spacing w:after="0" w:line="240" w:lineRule="auto"/>
        <w:ind w:leftChars="0" w:left="284" w:firstLineChars="0" w:firstLine="142"/>
        <w:jc w:val="both"/>
        <w:rPr>
          <w:rFonts w:ascii="Times New Roman" w:eastAsia="Times New Roman" w:hAnsi="Times New Roman" w:cs="Times New Roman"/>
          <w:i/>
          <w:u w:val="single"/>
          <w:lang w:val="es-MX" w:bidi="es-ES"/>
        </w:rPr>
      </w:pPr>
      <w:r w:rsidRPr="00D60D4C">
        <w:rPr>
          <w:rFonts w:ascii="Times New Roman" w:eastAsia="Times New Roman" w:hAnsi="Times New Roman" w:cs="Times New Roman"/>
          <w:i/>
          <w:u w:val="single"/>
          <w:lang w:bidi="es-ES"/>
        </w:rPr>
        <w:t xml:space="preserve">Ampliación y modificación de la Garantía de las </w:t>
      </w:r>
      <w:r w:rsidRPr="00D60D4C">
        <w:rPr>
          <w:rFonts w:ascii="Times New Roman" w:eastAsia="Times New Roman" w:hAnsi="Times New Roman" w:cs="Times New Roman"/>
          <w:i/>
          <w:u w:val="single"/>
          <w:lang w:val="es-MX" w:bidi="es-ES"/>
        </w:rPr>
        <w:t xml:space="preserve">Obligaciones Negociables </w:t>
      </w:r>
    </w:p>
    <w:p w14:paraId="4E12ED3B" w14:textId="77777777" w:rsidR="004270E8" w:rsidRPr="004270E8" w:rsidRDefault="004270E8" w:rsidP="004270E8">
      <w:pPr>
        <w:spacing w:after="0" w:line="240" w:lineRule="auto"/>
        <w:ind w:left="-2" w:firstLineChars="0" w:firstLine="0"/>
        <w:jc w:val="both"/>
        <w:rPr>
          <w:rFonts w:ascii="Times New Roman" w:eastAsia="Times New Roman" w:hAnsi="Times New Roman" w:cs="Times New Roman"/>
          <w:i/>
          <w:u w:val="single"/>
          <w:lang w:val="es-MX" w:bidi="es-ES"/>
        </w:rPr>
      </w:pPr>
    </w:p>
    <w:p w14:paraId="4723D357" w14:textId="2634715E" w:rsidR="004270E8" w:rsidRPr="004270E8" w:rsidRDefault="004270E8" w:rsidP="00960F49">
      <w:pPr>
        <w:spacing w:after="0" w:line="240" w:lineRule="auto"/>
        <w:ind w:leftChars="322" w:left="708" w:firstLineChars="0" w:firstLine="0"/>
        <w:jc w:val="both"/>
        <w:rPr>
          <w:rFonts w:ascii="Times New Roman" w:eastAsia="Times New Roman" w:hAnsi="Times New Roman" w:cs="Times New Roman"/>
          <w:lang w:val="es-MX" w:bidi="es-ES"/>
        </w:rPr>
      </w:pPr>
      <w:r w:rsidRPr="004270E8">
        <w:rPr>
          <w:rFonts w:ascii="Times New Roman" w:eastAsia="Times New Roman" w:hAnsi="Times New Roman" w:cs="Times New Roman"/>
          <w:lang w:bidi="es-ES"/>
        </w:rPr>
        <w:t>En caso de que la Sociedad obtenga el consentimiento de la Mayoría Necesaria</w:t>
      </w:r>
      <w:r w:rsidR="008C299A">
        <w:rPr>
          <w:rFonts w:ascii="Times New Roman" w:eastAsia="Times New Roman" w:hAnsi="Times New Roman" w:cs="Times New Roman"/>
          <w:lang w:bidi="es-ES"/>
        </w:rPr>
        <w:t xml:space="preserve"> (</w:t>
      </w:r>
      <w:r w:rsidR="008C299A">
        <w:rPr>
          <w:rFonts w:ascii="Times New Roman" w:eastAsia="Times New Roman" w:hAnsi="Times New Roman" w:cs="Times New Roman"/>
        </w:rPr>
        <w:t>conforme dicho término se define más adelante</w:t>
      </w:r>
      <w:r w:rsidR="008C299A">
        <w:rPr>
          <w:rFonts w:ascii="Times New Roman" w:eastAsia="Times New Roman" w:hAnsi="Times New Roman" w:cs="Times New Roman"/>
          <w:lang w:bidi="es-ES"/>
        </w:rPr>
        <w:t>)</w:t>
      </w:r>
      <w:r w:rsidRPr="004270E8">
        <w:rPr>
          <w:rFonts w:ascii="Times New Roman" w:eastAsia="Times New Roman" w:hAnsi="Times New Roman" w:cs="Times New Roman"/>
          <w:lang w:bidi="es-ES"/>
        </w:rPr>
        <w:t xml:space="preserve"> para la Modificación Propuesta</w:t>
      </w:r>
      <w:r w:rsidRPr="004270E8">
        <w:rPr>
          <w:rFonts w:ascii="Times New Roman" w:eastAsia="Times New Roman" w:hAnsi="Times New Roman" w:cs="Times New Roman"/>
          <w:lang w:val="es-MX" w:bidi="es-ES"/>
        </w:rPr>
        <w:t xml:space="preserve">, se </w:t>
      </w:r>
      <w:r w:rsidRPr="004270E8">
        <w:rPr>
          <w:rFonts w:ascii="Times New Roman" w:eastAsia="Times New Roman" w:hAnsi="Times New Roman" w:cs="Times New Roman"/>
          <w:lang w:bidi="es-ES"/>
        </w:rPr>
        <w:t xml:space="preserve">ampliará y modificará la Garantía de las </w:t>
      </w:r>
      <w:r w:rsidRPr="004270E8">
        <w:rPr>
          <w:rFonts w:ascii="Times New Roman" w:eastAsia="Times New Roman" w:hAnsi="Times New Roman" w:cs="Times New Roman"/>
          <w:lang w:val="es-MX" w:bidi="es-ES"/>
        </w:rPr>
        <w:t>Obligaciones Negociables, mediante</w:t>
      </w:r>
      <w:r w:rsidR="006D3DFC">
        <w:rPr>
          <w:rFonts w:ascii="Times New Roman" w:eastAsia="Times New Roman" w:hAnsi="Times New Roman" w:cs="Times New Roman"/>
          <w:lang w:val="es-MX" w:bidi="es-ES"/>
        </w:rPr>
        <w:t>:</w:t>
      </w:r>
      <w:r w:rsidRPr="004270E8">
        <w:rPr>
          <w:rFonts w:ascii="Times New Roman" w:eastAsia="Times New Roman" w:hAnsi="Times New Roman" w:cs="Times New Roman"/>
          <w:lang w:val="es-MX" w:bidi="es-ES"/>
        </w:rPr>
        <w:t xml:space="preserve"> </w:t>
      </w:r>
    </w:p>
    <w:p w14:paraId="446F8174" w14:textId="77777777" w:rsidR="004270E8" w:rsidRPr="004270E8" w:rsidRDefault="004270E8" w:rsidP="00960F49">
      <w:pPr>
        <w:spacing w:after="0" w:line="240" w:lineRule="auto"/>
        <w:ind w:leftChars="322" w:left="708" w:firstLineChars="0" w:firstLine="0"/>
        <w:jc w:val="both"/>
        <w:rPr>
          <w:rFonts w:ascii="Times New Roman" w:eastAsia="Times New Roman" w:hAnsi="Times New Roman" w:cs="Times New Roman"/>
          <w:lang w:val="es-MX" w:bidi="es-ES"/>
        </w:rPr>
      </w:pPr>
    </w:p>
    <w:p w14:paraId="04C6189C" w14:textId="568E769A" w:rsidR="004270E8" w:rsidRPr="004270E8" w:rsidRDefault="004270E8" w:rsidP="00960F49">
      <w:pPr>
        <w:spacing w:after="0" w:line="240" w:lineRule="auto"/>
        <w:ind w:leftChars="322" w:left="708" w:firstLineChars="0" w:firstLine="0"/>
        <w:jc w:val="both"/>
        <w:rPr>
          <w:rFonts w:ascii="Times New Roman" w:eastAsia="Times New Roman" w:hAnsi="Times New Roman" w:cs="Times New Roman"/>
          <w:lang w:val="es-MX" w:bidi="es-ES"/>
        </w:rPr>
      </w:pPr>
      <w:r w:rsidRPr="004270E8">
        <w:rPr>
          <w:rFonts w:ascii="Times New Roman" w:eastAsia="Times New Roman" w:hAnsi="Times New Roman" w:cs="Times New Roman"/>
          <w:b/>
          <w:lang w:val="es-MX" w:bidi="es-ES"/>
        </w:rPr>
        <w:t>(1)</w:t>
      </w:r>
      <w:r w:rsidRPr="004270E8">
        <w:rPr>
          <w:rFonts w:ascii="Times New Roman" w:eastAsia="Times New Roman" w:hAnsi="Times New Roman" w:cs="Times New Roman"/>
          <w:lang w:val="es-MX" w:bidi="es-ES"/>
        </w:rPr>
        <w:t xml:space="preserve"> la constitución de una prenda en primer grado de privilegio, en beneficio de los Tenedores y en garantía de las Obligaciones Negociables, sobre</w:t>
      </w:r>
      <w:r w:rsidR="00707A57">
        <w:rPr>
          <w:rFonts w:ascii="Times New Roman" w:eastAsia="Times New Roman" w:hAnsi="Times New Roman" w:cs="Times New Roman"/>
          <w:lang w:val="es-MX" w:bidi="es-ES"/>
        </w:rPr>
        <w:t xml:space="preserve"> </w:t>
      </w:r>
      <w:r w:rsidR="008C299A">
        <w:rPr>
          <w:rFonts w:ascii="Times New Roman" w:eastAsia="Times New Roman" w:hAnsi="Times New Roman" w:cs="Times New Roman"/>
          <w:lang w:val="es-MX" w:bidi="es-ES"/>
        </w:rPr>
        <w:t>el</w:t>
      </w:r>
      <w:r w:rsidR="005A50EA">
        <w:rPr>
          <w:rFonts w:ascii="Times New Roman" w:eastAsia="Times New Roman" w:hAnsi="Times New Roman" w:cs="Times New Roman"/>
          <w:lang w:val="es-MX" w:bidi="es-ES"/>
        </w:rPr>
        <w:t xml:space="preserve"> certificado de participación </w:t>
      </w:r>
      <w:r w:rsidR="00F20E89" w:rsidRPr="00F20E89">
        <w:rPr>
          <w:rFonts w:ascii="Times New Roman" w:eastAsia="Times New Roman" w:hAnsi="Times New Roman" w:cs="Times New Roman"/>
          <w:lang w:val="es-AR" w:bidi="es-ES"/>
        </w:rPr>
        <w:t xml:space="preserve">de titularidad de la Sociedad </w:t>
      </w:r>
      <w:r w:rsidR="005A50EA" w:rsidRPr="00D3494C">
        <w:rPr>
          <w:rFonts w:ascii="Times New Roman" w:hAnsi="Times New Roman" w:cs="Times New Roman"/>
          <w:lang w:val="es-AR" w:bidi="es-ES"/>
        </w:rPr>
        <w:t>emitido</w:t>
      </w:r>
      <w:r w:rsidR="005A50EA" w:rsidRPr="005B76C0">
        <w:rPr>
          <w:rFonts w:ascii="Times New Roman" w:hAnsi="Times New Roman" w:cs="Times New Roman"/>
          <w:lang w:val="es-AR" w:bidi="es-ES"/>
        </w:rPr>
        <w:t xml:space="preserve"> bajo el “</w:t>
      </w:r>
      <w:r w:rsidR="005A50EA" w:rsidRPr="005B76C0">
        <w:rPr>
          <w:rFonts w:ascii="Times New Roman" w:hAnsi="Times New Roman" w:cs="Times New Roman"/>
          <w:i/>
          <w:lang w:val="es-AR" w:bidi="es-ES"/>
        </w:rPr>
        <w:t>Contrato de Fideicomiso Financiero Privado Inmobiliario de Administración Catalinas I</w:t>
      </w:r>
      <w:r w:rsidR="005A50EA" w:rsidRPr="005B76C0">
        <w:rPr>
          <w:rFonts w:ascii="Times New Roman" w:hAnsi="Times New Roman" w:cs="Times New Roman"/>
          <w:lang w:val="es-AR" w:bidi="es-ES"/>
        </w:rPr>
        <w:t xml:space="preserve">” de fecha 13 de marzo de 2018 (incluyendo su primer adenda de fecha 26 de marzo de 2018 y la segunda adenda de fecha 5 de agosto de 2019) celebrado entre la Sociedad, BA </w:t>
      </w:r>
      <w:proofErr w:type="spellStart"/>
      <w:r w:rsidR="005A50EA" w:rsidRPr="005B76C0">
        <w:rPr>
          <w:rFonts w:ascii="Times New Roman" w:hAnsi="Times New Roman" w:cs="Times New Roman"/>
          <w:lang w:val="es-AR" w:bidi="es-ES"/>
        </w:rPr>
        <w:t>Development</w:t>
      </w:r>
      <w:proofErr w:type="spellEnd"/>
      <w:r w:rsidR="005A50EA" w:rsidRPr="005B76C0">
        <w:rPr>
          <w:rFonts w:ascii="Times New Roman" w:hAnsi="Times New Roman" w:cs="Times New Roman"/>
          <w:lang w:val="es-AR" w:bidi="es-ES"/>
        </w:rPr>
        <w:t xml:space="preserve"> II </w:t>
      </w:r>
      <w:proofErr w:type="spellStart"/>
      <w:r w:rsidR="005A50EA" w:rsidRPr="005B76C0">
        <w:rPr>
          <w:rFonts w:ascii="Times New Roman" w:hAnsi="Times New Roman" w:cs="Times New Roman"/>
          <w:lang w:val="es-AR" w:bidi="es-ES"/>
        </w:rPr>
        <w:t>GmbH</w:t>
      </w:r>
      <w:proofErr w:type="spellEnd"/>
      <w:r w:rsidR="005A50EA" w:rsidRPr="005B76C0">
        <w:rPr>
          <w:rFonts w:ascii="Times New Roman" w:hAnsi="Times New Roman" w:cs="Times New Roman"/>
          <w:lang w:val="es-AR" w:bidi="es-ES"/>
        </w:rPr>
        <w:t xml:space="preserve"> y </w:t>
      </w:r>
      <w:r w:rsidR="005A50EA" w:rsidRPr="005B76C0">
        <w:rPr>
          <w:rFonts w:ascii="Times New Roman" w:hAnsi="Times New Roman" w:cs="Times New Roman"/>
          <w:lang w:val="es-AR" w:bidi="es-ES"/>
        </w:rPr>
        <w:lastRenderedPageBreak/>
        <w:t>Allaria Ledesma Fiduciaria S.A. en su carácter de fiduciario financiero (</w:t>
      </w:r>
      <w:r w:rsidR="000E035D">
        <w:rPr>
          <w:rFonts w:ascii="Times New Roman" w:hAnsi="Times New Roman" w:cs="Times New Roman"/>
          <w:lang w:val="es-AR" w:bidi="es-ES"/>
        </w:rPr>
        <w:t>el “</w:t>
      </w:r>
      <w:r w:rsidR="000E035D" w:rsidRPr="007A416A">
        <w:rPr>
          <w:rFonts w:ascii="Times New Roman" w:hAnsi="Times New Roman" w:cs="Times New Roman"/>
          <w:u w:val="single"/>
          <w:lang w:val="es-AR" w:bidi="es-ES"/>
        </w:rPr>
        <w:t>Fiduciario Catalinas</w:t>
      </w:r>
      <w:r w:rsidR="000E035D">
        <w:rPr>
          <w:rFonts w:ascii="Times New Roman" w:hAnsi="Times New Roman" w:cs="Times New Roman"/>
          <w:lang w:val="es-AR" w:bidi="es-ES"/>
        </w:rPr>
        <w:t xml:space="preserve">”, </w:t>
      </w:r>
      <w:r w:rsidR="005A50EA" w:rsidRPr="005B76C0">
        <w:rPr>
          <w:rFonts w:ascii="Times New Roman" w:hAnsi="Times New Roman" w:cs="Times New Roman"/>
          <w:lang w:val="es-AR" w:bidi="es-ES"/>
        </w:rPr>
        <w:t>el “</w:t>
      </w:r>
      <w:r w:rsidR="005A50EA" w:rsidRPr="005B76C0">
        <w:rPr>
          <w:rFonts w:ascii="Times New Roman" w:hAnsi="Times New Roman" w:cs="Times New Roman"/>
          <w:u w:val="single"/>
          <w:lang w:val="es-AR" w:bidi="es-ES"/>
        </w:rPr>
        <w:t>Fideicomiso Catalinas</w:t>
      </w:r>
      <w:r w:rsidR="00AF27E4">
        <w:rPr>
          <w:rFonts w:ascii="Times New Roman" w:hAnsi="Times New Roman" w:cs="Times New Roman"/>
          <w:lang w:val="es-AR" w:bidi="es-ES"/>
        </w:rPr>
        <w:t>”</w:t>
      </w:r>
      <w:r w:rsidR="005A50EA" w:rsidRPr="005B76C0">
        <w:rPr>
          <w:rFonts w:ascii="Times New Roman" w:hAnsi="Times New Roman" w:cs="Times New Roman"/>
          <w:lang w:val="es-AR" w:bidi="es-ES"/>
        </w:rPr>
        <w:t xml:space="preserve"> y</w:t>
      </w:r>
      <w:r w:rsidR="00AF27E4">
        <w:rPr>
          <w:rFonts w:ascii="Times New Roman" w:hAnsi="Times New Roman" w:cs="Times New Roman"/>
          <w:lang w:val="es-AR" w:bidi="es-ES"/>
        </w:rPr>
        <w:t>,</w:t>
      </w:r>
      <w:r w:rsidR="005A50EA" w:rsidRPr="005B76C0">
        <w:rPr>
          <w:rFonts w:ascii="Times New Roman" w:hAnsi="Times New Roman" w:cs="Times New Roman"/>
          <w:lang w:val="es-AR" w:bidi="es-ES"/>
        </w:rPr>
        <w:t xml:space="preserve"> la “</w:t>
      </w:r>
      <w:r w:rsidR="005A50EA" w:rsidRPr="005B76C0">
        <w:rPr>
          <w:rFonts w:ascii="Times New Roman" w:hAnsi="Times New Roman" w:cs="Times New Roman"/>
          <w:u w:val="single"/>
          <w:lang w:val="es-AR" w:bidi="es-ES"/>
        </w:rPr>
        <w:t>Participación en Catalinas</w:t>
      </w:r>
      <w:r w:rsidR="005A50EA" w:rsidRPr="009E6887">
        <w:rPr>
          <w:rFonts w:ascii="Times New Roman" w:hAnsi="Times New Roman" w:cs="Times New Roman"/>
          <w:lang w:val="es-AR" w:bidi="es-ES"/>
        </w:rPr>
        <w:t>”, respectivamente)</w:t>
      </w:r>
      <w:r w:rsidR="00D76AFE">
        <w:rPr>
          <w:rFonts w:ascii="Times New Roman" w:hAnsi="Times New Roman" w:cs="Times New Roman"/>
          <w:lang w:val="es-AR" w:bidi="es-ES"/>
        </w:rPr>
        <w:t xml:space="preserve"> que representa el 47,7535% de la totalidad de los certificados de participación emitidos bajo el Fideicomiso Catalinas  </w:t>
      </w:r>
      <w:r w:rsidRPr="004270E8">
        <w:rPr>
          <w:rFonts w:ascii="Times New Roman" w:eastAsia="Times New Roman" w:hAnsi="Times New Roman" w:cs="Times New Roman"/>
          <w:lang w:val="es-AR" w:bidi="es-ES"/>
        </w:rPr>
        <w:t>(la “</w:t>
      </w:r>
      <w:r w:rsidRPr="004270E8">
        <w:rPr>
          <w:rFonts w:ascii="Times New Roman" w:eastAsia="Times New Roman" w:hAnsi="Times New Roman" w:cs="Times New Roman"/>
          <w:u w:val="single"/>
          <w:lang w:val="es-AR" w:bidi="es-ES"/>
        </w:rPr>
        <w:t>Prenda</w:t>
      </w:r>
      <w:r w:rsidRPr="004270E8">
        <w:rPr>
          <w:rFonts w:ascii="Times New Roman" w:eastAsia="Times New Roman" w:hAnsi="Times New Roman" w:cs="Times New Roman"/>
          <w:lang w:val="es-AR" w:bidi="es-ES"/>
        </w:rPr>
        <w:t>”)</w:t>
      </w:r>
      <w:r w:rsidR="000E035D">
        <w:rPr>
          <w:rFonts w:ascii="Times New Roman" w:eastAsia="Times New Roman" w:hAnsi="Times New Roman" w:cs="Times New Roman"/>
          <w:lang w:val="es-AR" w:bidi="es-ES"/>
        </w:rPr>
        <w:t>, de</w:t>
      </w:r>
      <w:r w:rsidR="004F2C47">
        <w:rPr>
          <w:rFonts w:ascii="Times New Roman" w:eastAsia="Times New Roman" w:hAnsi="Times New Roman" w:cs="Times New Roman"/>
          <w:lang w:val="es-AR" w:bidi="es-ES"/>
        </w:rPr>
        <w:t xml:space="preserve"> conformidad con el contrato de Prenda (en adelante el “</w:t>
      </w:r>
      <w:r w:rsidR="004F2C47" w:rsidRPr="004F2C47">
        <w:rPr>
          <w:rFonts w:ascii="Times New Roman" w:eastAsia="Times New Roman" w:hAnsi="Times New Roman" w:cs="Times New Roman"/>
          <w:u w:val="single"/>
          <w:lang w:val="es-AR" w:bidi="es-ES"/>
        </w:rPr>
        <w:t>Contrato de Prenda</w:t>
      </w:r>
      <w:r w:rsidR="004F2C47">
        <w:rPr>
          <w:rFonts w:ascii="Times New Roman" w:eastAsia="Times New Roman" w:hAnsi="Times New Roman" w:cs="Times New Roman"/>
          <w:lang w:val="es-AR" w:bidi="es-ES"/>
        </w:rPr>
        <w:t xml:space="preserve">”) a celebrarse entre la Sociedad y </w:t>
      </w:r>
      <w:r w:rsidR="00DF1C0D">
        <w:rPr>
          <w:rFonts w:ascii="Times New Roman" w:eastAsia="Times New Roman" w:hAnsi="Times New Roman" w:cs="Times New Roman"/>
          <w:lang w:val="es-AR" w:bidi="es-ES"/>
        </w:rPr>
        <w:t>cualquier entidad</w:t>
      </w:r>
      <w:r w:rsidR="00A233FF">
        <w:rPr>
          <w:rFonts w:ascii="Times New Roman" w:eastAsia="Times New Roman" w:hAnsi="Times New Roman" w:cs="Times New Roman"/>
          <w:lang w:val="es-AR" w:bidi="es-ES"/>
        </w:rPr>
        <w:t>,</w:t>
      </w:r>
      <w:r w:rsidR="00DF1C0D">
        <w:rPr>
          <w:rFonts w:ascii="Times New Roman" w:eastAsia="Times New Roman" w:hAnsi="Times New Roman" w:cs="Times New Roman"/>
          <w:lang w:val="es-AR" w:bidi="es-ES"/>
        </w:rPr>
        <w:t xml:space="preserve"> </w:t>
      </w:r>
      <w:r w:rsidR="007C1900">
        <w:rPr>
          <w:rFonts w:ascii="Times New Roman" w:eastAsia="Times New Roman" w:hAnsi="Times New Roman" w:cs="Times New Roman"/>
          <w:lang w:val="es-AR" w:bidi="es-ES"/>
        </w:rPr>
        <w:t xml:space="preserve">a ser designada por la Emisora siguiendo la instrucción de </w:t>
      </w:r>
      <w:r w:rsidR="00D5275D" w:rsidRPr="00D5275D">
        <w:rPr>
          <w:rFonts w:ascii="Times New Roman" w:eastAsia="Times New Roman" w:hAnsi="Times New Roman" w:cs="Times New Roman"/>
          <w:lang w:val="es-AR" w:bidi="es-ES"/>
        </w:rPr>
        <w:t>los Tenedores</w:t>
      </w:r>
      <w:r w:rsidR="00242A52">
        <w:rPr>
          <w:rFonts w:ascii="Times New Roman" w:eastAsia="Times New Roman" w:hAnsi="Times New Roman" w:cs="Times New Roman"/>
          <w:lang w:val="es-AR" w:bidi="es-ES"/>
        </w:rPr>
        <w:t xml:space="preserve"> que representen al menos el 51% del monto de capital de las Obligaciones Negociables</w:t>
      </w:r>
      <w:r w:rsidR="00A233FF">
        <w:rPr>
          <w:rFonts w:ascii="Times New Roman" w:eastAsia="Times New Roman" w:hAnsi="Times New Roman" w:cs="Times New Roman"/>
          <w:lang w:val="es-AR" w:bidi="es-ES"/>
        </w:rPr>
        <w:t>,</w:t>
      </w:r>
      <w:r w:rsidR="00242A52">
        <w:rPr>
          <w:rFonts w:ascii="Times New Roman" w:eastAsia="Times New Roman" w:hAnsi="Times New Roman" w:cs="Times New Roman"/>
          <w:lang w:val="es-AR" w:bidi="es-ES"/>
        </w:rPr>
        <w:t xml:space="preserve"> </w:t>
      </w:r>
      <w:r w:rsidR="00DF1C0D" w:rsidRPr="00DF1C0D">
        <w:rPr>
          <w:rFonts w:ascii="Times New Roman" w:eastAsia="Times New Roman" w:hAnsi="Times New Roman" w:cs="Times New Roman"/>
          <w:lang w:val="es-AR" w:bidi="es-ES"/>
        </w:rPr>
        <w:t>entre las instituciones autorizadas a funcionar como</w:t>
      </w:r>
      <w:r w:rsidR="00F61F7E">
        <w:rPr>
          <w:rFonts w:ascii="Times New Roman" w:eastAsia="Times New Roman" w:hAnsi="Times New Roman" w:cs="Times New Roman"/>
          <w:lang w:val="es-AR" w:bidi="es-ES"/>
        </w:rPr>
        <w:t xml:space="preserve"> banco comercial bajo la ley Nº</w:t>
      </w:r>
      <w:r w:rsidR="00DF1C0D" w:rsidRPr="00DF1C0D">
        <w:rPr>
          <w:rFonts w:ascii="Times New Roman" w:eastAsia="Times New Roman" w:hAnsi="Times New Roman" w:cs="Times New Roman"/>
          <w:lang w:val="es-AR" w:bidi="es-ES"/>
        </w:rPr>
        <w:t xml:space="preserve"> 21.526, y sus modificatorias, o cualquier otra entidad elegible con contada experiencia en ese tipo de roles de agencia que </w:t>
      </w:r>
      <w:r w:rsidR="008E1E3B">
        <w:rPr>
          <w:rFonts w:ascii="Times New Roman" w:eastAsia="Times New Roman" w:hAnsi="Times New Roman" w:cs="Times New Roman"/>
          <w:lang w:val="es-AR" w:bidi="es-ES"/>
        </w:rPr>
        <w:t>asuma sus funciones</w:t>
      </w:r>
      <w:r w:rsidR="00DF1C0D" w:rsidRPr="00DF1C0D" w:rsidDel="00DF1C0D">
        <w:rPr>
          <w:rFonts w:ascii="Times New Roman" w:eastAsia="Times New Roman" w:hAnsi="Times New Roman" w:cs="Times New Roman"/>
          <w:lang w:val="es-AR" w:bidi="es-ES"/>
        </w:rPr>
        <w:t xml:space="preserve"> </w:t>
      </w:r>
      <w:r w:rsidR="001D2320">
        <w:rPr>
          <w:rFonts w:ascii="Times New Roman" w:eastAsia="Times New Roman" w:hAnsi="Times New Roman" w:cs="Times New Roman"/>
          <w:lang w:val="es-AR" w:bidi="es-ES"/>
        </w:rPr>
        <w:t xml:space="preserve"> actuando como agente de garantía</w:t>
      </w:r>
      <w:r w:rsidR="00DF1C0D">
        <w:rPr>
          <w:rFonts w:ascii="Times New Roman" w:eastAsia="Times New Roman" w:hAnsi="Times New Roman" w:cs="Times New Roman"/>
          <w:lang w:val="es-AR" w:bidi="es-ES"/>
        </w:rPr>
        <w:t xml:space="preserve"> (el “</w:t>
      </w:r>
      <w:r w:rsidR="00DF1C0D" w:rsidRPr="00321942">
        <w:rPr>
          <w:rFonts w:ascii="Times New Roman" w:eastAsia="Times New Roman" w:hAnsi="Times New Roman" w:cs="Times New Roman"/>
          <w:u w:val="single"/>
          <w:lang w:val="es-AR" w:bidi="es-ES"/>
        </w:rPr>
        <w:t>Agente de la Garantía de la Prenda</w:t>
      </w:r>
      <w:r w:rsidR="00DF1C0D">
        <w:rPr>
          <w:rFonts w:ascii="Times New Roman" w:eastAsia="Times New Roman" w:hAnsi="Times New Roman" w:cs="Times New Roman"/>
          <w:lang w:val="es-AR" w:bidi="es-ES"/>
        </w:rPr>
        <w:t>”)</w:t>
      </w:r>
      <w:r w:rsidR="004F2C47">
        <w:rPr>
          <w:rFonts w:ascii="Times New Roman" w:eastAsia="Times New Roman" w:hAnsi="Times New Roman" w:cs="Times New Roman"/>
          <w:lang w:val="es-AR" w:bidi="es-ES"/>
        </w:rPr>
        <w:t xml:space="preserve">. </w:t>
      </w:r>
      <w:r w:rsidR="000E035D">
        <w:rPr>
          <w:rFonts w:ascii="Times New Roman" w:eastAsia="Times New Roman" w:hAnsi="Times New Roman" w:cs="Times New Roman"/>
          <w:lang w:val="es-AR" w:bidi="es-ES"/>
        </w:rPr>
        <w:t>Asimismo, e</w:t>
      </w:r>
      <w:r w:rsidR="004F2C47">
        <w:rPr>
          <w:rFonts w:ascii="Times New Roman" w:eastAsia="Times New Roman" w:hAnsi="Times New Roman" w:cs="Times New Roman"/>
          <w:lang w:val="es-AR" w:bidi="es-ES"/>
        </w:rPr>
        <w:t>l Contrato de Prenda preverá</w:t>
      </w:r>
      <w:r w:rsidR="000E035D">
        <w:rPr>
          <w:rFonts w:ascii="Times New Roman" w:eastAsia="Times New Roman" w:hAnsi="Times New Roman" w:cs="Times New Roman"/>
          <w:lang w:val="es-AR" w:bidi="es-ES"/>
        </w:rPr>
        <w:t>,</w:t>
      </w:r>
      <w:r w:rsidR="004F2C47">
        <w:rPr>
          <w:rFonts w:ascii="Times New Roman" w:eastAsia="Times New Roman" w:hAnsi="Times New Roman" w:cs="Times New Roman"/>
          <w:lang w:val="es-AR" w:bidi="es-ES"/>
        </w:rPr>
        <w:t xml:space="preserve"> además de las condiciones usuales y del registro del gravamen por</w:t>
      </w:r>
      <w:r w:rsidR="000E035D">
        <w:rPr>
          <w:rFonts w:ascii="Times New Roman" w:eastAsia="Times New Roman" w:hAnsi="Times New Roman" w:cs="Times New Roman"/>
          <w:lang w:val="es-AR" w:bidi="es-ES"/>
        </w:rPr>
        <w:t xml:space="preserve"> parte del Fiduciario Catalinas</w:t>
      </w:r>
      <w:r w:rsidR="004F2C47">
        <w:rPr>
          <w:rFonts w:ascii="Times New Roman" w:eastAsia="Times New Roman" w:hAnsi="Times New Roman" w:cs="Times New Roman"/>
          <w:lang w:val="es-AR" w:bidi="es-ES"/>
        </w:rPr>
        <w:t xml:space="preserve">, </w:t>
      </w:r>
      <w:r w:rsidR="000E035D">
        <w:rPr>
          <w:rFonts w:ascii="Times New Roman" w:eastAsia="Times New Roman" w:hAnsi="Times New Roman" w:cs="Times New Roman"/>
          <w:lang w:val="es-AR" w:bidi="es-ES"/>
        </w:rPr>
        <w:t xml:space="preserve">que </w:t>
      </w:r>
      <w:r w:rsidR="008C299A">
        <w:rPr>
          <w:rFonts w:ascii="Times New Roman" w:eastAsia="Times New Roman" w:hAnsi="Times New Roman" w:cs="Times New Roman"/>
          <w:lang w:val="es-AR" w:bidi="es-ES"/>
        </w:rPr>
        <w:t>el</w:t>
      </w:r>
      <w:r w:rsidR="000E035D">
        <w:rPr>
          <w:rFonts w:ascii="Times New Roman" w:eastAsia="Times New Roman" w:hAnsi="Times New Roman" w:cs="Times New Roman"/>
          <w:lang w:val="es-AR" w:bidi="es-ES"/>
        </w:rPr>
        <w:t xml:space="preserve"> </w:t>
      </w:r>
      <w:r w:rsidR="008C299A">
        <w:rPr>
          <w:rFonts w:ascii="Times New Roman" w:eastAsia="Times New Roman" w:hAnsi="Times New Roman" w:cs="Times New Roman"/>
          <w:lang w:val="es-AR" w:bidi="es-ES"/>
        </w:rPr>
        <w:t>F</w:t>
      </w:r>
      <w:r w:rsidR="000E035D">
        <w:rPr>
          <w:rFonts w:ascii="Times New Roman" w:eastAsia="Times New Roman" w:hAnsi="Times New Roman" w:cs="Times New Roman"/>
          <w:lang w:val="es-AR" w:bidi="es-ES"/>
        </w:rPr>
        <w:t>iduciario</w:t>
      </w:r>
      <w:r w:rsidR="008C299A">
        <w:rPr>
          <w:rFonts w:ascii="Times New Roman" w:eastAsia="Times New Roman" w:hAnsi="Times New Roman" w:cs="Times New Roman"/>
          <w:lang w:val="es-AR" w:bidi="es-ES"/>
        </w:rPr>
        <w:t xml:space="preserve"> Catalinas</w:t>
      </w:r>
      <w:r w:rsidR="000E035D">
        <w:rPr>
          <w:rFonts w:ascii="Times New Roman" w:eastAsia="Times New Roman" w:hAnsi="Times New Roman" w:cs="Times New Roman"/>
          <w:lang w:val="es-AR" w:bidi="es-ES"/>
        </w:rPr>
        <w:t>,</w:t>
      </w:r>
      <w:r w:rsidR="004F2C47">
        <w:rPr>
          <w:rFonts w:ascii="Times New Roman" w:eastAsia="Times New Roman" w:hAnsi="Times New Roman" w:cs="Times New Roman"/>
          <w:lang w:val="es-AR" w:bidi="es-ES"/>
        </w:rPr>
        <w:t xml:space="preserve"> a partir de </w:t>
      </w:r>
      <w:r w:rsidR="001D2320">
        <w:rPr>
          <w:rFonts w:ascii="Times New Roman" w:eastAsia="Times New Roman" w:hAnsi="Times New Roman" w:cs="Times New Roman"/>
          <w:lang w:val="es-AR" w:bidi="es-ES"/>
        </w:rPr>
        <w:t>la toma de razón de la Prenda</w:t>
      </w:r>
      <w:r w:rsidR="000E035D">
        <w:rPr>
          <w:rFonts w:ascii="Times New Roman" w:eastAsia="Times New Roman" w:hAnsi="Times New Roman" w:cs="Times New Roman"/>
          <w:lang w:val="es-AR" w:bidi="es-ES"/>
        </w:rPr>
        <w:t>,</w:t>
      </w:r>
      <w:r w:rsidR="004F2C47">
        <w:rPr>
          <w:rFonts w:ascii="Times New Roman" w:eastAsia="Times New Roman" w:hAnsi="Times New Roman" w:cs="Times New Roman"/>
          <w:lang w:val="es-AR" w:bidi="es-ES"/>
        </w:rPr>
        <w:t xml:space="preserve"> </w:t>
      </w:r>
      <w:r w:rsidR="000E035D">
        <w:rPr>
          <w:rFonts w:ascii="Times New Roman" w:eastAsia="Times New Roman" w:hAnsi="Times New Roman" w:cs="Times New Roman"/>
          <w:lang w:val="es-AR" w:bidi="es-ES"/>
        </w:rPr>
        <w:t xml:space="preserve">(i) </w:t>
      </w:r>
      <w:proofErr w:type="spellStart"/>
      <w:r w:rsidR="008C299A">
        <w:rPr>
          <w:rFonts w:ascii="Times New Roman" w:eastAsia="Times New Roman" w:hAnsi="Times New Roman" w:cs="Times New Roman"/>
          <w:lang w:val="es-AR" w:bidi="es-ES"/>
        </w:rPr>
        <w:t>intervierta</w:t>
      </w:r>
      <w:proofErr w:type="spellEnd"/>
      <w:r w:rsidR="000E035D">
        <w:rPr>
          <w:rFonts w:ascii="Times New Roman" w:eastAsia="Times New Roman" w:hAnsi="Times New Roman" w:cs="Times New Roman"/>
          <w:lang w:val="es-AR" w:bidi="es-ES"/>
        </w:rPr>
        <w:t xml:space="preserve"> </w:t>
      </w:r>
      <w:r w:rsidR="008C299A">
        <w:rPr>
          <w:rFonts w:ascii="Times New Roman" w:eastAsia="Times New Roman" w:hAnsi="Times New Roman" w:cs="Times New Roman"/>
          <w:lang w:val="es-AR" w:bidi="es-ES"/>
        </w:rPr>
        <w:t>e</w:t>
      </w:r>
      <w:r w:rsidR="000E035D">
        <w:rPr>
          <w:rFonts w:ascii="Times New Roman" w:eastAsia="Times New Roman" w:hAnsi="Times New Roman" w:cs="Times New Roman"/>
          <w:lang w:val="es-AR" w:bidi="es-ES"/>
        </w:rPr>
        <w:t>l</w:t>
      </w:r>
      <w:r w:rsidR="004F2C47">
        <w:rPr>
          <w:rFonts w:ascii="Times New Roman" w:eastAsia="Times New Roman" w:hAnsi="Times New Roman" w:cs="Times New Roman"/>
          <w:lang w:val="es-AR" w:bidi="es-ES"/>
        </w:rPr>
        <w:t xml:space="preserve"> título por el cual </w:t>
      </w:r>
      <w:r w:rsidR="001D2320">
        <w:rPr>
          <w:rFonts w:ascii="Times New Roman" w:eastAsia="Times New Roman" w:hAnsi="Times New Roman" w:cs="Times New Roman"/>
          <w:lang w:val="es-AR" w:bidi="es-ES"/>
        </w:rPr>
        <w:t>tiene</w:t>
      </w:r>
      <w:r w:rsidR="004F2C47">
        <w:rPr>
          <w:rFonts w:ascii="Times New Roman" w:eastAsia="Times New Roman" w:hAnsi="Times New Roman" w:cs="Times New Roman"/>
          <w:lang w:val="es-AR" w:bidi="es-ES"/>
        </w:rPr>
        <w:t xml:space="preserve"> el depósito de</w:t>
      </w:r>
      <w:r w:rsidR="008C299A">
        <w:rPr>
          <w:rFonts w:ascii="Times New Roman" w:eastAsia="Times New Roman" w:hAnsi="Times New Roman" w:cs="Times New Roman"/>
          <w:lang w:val="es-AR" w:bidi="es-ES"/>
        </w:rPr>
        <w:t>l</w:t>
      </w:r>
      <w:r w:rsidR="004F2C47">
        <w:rPr>
          <w:rFonts w:ascii="Times New Roman" w:eastAsia="Times New Roman" w:hAnsi="Times New Roman" w:cs="Times New Roman"/>
          <w:lang w:val="es-AR" w:bidi="es-ES"/>
        </w:rPr>
        <w:t xml:space="preserve"> certific</w:t>
      </w:r>
      <w:r w:rsidR="000E035D">
        <w:rPr>
          <w:rFonts w:ascii="Times New Roman" w:eastAsia="Times New Roman" w:hAnsi="Times New Roman" w:cs="Times New Roman"/>
          <w:lang w:val="es-AR" w:bidi="es-ES"/>
        </w:rPr>
        <w:t>ado de participación prendado</w:t>
      </w:r>
      <w:r w:rsidR="00B61C98">
        <w:rPr>
          <w:rFonts w:ascii="Times New Roman" w:eastAsia="Times New Roman" w:hAnsi="Times New Roman" w:cs="Times New Roman"/>
          <w:lang w:val="es-AR" w:bidi="es-ES"/>
        </w:rPr>
        <w:t>;</w:t>
      </w:r>
      <w:r w:rsidR="000E035D">
        <w:rPr>
          <w:rFonts w:ascii="Times New Roman" w:eastAsia="Times New Roman" w:hAnsi="Times New Roman" w:cs="Times New Roman"/>
          <w:lang w:val="es-AR" w:bidi="es-ES"/>
        </w:rPr>
        <w:t xml:space="preserve"> y (ii) mantenga</w:t>
      </w:r>
      <w:r w:rsidR="004F2C47">
        <w:rPr>
          <w:rFonts w:ascii="Times New Roman" w:eastAsia="Times New Roman" w:hAnsi="Times New Roman" w:cs="Times New Roman"/>
          <w:lang w:val="es-AR" w:bidi="es-ES"/>
        </w:rPr>
        <w:t xml:space="preserve"> en depósito </w:t>
      </w:r>
      <w:r w:rsidR="00B61C98">
        <w:rPr>
          <w:rFonts w:ascii="Times New Roman" w:eastAsia="Times New Roman" w:hAnsi="Times New Roman" w:cs="Times New Roman"/>
          <w:lang w:val="es-AR" w:bidi="es-ES"/>
        </w:rPr>
        <w:t>e</w:t>
      </w:r>
      <w:r w:rsidR="004F2C47">
        <w:rPr>
          <w:rFonts w:ascii="Times New Roman" w:eastAsia="Times New Roman" w:hAnsi="Times New Roman" w:cs="Times New Roman"/>
          <w:lang w:val="es-AR" w:bidi="es-ES"/>
        </w:rPr>
        <w:t xml:space="preserve">l certificado </w:t>
      </w:r>
      <w:r w:rsidR="00B61C98">
        <w:rPr>
          <w:rFonts w:ascii="Times New Roman" w:eastAsia="Times New Roman" w:hAnsi="Times New Roman" w:cs="Times New Roman"/>
          <w:lang w:val="es-AR" w:bidi="es-ES"/>
        </w:rPr>
        <w:t xml:space="preserve">de participación </w:t>
      </w:r>
      <w:r w:rsidR="004F2C47">
        <w:rPr>
          <w:rFonts w:ascii="Times New Roman" w:eastAsia="Times New Roman" w:hAnsi="Times New Roman" w:cs="Times New Roman"/>
          <w:lang w:val="es-AR" w:bidi="es-ES"/>
        </w:rPr>
        <w:t>prendado conforme la cláusula 8.3 del Fideicomiso Catalinas, por cuenta</w:t>
      </w:r>
      <w:r w:rsidR="0074010D">
        <w:rPr>
          <w:rFonts w:ascii="Times New Roman" w:eastAsia="Times New Roman" w:hAnsi="Times New Roman" w:cs="Times New Roman"/>
          <w:lang w:val="es-AR" w:bidi="es-ES"/>
        </w:rPr>
        <w:t xml:space="preserve"> del Agente de Garantía y en beneficio y garantía de los Tenedores bajo la Prenda</w:t>
      </w:r>
      <w:r w:rsidRPr="004270E8">
        <w:rPr>
          <w:rFonts w:ascii="Times New Roman" w:eastAsia="Times New Roman" w:hAnsi="Times New Roman" w:cs="Times New Roman"/>
          <w:lang w:val="es-MX" w:bidi="es-ES"/>
        </w:rPr>
        <w:t>; y</w:t>
      </w:r>
    </w:p>
    <w:p w14:paraId="3EAAC781" w14:textId="77777777" w:rsidR="004270E8" w:rsidRPr="004270E8" w:rsidRDefault="004270E8" w:rsidP="00960F49">
      <w:pPr>
        <w:spacing w:after="0" w:line="240" w:lineRule="auto"/>
        <w:ind w:leftChars="322" w:left="708" w:firstLineChars="0" w:firstLine="0"/>
        <w:jc w:val="both"/>
        <w:rPr>
          <w:rFonts w:ascii="Times New Roman" w:eastAsia="Times New Roman" w:hAnsi="Times New Roman" w:cs="Times New Roman"/>
          <w:lang w:val="es-MX" w:bidi="es-ES"/>
        </w:rPr>
      </w:pPr>
    </w:p>
    <w:p w14:paraId="38B4677F" w14:textId="2A25D77B" w:rsidR="004270E8" w:rsidRPr="004270E8" w:rsidRDefault="004270E8" w:rsidP="00960F49">
      <w:pPr>
        <w:spacing w:after="0" w:line="240" w:lineRule="auto"/>
        <w:ind w:leftChars="322" w:left="708" w:firstLineChars="0" w:firstLine="0"/>
        <w:jc w:val="both"/>
        <w:rPr>
          <w:rFonts w:ascii="Times New Roman" w:eastAsia="Times New Roman" w:hAnsi="Times New Roman" w:cs="Times New Roman"/>
          <w:lang w:val="es-MX" w:bidi="es-ES"/>
        </w:rPr>
      </w:pPr>
      <w:r w:rsidRPr="004270E8">
        <w:rPr>
          <w:rFonts w:ascii="Times New Roman" w:eastAsia="Times New Roman" w:hAnsi="Times New Roman" w:cs="Times New Roman"/>
          <w:b/>
          <w:lang w:val="es-MX" w:bidi="es-ES"/>
        </w:rPr>
        <w:t>(2)</w:t>
      </w:r>
      <w:r w:rsidRPr="004270E8">
        <w:rPr>
          <w:rFonts w:ascii="Times New Roman" w:eastAsia="Times New Roman" w:hAnsi="Times New Roman" w:cs="Times New Roman"/>
          <w:lang w:val="es-MX" w:bidi="es-ES"/>
        </w:rPr>
        <w:t xml:space="preserve"> la cesión</w:t>
      </w:r>
      <w:r w:rsidR="0090695F">
        <w:rPr>
          <w:rFonts w:ascii="Times New Roman" w:eastAsia="Times New Roman" w:hAnsi="Times New Roman" w:cs="Times New Roman"/>
          <w:lang w:val="es-MX" w:bidi="es-ES"/>
        </w:rPr>
        <w:t xml:space="preserve"> fiduciaria</w:t>
      </w:r>
      <w:r w:rsidRPr="004270E8">
        <w:rPr>
          <w:rFonts w:ascii="Times New Roman" w:eastAsia="Times New Roman" w:hAnsi="Times New Roman" w:cs="Times New Roman"/>
          <w:lang w:val="es-MX" w:bidi="es-ES"/>
        </w:rPr>
        <w:t xml:space="preserve"> en garantía por parte de la Sociedad, a favor de un fideicomiso</w:t>
      </w:r>
      <w:r w:rsidR="00C57373">
        <w:rPr>
          <w:rFonts w:ascii="Times New Roman" w:eastAsia="Times New Roman" w:hAnsi="Times New Roman" w:cs="Times New Roman"/>
          <w:lang w:val="es-MX" w:bidi="es-ES"/>
        </w:rPr>
        <w:t xml:space="preserve"> </w:t>
      </w:r>
      <w:r w:rsidR="00A7112F">
        <w:rPr>
          <w:rFonts w:ascii="Times New Roman" w:eastAsia="Times New Roman" w:hAnsi="Times New Roman" w:cs="Times New Roman"/>
          <w:lang w:val="es-MX" w:bidi="es-ES"/>
        </w:rPr>
        <w:t xml:space="preserve">en donde la Sociedad actuará como fiduciante y </w:t>
      </w:r>
      <w:r w:rsidR="00DF1C0D" w:rsidRPr="00DF1C0D">
        <w:rPr>
          <w:rFonts w:ascii="Times New Roman" w:eastAsia="Times New Roman" w:hAnsi="Times New Roman" w:cs="Times New Roman"/>
          <w:lang w:val="es-MX" w:bidi="es-ES"/>
        </w:rPr>
        <w:t>cualquier entidad</w:t>
      </w:r>
      <w:r w:rsidR="003D347A">
        <w:rPr>
          <w:rFonts w:ascii="Times New Roman" w:eastAsia="Times New Roman" w:hAnsi="Times New Roman" w:cs="Times New Roman"/>
          <w:lang w:val="es-MX" w:bidi="es-ES"/>
        </w:rPr>
        <w:t>,</w:t>
      </w:r>
      <w:r w:rsidR="007C1900">
        <w:rPr>
          <w:rFonts w:ascii="Times New Roman" w:eastAsia="Times New Roman" w:hAnsi="Times New Roman" w:cs="Times New Roman"/>
          <w:lang w:val="es-MX" w:bidi="es-ES"/>
        </w:rPr>
        <w:t xml:space="preserve"> </w:t>
      </w:r>
      <w:r w:rsidR="007C1900">
        <w:rPr>
          <w:rFonts w:ascii="Times New Roman" w:eastAsia="Times New Roman" w:hAnsi="Times New Roman" w:cs="Times New Roman"/>
          <w:lang w:val="es-AR" w:bidi="es-ES"/>
        </w:rPr>
        <w:t>a ser designada por la Emisora siguiendo la instrucción</w:t>
      </w:r>
      <w:r w:rsidR="007C1900">
        <w:rPr>
          <w:rFonts w:ascii="Times New Roman" w:eastAsia="Times New Roman" w:hAnsi="Times New Roman" w:cs="Times New Roman"/>
          <w:lang w:val="es-MX" w:bidi="es-ES"/>
        </w:rPr>
        <w:t xml:space="preserve"> </w:t>
      </w:r>
      <w:r w:rsidR="00D5275D" w:rsidRPr="00D5275D">
        <w:rPr>
          <w:rFonts w:ascii="Times New Roman" w:eastAsia="Times New Roman" w:hAnsi="Times New Roman" w:cs="Times New Roman"/>
          <w:lang w:val="es-MX" w:bidi="es-ES"/>
        </w:rPr>
        <w:t>de los Tenedores</w:t>
      </w:r>
      <w:r w:rsidR="007C1900">
        <w:rPr>
          <w:rFonts w:ascii="Times New Roman" w:eastAsia="Times New Roman" w:hAnsi="Times New Roman" w:cs="Times New Roman"/>
          <w:lang w:val="es-MX" w:bidi="es-ES"/>
        </w:rPr>
        <w:t xml:space="preserve"> </w:t>
      </w:r>
      <w:r w:rsidR="007C1900">
        <w:rPr>
          <w:rFonts w:ascii="Times New Roman" w:eastAsia="Times New Roman" w:hAnsi="Times New Roman" w:cs="Times New Roman"/>
          <w:lang w:val="es-AR" w:bidi="es-ES"/>
        </w:rPr>
        <w:t>que representen al menos el 51% del monto de capital de las Obligaciones Negociables</w:t>
      </w:r>
      <w:r w:rsidR="003D347A">
        <w:rPr>
          <w:rFonts w:ascii="Times New Roman" w:eastAsia="Times New Roman" w:hAnsi="Times New Roman" w:cs="Times New Roman"/>
          <w:lang w:val="es-AR" w:bidi="es-ES"/>
        </w:rPr>
        <w:t>,</w:t>
      </w:r>
      <w:r w:rsidR="00DF1C0D" w:rsidRPr="00DF1C0D">
        <w:rPr>
          <w:rFonts w:ascii="Times New Roman" w:eastAsia="Times New Roman" w:hAnsi="Times New Roman" w:cs="Times New Roman"/>
          <w:lang w:val="es-MX" w:bidi="es-ES"/>
        </w:rPr>
        <w:t xml:space="preserve"> entre las instituciones autorizadas a funciona</w:t>
      </w:r>
      <w:r w:rsidR="00DF1C0D">
        <w:rPr>
          <w:rFonts w:ascii="Times New Roman" w:eastAsia="Times New Roman" w:hAnsi="Times New Roman" w:cs="Times New Roman"/>
          <w:lang w:val="es-MX" w:bidi="es-ES"/>
        </w:rPr>
        <w:t>r como banco comercial bajo la Ley Nº</w:t>
      </w:r>
      <w:r w:rsidR="00DF1C0D" w:rsidRPr="00DF1C0D">
        <w:rPr>
          <w:rFonts w:ascii="Times New Roman" w:eastAsia="Times New Roman" w:hAnsi="Times New Roman" w:cs="Times New Roman"/>
          <w:lang w:val="es-MX" w:bidi="es-ES"/>
        </w:rPr>
        <w:t>. 21.526</w:t>
      </w:r>
      <w:r w:rsidR="0022711B">
        <w:rPr>
          <w:rFonts w:ascii="Times New Roman" w:eastAsia="Times New Roman" w:hAnsi="Times New Roman" w:cs="Times New Roman"/>
          <w:lang w:val="es-MX" w:bidi="es-ES"/>
        </w:rPr>
        <w:t xml:space="preserve"> y sus modificatorias</w:t>
      </w:r>
      <w:r w:rsidR="00DF1C0D">
        <w:rPr>
          <w:rFonts w:ascii="Times New Roman" w:eastAsia="Times New Roman" w:hAnsi="Times New Roman" w:cs="Times New Roman"/>
          <w:lang w:val="es-MX" w:bidi="es-ES"/>
        </w:rPr>
        <w:t xml:space="preserve"> o cualquier otra entidad registrada como fiduciario financiero ante la CNV</w:t>
      </w:r>
      <w:r w:rsidR="00B45B86">
        <w:rPr>
          <w:rFonts w:ascii="Times New Roman" w:eastAsia="Times New Roman" w:hAnsi="Times New Roman" w:cs="Times New Roman"/>
          <w:lang w:val="es-MX" w:bidi="es-ES"/>
        </w:rPr>
        <w:t xml:space="preserve"> </w:t>
      </w:r>
      <w:r w:rsidR="001D2320">
        <w:rPr>
          <w:rFonts w:ascii="Times New Roman" w:eastAsia="Times New Roman" w:hAnsi="Times New Roman" w:cs="Times New Roman"/>
          <w:lang w:val="es-MX" w:bidi="es-ES"/>
        </w:rPr>
        <w:t xml:space="preserve">actuará </w:t>
      </w:r>
      <w:r w:rsidR="00A7112F">
        <w:rPr>
          <w:rFonts w:ascii="Times New Roman" w:eastAsia="Times New Roman" w:hAnsi="Times New Roman" w:cs="Times New Roman"/>
          <w:lang w:val="es-MX" w:bidi="es-ES"/>
        </w:rPr>
        <w:t>como fiduciario (el “</w:t>
      </w:r>
      <w:r w:rsidR="00A7112F" w:rsidRPr="00640AC2">
        <w:rPr>
          <w:rFonts w:ascii="Times New Roman" w:eastAsia="Times New Roman" w:hAnsi="Times New Roman" w:cs="Times New Roman"/>
          <w:u w:val="single"/>
          <w:lang w:val="es-MX" w:bidi="es-ES"/>
        </w:rPr>
        <w:t>Fiduciario</w:t>
      </w:r>
      <w:r w:rsidR="00A7112F">
        <w:rPr>
          <w:rFonts w:ascii="Times New Roman" w:eastAsia="Times New Roman" w:hAnsi="Times New Roman" w:cs="Times New Roman"/>
          <w:lang w:val="es-MX" w:bidi="es-ES"/>
        </w:rPr>
        <w:t>”</w:t>
      </w:r>
      <w:r w:rsidR="00C57373">
        <w:rPr>
          <w:rFonts w:ascii="Times New Roman" w:eastAsia="Times New Roman" w:hAnsi="Times New Roman" w:cs="Times New Roman"/>
          <w:lang w:val="es-MX" w:bidi="es-ES"/>
        </w:rPr>
        <w:t xml:space="preserve"> y </w:t>
      </w:r>
      <w:r w:rsidRPr="004270E8">
        <w:rPr>
          <w:rFonts w:ascii="Times New Roman" w:eastAsia="Times New Roman" w:hAnsi="Times New Roman" w:cs="Times New Roman"/>
          <w:lang w:val="es-MX" w:bidi="es-ES"/>
        </w:rPr>
        <w:t>el “</w:t>
      </w:r>
      <w:r w:rsidRPr="004270E8">
        <w:rPr>
          <w:rFonts w:ascii="Times New Roman" w:eastAsia="Times New Roman" w:hAnsi="Times New Roman" w:cs="Times New Roman"/>
          <w:u w:val="single"/>
          <w:lang w:val="es-MX" w:bidi="es-ES"/>
        </w:rPr>
        <w:t>Fideicomiso MPN</w:t>
      </w:r>
      <w:r w:rsidRPr="004270E8">
        <w:rPr>
          <w:rFonts w:ascii="Times New Roman" w:eastAsia="Times New Roman" w:hAnsi="Times New Roman" w:cs="Times New Roman"/>
          <w:lang w:val="es-MX" w:bidi="es-ES"/>
        </w:rPr>
        <w:t xml:space="preserve">”) y en beneficio de los Tenedores de las Obligaciones Negociables, de </w:t>
      </w:r>
      <w:r w:rsidRPr="004270E8">
        <w:rPr>
          <w:rFonts w:ascii="Times New Roman" w:eastAsia="Times New Roman" w:hAnsi="Times New Roman" w:cs="Times New Roman"/>
          <w:b/>
          <w:lang w:val="es-MX" w:bidi="es-ES"/>
        </w:rPr>
        <w:t>(A)</w:t>
      </w:r>
      <w:r w:rsidRPr="004270E8">
        <w:rPr>
          <w:rFonts w:ascii="Times New Roman" w:eastAsia="Times New Roman" w:hAnsi="Times New Roman" w:cs="Times New Roman"/>
          <w:lang w:val="es-MX" w:bidi="es-ES"/>
        </w:rPr>
        <w:t xml:space="preserve"> con respecto al emprendimiento </w:t>
      </w:r>
      <w:r w:rsidRPr="004270E8">
        <w:rPr>
          <w:rFonts w:ascii="Times New Roman" w:eastAsia="Times New Roman" w:hAnsi="Times New Roman" w:cs="Times New Roman"/>
          <w:lang w:val="es-AR" w:bidi="es-ES"/>
        </w:rPr>
        <w:t>inmobiliario desarrollado por TGLT en la ciudad de Rosario, Provincia de Santa Fe, denominado como “</w:t>
      </w:r>
      <w:r w:rsidRPr="004270E8">
        <w:rPr>
          <w:rFonts w:ascii="Times New Roman" w:eastAsia="Times New Roman" w:hAnsi="Times New Roman" w:cs="Times New Roman"/>
          <w:i/>
          <w:lang w:val="es-AR" w:bidi="es-ES"/>
        </w:rPr>
        <w:t>Metra Puerto Norte</w:t>
      </w:r>
      <w:r w:rsidRPr="004270E8">
        <w:rPr>
          <w:rFonts w:ascii="Times New Roman" w:eastAsia="Times New Roman" w:hAnsi="Times New Roman" w:cs="Times New Roman"/>
          <w:lang w:val="es-AR" w:bidi="es-ES"/>
        </w:rPr>
        <w:t>” (“</w:t>
      </w:r>
      <w:r w:rsidRPr="004270E8">
        <w:rPr>
          <w:rFonts w:ascii="Times New Roman" w:eastAsia="Times New Roman" w:hAnsi="Times New Roman" w:cs="Times New Roman"/>
          <w:u w:val="single"/>
          <w:lang w:val="es-AR" w:bidi="es-ES"/>
        </w:rPr>
        <w:t>MPN</w:t>
      </w:r>
      <w:r w:rsidRPr="004270E8">
        <w:rPr>
          <w:rFonts w:ascii="Times New Roman" w:eastAsia="Times New Roman" w:hAnsi="Times New Roman" w:cs="Times New Roman"/>
          <w:lang w:val="es-AR" w:bidi="es-ES"/>
        </w:rPr>
        <w:t xml:space="preserve">”): </w:t>
      </w:r>
      <w:r w:rsidRPr="004270E8">
        <w:rPr>
          <w:rFonts w:ascii="Times New Roman" w:eastAsia="Times New Roman" w:hAnsi="Times New Roman" w:cs="Times New Roman"/>
          <w:lang w:val="es-MX" w:bidi="es-ES"/>
        </w:rPr>
        <w:t xml:space="preserve">(i) </w:t>
      </w:r>
      <w:r w:rsidR="007A416A">
        <w:rPr>
          <w:rFonts w:ascii="Times New Roman" w:eastAsia="Times New Roman" w:hAnsi="Times New Roman" w:cs="Times New Roman"/>
          <w:lang w:val="es-MX" w:bidi="es-ES"/>
        </w:rPr>
        <w:t xml:space="preserve">todos </w:t>
      </w:r>
      <w:r w:rsidRPr="004270E8">
        <w:rPr>
          <w:rFonts w:ascii="Times New Roman" w:eastAsia="Times New Roman" w:hAnsi="Times New Roman" w:cs="Times New Roman"/>
          <w:lang w:val="es-MX" w:bidi="es-ES"/>
        </w:rPr>
        <w:t>los créditos y cobranzas emergentes de los boletos de compraventa de las unidades funcionales de MPN cuya propiedad corresponda a TGLT</w:t>
      </w:r>
      <w:r w:rsidR="007A416A">
        <w:rPr>
          <w:rFonts w:ascii="Times New Roman" w:eastAsia="Times New Roman" w:hAnsi="Times New Roman" w:cs="Times New Roman"/>
          <w:lang w:val="es-MX" w:bidi="es-ES"/>
        </w:rPr>
        <w:t xml:space="preserve"> (</w:t>
      </w:r>
      <w:r w:rsidR="007A416A" w:rsidRPr="0020113E">
        <w:rPr>
          <w:rFonts w:ascii="Times New Roman" w:eastAsia="Times New Roman" w:hAnsi="Times New Roman" w:cs="Times New Roman"/>
          <w:lang w:val="es-MX" w:bidi="es-ES"/>
        </w:rPr>
        <w:t>excluyendo los créditos por equipamiento</w:t>
      </w:r>
      <w:r w:rsidR="0085354A" w:rsidRPr="0020113E">
        <w:rPr>
          <w:rFonts w:ascii="Times New Roman" w:eastAsia="Times New Roman" w:hAnsi="Times New Roman" w:cs="Times New Roman"/>
          <w:lang w:val="es-MX" w:bidi="es-ES"/>
        </w:rPr>
        <w:t xml:space="preserve"> que no excedan del 5% del precio de cada unidad funcional, y las erogaciones asociadas a dichos créditos</w:t>
      </w:r>
      <w:r w:rsidR="007A416A">
        <w:rPr>
          <w:rFonts w:ascii="Times New Roman" w:eastAsia="Times New Roman" w:hAnsi="Times New Roman" w:cs="Times New Roman"/>
          <w:lang w:val="es-MX" w:bidi="es-ES"/>
        </w:rPr>
        <w:t>)</w:t>
      </w:r>
      <w:r w:rsidRPr="004270E8">
        <w:rPr>
          <w:rFonts w:ascii="Times New Roman" w:eastAsia="Times New Roman" w:hAnsi="Times New Roman" w:cs="Times New Roman"/>
          <w:lang w:val="es-MX" w:bidi="es-ES"/>
        </w:rPr>
        <w:t xml:space="preserve">; (ii) </w:t>
      </w:r>
      <w:r w:rsidR="007A416A">
        <w:rPr>
          <w:rFonts w:ascii="Times New Roman" w:eastAsia="Times New Roman" w:hAnsi="Times New Roman" w:cs="Times New Roman"/>
          <w:lang w:val="es-MX" w:bidi="es-ES"/>
        </w:rPr>
        <w:t xml:space="preserve">todos </w:t>
      </w:r>
      <w:r w:rsidRPr="004270E8">
        <w:rPr>
          <w:rFonts w:ascii="Times New Roman" w:eastAsia="Times New Roman" w:hAnsi="Times New Roman" w:cs="Times New Roman"/>
          <w:lang w:val="es-MX" w:bidi="es-ES"/>
        </w:rPr>
        <w:t>los créditos y cobranzas emergentes de las cuentas por cobrar relacionadas con las unidades funcionales vendidas y pendientes de entrega o entregadas de MPN</w:t>
      </w:r>
      <w:r w:rsidR="007A416A">
        <w:rPr>
          <w:rFonts w:ascii="Times New Roman" w:eastAsia="Times New Roman" w:hAnsi="Times New Roman" w:cs="Times New Roman"/>
          <w:lang w:val="es-MX" w:bidi="es-ES"/>
        </w:rPr>
        <w:t xml:space="preserve"> (excluyendo los créditos por equipamiento</w:t>
      </w:r>
      <w:r w:rsidR="0085354A">
        <w:rPr>
          <w:rFonts w:ascii="Times New Roman" w:eastAsia="Times New Roman" w:hAnsi="Times New Roman" w:cs="Times New Roman"/>
          <w:lang w:val="es-MX" w:bidi="es-ES"/>
        </w:rPr>
        <w:t xml:space="preserve"> </w:t>
      </w:r>
      <w:r w:rsidR="0085354A" w:rsidRPr="0020113E">
        <w:rPr>
          <w:rFonts w:ascii="Times New Roman" w:eastAsia="Times New Roman" w:hAnsi="Times New Roman" w:cs="Times New Roman"/>
          <w:lang w:val="es-MX" w:bidi="es-ES"/>
        </w:rPr>
        <w:t>que no excedan del 5% del precio de cada unidad funcional, y las erogaciones asociadas a dichos créditos</w:t>
      </w:r>
      <w:r w:rsidR="007A416A">
        <w:rPr>
          <w:rFonts w:ascii="Times New Roman" w:eastAsia="Times New Roman" w:hAnsi="Times New Roman" w:cs="Times New Roman"/>
          <w:lang w:val="es-MX" w:bidi="es-ES"/>
        </w:rPr>
        <w:t>)</w:t>
      </w:r>
      <w:r w:rsidRPr="004270E8">
        <w:rPr>
          <w:rFonts w:ascii="Times New Roman" w:eastAsia="Times New Roman" w:hAnsi="Times New Roman" w:cs="Times New Roman"/>
          <w:lang w:val="es-MX" w:bidi="es-ES"/>
        </w:rPr>
        <w:t xml:space="preserve">; y (iii) </w:t>
      </w:r>
      <w:r w:rsidR="007A416A">
        <w:rPr>
          <w:rFonts w:ascii="Times New Roman" w:eastAsia="Times New Roman" w:hAnsi="Times New Roman" w:cs="Times New Roman"/>
          <w:lang w:val="es-MX" w:bidi="es-ES"/>
        </w:rPr>
        <w:t xml:space="preserve">todos </w:t>
      </w:r>
      <w:r w:rsidRPr="004270E8">
        <w:rPr>
          <w:rFonts w:ascii="Times New Roman" w:eastAsia="Times New Roman" w:hAnsi="Times New Roman" w:cs="Times New Roman"/>
          <w:lang w:val="es-MX" w:bidi="es-ES"/>
        </w:rPr>
        <w:t xml:space="preserve">los fondos percibidos por la venta de las unidades funcionales referidas en (i) y/o el cobro de los créditos referidos en (ii); </w:t>
      </w:r>
      <w:r w:rsidRPr="004270E8">
        <w:rPr>
          <w:rFonts w:ascii="Times New Roman" w:eastAsia="Times New Roman" w:hAnsi="Times New Roman" w:cs="Times New Roman"/>
          <w:b/>
          <w:lang w:val="es-MX" w:bidi="es-ES"/>
        </w:rPr>
        <w:t>(B)</w:t>
      </w:r>
      <w:r w:rsidRPr="004270E8">
        <w:rPr>
          <w:rFonts w:ascii="Times New Roman" w:eastAsia="Times New Roman" w:hAnsi="Times New Roman" w:cs="Times New Roman"/>
          <w:lang w:val="es-MX" w:bidi="es-ES"/>
        </w:rPr>
        <w:t xml:space="preserve"> todos los derechos económicos de la Sociedad</w:t>
      </w:r>
      <w:r w:rsidRPr="004270E8">
        <w:rPr>
          <w:rFonts w:ascii="Times New Roman" w:eastAsia="Times New Roman" w:hAnsi="Times New Roman" w:cs="Times New Roman"/>
          <w:lang w:bidi="es-ES"/>
        </w:rPr>
        <w:t xml:space="preserve"> </w:t>
      </w:r>
      <w:r w:rsidRPr="004270E8">
        <w:rPr>
          <w:rFonts w:ascii="Times New Roman" w:eastAsia="Times New Roman" w:hAnsi="Times New Roman" w:cs="Times New Roman"/>
          <w:lang w:val="es-MX" w:bidi="es-ES"/>
        </w:rPr>
        <w:t>a cobrar y a percibir todas las sumas de dinero (expresadas en Pesos, Dólares Estadounidenses o cualquier otra moneda), importes o pagos en especie (incluyendo, sin limitación, cualesquiera títulos, acciones, certificados de participación u otros activos), por cualquier concepto correspondientes a la Sociedad en su carácter de acreedor de (i) las cuotas a vencer el 31 de julio de 2022, 31 de octubre de 2022 y 31 de enero de 2023, del crédito que TGLT tiene en favor de SES S.A., instrumentado a través del acuerdo de reconocimiento y pago N° 1/2021 suscripto entre la Sociedad y SES S.A. con fecha 1 de julio de 2021 (incluyendo los fondos correspondientes al descuento o negociación de los cheques de pago diferido que hayan sido entregados por SES S.A. a la Sociedad) (el “</w:t>
      </w:r>
      <w:r w:rsidRPr="004270E8">
        <w:rPr>
          <w:rFonts w:ascii="Times New Roman" w:eastAsia="Times New Roman" w:hAnsi="Times New Roman" w:cs="Times New Roman"/>
          <w:u w:val="single"/>
          <w:lang w:val="es-MX" w:bidi="es-ES"/>
        </w:rPr>
        <w:t>Acuerdo de Reconocimiento y Pago con SES</w:t>
      </w:r>
      <w:r w:rsidRPr="004270E8">
        <w:rPr>
          <w:rFonts w:ascii="Times New Roman" w:eastAsia="Times New Roman" w:hAnsi="Times New Roman" w:cs="Times New Roman"/>
          <w:lang w:val="es-MX" w:bidi="es-ES"/>
        </w:rPr>
        <w:t>”)</w:t>
      </w:r>
      <w:r w:rsidRPr="004270E8">
        <w:rPr>
          <w:rFonts w:ascii="Times New Roman" w:eastAsia="Times New Roman" w:hAnsi="Times New Roman" w:cs="Times New Roman"/>
          <w:lang w:bidi="es-ES"/>
        </w:rPr>
        <w:t>, y (ii) el cobro del saldo del precio correspondiente al contrato de compraventa de acciones instrumentado entre la Sociedad y SES S.A. a través de la Oferta N°2/2021 para la adquisición de las acciones representativas del cincuenta por ciento (50%) del capital y de los votos de SES S.A. de titularidad de la Sociedad, con fecha 6 de julio de 2021 (el “</w:t>
      </w:r>
      <w:r w:rsidRPr="004270E8">
        <w:rPr>
          <w:rFonts w:ascii="Times New Roman" w:eastAsia="Times New Roman" w:hAnsi="Times New Roman" w:cs="Times New Roman"/>
          <w:u w:val="single"/>
          <w:lang w:bidi="es-ES"/>
        </w:rPr>
        <w:t>Contrato de Compraventa de Acciones</w:t>
      </w:r>
      <w:r w:rsidR="0090695F">
        <w:rPr>
          <w:rFonts w:ascii="Times New Roman" w:eastAsia="Times New Roman" w:hAnsi="Times New Roman" w:cs="Times New Roman"/>
          <w:u w:val="single"/>
          <w:lang w:bidi="es-ES"/>
        </w:rPr>
        <w:t xml:space="preserve"> de SES</w:t>
      </w:r>
      <w:r w:rsidRPr="004270E8">
        <w:rPr>
          <w:rFonts w:ascii="Times New Roman" w:eastAsia="Times New Roman" w:hAnsi="Times New Roman" w:cs="Times New Roman"/>
          <w:lang w:bidi="es-ES"/>
        </w:rPr>
        <w:t>”)</w:t>
      </w:r>
      <w:r w:rsidRPr="004270E8">
        <w:rPr>
          <w:rFonts w:ascii="Times New Roman" w:eastAsia="Times New Roman" w:hAnsi="Times New Roman" w:cs="Times New Roman"/>
          <w:lang w:val="es-MX" w:bidi="es-ES"/>
        </w:rPr>
        <w:t xml:space="preserve">; y </w:t>
      </w:r>
      <w:r w:rsidRPr="004270E8">
        <w:rPr>
          <w:rFonts w:ascii="Times New Roman" w:eastAsia="Times New Roman" w:hAnsi="Times New Roman" w:cs="Times New Roman"/>
          <w:b/>
          <w:lang w:val="es-MX" w:bidi="es-ES"/>
        </w:rPr>
        <w:t>(C)</w:t>
      </w:r>
      <w:r w:rsidRPr="004270E8">
        <w:rPr>
          <w:rFonts w:ascii="Times New Roman" w:eastAsia="Times New Roman" w:hAnsi="Times New Roman" w:cs="Times New Roman"/>
          <w:lang w:val="es-MX" w:bidi="es-ES"/>
        </w:rPr>
        <w:t xml:space="preserve"> aquellos derechos económicos que tiene la Sociedad derivados de cualquier renovación y/o modificación y/o agregado y/o sustitución (total o parcial) del Acuerdo de Reconocimiento y Pago con SES y del Contrato de Compraventa de Acciones</w:t>
      </w:r>
      <w:r w:rsidR="0090695F">
        <w:rPr>
          <w:rFonts w:ascii="Times New Roman" w:eastAsia="Times New Roman" w:hAnsi="Times New Roman" w:cs="Times New Roman"/>
          <w:lang w:val="es-MX" w:bidi="es-ES"/>
        </w:rPr>
        <w:t xml:space="preserve"> de SES</w:t>
      </w:r>
      <w:r w:rsidRPr="004270E8">
        <w:rPr>
          <w:rFonts w:ascii="Times New Roman" w:eastAsia="Times New Roman" w:hAnsi="Times New Roman" w:cs="Times New Roman"/>
          <w:lang w:val="es-MX" w:bidi="es-ES"/>
        </w:rPr>
        <w:t xml:space="preserve"> (esos fondos, los “</w:t>
      </w:r>
      <w:r w:rsidRPr="004270E8">
        <w:rPr>
          <w:rFonts w:ascii="Times New Roman" w:eastAsia="Times New Roman" w:hAnsi="Times New Roman" w:cs="Times New Roman"/>
          <w:u w:val="single"/>
          <w:lang w:val="es-MX" w:bidi="es-ES"/>
        </w:rPr>
        <w:t>Fondos MPN</w:t>
      </w:r>
      <w:r w:rsidRPr="004270E8">
        <w:rPr>
          <w:rFonts w:ascii="Times New Roman" w:eastAsia="Times New Roman" w:hAnsi="Times New Roman" w:cs="Times New Roman"/>
          <w:lang w:val="es-MX" w:bidi="es-ES"/>
        </w:rPr>
        <w:t xml:space="preserve">” y en caso de existencia de dichos fondos en la cuenta </w:t>
      </w:r>
      <w:r w:rsidRPr="004270E8">
        <w:rPr>
          <w:rFonts w:ascii="Times New Roman" w:eastAsia="Times New Roman" w:hAnsi="Times New Roman" w:cs="Times New Roman"/>
          <w:lang w:val="es-MX" w:bidi="es-ES"/>
        </w:rPr>
        <w:lastRenderedPageBreak/>
        <w:t>del Fideicomiso MPN, el “</w:t>
      </w:r>
      <w:r w:rsidR="00625B49">
        <w:rPr>
          <w:rFonts w:ascii="Times New Roman" w:eastAsia="Times New Roman" w:hAnsi="Times New Roman" w:cs="Times New Roman"/>
          <w:u w:val="single"/>
          <w:lang w:val="es-MX" w:bidi="es-ES"/>
        </w:rPr>
        <w:t xml:space="preserve">Ingreso de Caja </w:t>
      </w:r>
      <w:r w:rsidRPr="004270E8">
        <w:rPr>
          <w:rFonts w:ascii="Times New Roman" w:eastAsia="Times New Roman" w:hAnsi="Times New Roman" w:cs="Times New Roman"/>
          <w:u w:val="single"/>
          <w:lang w:val="es-MX" w:bidi="es-ES"/>
        </w:rPr>
        <w:t xml:space="preserve"> MPN</w:t>
      </w:r>
      <w:r w:rsidRPr="004270E8">
        <w:rPr>
          <w:rFonts w:ascii="Times New Roman" w:eastAsia="Times New Roman" w:hAnsi="Times New Roman" w:cs="Times New Roman"/>
          <w:lang w:val="es-MX" w:bidi="es-ES"/>
        </w:rPr>
        <w:t>”). Se establece que los fondos mencionados en los puntos (A), (B) y (C), serán aplicados</w:t>
      </w:r>
      <w:r w:rsidR="00975BAE">
        <w:rPr>
          <w:rFonts w:ascii="Times New Roman" w:eastAsia="Times New Roman" w:hAnsi="Times New Roman" w:cs="Times New Roman"/>
          <w:lang w:val="es-MX" w:bidi="es-ES"/>
        </w:rPr>
        <w:t xml:space="preserve"> </w:t>
      </w:r>
      <w:r w:rsidR="00975BAE" w:rsidRPr="004270E8">
        <w:rPr>
          <w:rFonts w:ascii="Times New Roman" w:eastAsia="Times New Roman" w:hAnsi="Times New Roman" w:cs="Times New Roman"/>
          <w:lang w:val="es-MX" w:bidi="es-ES"/>
        </w:rPr>
        <w:t xml:space="preserve">de acuerdo a lo establecido en el contrato de fideicomiso para la creación y </w:t>
      </w:r>
      <w:r w:rsidR="00975BAE">
        <w:rPr>
          <w:rFonts w:ascii="Times New Roman" w:eastAsia="Times New Roman" w:hAnsi="Times New Roman" w:cs="Times New Roman"/>
          <w:lang w:val="es-MX" w:bidi="es-ES"/>
        </w:rPr>
        <w:t>administración</w:t>
      </w:r>
      <w:r w:rsidR="00975BAE" w:rsidRPr="004270E8">
        <w:rPr>
          <w:rFonts w:ascii="Times New Roman" w:eastAsia="Times New Roman" w:hAnsi="Times New Roman" w:cs="Times New Roman"/>
          <w:lang w:val="es-MX" w:bidi="es-ES"/>
        </w:rPr>
        <w:t xml:space="preserve"> del Fideicomiso MPN</w:t>
      </w:r>
      <w:r w:rsidRPr="004270E8">
        <w:rPr>
          <w:rFonts w:ascii="Times New Roman" w:eastAsia="Times New Roman" w:hAnsi="Times New Roman" w:cs="Times New Roman"/>
          <w:lang w:val="es-MX" w:bidi="es-ES"/>
        </w:rPr>
        <w:t xml:space="preserve"> </w:t>
      </w:r>
      <w:r w:rsidR="00DA544B">
        <w:rPr>
          <w:rFonts w:ascii="Times New Roman" w:eastAsia="Times New Roman" w:hAnsi="Times New Roman" w:cs="Times New Roman"/>
          <w:lang w:val="es-MX" w:bidi="es-ES"/>
        </w:rPr>
        <w:t>a</w:t>
      </w:r>
      <w:r w:rsidR="00830EC9">
        <w:rPr>
          <w:rFonts w:ascii="Times New Roman" w:eastAsia="Times New Roman" w:hAnsi="Times New Roman" w:cs="Times New Roman"/>
          <w:lang w:val="es-MX" w:bidi="es-ES"/>
        </w:rPr>
        <w:t>, entre otros,</w:t>
      </w:r>
      <w:r w:rsidR="00DA544B">
        <w:rPr>
          <w:rFonts w:ascii="Times New Roman" w:eastAsia="Times New Roman" w:hAnsi="Times New Roman" w:cs="Times New Roman"/>
          <w:lang w:val="es-MX" w:bidi="es-ES"/>
        </w:rPr>
        <w:t xml:space="preserve"> (i) el pago de las Cuotas de Amortización por Ingreso de Caja MPN; y</w:t>
      </w:r>
      <w:r w:rsidR="00986971">
        <w:rPr>
          <w:rFonts w:ascii="Times New Roman" w:eastAsia="Times New Roman" w:hAnsi="Times New Roman" w:cs="Times New Roman"/>
          <w:lang w:val="es-MX" w:bidi="es-ES"/>
        </w:rPr>
        <w:t xml:space="preserve"> </w:t>
      </w:r>
      <w:r w:rsidR="00DA544B">
        <w:rPr>
          <w:rFonts w:ascii="Times New Roman" w:eastAsia="Times New Roman" w:hAnsi="Times New Roman" w:cs="Times New Roman"/>
          <w:lang w:val="es-MX" w:bidi="es-ES"/>
        </w:rPr>
        <w:t xml:space="preserve">(ii) </w:t>
      </w:r>
      <w:r w:rsidR="00986971">
        <w:rPr>
          <w:rFonts w:ascii="Times New Roman" w:eastAsia="Times New Roman" w:hAnsi="Times New Roman" w:cs="Times New Roman"/>
          <w:lang w:val="es-MX" w:bidi="es-ES"/>
        </w:rPr>
        <w:t xml:space="preserve">al pago de los servicios de intereses </w:t>
      </w:r>
      <w:r w:rsidR="00975BAE">
        <w:rPr>
          <w:rFonts w:ascii="Times New Roman" w:eastAsia="Times New Roman" w:hAnsi="Times New Roman" w:cs="Times New Roman"/>
          <w:lang w:val="es-MX" w:bidi="es-ES"/>
        </w:rPr>
        <w:t>de las Obligaciones Negociables</w:t>
      </w:r>
      <w:r w:rsidR="00874DA4">
        <w:rPr>
          <w:rFonts w:ascii="Times New Roman" w:eastAsia="Times New Roman" w:hAnsi="Times New Roman" w:cs="Times New Roman"/>
          <w:lang w:val="es-MX" w:bidi="es-ES"/>
        </w:rPr>
        <w:t xml:space="preserve"> con vencimiento posterior </w:t>
      </w:r>
      <w:r w:rsidR="00E14AFC">
        <w:rPr>
          <w:rFonts w:ascii="Times New Roman" w:eastAsia="Times New Roman" w:hAnsi="Times New Roman" w:cs="Times New Roman"/>
          <w:lang w:val="es-MX" w:bidi="es-ES"/>
        </w:rPr>
        <w:t>a</w:t>
      </w:r>
      <w:r w:rsidR="00874DA4">
        <w:rPr>
          <w:rFonts w:ascii="Times New Roman" w:eastAsia="Times New Roman" w:hAnsi="Times New Roman" w:cs="Times New Roman"/>
          <w:lang w:val="es-MX" w:bidi="es-ES"/>
        </w:rPr>
        <w:t xml:space="preserve"> la </w:t>
      </w:r>
      <w:r w:rsidR="00E14AFC">
        <w:rPr>
          <w:rFonts w:ascii="Times New Roman" w:eastAsia="Times New Roman" w:hAnsi="Times New Roman" w:cs="Times New Roman"/>
          <w:lang w:val="es-MX" w:bidi="es-ES"/>
        </w:rPr>
        <w:t>última Fecha</w:t>
      </w:r>
      <w:r w:rsidR="00874DA4">
        <w:rPr>
          <w:rFonts w:ascii="Times New Roman" w:eastAsia="Times New Roman" w:hAnsi="Times New Roman" w:cs="Times New Roman"/>
          <w:lang w:val="es-MX" w:bidi="es-ES"/>
        </w:rPr>
        <w:t xml:space="preserve"> de Amortización</w:t>
      </w:r>
      <w:r w:rsidR="009444AE">
        <w:rPr>
          <w:rFonts w:ascii="Times New Roman" w:eastAsia="Times New Roman" w:hAnsi="Times New Roman" w:cs="Times New Roman"/>
          <w:lang w:val="es-MX" w:bidi="es-ES"/>
        </w:rPr>
        <w:t xml:space="preserve"> por Ingreso</w:t>
      </w:r>
      <w:r w:rsidR="00874DA4">
        <w:rPr>
          <w:rFonts w:ascii="Times New Roman" w:eastAsia="Times New Roman" w:hAnsi="Times New Roman" w:cs="Times New Roman"/>
          <w:lang w:val="es-MX" w:bidi="es-ES"/>
        </w:rPr>
        <w:t xml:space="preserve"> de Caja MPN</w:t>
      </w:r>
      <w:r w:rsidR="00F8347C">
        <w:rPr>
          <w:rFonts w:ascii="Times New Roman" w:eastAsia="Times New Roman" w:hAnsi="Times New Roman" w:cs="Times New Roman"/>
          <w:lang w:val="es-MX" w:bidi="es-ES"/>
        </w:rPr>
        <w:t>.</w:t>
      </w:r>
    </w:p>
    <w:p w14:paraId="7BF33F7C" w14:textId="77777777" w:rsidR="004270E8" w:rsidRPr="00BC512D" w:rsidRDefault="004270E8" w:rsidP="00960F49">
      <w:pPr>
        <w:spacing w:after="0" w:line="240" w:lineRule="auto"/>
        <w:ind w:leftChars="322" w:left="708" w:firstLineChars="0" w:firstLine="0"/>
        <w:jc w:val="both"/>
        <w:rPr>
          <w:rFonts w:ascii="Times New Roman" w:eastAsia="Times New Roman" w:hAnsi="Times New Roman" w:cs="Times New Roman"/>
          <w:lang w:val="es-MX" w:bidi="es-ES"/>
        </w:rPr>
      </w:pPr>
    </w:p>
    <w:p w14:paraId="3DD77BC5" w14:textId="7FEE8104" w:rsidR="004270E8" w:rsidRPr="00F93ED5" w:rsidRDefault="004270E8" w:rsidP="00EE5BD1">
      <w:pPr>
        <w:spacing w:after="0" w:line="240" w:lineRule="auto"/>
        <w:ind w:leftChars="322" w:left="708" w:firstLineChars="0" w:firstLine="0"/>
        <w:jc w:val="both"/>
        <w:rPr>
          <w:rFonts w:ascii="Times New Roman" w:hAnsi="Times New Roman"/>
        </w:rPr>
      </w:pPr>
      <w:r w:rsidRPr="004270E8">
        <w:rPr>
          <w:rFonts w:ascii="Times New Roman" w:eastAsia="Times New Roman" w:hAnsi="Times New Roman" w:cs="Times New Roman"/>
          <w:lang w:bidi="es-ES"/>
        </w:rPr>
        <w:t>En caso de que la Sociedad obtenga el consentimiento de la Mayoría Necesaria</w:t>
      </w:r>
      <w:r w:rsidR="00D0045D">
        <w:rPr>
          <w:rFonts w:ascii="Times New Roman" w:eastAsia="Times New Roman" w:hAnsi="Times New Roman" w:cs="Times New Roman"/>
          <w:lang w:bidi="es-ES"/>
        </w:rPr>
        <w:tab/>
      </w:r>
      <w:r w:rsidR="00D0045D">
        <w:rPr>
          <w:rFonts w:ascii="Times New Roman" w:eastAsia="Times New Roman" w:hAnsi="Times New Roman" w:cs="Times New Roman"/>
        </w:rPr>
        <w:t>(conforme dicho término se define más adelante)</w:t>
      </w:r>
      <w:r w:rsidRPr="004270E8">
        <w:rPr>
          <w:rFonts w:ascii="Times New Roman" w:eastAsia="Times New Roman" w:hAnsi="Times New Roman" w:cs="Times New Roman"/>
          <w:lang w:bidi="es-ES"/>
        </w:rPr>
        <w:t xml:space="preserve"> para la Modificación Propuesta</w:t>
      </w:r>
      <w:r w:rsidRPr="004270E8">
        <w:rPr>
          <w:rFonts w:ascii="Times New Roman" w:eastAsia="Times New Roman" w:hAnsi="Times New Roman" w:cs="Times New Roman"/>
          <w:lang w:val="es-MX" w:bidi="es-ES"/>
        </w:rPr>
        <w:t>, se</w:t>
      </w:r>
      <w:r w:rsidR="00162A37">
        <w:rPr>
          <w:rFonts w:ascii="Times New Roman" w:eastAsia="Times New Roman" w:hAnsi="Times New Roman" w:cs="Times New Roman"/>
          <w:lang w:val="es-MX" w:bidi="es-ES"/>
        </w:rPr>
        <w:t xml:space="preserve"> le</w:t>
      </w:r>
      <w:r w:rsidR="00EE5BD1">
        <w:rPr>
          <w:rFonts w:ascii="Times New Roman" w:eastAsia="Times New Roman" w:hAnsi="Times New Roman" w:cs="Times New Roman"/>
          <w:lang w:val="es-MX" w:bidi="es-ES"/>
        </w:rPr>
        <w:t xml:space="preserve"> </w:t>
      </w:r>
      <w:r w:rsidRPr="004270E8">
        <w:rPr>
          <w:rFonts w:ascii="Times New Roman" w:eastAsia="Times New Roman" w:hAnsi="Times New Roman" w:cs="Times New Roman"/>
          <w:lang w:val="es-MX" w:bidi="es-ES"/>
        </w:rPr>
        <w:t xml:space="preserve">otorga </w:t>
      </w:r>
      <w:r w:rsidRPr="004270E8">
        <w:rPr>
          <w:rFonts w:ascii="Times New Roman" w:eastAsia="Times New Roman" w:hAnsi="Times New Roman" w:cs="Times New Roman"/>
          <w:lang w:bidi="es-ES"/>
        </w:rPr>
        <w:t xml:space="preserve">autorización </w:t>
      </w:r>
      <w:r w:rsidR="00F9631E">
        <w:rPr>
          <w:rFonts w:ascii="Times New Roman" w:eastAsia="Times New Roman" w:hAnsi="Times New Roman" w:cs="Times New Roman"/>
          <w:lang w:bidi="es-ES"/>
        </w:rPr>
        <w:t>y se</w:t>
      </w:r>
      <w:r w:rsidR="00162A37">
        <w:rPr>
          <w:rFonts w:ascii="Times New Roman" w:eastAsia="Times New Roman" w:hAnsi="Times New Roman" w:cs="Times New Roman"/>
          <w:lang w:bidi="es-ES"/>
        </w:rPr>
        <w:t xml:space="preserve"> instruye</w:t>
      </w:r>
      <w:r w:rsidR="00D0045D">
        <w:rPr>
          <w:rFonts w:ascii="Times New Roman" w:eastAsia="Times New Roman" w:hAnsi="Times New Roman" w:cs="Times New Roman"/>
          <w:lang w:bidi="es-ES"/>
        </w:rPr>
        <w:t xml:space="preserve"> </w:t>
      </w:r>
      <w:r w:rsidRPr="004270E8">
        <w:rPr>
          <w:rFonts w:ascii="Times New Roman" w:eastAsia="Times New Roman" w:hAnsi="Times New Roman" w:cs="Times New Roman"/>
          <w:lang w:bidi="es-ES"/>
        </w:rPr>
        <w:t>irrevocable</w:t>
      </w:r>
      <w:r w:rsidR="00162A37">
        <w:rPr>
          <w:rFonts w:ascii="Times New Roman" w:eastAsia="Times New Roman" w:hAnsi="Times New Roman" w:cs="Times New Roman"/>
          <w:lang w:bidi="es-ES"/>
        </w:rPr>
        <w:t>mente</w:t>
      </w:r>
      <w:r w:rsidR="0092381E">
        <w:rPr>
          <w:rFonts w:ascii="Times New Roman" w:eastAsia="Times New Roman" w:hAnsi="Times New Roman" w:cs="Times New Roman"/>
          <w:lang w:bidi="es-ES"/>
        </w:rPr>
        <w:t xml:space="preserve"> a: (</w:t>
      </w:r>
      <w:r w:rsidR="00DF1C0D">
        <w:rPr>
          <w:rFonts w:ascii="Times New Roman" w:eastAsia="Times New Roman" w:hAnsi="Times New Roman" w:cs="Times New Roman"/>
          <w:lang w:bidi="es-ES"/>
        </w:rPr>
        <w:t>i</w:t>
      </w:r>
      <w:r w:rsidR="0092381E">
        <w:rPr>
          <w:rFonts w:ascii="Times New Roman" w:eastAsia="Times New Roman" w:hAnsi="Times New Roman" w:cs="Times New Roman"/>
          <w:lang w:bidi="es-ES"/>
        </w:rPr>
        <w:t>)</w:t>
      </w:r>
      <w:r w:rsidR="00DF1C0D">
        <w:rPr>
          <w:rFonts w:ascii="Times New Roman" w:eastAsia="Times New Roman" w:hAnsi="Times New Roman" w:cs="Times New Roman"/>
          <w:lang w:bidi="es-ES"/>
        </w:rPr>
        <w:t xml:space="preserve"> </w:t>
      </w:r>
      <w:r w:rsidR="00990D63">
        <w:rPr>
          <w:rFonts w:ascii="Times New Roman" w:eastAsia="Times New Roman" w:hAnsi="Times New Roman" w:cs="Times New Roman"/>
          <w:lang w:bidi="es-ES"/>
        </w:rPr>
        <w:t xml:space="preserve">el </w:t>
      </w:r>
      <w:r w:rsidR="00DF1C0D">
        <w:rPr>
          <w:rFonts w:ascii="Times New Roman" w:eastAsia="Times New Roman" w:hAnsi="Times New Roman" w:cs="Times New Roman"/>
          <w:lang w:bidi="es-ES"/>
        </w:rPr>
        <w:t>Agente de Garant</w:t>
      </w:r>
      <w:r w:rsidR="009B2625">
        <w:rPr>
          <w:rFonts w:ascii="Times New Roman" w:eastAsia="Times New Roman" w:hAnsi="Times New Roman" w:cs="Times New Roman"/>
          <w:lang w:bidi="es-ES"/>
        </w:rPr>
        <w:t>ía</w:t>
      </w:r>
      <w:r w:rsidR="0092381E">
        <w:rPr>
          <w:rFonts w:ascii="Times New Roman" w:eastAsia="Times New Roman" w:hAnsi="Times New Roman" w:cs="Times New Roman"/>
          <w:lang w:bidi="es-ES"/>
        </w:rPr>
        <w:t>,</w:t>
      </w:r>
      <w:r w:rsidR="00D0045D">
        <w:rPr>
          <w:rFonts w:ascii="Times New Roman" w:eastAsia="Times New Roman" w:hAnsi="Times New Roman" w:cs="Times New Roman"/>
          <w:lang w:bidi="es-ES"/>
        </w:rPr>
        <w:t xml:space="preserve"> para </w:t>
      </w:r>
      <w:r w:rsidR="00DF1C0D">
        <w:rPr>
          <w:rFonts w:ascii="Times New Roman" w:eastAsia="Times New Roman" w:hAnsi="Times New Roman" w:cs="Times New Roman"/>
          <w:lang w:bidi="es-ES"/>
        </w:rPr>
        <w:t xml:space="preserve">que </w:t>
      </w:r>
      <w:r w:rsidRPr="004270E8">
        <w:rPr>
          <w:rFonts w:ascii="Times New Roman" w:eastAsia="Times New Roman" w:hAnsi="Times New Roman" w:cs="Times New Roman"/>
          <w:lang w:bidi="es-ES"/>
        </w:rPr>
        <w:t>suscriba con la Sociedad</w:t>
      </w:r>
      <w:r w:rsidR="00DF1C0D">
        <w:rPr>
          <w:rFonts w:ascii="Times New Roman" w:eastAsia="Times New Roman" w:hAnsi="Times New Roman" w:cs="Times New Roman"/>
          <w:lang w:bidi="es-ES"/>
        </w:rPr>
        <w:t xml:space="preserve"> </w:t>
      </w:r>
      <w:r w:rsidR="00EE5BD1" w:rsidRPr="00EE5BD1">
        <w:rPr>
          <w:rFonts w:ascii="Times New Roman" w:eastAsia="Times New Roman" w:hAnsi="Times New Roman" w:cs="Times New Roman"/>
          <w:lang w:bidi="es-ES"/>
        </w:rPr>
        <w:t xml:space="preserve">un acuerdo de terminación del Contrato de Cesión Pasiva; (ii) </w:t>
      </w:r>
      <w:r w:rsidR="00C64A9B">
        <w:rPr>
          <w:rFonts w:ascii="Times New Roman" w:eastAsia="Times New Roman" w:hAnsi="Times New Roman" w:cs="Times New Roman"/>
          <w:lang w:bidi="es-ES"/>
        </w:rPr>
        <w:t xml:space="preserve">el </w:t>
      </w:r>
      <w:r w:rsidR="00DF1C0D">
        <w:rPr>
          <w:rFonts w:ascii="Times New Roman" w:eastAsia="Times New Roman" w:hAnsi="Times New Roman" w:cs="Times New Roman"/>
          <w:lang w:bidi="es-ES"/>
        </w:rPr>
        <w:t>Agente de la Garantía de la Prenda</w:t>
      </w:r>
      <w:r w:rsidR="004F4D87">
        <w:rPr>
          <w:rFonts w:ascii="Times New Roman" w:eastAsia="Times New Roman" w:hAnsi="Times New Roman" w:cs="Times New Roman"/>
          <w:lang w:bidi="es-ES"/>
        </w:rPr>
        <w:t>,</w:t>
      </w:r>
      <w:r w:rsidR="00DF1C0D">
        <w:rPr>
          <w:rFonts w:ascii="Times New Roman" w:eastAsia="Times New Roman" w:hAnsi="Times New Roman" w:cs="Times New Roman"/>
          <w:lang w:bidi="es-ES"/>
        </w:rPr>
        <w:t xml:space="preserve"> para que suscriba con la Sociedad </w:t>
      </w:r>
      <w:r w:rsidR="00EE5BD1" w:rsidRPr="00EE5BD1">
        <w:rPr>
          <w:rFonts w:ascii="Times New Roman" w:eastAsia="Times New Roman" w:hAnsi="Times New Roman" w:cs="Times New Roman"/>
          <w:lang w:bidi="es-ES"/>
        </w:rPr>
        <w:t>e</w:t>
      </w:r>
      <w:r w:rsidR="00EA20B7">
        <w:rPr>
          <w:rFonts w:ascii="Times New Roman" w:eastAsia="Times New Roman" w:hAnsi="Times New Roman" w:cs="Times New Roman"/>
          <w:lang w:bidi="es-ES"/>
        </w:rPr>
        <w:t xml:space="preserve">l contrato </w:t>
      </w:r>
      <w:r w:rsidR="00235BA4">
        <w:rPr>
          <w:rFonts w:ascii="Times New Roman" w:eastAsia="Times New Roman" w:hAnsi="Times New Roman" w:cs="Times New Roman"/>
          <w:lang w:bidi="es-ES"/>
        </w:rPr>
        <w:t>de</w:t>
      </w:r>
      <w:r w:rsidR="00EA20B7">
        <w:rPr>
          <w:rFonts w:ascii="Times New Roman" w:eastAsia="Times New Roman" w:hAnsi="Times New Roman" w:cs="Times New Roman"/>
          <w:lang w:bidi="es-ES"/>
        </w:rPr>
        <w:t xml:space="preserve"> Prenda</w:t>
      </w:r>
      <w:r w:rsidR="00DF1C0D">
        <w:rPr>
          <w:rFonts w:ascii="Times New Roman" w:eastAsia="Times New Roman" w:hAnsi="Times New Roman" w:cs="Times New Roman"/>
          <w:lang w:bidi="es-ES"/>
        </w:rPr>
        <w:t>; y (iii</w:t>
      </w:r>
      <w:r w:rsidR="0092381E">
        <w:rPr>
          <w:rFonts w:ascii="Times New Roman" w:eastAsia="Times New Roman" w:hAnsi="Times New Roman" w:cs="Times New Roman"/>
          <w:lang w:bidi="es-ES"/>
        </w:rPr>
        <w:t xml:space="preserve">) el Fiduciario, para que suscriba con la Sociedad el contrato de fideicomiso para la creación y administración del Fideicomiso MPN </w:t>
      </w:r>
      <w:r w:rsidR="00EE5BD1" w:rsidRPr="00EE5BD1">
        <w:rPr>
          <w:rFonts w:ascii="Times New Roman" w:eastAsia="Times New Roman" w:hAnsi="Times New Roman" w:cs="Times New Roman"/>
          <w:lang w:bidi="es-ES"/>
        </w:rPr>
        <w:t>.</w:t>
      </w:r>
    </w:p>
    <w:p w14:paraId="0F587921" w14:textId="77777777" w:rsidR="00240DC6" w:rsidRDefault="00240DC6" w:rsidP="00960F49">
      <w:pPr>
        <w:spacing w:after="0" w:line="240" w:lineRule="auto"/>
        <w:ind w:leftChars="322" w:left="708" w:firstLineChars="0" w:firstLine="0"/>
        <w:jc w:val="both"/>
        <w:rPr>
          <w:rFonts w:ascii="Times New Roman" w:eastAsia="Times New Roman" w:hAnsi="Times New Roman" w:cs="Times New Roman"/>
          <w:lang w:bidi="es-ES"/>
        </w:rPr>
      </w:pPr>
    </w:p>
    <w:p w14:paraId="502B94EB" w14:textId="2E3D0E12" w:rsidR="00240DC6" w:rsidRPr="00AC5C14" w:rsidRDefault="00240DC6" w:rsidP="00AC5C14">
      <w:pPr>
        <w:spacing w:after="0" w:line="240" w:lineRule="auto"/>
        <w:ind w:leftChars="322" w:left="708" w:firstLineChars="0" w:firstLine="0"/>
        <w:jc w:val="both"/>
        <w:rPr>
          <w:rFonts w:ascii="Times New Roman" w:eastAsia="Times New Roman" w:hAnsi="Times New Roman" w:cs="Times New Roman"/>
          <w:lang w:val="es-AR" w:bidi="es-ES"/>
        </w:rPr>
      </w:pPr>
      <w:r>
        <w:rPr>
          <w:rFonts w:ascii="Times New Roman" w:eastAsia="Times New Roman" w:hAnsi="Times New Roman" w:cs="Times New Roman"/>
          <w:lang w:bidi="es-ES"/>
        </w:rPr>
        <w:t xml:space="preserve">La Prenda y el Fideicomiso MPN requieren, para su constitución, de la dispensa de </w:t>
      </w:r>
      <w:r w:rsidR="00534DAF">
        <w:rPr>
          <w:rFonts w:ascii="Times New Roman" w:eastAsia="Times New Roman" w:hAnsi="Times New Roman" w:cs="Times New Roman"/>
          <w:lang w:bidi="es-ES"/>
        </w:rPr>
        <w:t xml:space="preserve">(i) </w:t>
      </w:r>
      <w:r>
        <w:rPr>
          <w:rFonts w:ascii="Times New Roman" w:eastAsia="Times New Roman" w:hAnsi="Times New Roman" w:cs="Times New Roman"/>
          <w:lang w:bidi="es-ES"/>
        </w:rPr>
        <w:t xml:space="preserve">Banco </w:t>
      </w:r>
      <w:proofErr w:type="spellStart"/>
      <w:r>
        <w:rPr>
          <w:rFonts w:ascii="Times New Roman" w:eastAsia="Times New Roman" w:hAnsi="Times New Roman" w:cs="Times New Roman"/>
          <w:lang w:bidi="es-ES"/>
        </w:rPr>
        <w:t>Itaú</w:t>
      </w:r>
      <w:proofErr w:type="spellEnd"/>
      <w:r>
        <w:rPr>
          <w:rFonts w:ascii="Times New Roman" w:eastAsia="Times New Roman" w:hAnsi="Times New Roman" w:cs="Times New Roman"/>
          <w:lang w:bidi="es-ES"/>
        </w:rPr>
        <w:t xml:space="preserve"> S.A. (“</w:t>
      </w:r>
      <w:r w:rsidRPr="00240DC6">
        <w:rPr>
          <w:rFonts w:ascii="Times New Roman" w:eastAsia="Times New Roman" w:hAnsi="Times New Roman" w:cs="Times New Roman"/>
          <w:u w:val="single"/>
          <w:lang w:bidi="es-ES"/>
        </w:rPr>
        <w:t xml:space="preserve">Banco </w:t>
      </w:r>
      <w:proofErr w:type="spellStart"/>
      <w:r w:rsidRPr="00240DC6">
        <w:rPr>
          <w:rFonts w:ascii="Times New Roman" w:eastAsia="Times New Roman" w:hAnsi="Times New Roman" w:cs="Times New Roman"/>
          <w:u w:val="single"/>
          <w:lang w:bidi="es-ES"/>
        </w:rPr>
        <w:t>Itaú</w:t>
      </w:r>
      <w:proofErr w:type="spellEnd"/>
      <w:r>
        <w:rPr>
          <w:rFonts w:ascii="Times New Roman" w:eastAsia="Times New Roman" w:hAnsi="Times New Roman" w:cs="Times New Roman"/>
          <w:lang w:bidi="es-ES"/>
        </w:rPr>
        <w:t xml:space="preserve">”) bajo el contrato de </w:t>
      </w:r>
      <w:r w:rsidRPr="00240DC6">
        <w:rPr>
          <w:rFonts w:ascii="Times New Roman" w:eastAsia="Times New Roman" w:hAnsi="Times New Roman" w:cs="Times New Roman"/>
          <w:lang w:bidi="es-ES"/>
        </w:rPr>
        <w:t>línea de crédito de fecha 10 de dic</w:t>
      </w:r>
      <w:r>
        <w:rPr>
          <w:rFonts w:ascii="Times New Roman" w:eastAsia="Times New Roman" w:hAnsi="Times New Roman" w:cs="Times New Roman"/>
          <w:lang w:bidi="es-ES"/>
        </w:rPr>
        <w:t xml:space="preserve">iembre de 2019 (conforme fueran </w:t>
      </w:r>
      <w:r w:rsidRPr="00240DC6">
        <w:rPr>
          <w:rFonts w:ascii="Times New Roman" w:eastAsia="Times New Roman" w:hAnsi="Times New Roman" w:cs="Times New Roman"/>
          <w:lang w:bidi="es-ES"/>
        </w:rPr>
        <w:t>refinanciad</w:t>
      </w:r>
      <w:r w:rsidR="00601D53">
        <w:rPr>
          <w:rFonts w:ascii="Times New Roman" w:eastAsia="Times New Roman" w:hAnsi="Times New Roman" w:cs="Times New Roman"/>
          <w:lang w:bidi="es-ES"/>
        </w:rPr>
        <w:t>o</w:t>
      </w:r>
      <w:r w:rsidRPr="00240DC6">
        <w:rPr>
          <w:rFonts w:ascii="Times New Roman" w:eastAsia="Times New Roman" w:hAnsi="Times New Roman" w:cs="Times New Roman"/>
          <w:lang w:bidi="es-ES"/>
        </w:rPr>
        <w:t xml:space="preserve"> mediante la enmienda del 30 de marzo de 2021)</w:t>
      </w:r>
      <w:r w:rsidR="00534DAF">
        <w:rPr>
          <w:rFonts w:ascii="Times New Roman" w:eastAsia="Times New Roman" w:hAnsi="Times New Roman" w:cs="Times New Roman"/>
          <w:lang w:bidi="es-ES"/>
        </w:rPr>
        <w:t>;</w:t>
      </w:r>
      <w:r>
        <w:rPr>
          <w:rFonts w:ascii="Times New Roman" w:eastAsia="Times New Roman" w:hAnsi="Times New Roman" w:cs="Times New Roman"/>
          <w:lang w:bidi="es-ES"/>
        </w:rPr>
        <w:t xml:space="preserve"> </w:t>
      </w:r>
      <w:r w:rsidR="00534DAF">
        <w:rPr>
          <w:rFonts w:ascii="Times New Roman" w:eastAsia="Times New Roman" w:hAnsi="Times New Roman" w:cs="Times New Roman"/>
          <w:lang w:bidi="es-ES"/>
        </w:rPr>
        <w:t xml:space="preserve">(ii) </w:t>
      </w:r>
      <w:proofErr w:type="spellStart"/>
      <w:r>
        <w:rPr>
          <w:rFonts w:ascii="Times New Roman" w:eastAsia="Times New Roman" w:hAnsi="Times New Roman" w:cs="Times New Roman"/>
          <w:lang w:bidi="es-ES"/>
        </w:rPr>
        <w:t>Argentum</w:t>
      </w:r>
      <w:proofErr w:type="spellEnd"/>
      <w:r>
        <w:rPr>
          <w:rFonts w:ascii="Times New Roman" w:eastAsia="Times New Roman" w:hAnsi="Times New Roman" w:cs="Times New Roman"/>
          <w:lang w:bidi="es-ES"/>
        </w:rPr>
        <w:t xml:space="preserve"> </w:t>
      </w:r>
      <w:proofErr w:type="spellStart"/>
      <w:r w:rsidRPr="00240DC6">
        <w:rPr>
          <w:rFonts w:ascii="Times New Roman" w:eastAsia="Times New Roman" w:hAnsi="Times New Roman" w:cs="Times New Roman"/>
          <w:lang w:val="es-AR" w:bidi="es-ES"/>
        </w:rPr>
        <w:t>Investments</w:t>
      </w:r>
      <w:proofErr w:type="spellEnd"/>
      <w:r w:rsidRPr="00240DC6">
        <w:rPr>
          <w:rFonts w:ascii="Times New Roman" w:eastAsia="Times New Roman" w:hAnsi="Times New Roman" w:cs="Times New Roman"/>
          <w:lang w:val="es-AR" w:bidi="es-ES"/>
        </w:rPr>
        <w:t xml:space="preserve"> V LLC</w:t>
      </w:r>
      <w:r>
        <w:rPr>
          <w:rFonts w:ascii="Times New Roman" w:eastAsia="Times New Roman" w:hAnsi="Times New Roman" w:cs="Times New Roman"/>
          <w:lang w:val="es-AR" w:bidi="es-ES"/>
        </w:rPr>
        <w:t xml:space="preserve"> bajo la obligación negociable privada </w:t>
      </w:r>
      <w:r w:rsidR="00AC5C14">
        <w:rPr>
          <w:rFonts w:ascii="Times New Roman" w:eastAsia="Times New Roman" w:hAnsi="Times New Roman" w:cs="Times New Roman"/>
          <w:lang w:val="es-AR" w:bidi="es-ES"/>
        </w:rPr>
        <w:t xml:space="preserve">por un monto de US$ </w:t>
      </w:r>
      <w:r w:rsidR="00AC5C14" w:rsidRPr="00AC5C14">
        <w:rPr>
          <w:rFonts w:ascii="Times New Roman" w:eastAsia="Times New Roman" w:hAnsi="Times New Roman" w:cs="Times New Roman"/>
          <w:lang w:val="es-AR" w:bidi="es-ES"/>
        </w:rPr>
        <w:t>6.000.000, co</w:t>
      </w:r>
      <w:r w:rsidR="00AC5C14">
        <w:rPr>
          <w:rFonts w:ascii="Times New Roman" w:eastAsia="Times New Roman" w:hAnsi="Times New Roman" w:cs="Times New Roman"/>
          <w:lang w:val="es-AR" w:bidi="es-ES"/>
        </w:rPr>
        <w:t>n fecha de vencimiento el día 30</w:t>
      </w:r>
      <w:r w:rsidR="00AC5C14" w:rsidRPr="00AC5C14">
        <w:rPr>
          <w:rFonts w:ascii="Times New Roman" w:eastAsia="Times New Roman" w:hAnsi="Times New Roman" w:cs="Times New Roman"/>
          <w:lang w:val="es-AR" w:bidi="es-ES"/>
        </w:rPr>
        <w:t xml:space="preserve"> de diciembre de 202</w:t>
      </w:r>
      <w:r w:rsidR="00AC5C14">
        <w:rPr>
          <w:rFonts w:ascii="Times New Roman" w:eastAsia="Times New Roman" w:hAnsi="Times New Roman" w:cs="Times New Roman"/>
          <w:lang w:val="es-AR" w:bidi="es-ES"/>
        </w:rPr>
        <w:t>2</w:t>
      </w:r>
      <w:r w:rsidR="00534DAF">
        <w:rPr>
          <w:rFonts w:ascii="Times New Roman" w:eastAsia="Times New Roman" w:hAnsi="Times New Roman" w:cs="Times New Roman"/>
          <w:lang w:val="es-AR" w:bidi="es-ES"/>
        </w:rPr>
        <w:t xml:space="preserve">; y (iii) </w:t>
      </w:r>
      <w:r w:rsidR="006C2060">
        <w:rPr>
          <w:rFonts w:ascii="Times New Roman" w:eastAsia="Times New Roman" w:hAnsi="Times New Roman" w:cs="Times New Roman"/>
          <w:lang w:val="es-AR" w:bidi="es-ES"/>
        </w:rPr>
        <w:t xml:space="preserve">en el caso de la Prenda exclusivamente, de </w:t>
      </w:r>
      <w:r w:rsidR="00534DAF" w:rsidRPr="005B76C0">
        <w:rPr>
          <w:rFonts w:ascii="Times New Roman" w:hAnsi="Times New Roman" w:cs="Times New Roman"/>
          <w:lang w:val="es-AR" w:bidi="es-ES"/>
        </w:rPr>
        <w:t xml:space="preserve">BA </w:t>
      </w:r>
      <w:proofErr w:type="spellStart"/>
      <w:r w:rsidR="00534DAF" w:rsidRPr="005B76C0">
        <w:rPr>
          <w:rFonts w:ascii="Times New Roman" w:hAnsi="Times New Roman" w:cs="Times New Roman"/>
          <w:lang w:val="es-AR" w:bidi="es-ES"/>
        </w:rPr>
        <w:t>Development</w:t>
      </w:r>
      <w:proofErr w:type="spellEnd"/>
      <w:r w:rsidR="00534DAF" w:rsidRPr="005B76C0">
        <w:rPr>
          <w:rFonts w:ascii="Times New Roman" w:hAnsi="Times New Roman" w:cs="Times New Roman"/>
          <w:lang w:val="es-AR" w:bidi="es-ES"/>
        </w:rPr>
        <w:t xml:space="preserve"> II </w:t>
      </w:r>
      <w:proofErr w:type="spellStart"/>
      <w:r w:rsidR="00534DAF" w:rsidRPr="005B76C0">
        <w:rPr>
          <w:rFonts w:ascii="Times New Roman" w:hAnsi="Times New Roman" w:cs="Times New Roman"/>
          <w:lang w:val="es-AR" w:bidi="es-ES"/>
        </w:rPr>
        <w:t>GmbH</w:t>
      </w:r>
      <w:proofErr w:type="spellEnd"/>
      <w:r w:rsidR="00534DAF">
        <w:rPr>
          <w:rFonts w:ascii="Times New Roman" w:hAnsi="Times New Roman" w:cs="Times New Roman"/>
          <w:lang w:val="es-AR" w:bidi="es-ES"/>
        </w:rPr>
        <w:t xml:space="preserve"> bajo el Fideicomiso Catalinas </w:t>
      </w:r>
      <w:r w:rsidR="006C2060">
        <w:rPr>
          <w:rFonts w:ascii="Times New Roman" w:hAnsi="Times New Roman" w:cs="Times New Roman"/>
          <w:lang w:val="es-AR" w:bidi="es-ES"/>
        </w:rPr>
        <w:t>,</w:t>
      </w:r>
      <w:r w:rsidR="00534DAF">
        <w:rPr>
          <w:rFonts w:ascii="Times New Roman" w:eastAsia="Times New Roman" w:hAnsi="Times New Roman" w:cs="Times New Roman"/>
          <w:lang w:val="es-AR" w:bidi="es-ES"/>
        </w:rPr>
        <w:t xml:space="preserve"> </w:t>
      </w:r>
      <w:r w:rsidR="002005B0">
        <w:rPr>
          <w:rFonts w:ascii="Times New Roman" w:eastAsia="Times New Roman" w:hAnsi="Times New Roman" w:cs="Times New Roman"/>
          <w:lang w:val="es-AR" w:bidi="es-ES"/>
        </w:rPr>
        <w:t xml:space="preserve"> los que están siendo procurados por </w:t>
      </w:r>
      <w:r w:rsidR="004B4263">
        <w:rPr>
          <w:rFonts w:ascii="Times New Roman" w:eastAsia="Times New Roman" w:hAnsi="Times New Roman" w:cs="Times New Roman"/>
          <w:lang w:val="es-AR" w:bidi="es-ES"/>
        </w:rPr>
        <w:t>la Sociedad</w:t>
      </w:r>
      <w:r w:rsidR="002005B0">
        <w:rPr>
          <w:rFonts w:ascii="Times New Roman" w:eastAsia="Times New Roman" w:hAnsi="Times New Roman" w:cs="Times New Roman"/>
          <w:lang w:val="es-AR" w:bidi="es-ES"/>
        </w:rPr>
        <w:t xml:space="preserve"> y se espera</w:t>
      </w:r>
      <w:r w:rsidR="006C2060">
        <w:rPr>
          <w:rFonts w:ascii="Times New Roman" w:eastAsia="Times New Roman" w:hAnsi="Times New Roman" w:cs="Times New Roman"/>
          <w:lang w:val="es-AR" w:bidi="es-ES"/>
        </w:rPr>
        <w:t>n</w:t>
      </w:r>
      <w:r w:rsidR="002005B0">
        <w:rPr>
          <w:rFonts w:ascii="Times New Roman" w:eastAsia="Times New Roman" w:hAnsi="Times New Roman" w:cs="Times New Roman"/>
          <w:lang w:val="es-AR" w:bidi="es-ES"/>
        </w:rPr>
        <w:t xml:space="preserve"> obtener en o antes de</w:t>
      </w:r>
      <w:r w:rsidR="00E64E44">
        <w:rPr>
          <w:rFonts w:ascii="Times New Roman" w:eastAsia="Times New Roman" w:hAnsi="Times New Roman" w:cs="Times New Roman"/>
          <w:lang w:val="es-AR" w:bidi="es-ES"/>
        </w:rPr>
        <w:t xml:space="preserve"> sesenta (60) </w:t>
      </w:r>
      <w:r w:rsidR="00162A37">
        <w:rPr>
          <w:rFonts w:ascii="Times New Roman" w:eastAsia="Times New Roman" w:hAnsi="Times New Roman" w:cs="Times New Roman"/>
          <w:lang w:val="es-AR" w:bidi="es-ES"/>
        </w:rPr>
        <w:t>d</w:t>
      </w:r>
      <w:r w:rsidR="00E64E44">
        <w:rPr>
          <w:rFonts w:ascii="Times New Roman" w:eastAsia="Times New Roman" w:hAnsi="Times New Roman" w:cs="Times New Roman"/>
          <w:lang w:val="es-AR" w:bidi="es-ES"/>
        </w:rPr>
        <w:t xml:space="preserve">ías </w:t>
      </w:r>
      <w:r w:rsidR="00162A37">
        <w:rPr>
          <w:rFonts w:ascii="Times New Roman" w:eastAsia="Times New Roman" w:hAnsi="Times New Roman" w:cs="Times New Roman"/>
          <w:lang w:val="es-AR" w:bidi="es-ES"/>
        </w:rPr>
        <w:t>h</w:t>
      </w:r>
      <w:r w:rsidR="00E64E44">
        <w:rPr>
          <w:rFonts w:ascii="Times New Roman" w:eastAsia="Times New Roman" w:hAnsi="Times New Roman" w:cs="Times New Roman"/>
          <w:lang w:val="es-AR" w:bidi="es-ES"/>
        </w:rPr>
        <w:t>ábiles de obtenidos los consentimientos para implementar la Modificación Propuesta.</w:t>
      </w:r>
    </w:p>
    <w:p w14:paraId="38B3857B" w14:textId="77777777" w:rsidR="001F71D4" w:rsidRPr="0032028C" w:rsidRDefault="001F71D4" w:rsidP="00BC7357">
      <w:pPr>
        <w:spacing w:after="0" w:line="240" w:lineRule="auto"/>
        <w:ind w:leftChars="0" w:left="0" w:firstLineChars="0" w:firstLine="0"/>
        <w:jc w:val="both"/>
        <w:rPr>
          <w:rFonts w:ascii="Times New Roman" w:eastAsia="Times New Roman" w:hAnsi="Times New Roman" w:cs="Times New Roman"/>
          <w:lang w:bidi="es-ES"/>
        </w:rPr>
      </w:pPr>
    </w:p>
    <w:p w14:paraId="6C68DCEE" w14:textId="190F1BAB" w:rsidR="00467CFC" w:rsidRPr="00D60D4C" w:rsidRDefault="00467CFC" w:rsidP="00F93ED5">
      <w:pPr>
        <w:pStyle w:val="Prrafodelista"/>
        <w:numPr>
          <w:ilvl w:val="0"/>
          <w:numId w:val="18"/>
        </w:numPr>
        <w:spacing w:after="0" w:line="240" w:lineRule="auto"/>
        <w:ind w:leftChars="0" w:left="284" w:firstLineChars="0" w:firstLine="0"/>
        <w:jc w:val="both"/>
        <w:rPr>
          <w:rFonts w:ascii="Times New Roman" w:eastAsia="Times New Roman" w:hAnsi="Times New Roman" w:cs="Times New Roman"/>
          <w:i/>
          <w:u w:val="single"/>
          <w:lang w:bidi="es-ES"/>
        </w:rPr>
      </w:pPr>
      <w:r w:rsidRPr="00D60D4C">
        <w:rPr>
          <w:rFonts w:ascii="Times New Roman" w:eastAsia="Times New Roman" w:hAnsi="Times New Roman" w:cs="Times New Roman"/>
          <w:i/>
          <w:u w:val="single"/>
          <w:lang w:bidi="es-ES"/>
        </w:rPr>
        <w:t xml:space="preserve">Términos y condiciones básicos de las Obligaciones Negociables </w:t>
      </w:r>
    </w:p>
    <w:p w14:paraId="62275BA6" w14:textId="77777777" w:rsidR="00467CFC" w:rsidRPr="0032028C" w:rsidRDefault="00467CFC">
      <w:pPr>
        <w:spacing w:after="0" w:line="240" w:lineRule="auto"/>
        <w:ind w:leftChars="257" w:left="565" w:firstLineChars="0" w:firstLine="0"/>
        <w:jc w:val="both"/>
        <w:rPr>
          <w:rFonts w:ascii="Times New Roman" w:eastAsia="Times New Roman" w:hAnsi="Times New Roman" w:cs="Times New Roman"/>
          <w:i/>
          <w:u w:val="single"/>
          <w:lang w:bidi="es-ES"/>
        </w:rPr>
      </w:pPr>
    </w:p>
    <w:p w14:paraId="1BABE055" w14:textId="39B36378" w:rsidR="000B1FD2" w:rsidRDefault="00467CFC" w:rsidP="00C13AAC">
      <w:pPr>
        <w:spacing w:after="0" w:line="240" w:lineRule="auto"/>
        <w:ind w:leftChars="0" w:left="565" w:firstLineChars="0" w:firstLine="0"/>
        <w:jc w:val="both"/>
        <w:rPr>
          <w:rFonts w:ascii="Times New Roman" w:eastAsia="Times New Roman" w:hAnsi="Times New Roman" w:cs="Times New Roman"/>
          <w:lang w:bidi="es-ES"/>
        </w:rPr>
      </w:pPr>
      <w:r w:rsidRPr="0032028C">
        <w:rPr>
          <w:rFonts w:ascii="Times New Roman" w:eastAsia="Times New Roman" w:hAnsi="Times New Roman" w:cs="Times New Roman"/>
          <w:lang w:bidi="es-ES"/>
        </w:rPr>
        <w:t xml:space="preserve">En caso de que la Sociedad </w:t>
      </w:r>
      <w:r w:rsidRPr="0032028C">
        <w:rPr>
          <w:rFonts w:ascii="Times New Roman" w:eastAsia="Times New Roman" w:hAnsi="Times New Roman" w:cs="Times New Roman"/>
        </w:rPr>
        <w:t>obtenga el consentimiento de la Mayoría Necesaria</w:t>
      </w:r>
      <w:r w:rsidR="00D72A60">
        <w:rPr>
          <w:rFonts w:ascii="Times New Roman" w:eastAsia="Times New Roman" w:hAnsi="Times New Roman" w:cs="Times New Roman"/>
        </w:rPr>
        <w:t xml:space="preserve"> (conforme dicho término se define más adelante)</w:t>
      </w:r>
      <w:r w:rsidRPr="0032028C">
        <w:rPr>
          <w:rFonts w:ascii="Times New Roman" w:eastAsia="Times New Roman" w:hAnsi="Times New Roman" w:cs="Times New Roman"/>
        </w:rPr>
        <w:t xml:space="preserve"> para </w:t>
      </w:r>
      <w:r w:rsidRPr="0032028C">
        <w:rPr>
          <w:rFonts w:ascii="Times New Roman" w:eastAsia="Times New Roman" w:hAnsi="Times New Roman" w:cs="Times New Roman"/>
          <w:lang w:bidi="es-ES"/>
        </w:rPr>
        <w:t xml:space="preserve">la Modificación Propuesta, </w:t>
      </w:r>
      <w:r w:rsidR="00E845DF" w:rsidRPr="0032028C">
        <w:rPr>
          <w:rFonts w:ascii="Times New Roman" w:eastAsia="Times New Roman" w:hAnsi="Times New Roman" w:cs="Times New Roman"/>
          <w:lang w:bidi="es-ES"/>
        </w:rPr>
        <w:t>los siguientes términos y condiciones básicos</w:t>
      </w:r>
      <w:r w:rsidR="000B1FD2" w:rsidRPr="0032028C">
        <w:rPr>
          <w:rFonts w:ascii="Times New Roman" w:eastAsia="Times New Roman" w:hAnsi="Times New Roman" w:cs="Times New Roman"/>
          <w:lang w:bidi="es-ES"/>
        </w:rPr>
        <w:t xml:space="preserve"> aplicarán </w:t>
      </w:r>
      <w:r w:rsidR="00EF013D">
        <w:rPr>
          <w:rFonts w:ascii="Times New Roman" w:eastAsia="Times New Roman" w:hAnsi="Times New Roman" w:cs="Times New Roman"/>
          <w:lang w:bidi="es-ES"/>
        </w:rPr>
        <w:t xml:space="preserve">a partir de ese momento </w:t>
      </w:r>
      <w:r w:rsidR="00D54B2E">
        <w:rPr>
          <w:rFonts w:ascii="Times New Roman" w:eastAsia="Times New Roman" w:hAnsi="Times New Roman" w:cs="Times New Roman"/>
          <w:lang w:bidi="es-ES"/>
        </w:rPr>
        <w:t xml:space="preserve">y </w:t>
      </w:r>
      <w:r w:rsidR="000B1FD2" w:rsidRPr="0032028C">
        <w:rPr>
          <w:rFonts w:ascii="Times New Roman" w:eastAsia="Times New Roman" w:hAnsi="Times New Roman" w:cs="Times New Roman"/>
          <w:lang w:bidi="es-ES"/>
        </w:rPr>
        <w:t>en lo sucesivo a las Obligaciones Negociables</w:t>
      </w:r>
      <w:r w:rsidR="00E845DF" w:rsidRPr="0032028C">
        <w:rPr>
          <w:rFonts w:ascii="Times New Roman" w:eastAsia="Times New Roman" w:hAnsi="Times New Roman" w:cs="Times New Roman"/>
          <w:lang w:bidi="es-ES"/>
        </w:rPr>
        <w:t xml:space="preserve"> (los </w:t>
      </w:r>
      <w:r w:rsidR="00F35E18" w:rsidRPr="0032028C">
        <w:rPr>
          <w:rFonts w:ascii="Times New Roman" w:eastAsia="Times New Roman" w:hAnsi="Times New Roman" w:cs="Times New Roman"/>
          <w:lang w:bidi="es-ES"/>
        </w:rPr>
        <w:t>“</w:t>
      </w:r>
      <w:r w:rsidR="00E845DF" w:rsidRPr="0032028C">
        <w:rPr>
          <w:rFonts w:ascii="Times New Roman" w:eastAsia="Times New Roman" w:hAnsi="Times New Roman" w:cs="Times New Roman"/>
          <w:u w:val="single"/>
          <w:lang w:bidi="es-ES"/>
        </w:rPr>
        <w:t>T&amp;C Básicos</w:t>
      </w:r>
      <w:r w:rsidR="00F35E18" w:rsidRPr="0032028C">
        <w:rPr>
          <w:rFonts w:ascii="Times New Roman" w:eastAsia="Times New Roman" w:hAnsi="Times New Roman" w:cs="Times New Roman"/>
          <w:lang w:bidi="es-ES"/>
        </w:rPr>
        <w:t>”</w:t>
      </w:r>
      <w:r w:rsidR="00E845DF" w:rsidRPr="0032028C">
        <w:rPr>
          <w:rFonts w:ascii="Times New Roman" w:eastAsia="Times New Roman" w:hAnsi="Times New Roman" w:cs="Times New Roman"/>
          <w:lang w:bidi="es-ES"/>
        </w:rPr>
        <w:t>)</w:t>
      </w:r>
      <w:r w:rsidR="000B1FD2" w:rsidRPr="0032028C">
        <w:rPr>
          <w:rFonts w:ascii="Times New Roman" w:eastAsia="Times New Roman" w:hAnsi="Times New Roman" w:cs="Times New Roman"/>
          <w:lang w:bidi="es-ES"/>
        </w:rPr>
        <w:t>:</w:t>
      </w:r>
      <w:r w:rsidR="00E845DF" w:rsidRPr="0032028C">
        <w:rPr>
          <w:rFonts w:ascii="Times New Roman" w:eastAsia="Times New Roman" w:hAnsi="Times New Roman" w:cs="Times New Roman"/>
          <w:lang w:bidi="es-ES"/>
        </w:rPr>
        <w:t xml:space="preserve"> </w:t>
      </w:r>
    </w:p>
    <w:p w14:paraId="36C40C43" w14:textId="1A173072" w:rsidR="00AE76AB" w:rsidRDefault="00AE76AB" w:rsidP="00C13AAC">
      <w:pPr>
        <w:spacing w:after="0" w:line="240" w:lineRule="auto"/>
        <w:ind w:leftChars="0" w:left="565" w:firstLineChars="0" w:firstLine="0"/>
        <w:jc w:val="both"/>
        <w:rPr>
          <w:rFonts w:ascii="Times New Roman" w:eastAsia="Times New Roman" w:hAnsi="Times New Roman" w:cs="Times New Roman"/>
          <w:lang w:bidi="es-ES"/>
        </w:rPr>
      </w:pPr>
    </w:p>
    <w:p w14:paraId="06AA518C" w14:textId="46A51041" w:rsidR="00AE76AB" w:rsidRPr="005F67EE" w:rsidRDefault="00AE76AB" w:rsidP="005F67EE">
      <w:pPr>
        <w:pStyle w:val="Prrafodelista"/>
        <w:numPr>
          <w:ilvl w:val="0"/>
          <w:numId w:val="5"/>
        </w:numPr>
        <w:spacing w:after="0" w:line="240" w:lineRule="auto"/>
        <w:ind w:leftChars="0" w:firstLineChars="0"/>
        <w:jc w:val="both"/>
        <w:rPr>
          <w:rFonts w:ascii="Times New Roman" w:eastAsia="Times New Roman" w:hAnsi="Times New Roman" w:cs="Times New Roman"/>
          <w:lang w:bidi="es-ES"/>
        </w:rPr>
      </w:pPr>
      <w:r w:rsidRPr="003E13B9">
        <w:rPr>
          <w:rFonts w:ascii="Times New Roman" w:eastAsia="Times New Roman" w:hAnsi="Times New Roman" w:cs="Times New Roman"/>
          <w:lang w:bidi="es-ES"/>
        </w:rPr>
        <w:t xml:space="preserve">Se establece la ampliación y modificación de la Garantía de las </w:t>
      </w:r>
      <w:r w:rsidRPr="003E13B9">
        <w:rPr>
          <w:rFonts w:ascii="Times New Roman" w:eastAsia="Times New Roman" w:hAnsi="Times New Roman" w:cs="Times New Roman"/>
          <w:lang w:val="es-MX" w:bidi="es-ES"/>
        </w:rPr>
        <w:t>Obligaciones Negociables, mediante las siguientes garantías adicionales: (i) la constitución del Fideicomiso MPN; y (ii) la Prenda. Para más información</w:t>
      </w:r>
      <w:r w:rsidR="004A46AE">
        <w:rPr>
          <w:rFonts w:ascii="Times New Roman" w:eastAsia="Times New Roman" w:hAnsi="Times New Roman" w:cs="Times New Roman"/>
          <w:lang w:val="es-MX" w:bidi="es-ES"/>
        </w:rPr>
        <w:t>,</w:t>
      </w:r>
      <w:r w:rsidRPr="003E13B9">
        <w:rPr>
          <w:rFonts w:ascii="Times New Roman" w:eastAsia="Times New Roman" w:hAnsi="Times New Roman" w:cs="Times New Roman"/>
          <w:lang w:val="es-MX" w:bidi="es-ES"/>
        </w:rPr>
        <w:t xml:space="preserve"> véase el apartado “</w:t>
      </w:r>
      <w:r w:rsidRPr="003E13B9">
        <w:rPr>
          <w:rFonts w:ascii="Times New Roman" w:eastAsia="Times New Roman" w:hAnsi="Times New Roman" w:cs="Times New Roman"/>
          <w:i/>
          <w:lang w:bidi="es-ES"/>
        </w:rPr>
        <w:t xml:space="preserve">Ampliación y modificación de la Garantía de las </w:t>
      </w:r>
      <w:r w:rsidRPr="003E13B9">
        <w:rPr>
          <w:rFonts w:ascii="Times New Roman" w:eastAsia="Times New Roman" w:hAnsi="Times New Roman" w:cs="Times New Roman"/>
          <w:i/>
          <w:lang w:val="es-MX" w:bidi="es-ES"/>
        </w:rPr>
        <w:t>Obligaciones Negociables</w:t>
      </w:r>
      <w:r w:rsidRPr="003E13B9">
        <w:rPr>
          <w:rFonts w:ascii="Times New Roman" w:eastAsia="Times New Roman" w:hAnsi="Times New Roman" w:cs="Times New Roman"/>
          <w:lang w:val="es-MX" w:bidi="es-ES"/>
        </w:rPr>
        <w:t>” de la presente Solicitud de Consentimiento;</w:t>
      </w:r>
    </w:p>
    <w:p w14:paraId="77E38962" w14:textId="77777777" w:rsidR="000B1FD2" w:rsidRPr="0032028C" w:rsidRDefault="000B1FD2" w:rsidP="00C13AAC">
      <w:pPr>
        <w:pStyle w:val="Prrafodelista"/>
        <w:spacing w:after="0" w:line="240" w:lineRule="auto"/>
        <w:ind w:leftChars="0" w:left="925" w:firstLineChars="0" w:firstLine="0"/>
        <w:jc w:val="both"/>
        <w:rPr>
          <w:rFonts w:ascii="Times New Roman" w:eastAsia="Times New Roman" w:hAnsi="Times New Roman" w:cs="Times New Roman"/>
          <w:lang w:bidi="es-ES"/>
        </w:rPr>
      </w:pPr>
    </w:p>
    <w:p w14:paraId="75033035" w14:textId="654AD89F" w:rsidR="000B1FD2" w:rsidRPr="00310976" w:rsidRDefault="000B1FD2" w:rsidP="00626DBF">
      <w:pPr>
        <w:pStyle w:val="Prrafodelista"/>
        <w:numPr>
          <w:ilvl w:val="0"/>
          <w:numId w:val="5"/>
        </w:numPr>
        <w:spacing w:after="0" w:line="240" w:lineRule="auto"/>
        <w:ind w:leftChars="0" w:firstLineChars="0"/>
        <w:jc w:val="both"/>
        <w:rPr>
          <w:rFonts w:ascii="Times New Roman" w:eastAsia="Times New Roman" w:hAnsi="Times New Roman" w:cs="Times New Roman"/>
          <w:lang w:val="es-AR" w:bidi="es-ES"/>
        </w:rPr>
      </w:pPr>
      <w:r w:rsidRPr="0032028C">
        <w:rPr>
          <w:rFonts w:ascii="Times New Roman" w:eastAsia="Times New Roman" w:hAnsi="Times New Roman" w:cs="Times New Roman"/>
          <w:lang w:bidi="es-ES"/>
        </w:rPr>
        <w:t>E</w:t>
      </w:r>
      <w:r w:rsidRPr="0032028C">
        <w:rPr>
          <w:rFonts w:ascii="Times New Roman" w:eastAsia="Times New Roman" w:hAnsi="Times New Roman" w:cs="Times New Roman"/>
          <w:lang w:val="es-AR" w:bidi="es-ES"/>
        </w:rPr>
        <w:t>l capital de las Obligaciones Negociables será amortizado de la siguiente manera: (i) con fecha 11 de agosto de 2022, la Sociedad abonará el 33,33% del monto de capital adeudado a esa fecha</w:t>
      </w:r>
      <w:r w:rsidR="003F14C4">
        <w:rPr>
          <w:rFonts w:ascii="Times New Roman" w:eastAsia="Times New Roman" w:hAnsi="Times New Roman" w:cs="Times New Roman"/>
          <w:lang w:val="es-AR" w:bidi="es-ES"/>
        </w:rPr>
        <w:t>,</w:t>
      </w:r>
      <w:r w:rsidR="003F14C4" w:rsidRPr="003F14C4">
        <w:rPr>
          <w:rFonts w:ascii="Times New Roman" w:eastAsia="Times New Roman" w:hAnsi="Times New Roman" w:cs="Times New Roman"/>
          <w:lang w:val="es-AR" w:bidi="es-ES"/>
        </w:rPr>
        <w:t xml:space="preserve"> </w:t>
      </w:r>
      <w:r w:rsidR="003F14C4">
        <w:rPr>
          <w:rFonts w:ascii="Times New Roman" w:eastAsia="Times New Roman" w:hAnsi="Times New Roman" w:cs="Times New Roman"/>
          <w:lang w:val="es-AR" w:bidi="es-ES"/>
        </w:rPr>
        <w:t xml:space="preserve">incluyendo todos los intereses capitalizados hasta </w:t>
      </w:r>
      <w:r w:rsidR="003C4D71">
        <w:rPr>
          <w:rFonts w:ascii="Times New Roman" w:eastAsia="Times New Roman" w:hAnsi="Times New Roman" w:cs="Times New Roman"/>
          <w:lang w:val="es-AR" w:bidi="es-ES"/>
        </w:rPr>
        <w:t xml:space="preserve">dicha </w:t>
      </w:r>
      <w:r w:rsidR="003F14C4">
        <w:rPr>
          <w:rFonts w:ascii="Times New Roman" w:eastAsia="Times New Roman" w:hAnsi="Times New Roman" w:cs="Times New Roman"/>
          <w:lang w:val="es-AR" w:bidi="es-ES"/>
        </w:rPr>
        <w:t>fecha inclusive</w:t>
      </w:r>
      <w:r w:rsidRPr="0032028C">
        <w:rPr>
          <w:rFonts w:ascii="Times New Roman" w:eastAsia="Times New Roman" w:hAnsi="Times New Roman" w:cs="Times New Roman"/>
          <w:lang w:val="es-AR" w:bidi="es-ES"/>
        </w:rPr>
        <w:t>; y (ii) con fecha 11 de febrero de 2023</w:t>
      </w:r>
      <w:r w:rsidR="00543B83">
        <w:rPr>
          <w:rFonts w:ascii="Times New Roman" w:eastAsia="Times New Roman" w:hAnsi="Times New Roman" w:cs="Times New Roman"/>
          <w:lang w:val="es-AR" w:bidi="es-ES"/>
        </w:rPr>
        <w:t xml:space="preserve"> </w:t>
      </w:r>
      <w:r w:rsidR="00543B83">
        <w:rPr>
          <w:rFonts w:ascii="Times New Roman" w:eastAsia="Times New Roman" w:hAnsi="Times New Roman" w:cs="Times New Roman"/>
          <w:lang w:bidi="es-ES"/>
        </w:rPr>
        <w:t>(esta última, la “</w:t>
      </w:r>
      <w:r w:rsidR="00543B83" w:rsidRPr="00C86372">
        <w:rPr>
          <w:rFonts w:ascii="Times New Roman" w:eastAsia="Times New Roman" w:hAnsi="Times New Roman" w:cs="Times New Roman"/>
          <w:u w:val="single"/>
          <w:lang w:bidi="es-ES"/>
        </w:rPr>
        <w:t xml:space="preserve">Fecha de Vencimiento de los </w:t>
      </w:r>
      <w:r w:rsidR="00543B83" w:rsidRPr="00543B83">
        <w:rPr>
          <w:rFonts w:ascii="Times New Roman" w:eastAsia="Times New Roman" w:hAnsi="Times New Roman" w:cs="Times New Roman"/>
          <w:u w:val="single"/>
          <w:lang w:bidi="es-ES"/>
        </w:rPr>
        <w:t>T&amp;C Básicos</w:t>
      </w:r>
      <w:r w:rsidR="00543B83">
        <w:rPr>
          <w:rFonts w:ascii="Times New Roman" w:eastAsia="Times New Roman" w:hAnsi="Times New Roman" w:cs="Times New Roman"/>
          <w:lang w:bidi="es-ES"/>
        </w:rPr>
        <w:t>”)</w:t>
      </w:r>
      <w:r w:rsidRPr="0032028C">
        <w:rPr>
          <w:rFonts w:ascii="Times New Roman" w:eastAsia="Times New Roman" w:hAnsi="Times New Roman" w:cs="Times New Roman"/>
          <w:lang w:val="es-AR" w:bidi="es-ES"/>
        </w:rPr>
        <w:t xml:space="preserve">, la Sociedad abonará </w:t>
      </w:r>
      <w:r w:rsidR="003C4D71">
        <w:rPr>
          <w:rFonts w:ascii="Times New Roman" w:eastAsia="Times New Roman" w:hAnsi="Times New Roman" w:cs="Times New Roman"/>
          <w:lang w:val="es-AR" w:bidi="es-ES"/>
        </w:rPr>
        <w:t xml:space="preserve">el saldo de capital remanente </w:t>
      </w:r>
      <w:r w:rsidRPr="0032028C">
        <w:rPr>
          <w:rFonts w:ascii="Times New Roman" w:eastAsia="Times New Roman" w:hAnsi="Times New Roman" w:cs="Times New Roman"/>
          <w:lang w:val="es-AR" w:bidi="es-ES"/>
        </w:rPr>
        <w:t>a esa fecha</w:t>
      </w:r>
      <w:r w:rsidR="00626DBF">
        <w:rPr>
          <w:rFonts w:ascii="Times New Roman" w:eastAsia="Times New Roman" w:hAnsi="Times New Roman" w:cs="Times New Roman"/>
          <w:lang w:val="es-AR" w:bidi="es-ES"/>
        </w:rPr>
        <w:t>, incluyendo los intereses capitalizados con posterioridad al 11 de agosto de 2022</w:t>
      </w:r>
      <w:r w:rsidRPr="0032028C">
        <w:rPr>
          <w:rFonts w:ascii="Times New Roman" w:eastAsia="Times New Roman" w:hAnsi="Times New Roman" w:cs="Times New Roman"/>
          <w:lang w:val="es-AR" w:bidi="es-ES"/>
        </w:rPr>
        <w:t>. Asimismo, en caso que la Sociedad realice el pago de las amortizaciones en término en cada uno de estos vencimientos, se aplicará una quita del 20</w:t>
      </w:r>
      <w:r w:rsidR="001D1AEC">
        <w:rPr>
          <w:rFonts w:ascii="Times New Roman" w:eastAsia="Times New Roman" w:hAnsi="Times New Roman" w:cs="Times New Roman"/>
          <w:lang w:val="es-AR" w:bidi="es-ES"/>
        </w:rPr>
        <w:t>,00</w:t>
      </w:r>
      <w:r w:rsidRPr="0032028C">
        <w:rPr>
          <w:rFonts w:ascii="Times New Roman" w:eastAsia="Times New Roman" w:hAnsi="Times New Roman" w:cs="Times New Roman"/>
          <w:lang w:val="es-AR" w:bidi="es-ES"/>
        </w:rPr>
        <w:t>% sobre el monto de capital adeudado en cada fecha, siendo la suma correspondiente a la amortización del punto (i) precedente igual a US$</w:t>
      </w:r>
      <w:r w:rsidR="009B65FD">
        <w:rPr>
          <w:rFonts w:ascii="Times New Roman" w:eastAsia="Times New Roman" w:hAnsi="Times New Roman" w:cs="Times New Roman"/>
          <w:lang w:val="es-AR" w:bidi="es-ES"/>
        </w:rPr>
        <w:t>7.069.507,07</w:t>
      </w:r>
      <w:r w:rsidR="00262388">
        <w:rPr>
          <w:rFonts w:ascii="Times New Roman" w:eastAsia="Times New Roman" w:hAnsi="Times New Roman" w:cs="Times New Roman"/>
          <w:lang w:val="es-AR" w:bidi="es-ES"/>
        </w:rPr>
        <w:t xml:space="preserve"> </w:t>
      </w:r>
      <w:r w:rsidR="00D01FB4">
        <w:rPr>
          <w:rFonts w:ascii="Times New Roman" w:eastAsia="Times New Roman" w:hAnsi="Times New Roman" w:cs="Times New Roman"/>
          <w:lang w:val="es-AR" w:bidi="es-ES"/>
        </w:rPr>
        <w:t>(</w:t>
      </w:r>
      <w:r w:rsidR="00F24136">
        <w:rPr>
          <w:rFonts w:ascii="Times New Roman" w:eastAsia="Times New Roman" w:hAnsi="Times New Roman" w:cs="Times New Roman"/>
          <w:lang w:val="es-AR" w:bidi="es-ES"/>
        </w:rPr>
        <w:t xml:space="preserve">este monto </w:t>
      </w:r>
      <w:r w:rsidR="002C0AAC">
        <w:rPr>
          <w:rFonts w:ascii="Times New Roman" w:eastAsia="Times New Roman" w:hAnsi="Times New Roman" w:cs="Times New Roman"/>
          <w:lang w:val="es-AR" w:bidi="es-ES"/>
        </w:rPr>
        <w:t>no considera</w:t>
      </w:r>
      <w:r w:rsidR="00F24136">
        <w:rPr>
          <w:rFonts w:ascii="Times New Roman" w:eastAsia="Times New Roman" w:hAnsi="Times New Roman" w:cs="Times New Roman"/>
          <w:lang w:val="es-AR" w:bidi="es-ES"/>
        </w:rPr>
        <w:t xml:space="preserve"> la quita del 20%</w:t>
      </w:r>
      <w:r w:rsidR="00D01FB4">
        <w:rPr>
          <w:rFonts w:ascii="Times New Roman" w:eastAsia="Times New Roman" w:hAnsi="Times New Roman" w:cs="Times New Roman"/>
          <w:lang w:val="es-AR" w:bidi="es-ES"/>
        </w:rPr>
        <w:t>)</w:t>
      </w:r>
      <w:r w:rsidRPr="0032028C">
        <w:rPr>
          <w:rFonts w:ascii="Times New Roman" w:eastAsia="Times New Roman" w:hAnsi="Times New Roman" w:cs="Times New Roman"/>
          <w:lang w:val="es-AR" w:bidi="es-ES"/>
        </w:rPr>
        <w:t>, y la suma correspondiente a la amortización del punto (ii) precedente igual a US$</w:t>
      </w:r>
      <w:r w:rsidR="009B65FD">
        <w:rPr>
          <w:rFonts w:ascii="Times New Roman" w:eastAsia="Times New Roman" w:hAnsi="Times New Roman" w:cs="Times New Roman"/>
          <w:lang w:val="es-AR" w:bidi="es-ES"/>
        </w:rPr>
        <w:t>14.391.739,62</w:t>
      </w:r>
      <w:r w:rsidR="00F24136">
        <w:rPr>
          <w:rFonts w:ascii="Times New Roman" w:eastAsia="Times New Roman" w:hAnsi="Times New Roman" w:cs="Times New Roman"/>
          <w:lang w:val="es-AR" w:bidi="es-ES"/>
        </w:rPr>
        <w:t xml:space="preserve"> (</w:t>
      </w:r>
      <w:r w:rsidR="002C0AAC">
        <w:rPr>
          <w:rFonts w:ascii="Times New Roman" w:eastAsia="Times New Roman" w:hAnsi="Times New Roman" w:cs="Times New Roman"/>
          <w:lang w:val="es-AR" w:bidi="es-ES"/>
        </w:rPr>
        <w:t>este monto no considera</w:t>
      </w:r>
      <w:r w:rsidR="00F24136">
        <w:rPr>
          <w:rFonts w:ascii="Times New Roman" w:eastAsia="Times New Roman" w:hAnsi="Times New Roman" w:cs="Times New Roman"/>
          <w:lang w:val="es-AR" w:bidi="es-ES"/>
        </w:rPr>
        <w:t xml:space="preserve"> la quita del 20</w:t>
      </w:r>
      <w:r w:rsidR="00F21855">
        <w:rPr>
          <w:rFonts w:ascii="Times New Roman" w:eastAsia="Times New Roman" w:hAnsi="Times New Roman" w:cs="Times New Roman"/>
          <w:lang w:val="es-AR" w:bidi="es-ES"/>
        </w:rPr>
        <w:t>,00</w:t>
      </w:r>
      <w:r w:rsidR="00F24136">
        <w:rPr>
          <w:rFonts w:ascii="Times New Roman" w:eastAsia="Times New Roman" w:hAnsi="Times New Roman" w:cs="Times New Roman"/>
          <w:lang w:val="es-AR" w:bidi="es-ES"/>
        </w:rPr>
        <w:t>%)</w:t>
      </w:r>
      <w:r w:rsidR="00A02B9C" w:rsidRPr="00214269">
        <w:rPr>
          <w:rFonts w:ascii="Times New Roman" w:eastAsia="Times New Roman" w:hAnsi="Times New Roman" w:cs="Times New Roman"/>
          <w:lang w:val="es-AR" w:bidi="es-ES"/>
        </w:rPr>
        <w:t xml:space="preserve">. </w:t>
      </w:r>
      <w:r w:rsidR="000A4CD5">
        <w:rPr>
          <w:rFonts w:ascii="Times New Roman" w:eastAsia="Times New Roman" w:hAnsi="Times New Roman" w:cs="Times New Roman"/>
          <w:lang w:val="es-AR" w:bidi="es-ES"/>
        </w:rPr>
        <w:t>E</w:t>
      </w:r>
      <w:r w:rsidR="000A4CD5" w:rsidRPr="00A359F0">
        <w:rPr>
          <w:rFonts w:ascii="Times New Roman" w:eastAsia="Times New Roman" w:hAnsi="Times New Roman" w:cs="Times New Roman"/>
          <w:lang w:val="es-AR" w:bidi="es-ES"/>
        </w:rPr>
        <w:t>n relaci</w:t>
      </w:r>
      <w:r w:rsidR="000A4CD5" w:rsidRPr="006A4775">
        <w:rPr>
          <w:rFonts w:ascii="Times New Roman" w:eastAsia="Times New Roman" w:hAnsi="Times New Roman" w:cs="Times New Roman"/>
          <w:lang w:val="es-AR" w:bidi="es-ES"/>
        </w:rPr>
        <w:t>ón a cada fecha de pago de amortización de capital</w:t>
      </w:r>
      <w:r w:rsidR="000A4CD5">
        <w:rPr>
          <w:rFonts w:ascii="Times New Roman" w:eastAsia="Times New Roman" w:hAnsi="Times New Roman" w:cs="Times New Roman"/>
          <w:lang w:val="es-AR" w:bidi="es-ES"/>
        </w:rPr>
        <w:t xml:space="preserve"> de la Obligaciones Negociables</w:t>
      </w:r>
      <w:r w:rsidR="00A02B9C" w:rsidRPr="00214269">
        <w:rPr>
          <w:rFonts w:ascii="Times New Roman" w:eastAsia="Times New Roman" w:hAnsi="Times New Roman" w:cs="Times New Roman"/>
          <w:lang w:val="es-AR" w:bidi="es-ES"/>
        </w:rPr>
        <w:t xml:space="preserve">, en los avisos de pago </w:t>
      </w:r>
      <w:r w:rsidR="00A91463">
        <w:rPr>
          <w:rFonts w:ascii="Times New Roman" w:eastAsia="Times New Roman" w:hAnsi="Times New Roman" w:cs="Times New Roman"/>
          <w:lang w:val="es-AR" w:bidi="es-ES"/>
        </w:rPr>
        <w:t xml:space="preserve">que </w:t>
      </w:r>
      <w:r w:rsidR="000A4CD5">
        <w:rPr>
          <w:rFonts w:ascii="Times New Roman" w:eastAsia="Times New Roman" w:hAnsi="Times New Roman" w:cs="Times New Roman"/>
          <w:lang w:val="es-AR" w:bidi="es-ES"/>
        </w:rPr>
        <w:t xml:space="preserve">la Sociedad </w:t>
      </w:r>
      <w:r w:rsidR="00A91463">
        <w:rPr>
          <w:rFonts w:ascii="Times New Roman" w:eastAsia="Times New Roman" w:hAnsi="Times New Roman" w:cs="Times New Roman"/>
          <w:lang w:val="es-AR" w:bidi="es-ES"/>
        </w:rPr>
        <w:t>publicará</w:t>
      </w:r>
      <w:r w:rsidR="00A02B9C" w:rsidRPr="00214269">
        <w:rPr>
          <w:rFonts w:ascii="Times New Roman" w:eastAsia="Times New Roman" w:hAnsi="Times New Roman" w:cs="Times New Roman"/>
          <w:lang w:val="es-AR" w:bidi="es-ES"/>
        </w:rPr>
        <w:t xml:space="preserve"> en la Autopista de la Información Financiera</w:t>
      </w:r>
      <w:r w:rsidR="00A02B9C" w:rsidRPr="0062702E">
        <w:rPr>
          <w:rFonts w:ascii="Times New Roman" w:eastAsia="Times New Roman" w:hAnsi="Times New Roman" w:cs="Times New Roman"/>
          <w:lang w:val="es-AR" w:bidi="es-ES"/>
        </w:rPr>
        <w:t xml:space="preserve"> (</w:t>
      </w:r>
      <w:r w:rsidR="009A06AE">
        <w:rPr>
          <w:rFonts w:ascii="Times New Roman" w:eastAsia="Times New Roman" w:hAnsi="Times New Roman" w:cs="Times New Roman"/>
          <w:lang w:val="es-AR" w:bidi="es-ES"/>
        </w:rPr>
        <w:t xml:space="preserve">la </w:t>
      </w:r>
      <w:r w:rsidR="00A02B9C" w:rsidRPr="0062702E">
        <w:rPr>
          <w:rFonts w:ascii="Times New Roman" w:eastAsia="Times New Roman" w:hAnsi="Times New Roman" w:cs="Times New Roman"/>
          <w:lang w:val="es-AR" w:bidi="es-ES"/>
        </w:rPr>
        <w:t>“</w:t>
      </w:r>
      <w:r w:rsidR="00A02B9C" w:rsidRPr="0062702E">
        <w:rPr>
          <w:rFonts w:ascii="Times New Roman" w:eastAsia="Times New Roman" w:hAnsi="Times New Roman" w:cs="Times New Roman"/>
          <w:u w:val="single"/>
          <w:lang w:val="es-AR" w:bidi="es-ES"/>
        </w:rPr>
        <w:t>AIF</w:t>
      </w:r>
      <w:r w:rsidR="00A02B9C" w:rsidRPr="0062702E">
        <w:rPr>
          <w:rFonts w:ascii="Times New Roman" w:eastAsia="Times New Roman" w:hAnsi="Times New Roman" w:cs="Times New Roman"/>
          <w:lang w:val="es-AR" w:bidi="es-ES"/>
        </w:rPr>
        <w:t>”</w:t>
      </w:r>
      <w:r w:rsidR="00A02B9C" w:rsidRPr="007A4D3C">
        <w:rPr>
          <w:rFonts w:ascii="Times New Roman" w:eastAsia="Times New Roman" w:hAnsi="Times New Roman" w:cs="Times New Roman"/>
          <w:lang w:val="es-AR" w:bidi="es-ES"/>
        </w:rPr>
        <w:t>)</w:t>
      </w:r>
      <w:r w:rsidR="00A02B9C" w:rsidRPr="00A359F0">
        <w:rPr>
          <w:rFonts w:ascii="Times New Roman" w:eastAsia="Times New Roman" w:hAnsi="Times New Roman" w:cs="Times New Roman"/>
          <w:lang w:val="es-AR" w:bidi="es-ES"/>
        </w:rPr>
        <w:t xml:space="preserve"> de la Comisión Nacional de Valores (</w:t>
      </w:r>
      <w:r w:rsidR="009A06AE">
        <w:rPr>
          <w:rFonts w:ascii="Times New Roman" w:eastAsia="Times New Roman" w:hAnsi="Times New Roman" w:cs="Times New Roman"/>
          <w:lang w:val="es-AR" w:bidi="es-ES"/>
        </w:rPr>
        <w:t xml:space="preserve">la </w:t>
      </w:r>
      <w:r w:rsidR="00A02B9C" w:rsidRPr="00A359F0">
        <w:rPr>
          <w:rFonts w:ascii="Times New Roman" w:eastAsia="Times New Roman" w:hAnsi="Times New Roman" w:cs="Times New Roman"/>
          <w:lang w:val="es-AR" w:bidi="es-ES"/>
        </w:rPr>
        <w:t>“</w:t>
      </w:r>
      <w:r w:rsidR="00A02B9C" w:rsidRPr="00A359F0">
        <w:rPr>
          <w:rFonts w:ascii="Times New Roman" w:eastAsia="Times New Roman" w:hAnsi="Times New Roman" w:cs="Times New Roman"/>
          <w:u w:val="single"/>
          <w:lang w:val="es-AR" w:bidi="es-ES"/>
        </w:rPr>
        <w:t>CNV</w:t>
      </w:r>
      <w:r w:rsidR="00A02B9C" w:rsidRPr="00A359F0">
        <w:rPr>
          <w:rFonts w:ascii="Times New Roman" w:eastAsia="Times New Roman" w:hAnsi="Times New Roman" w:cs="Times New Roman"/>
          <w:lang w:val="es-AR" w:bidi="es-ES"/>
        </w:rPr>
        <w:t>”)</w:t>
      </w:r>
      <w:r w:rsidR="000A4CD5">
        <w:rPr>
          <w:rFonts w:ascii="Times New Roman" w:eastAsia="Times New Roman" w:hAnsi="Times New Roman" w:cs="Times New Roman"/>
          <w:lang w:val="es-AR" w:bidi="es-ES"/>
        </w:rPr>
        <w:t>, se informará</w:t>
      </w:r>
      <w:r w:rsidR="00A02B9C" w:rsidRPr="00A359F0">
        <w:rPr>
          <w:rFonts w:ascii="Times New Roman" w:eastAsia="Times New Roman" w:hAnsi="Times New Roman" w:cs="Times New Roman"/>
          <w:lang w:val="es-AR" w:bidi="es-ES"/>
        </w:rPr>
        <w:t xml:space="preserve"> </w:t>
      </w:r>
      <w:r w:rsidR="00A02B9C" w:rsidRPr="00ED25E9">
        <w:rPr>
          <w:rFonts w:ascii="Times New Roman" w:eastAsia="Times New Roman" w:hAnsi="Times New Roman" w:cs="Times New Roman"/>
          <w:lang w:val="es-AR" w:bidi="es-ES"/>
        </w:rPr>
        <w:t>el capital residual de las Obligaciones Negocia</w:t>
      </w:r>
      <w:r w:rsidR="00A02B9C" w:rsidRPr="00310976">
        <w:rPr>
          <w:rFonts w:ascii="Times New Roman" w:eastAsia="Times New Roman" w:hAnsi="Times New Roman" w:cs="Times New Roman"/>
          <w:lang w:val="es-AR" w:bidi="es-ES"/>
        </w:rPr>
        <w:t>bles.</w:t>
      </w:r>
    </w:p>
    <w:p w14:paraId="165D5F36" w14:textId="77777777" w:rsidR="000B1FD2" w:rsidRPr="00740007" w:rsidRDefault="000B1FD2">
      <w:pPr>
        <w:pStyle w:val="Prrafodelista"/>
        <w:spacing w:after="0" w:line="240" w:lineRule="auto"/>
        <w:ind w:leftChars="0" w:left="1285" w:firstLineChars="0" w:firstLine="0"/>
        <w:jc w:val="both"/>
        <w:rPr>
          <w:rFonts w:ascii="Times New Roman" w:eastAsia="Times New Roman" w:hAnsi="Times New Roman" w:cs="Times New Roman"/>
          <w:lang w:val="es-AR" w:bidi="es-ES"/>
        </w:rPr>
      </w:pPr>
    </w:p>
    <w:p w14:paraId="171A5B22" w14:textId="18FE37FD" w:rsidR="000B1FD2" w:rsidRPr="0055089D" w:rsidRDefault="000B1FD2">
      <w:pPr>
        <w:pStyle w:val="Prrafodelista"/>
        <w:numPr>
          <w:ilvl w:val="0"/>
          <w:numId w:val="5"/>
        </w:numPr>
        <w:spacing w:after="0" w:line="240" w:lineRule="auto"/>
        <w:ind w:leftChars="0" w:firstLineChars="0"/>
        <w:jc w:val="both"/>
        <w:rPr>
          <w:rFonts w:ascii="Times New Roman" w:eastAsia="Times New Roman" w:hAnsi="Times New Roman" w:cs="Times New Roman"/>
          <w:lang w:bidi="es-ES"/>
        </w:rPr>
      </w:pPr>
      <w:r w:rsidRPr="0055089D">
        <w:rPr>
          <w:rFonts w:ascii="Times New Roman" w:eastAsia="Times New Roman" w:hAnsi="Times New Roman" w:cs="Times New Roman"/>
          <w:lang w:bidi="es-ES"/>
        </w:rPr>
        <w:t>Las Fechas de Pago de Intereses serán las siguientes: 11 de noviembre de 2021, 11 de febrero de 2022, 11 de mayo de 2022, 11 de agosto de 2022, 11 de noviembre de 2022 y</w:t>
      </w:r>
      <w:r w:rsidR="00D72A60">
        <w:rPr>
          <w:rFonts w:ascii="Times New Roman" w:eastAsia="Times New Roman" w:hAnsi="Times New Roman" w:cs="Times New Roman"/>
          <w:lang w:bidi="es-ES"/>
        </w:rPr>
        <w:t xml:space="preserve"> la</w:t>
      </w:r>
      <w:r w:rsidRPr="0055089D">
        <w:rPr>
          <w:rFonts w:ascii="Times New Roman" w:eastAsia="Times New Roman" w:hAnsi="Times New Roman" w:cs="Times New Roman"/>
          <w:lang w:bidi="es-ES"/>
        </w:rPr>
        <w:t xml:space="preserve"> </w:t>
      </w:r>
      <w:r w:rsidR="00543B83" w:rsidRPr="00C14A55">
        <w:rPr>
          <w:rFonts w:ascii="Times New Roman" w:eastAsia="Times New Roman" w:hAnsi="Times New Roman" w:cs="Times New Roman"/>
          <w:lang w:bidi="es-ES"/>
        </w:rPr>
        <w:t>Fecha</w:t>
      </w:r>
      <w:r w:rsidR="00543B83" w:rsidRPr="00C14A55">
        <w:rPr>
          <w:rFonts w:ascii="Times New Roman" w:hAnsi="Times New Roman"/>
        </w:rPr>
        <w:t xml:space="preserve"> de </w:t>
      </w:r>
      <w:r w:rsidR="00543B83" w:rsidRPr="00C14A55">
        <w:rPr>
          <w:rFonts w:ascii="Times New Roman" w:eastAsia="Times New Roman" w:hAnsi="Times New Roman" w:cs="Times New Roman"/>
          <w:lang w:bidi="es-ES"/>
        </w:rPr>
        <w:t>Vencimiento</w:t>
      </w:r>
      <w:r w:rsidR="00543B83" w:rsidRPr="00C14A55">
        <w:rPr>
          <w:rFonts w:ascii="Times New Roman" w:hAnsi="Times New Roman"/>
        </w:rPr>
        <w:t xml:space="preserve"> de </w:t>
      </w:r>
      <w:r w:rsidR="00543B83" w:rsidRPr="00C14A55">
        <w:rPr>
          <w:rFonts w:ascii="Times New Roman" w:eastAsia="Times New Roman" w:hAnsi="Times New Roman" w:cs="Times New Roman"/>
          <w:lang w:bidi="es-ES"/>
        </w:rPr>
        <w:t>los T&amp;C Básicos</w:t>
      </w:r>
      <w:r w:rsidRPr="0055089D">
        <w:rPr>
          <w:rFonts w:ascii="Times New Roman" w:eastAsia="Times New Roman" w:hAnsi="Times New Roman" w:cs="Times New Roman"/>
          <w:lang w:bidi="es-ES"/>
        </w:rPr>
        <w:t>;</w:t>
      </w:r>
    </w:p>
    <w:p w14:paraId="6926E9E3" w14:textId="77777777" w:rsidR="000B1FD2" w:rsidRPr="00626DBF" w:rsidRDefault="000B1FD2">
      <w:pPr>
        <w:pStyle w:val="Prrafodelista"/>
        <w:spacing w:after="0" w:line="240" w:lineRule="auto"/>
        <w:ind w:leftChars="0" w:left="1285" w:firstLineChars="0" w:firstLine="0"/>
        <w:jc w:val="both"/>
        <w:rPr>
          <w:rFonts w:ascii="Times New Roman" w:eastAsia="Times New Roman" w:hAnsi="Times New Roman" w:cs="Times New Roman"/>
          <w:lang w:bidi="es-ES"/>
        </w:rPr>
      </w:pPr>
    </w:p>
    <w:p w14:paraId="14E78EB2" w14:textId="085C8C92" w:rsidR="000B1FD2" w:rsidRPr="00626DBF" w:rsidRDefault="000B1FD2" w:rsidP="005B76C0">
      <w:pPr>
        <w:pStyle w:val="Prrafodelista"/>
        <w:numPr>
          <w:ilvl w:val="0"/>
          <w:numId w:val="5"/>
        </w:numPr>
        <w:spacing w:after="0" w:line="240" w:lineRule="auto"/>
        <w:ind w:leftChars="0" w:firstLineChars="0"/>
        <w:jc w:val="both"/>
        <w:rPr>
          <w:rFonts w:ascii="Times New Roman" w:eastAsia="Times New Roman" w:hAnsi="Times New Roman" w:cs="Times New Roman"/>
          <w:lang w:bidi="es-ES"/>
        </w:rPr>
      </w:pPr>
      <w:r w:rsidRPr="00626DBF">
        <w:rPr>
          <w:rFonts w:ascii="Times New Roman" w:eastAsia="Times New Roman" w:hAnsi="Times New Roman" w:cs="Times New Roman"/>
          <w:lang w:bidi="es-ES"/>
        </w:rPr>
        <w:t>Los intereses a devengarse sobre el monto de capital impago de las Obligaciones Negociables en cada Período de Intereses serán del 3,5% (tres coma cinco por ciento) nominal anual</w:t>
      </w:r>
      <w:r w:rsidR="003E13B9">
        <w:rPr>
          <w:rFonts w:ascii="Times New Roman" w:eastAsia="Times New Roman" w:hAnsi="Times New Roman" w:cs="Times New Roman"/>
          <w:lang w:bidi="es-ES"/>
        </w:rPr>
        <w:t>. Asimismo, se aclara que est</w:t>
      </w:r>
      <w:r w:rsidR="009A06AE">
        <w:rPr>
          <w:rFonts w:ascii="Times New Roman" w:eastAsia="Times New Roman" w:hAnsi="Times New Roman" w:cs="Times New Roman"/>
          <w:lang w:bidi="es-ES"/>
        </w:rPr>
        <w:t>a tasa de</w:t>
      </w:r>
      <w:r w:rsidR="003E13B9">
        <w:rPr>
          <w:rFonts w:ascii="Times New Roman" w:eastAsia="Times New Roman" w:hAnsi="Times New Roman" w:cs="Times New Roman"/>
          <w:lang w:bidi="es-ES"/>
        </w:rPr>
        <w:t xml:space="preserve"> interés también será aplicable a l</w:t>
      </w:r>
      <w:r w:rsidR="009A06AE">
        <w:rPr>
          <w:rFonts w:ascii="Times New Roman" w:eastAsia="Times New Roman" w:hAnsi="Times New Roman" w:cs="Times New Roman"/>
          <w:lang w:bidi="es-ES"/>
        </w:rPr>
        <w:t xml:space="preserve">os intereses correspondientes al </w:t>
      </w:r>
      <w:r w:rsidR="009A06AE" w:rsidRPr="00626DBF">
        <w:rPr>
          <w:rFonts w:ascii="Times New Roman" w:eastAsia="Times New Roman" w:hAnsi="Times New Roman" w:cs="Times New Roman"/>
          <w:lang w:bidi="es-ES"/>
        </w:rPr>
        <w:t>Período de Intereses</w:t>
      </w:r>
      <w:r w:rsidR="009A06AE">
        <w:rPr>
          <w:rFonts w:ascii="Times New Roman" w:eastAsia="Times New Roman" w:hAnsi="Times New Roman" w:cs="Times New Roman"/>
          <w:lang w:bidi="es-ES"/>
        </w:rPr>
        <w:t xml:space="preserve"> cuya Fecha de Pago de Intereses venció el 11 de agosto de 2021</w:t>
      </w:r>
      <w:r w:rsidR="005B76C0">
        <w:rPr>
          <w:rFonts w:ascii="Times New Roman" w:eastAsia="Times New Roman" w:hAnsi="Times New Roman" w:cs="Times New Roman"/>
          <w:lang w:bidi="es-ES"/>
        </w:rPr>
        <w:t>, lo que resulta en la suma de $</w:t>
      </w:r>
      <w:r w:rsidR="005B76C0" w:rsidRPr="005B76C0">
        <w:t xml:space="preserve"> </w:t>
      </w:r>
      <w:r w:rsidR="005B76C0" w:rsidRPr="005B76C0">
        <w:rPr>
          <w:rFonts w:ascii="Times New Roman" w:eastAsia="Times New Roman" w:hAnsi="Times New Roman" w:cs="Times New Roman"/>
          <w:lang w:bidi="es-ES"/>
        </w:rPr>
        <w:t>179.129,92</w:t>
      </w:r>
      <w:r w:rsidR="005B76C0">
        <w:rPr>
          <w:rFonts w:ascii="Times New Roman" w:eastAsia="Times New Roman" w:hAnsi="Times New Roman" w:cs="Times New Roman"/>
          <w:lang w:bidi="es-ES"/>
        </w:rPr>
        <w:t xml:space="preserve"> los cuales serán capitalizados, siendo el capital</w:t>
      </w:r>
      <w:r w:rsidR="004711F9">
        <w:rPr>
          <w:rFonts w:ascii="Times New Roman" w:eastAsia="Times New Roman" w:hAnsi="Times New Roman" w:cs="Times New Roman"/>
          <w:lang w:bidi="es-ES"/>
        </w:rPr>
        <w:t xml:space="preserve"> de las Obligaciones Negociables</w:t>
      </w:r>
      <w:r w:rsidR="005B76C0">
        <w:rPr>
          <w:rFonts w:ascii="Times New Roman" w:eastAsia="Times New Roman" w:hAnsi="Times New Roman" w:cs="Times New Roman"/>
          <w:lang w:bidi="es-ES"/>
        </w:rPr>
        <w:t xml:space="preserve"> actualizado a la fecha de la presente Solicitud de Consentimiento   de </w:t>
      </w:r>
      <w:r w:rsidR="005B76C0" w:rsidRPr="005B76C0">
        <w:rPr>
          <w:rFonts w:ascii="Times New Roman" w:eastAsia="Times New Roman" w:hAnsi="Times New Roman" w:cs="Times New Roman"/>
          <w:lang w:bidi="es-ES"/>
        </w:rPr>
        <w:t>US$20.484.229,92</w:t>
      </w:r>
      <w:r w:rsidR="003E13B9">
        <w:rPr>
          <w:rFonts w:ascii="Times New Roman" w:eastAsia="Times New Roman" w:hAnsi="Times New Roman" w:cs="Times New Roman"/>
          <w:lang w:bidi="es-ES"/>
        </w:rPr>
        <w:t>;</w:t>
      </w:r>
    </w:p>
    <w:p w14:paraId="125A055A" w14:textId="77777777" w:rsidR="000B1FD2" w:rsidRPr="00F43580" w:rsidRDefault="000B1FD2" w:rsidP="00C13AAC">
      <w:pPr>
        <w:pStyle w:val="Prrafodelista"/>
        <w:spacing w:after="0" w:line="240" w:lineRule="auto"/>
        <w:ind w:left="0" w:hanging="2"/>
        <w:rPr>
          <w:rFonts w:ascii="Times New Roman" w:eastAsia="Times New Roman" w:hAnsi="Times New Roman" w:cs="Times New Roman"/>
          <w:lang w:bidi="es-ES"/>
        </w:rPr>
      </w:pPr>
    </w:p>
    <w:p w14:paraId="550415F5" w14:textId="61897708" w:rsidR="005B76C0" w:rsidRPr="005B76C0" w:rsidRDefault="000B1FD2" w:rsidP="005B76C0">
      <w:pPr>
        <w:pStyle w:val="Prrafodelista"/>
        <w:numPr>
          <w:ilvl w:val="0"/>
          <w:numId w:val="5"/>
        </w:numPr>
        <w:spacing w:after="0" w:line="240" w:lineRule="auto"/>
        <w:ind w:leftChars="0" w:firstLineChars="0"/>
        <w:jc w:val="both"/>
        <w:rPr>
          <w:rFonts w:ascii="Times New Roman" w:eastAsia="Times New Roman" w:hAnsi="Times New Roman" w:cs="Times New Roman"/>
          <w:lang w:bidi="es-ES"/>
        </w:rPr>
      </w:pPr>
      <w:r w:rsidRPr="00F43580">
        <w:rPr>
          <w:rFonts w:ascii="Times New Roman" w:eastAsia="Times New Roman" w:hAnsi="Times New Roman" w:cs="Times New Roman"/>
          <w:lang w:bidi="es-ES"/>
        </w:rPr>
        <w:t>El servicio de intereses correspondiente a la Fecha de Pago de Intereses del 11 de mayo de 2021</w:t>
      </w:r>
      <w:r w:rsidR="00D92D5E">
        <w:rPr>
          <w:rFonts w:ascii="Times New Roman" w:eastAsia="Times New Roman" w:hAnsi="Times New Roman" w:cs="Times New Roman"/>
          <w:lang w:bidi="es-ES"/>
        </w:rPr>
        <w:t xml:space="preserve"> </w:t>
      </w:r>
      <w:r w:rsidR="004711F9">
        <w:rPr>
          <w:rFonts w:ascii="Times New Roman" w:eastAsia="Times New Roman" w:hAnsi="Times New Roman" w:cs="Times New Roman"/>
          <w:lang w:bidi="es-ES"/>
        </w:rPr>
        <w:t>por el monto de</w:t>
      </w:r>
      <w:r w:rsidR="00D92D5E">
        <w:rPr>
          <w:rFonts w:ascii="Times New Roman" w:eastAsia="Times New Roman" w:hAnsi="Times New Roman" w:cs="Times New Roman"/>
          <w:lang w:bidi="es-ES"/>
        </w:rPr>
        <w:t xml:space="preserve"> US$</w:t>
      </w:r>
      <w:r w:rsidR="00FC4C12">
        <w:rPr>
          <w:rFonts w:ascii="Times New Roman" w:eastAsia="Times New Roman" w:hAnsi="Times New Roman" w:cs="Times New Roman"/>
          <w:lang w:bidi="es-ES"/>
        </w:rPr>
        <w:t xml:space="preserve"> </w:t>
      </w:r>
      <w:r w:rsidR="00D92D5E">
        <w:rPr>
          <w:rFonts w:ascii="Times New Roman" w:eastAsia="Times New Roman" w:hAnsi="Times New Roman" w:cs="Times New Roman"/>
          <w:lang w:bidi="es-ES"/>
        </w:rPr>
        <w:t>445.599,59</w:t>
      </w:r>
      <w:r w:rsidRPr="00D92D5E">
        <w:rPr>
          <w:rFonts w:ascii="Times New Roman" w:eastAsia="Times New Roman" w:hAnsi="Times New Roman" w:cs="Times New Roman"/>
          <w:lang w:bidi="es-ES"/>
        </w:rPr>
        <w:t xml:space="preserve"> se pagará en la Fecha de Pago de Intereses del 11 de noviembre de 2021, conforme lo establecido en el Suplemento de Prospecto;</w:t>
      </w:r>
    </w:p>
    <w:p w14:paraId="73E15AF1" w14:textId="77777777" w:rsidR="000B1FD2" w:rsidRPr="00F43580" w:rsidRDefault="000B1FD2" w:rsidP="00C13AAC">
      <w:pPr>
        <w:pStyle w:val="Prrafodelista"/>
        <w:spacing w:after="0" w:line="240" w:lineRule="auto"/>
        <w:ind w:left="0" w:hanging="2"/>
        <w:rPr>
          <w:rFonts w:ascii="Times New Roman" w:eastAsia="Times New Roman" w:hAnsi="Times New Roman" w:cs="Times New Roman"/>
          <w:lang w:bidi="es-ES"/>
        </w:rPr>
      </w:pPr>
    </w:p>
    <w:p w14:paraId="45D98612" w14:textId="46C7C385" w:rsidR="000B1FD2" w:rsidRPr="007C13D7" w:rsidRDefault="000B1FD2" w:rsidP="007C13D7">
      <w:pPr>
        <w:pStyle w:val="Prrafodelista"/>
        <w:numPr>
          <w:ilvl w:val="0"/>
          <w:numId w:val="5"/>
        </w:numPr>
        <w:spacing w:after="0" w:line="240" w:lineRule="auto"/>
        <w:ind w:leftChars="0" w:firstLineChars="0"/>
        <w:jc w:val="both"/>
        <w:rPr>
          <w:rFonts w:ascii="Times New Roman" w:eastAsia="Times New Roman" w:hAnsi="Times New Roman" w:cs="Times New Roman"/>
          <w:lang w:val="es-AR" w:bidi="es-ES"/>
        </w:rPr>
      </w:pPr>
      <w:r w:rsidRPr="00F43580">
        <w:rPr>
          <w:rFonts w:ascii="Times New Roman" w:eastAsia="Times New Roman" w:hAnsi="Times New Roman" w:cs="Times New Roman"/>
          <w:lang w:bidi="es-ES"/>
        </w:rPr>
        <w:t xml:space="preserve">Los intereses pagaderos en las Fechas de Pago de Intereses del </w:t>
      </w:r>
      <w:r w:rsidR="00A31ACC" w:rsidRPr="00EF6EEA">
        <w:rPr>
          <w:rFonts w:ascii="Times New Roman" w:eastAsia="Times New Roman" w:hAnsi="Times New Roman" w:cs="Times New Roman"/>
          <w:lang w:bidi="es-ES"/>
        </w:rPr>
        <w:t>11 de noviembre de 2021</w:t>
      </w:r>
      <w:r w:rsidR="00743FF1">
        <w:rPr>
          <w:rFonts w:ascii="Times New Roman" w:eastAsia="Times New Roman" w:hAnsi="Times New Roman" w:cs="Times New Roman"/>
          <w:lang w:bidi="es-ES"/>
        </w:rPr>
        <w:t xml:space="preserve"> (</w:t>
      </w:r>
      <w:r w:rsidR="00D72A60">
        <w:rPr>
          <w:rFonts w:ascii="Times New Roman" w:eastAsia="Times New Roman" w:hAnsi="Times New Roman" w:cs="Times New Roman"/>
          <w:lang w:bidi="es-ES"/>
        </w:rPr>
        <w:t xml:space="preserve">que corresponden a un servicio de </w:t>
      </w:r>
      <w:r w:rsidR="00743FF1">
        <w:rPr>
          <w:rFonts w:ascii="Times New Roman" w:eastAsia="Times New Roman" w:hAnsi="Times New Roman" w:cs="Times New Roman"/>
          <w:lang w:bidi="es-ES"/>
        </w:rPr>
        <w:t>intereses distinto de</w:t>
      </w:r>
      <w:r w:rsidR="00D72A60">
        <w:rPr>
          <w:rFonts w:ascii="Times New Roman" w:eastAsia="Times New Roman" w:hAnsi="Times New Roman" w:cs="Times New Roman"/>
          <w:lang w:bidi="es-ES"/>
        </w:rPr>
        <w:t>l</w:t>
      </w:r>
      <w:r w:rsidR="00743FF1">
        <w:rPr>
          <w:rFonts w:ascii="Times New Roman" w:eastAsia="Times New Roman" w:hAnsi="Times New Roman" w:cs="Times New Roman"/>
          <w:lang w:bidi="es-ES"/>
        </w:rPr>
        <w:t xml:space="preserve"> servicio</w:t>
      </w:r>
      <w:r w:rsidR="00D72A60">
        <w:rPr>
          <w:rFonts w:ascii="Times New Roman" w:eastAsia="Times New Roman" w:hAnsi="Times New Roman" w:cs="Times New Roman"/>
          <w:lang w:bidi="es-ES"/>
        </w:rPr>
        <w:t xml:space="preserve"> de intereses</w:t>
      </w:r>
      <w:r w:rsidR="00743FF1">
        <w:rPr>
          <w:rFonts w:ascii="Times New Roman" w:eastAsia="Times New Roman" w:hAnsi="Times New Roman" w:cs="Times New Roman"/>
          <w:lang w:bidi="es-ES"/>
        </w:rPr>
        <w:t xml:space="preserve"> referido en el párrafo anterior)</w:t>
      </w:r>
      <w:r w:rsidR="00A31ACC" w:rsidRPr="00EF6EEA">
        <w:rPr>
          <w:rFonts w:ascii="Times New Roman" w:eastAsia="Times New Roman" w:hAnsi="Times New Roman" w:cs="Times New Roman"/>
          <w:lang w:bidi="es-ES"/>
        </w:rPr>
        <w:t xml:space="preserve">, </w:t>
      </w:r>
      <w:r w:rsidRPr="00EF6EEA">
        <w:rPr>
          <w:rFonts w:ascii="Times New Roman" w:eastAsia="Times New Roman" w:hAnsi="Times New Roman" w:cs="Times New Roman"/>
          <w:lang w:bidi="es-ES"/>
        </w:rPr>
        <w:t xml:space="preserve">11 de febrero de 2022, 11 de mayo de 2022, 11 de agosto de 2022, 11 de noviembre de 2022 y </w:t>
      </w:r>
      <w:r w:rsidR="00FB6E57">
        <w:rPr>
          <w:rFonts w:ascii="Times New Roman" w:eastAsia="Times New Roman" w:hAnsi="Times New Roman" w:cs="Times New Roman"/>
          <w:lang w:bidi="es-ES"/>
        </w:rPr>
        <w:t xml:space="preserve">en </w:t>
      </w:r>
      <w:r w:rsidR="00D72A60">
        <w:rPr>
          <w:rFonts w:ascii="Times New Roman" w:eastAsia="Times New Roman" w:hAnsi="Times New Roman" w:cs="Times New Roman"/>
          <w:lang w:bidi="es-ES"/>
        </w:rPr>
        <w:t xml:space="preserve">la </w:t>
      </w:r>
      <w:r w:rsidR="00FB6E57" w:rsidRPr="00C14A55">
        <w:rPr>
          <w:rFonts w:ascii="Times New Roman" w:eastAsia="Times New Roman" w:hAnsi="Times New Roman" w:cs="Times New Roman"/>
          <w:lang w:bidi="es-ES"/>
        </w:rPr>
        <w:t>Fecha</w:t>
      </w:r>
      <w:r w:rsidR="00FB6E57" w:rsidRPr="00C14A55">
        <w:rPr>
          <w:rFonts w:ascii="Times New Roman" w:hAnsi="Times New Roman"/>
        </w:rPr>
        <w:t xml:space="preserve"> de </w:t>
      </w:r>
      <w:r w:rsidR="00FB6E57" w:rsidRPr="00C14A55">
        <w:rPr>
          <w:rFonts w:ascii="Times New Roman" w:eastAsia="Times New Roman" w:hAnsi="Times New Roman" w:cs="Times New Roman"/>
          <w:lang w:bidi="es-ES"/>
        </w:rPr>
        <w:t>Vencimiento</w:t>
      </w:r>
      <w:r w:rsidR="00FB6E57" w:rsidRPr="00C14A55">
        <w:rPr>
          <w:rFonts w:ascii="Times New Roman" w:hAnsi="Times New Roman"/>
        </w:rPr>
        <w:t xml:space="preserve"> de </w:t>
      </w:r>
      <w:r w:rsidR="00FB6E57" w:rsidRPr="00C14A55">
        <w:rPr>
          <w:rFonts w:ascii="Times New Roman" w:eastAsia="Times New Roman" w:hAnsi="Times New Roman" w:cs="Times New Roman"/>
          <w:lang w:bidi="es-ES"/>
        </w:rPr>
        <w:t>los T&amp;C Básicos</w:t>
      </w:r>
      <w:r w:rsidRPr="00DF7A87">
        <w:rPr>
          <w:rFonts w:ascii="Times New Roman" w:eastAsia="Times New Roman" w:hAnsi="Times New Roman" w:cs="Times New Roman"/>
          <w:lang w:bidi="es-ES"/>
        </w:rPr>
        <w:t xml:space="preserve"> serán automáticamente capitalizados en cada una de esas respectivas Fechas de Pago de Intereses, debiendo la Sociedad</w:t>
      </w:r>
      <w:r w:rsidR="005522B4" w:rsidRPr="009573B9">
        <w:rPr>
          <w:rFonts w:ascii="Times New Roman" w:eastAsia="Times New Roman" w:hAnsi="Times New Roman" w:cs="Times New Roman"/>
          <w:lang w:bidi="es-ES"/>
        </w:rPr>
        <w:t xml:space="preserve"> </w:t>
      </w:r>
      <w:r w:rsidR="005522B4" w:rsidRPr="00A91463">
        <w:rPr>
          <w:rFonts w:ascii="Times New Roman" w:eastAsia="Times New Roman" w:hAnsi="Times New Roman" w:cs="Times New Roman"/>
          <w:lang w:val="es-AR" w:bidi="es-ES"/>
        </w:rPr>
        <w:t>publicar los avisos de pago correspondientes a cada Fecha de Pago de Interés en la AIF de la CNV informando el capital residual de las Obligaciones Negociables</w:t>
      </w:r>
      <w:r w:rsidRPr="00A91463">
        <w:rPr>
          <w:rFonts w:ascii="Times New Roman" w:eastAsia="Times New Roman" w:hAnsi="Times New Roman" w:cs="Times New Roman"/>
          <w:lang w:bidi="es-ES"/>
        </w:rPr>
        <w:t>;</w:t>
      </w:r>
    </w:p>
    <w:p w14:paraId="27081B02" w14:textId="77777777" w:rsidR="000B1FD2" w:rsidRPr="00262E03" w:rsidRDefault="000B1FD2" w:rsidP="00C13AAC">
      <w:pPr>
        <w:pStyle w:val="Prrafodelista"/>
        <w:spacing w:after="0" w:line="240" w:lineRule="auto"/>
        <w:ind w:left="0" w:hanging="2"/>
        <w:rPr>
          <w:rFonts w:ascii="Times New Roman" w:eastAsia="Times New Roman" w:hAnsi="Times New Roman" w:cs="Times New Roman"/>
          <w:lang w:bidi="es-ES"/>
        </w:rPr>
      </w:pPr>
    </w:p>
    <w:p w14:paraId="7D00E9F3" w14:textId="456D7444" w:rsidR="000B1FD2" w:rsidRPr="00D3494C" w:rsidRDefault="000B1FD2">
      <w:pPr>
        <w:pStyle w:val="Prrafodelista"/>
        <w:numPr>
          <w:ilvl w:val="0"/>
          <w:numId w:val="5"/>
        </w:numPr>
        <w:spacing w:after="0" w:line="240" w:lineRule="auto"/>
        <w:ind w:leftChars="0" w:firstLineChars="0"/>
        <w:jc w:val="both"/>
        <w:rPr>
          <w:rFonts w:ascii="Times New Roman" w:eastAsia="Times New Roman" w:hAnsi="Times New Roman" w:cs="Times New Roman"/>
          <w:lang w:bidi="es-ES"/>
        </w:rPr>
      </w:pPr>
      <w:r w:rsidRPr="00523952">
        <w:rPr>
          <w:rFonts w:ascii="Times New Roman" w:eastAsia="Times New Roman" w:hAnsi="Times New Roman" w:cs="Times New Roman"/>
          <w:lang w:bidi="es-ES"/>
        </w:rPr>
        <w:t>Se establece la incorporación de Nuevos Supuestos de Incumplimiento</w:t>
      </w:r>
      <w:r w:rsidR="00BC090F" w:rsidRPr="00523952">
        <w:rPr>
          <w:rFonts w:ascii="Times New Roman" w:eastAsia="Times New Roman" w:hAnsi="Times New Roman" w:cs="Times New Roman"/>
          <w:lang w:bidi="es-ES"/>
        </w:rPr>
        <w:t xml:space="preserve"> de las Obligaciones Negociables</w:t>
      </w:r>
      <w:r w:rsidRPr="00523952">
        <w:rPr>
          <w:rFonts w:ascii="Times New Roman" w:eastAsia="Times New Roman" w:hAnsi="Times New Roman" w:cs="Times New Roman"/>
          <w:lang w:bidi="es-ES"/>
        </w:rPr>
        <w:t xml:space="preserve"> (conforme dicho término se define más adelante)</w:t>
      </w:r>
      <w:r w:rsidR="00BC090F" w:rsidRPr="00EB2C20">
        <w:rPr>
          <w:rFonts w:ascii="Times New Roman" w:eastAsia="Times New Roman" w:hAnsi="Times New Roman" w:cs="Times New Roman"/>
          <w:lang w:bidi="es-ES"/>
        </w:rPr>
        <w:t xml:space="preserve">. </w:t>
      </w:r>
      <w:r w:rsidR="00BC090F" w:rsidRPr="00EB2C20">
        <w:rPr>
          <w:rFonts w:ascii="Times New Roman" w:eastAsia="Times New Roman" w:hAnsi="Times New Roman" w:cs="Times New Roman"/>
          <w:lang w:val="es-MX" w:bidi="es-ES"/>
        </w:rPr>
        <w:t>Para más información</w:t>
      </w:r>
      <w:r w:rsidR="004A46AE">
        <w:rPr>
          <w:rFonts w:ascii="Times New Roman" w:eastAsia="Times New Roman" w:hAnsi="Times New Roman" w:cs="Times New Roman"/>
          <w:lang w:val="es-MX" w:bidi="es-ES"/>
        </w:rPr>
        <w:t>,</w:t>
      </w:r>
      <w:r w:rsidR="00BC090F" w:rsidRPr="00EB2C20">
        <w:rPr>
          <w:rFonts w:ascii="Times New Roman" w:eastAsia="Times New Roman" w:hAnsi="Times New Roman" w:cs="Times New Roman"/>
          <w:lang w:val="es-MX" w:bidi="es-ES"/>
        </w:rPr>
        <w:t xml:space="preserve"> véase el apartado “</w:t>
      </w:r>
      <w:r w:rsidR="00BC090F" w:rsidRPr="00D3494C">
        <w:rPr>
          <w:rFonts w:ascii="Times New Roman" w:eastAsia="Times New Roman" w:hAnsi="Times New Roman" w:cs="Times New Roman"/>
          <w:i/>
          <w:lang w:bidi="es-ES"/>
        </w:rPr>
        <w:t>Nuevos Supuestos de Incumplimiento de las Obligaciones Negociables</w:t>
      </w:r>
      <w:r w:rsidR="00BC090F" w:rsidRPr="00D3494C">
        <w:rPr>
          <w:rFonts w:ascii="Times New Roman" w:eastAsia="Times New Roman" w:hAnsi="Times New Roman" w:cs="Times New Roman"/>
          <w:lang w:val="es-MX" w:bidi="es-ES"/>
        </w:rPr>
        <w:t>” de la presente Solicitud de Consentimiento</w:t>
      </w:r>
      <w:r w:rsidRPr="00D3494C">
        <w:rPr>
          <w:rFonts w:ascii="Times New Roman" w:eastAsia="Times New Roman" w:hAnsi="Times New Roman" w:cs="Times New Roman"/>
          <w:lang w:bidi="es-ES"/>
        </w:rPr>
        <w:t xml:space="preserve">; </w:t>
      </w:r>
    </w:p>
    <w:p w14:paraId="271C0165" w14:textId="77777777" w:rsidR="000B1FD2" w:rsidRPr="005B76C0" w:rsidRDefault="000B1FD2" w:rsidP="00C13AAC">
      <w:pPr>
        <w:pStyle w:val="Prrafodelista"/>
        <w:spacing w:after="0" w:line="240" w:lineRule="auto"/>
        <w:ind w:left="0" w:hanging="2"/>
        <w:rPr>
          <w:rFonts w:ascii="Times New Roman" w:eastAsia="Times New Roman" w:hAnsi="Times New Roman" w:cs="Times New Roman"/>
          <w:lang w:bidi="es-ES"/>
        </w:rPr>
      </w:pPr>
    </w:p>
    <w:p w14:paraId="786E4BBE" w14:textId="3AB02642" w:rsidR="000B1FD2" w:rsidRPr="005B76C0" w:rsidRDefault="000B1FD2">
      <w:pPr>
        <w:pStyle w:val="Prrafodelista"/>
        <w:numPr>
          <w:ilvl w:val="0"/>
          <w:numId w:val="5"/>
        </w:numPr>
        <w:spacing w:after="0" w:line="240" w:lineRule="auto"/>
        <w:ind w:leftChars="0" w:firstLineChars="0"/>
        <w:jc w:val="both"/>
        <w:rPr>
          <w:rFonts w:ascii="Times New Roman" w:eastAsia="Times New Roman" w:hAnsi="Times New Roman" w:cs="Times New Roman"/>
          <w:lang w:bidi="es-ES"/>
        </w:rPr>
      </w:pPr>
      <w:r w:rsidRPr="005B76C0">
        <w:rPr>
          <w:rFonts w:ascii="Times New Roman" w:eastAsia="Times New Roman" w:hAnsi="Times New Roman" w:cs="Times New Roman"/>
          <w:lang w:bidi="es-ES"/>
        </w:rPr>
        <w:t>Se establece la incorporación de los Nuevos Compromisos de las Obligaciones Negociables (conforme dicho término se define más adelante)</w:t>
      </w:r>
      <w:r w:rsidR="00BC090F" w:rsidRPr="005B76C0">
        <w:rPr>
          <w:rFonts w:ascii="Times New Roman" w:eastAsia="Times New Roman" w:hAnsi="Times New Roman" w:cs="Times New Roman"/>
          <w:lang w:bidi="es-ES"/>
        </w:rPr>
        <w:t xml:space="preserve">. </w:t>
      </w:r>
      <w:r w:rsidR="00BC090F" w:rsidRPr="005B76C0">
        <w:rPr>
          <w:rFonts w:ascii="Times New Roman" w:eastAsia="Times New Roman" w:hAnsi="Times New Roman" w:cs="Times New Roman"/>
          <w:lang w:val="es-MX" w:bidi="es-ES"/>
        </w:rPr>
        <w:t>Para más información</w:t>
      </w:r>
      <w:r w:rsidR="004A46AE">
        <w:rPr>
          <w:rFonts w:ascii="Times New Roman" w:eastAsia="Times New Roman" w:hAnsi="Times New Roman" w:cs="Times New Roman"/>
          <w:lang w:val="es-MX" w:bidi="es-ES"/>
        </w:rPr>
        <w:t>,</w:t>
      </w:r>
      <w:r w:rsidR="00BC090F" w:rsidRPr="005B76C0">
        <w:rPr>
          <w:rFonts w:ascii="Times New Roman" w:eastAsia="Times New Roman" w:hAnsi="Times New Roman" w:cs="Times New Roman"/>
          <w:lang w:val="es-MX" w:bidi="es-ES"/>
        </w:rPr>
        <w:t xml:space="preserve"> véase el apartado “</w:t>
      </w:r>
      <w:r w:rsidR="00BC090F" w:rsidRPr="005B76C0">
        <w:rPr>
          <w:rFonts w:ascii="Times New Roman" w:eastAsia="Times New Roman" w:hAnsi="Times New Roman" w:cs="Times New Roman"/>
          <w:i/>
          <w:lang w:bidi="es-ES"/>
        </w:rPr>
        <w:t>Nuevos Compromisos de las Obligaciones Negociables</w:t>
      </w:r>
      <w:r w:rsidR="00BC090F" w:rsidRPr="005B76C0">
        <w:rPr>
          <w:rFonts w:ascii="Times New Roman" w:eastAsia="Times New Roman" w:hAnsi="Times New Roman" w:cs="Times New Roman"/>
          <w:lang w:val="es-MX" w:bidi="es-ES"/>
        </w:rPr>
        <w:t>” de la presente Solicitud de Consentimiento</w:t>
      </w:r>
      <w:r w:rsidRPr="005B76C0">
        <w:rPr>
          <w:rFonts w:ascii="Times New Roman" w:eastAsia="Times New Roman" w:hAnsi="Times New Roman" w:cs="Times New Roman"/>
          <w:lang w:bidi="es-ES"/>
        </w:rPr>
        <w:t>; y</w:t>
      </w:r>
    </w:p>
    <w:p w14:paraId="3A5C9FE0" w14:textId="77777777" w:rsidR="000B1FD2" w:rsidRPr="005B76C0" w:rsidRDefault="000B1FD2" w:rsidP="00C13AAC">
      <w:pPr>
        <w:pStyle w:val="Prrafodelista"/>
        <w:spacing w:after="0" w:line="240" w:lineRule="auto"/>
        <w:ind w:left="0" w:hanging="2"/>
        <w:rPr>
          <w:rFonts w:ascii="Times New Roman" w:eastAsia="Times New Roman" w:hAnsi="Times New Roman" w:cs="Times New Roman"/>
          <w:lang w:bidi="es-ES"/>
        </w:rPr>
      </w:pPr>
    </w:p>
    <w:p w14:paraId="0E6E24ED" w14:textId="131228B3" w:rsidR="000B1FD2" w:rsidRPr="005B76C0" w:rsidRDefault="000B1FD2" w:rsidP="00C13AAC">
      <w:pPr>
        <w:pStyle w:val="Prrafodelista"/>
        <w:numPr>
          <w:ilvl w:val="0"/>
          <w:numId w:val="5"/>
        </w:numPr>
        <w:spacing w:after="0" w:line="240" w:lineRule="auto"/>
        <w:ind w:leftChars="0" w:firstLineChars="0"/>
        <w:jc w:val="both"/>
        <w:rPr>
          <w:rFonts w:ascii="Times New Roman" w:eastAsia="Times New Roman" w:hAnsi="Times New Roman" w:cs="Times New Roman"/>
          <w:lang w:bidi="es-ES"/>
        </w:rPr>
      </w:pPr>
      <w:r w:rsidRPr="005B76C0">
        <w:rPr>
          <w:rFonts w:ascii="Times New Roman" w:eastAsia="Times New Roman" w:hAnsi="Times New Roman" w:cs="Times New Roman"/>
          <w:lang w:bidi="es-ES"/>
        </w:rPr>
        <w:t>Serán de aplicación los Nuevos Requisitos para la Modificación a los Términos y Condiciones Esenciales de las Obligaciones Negociables (conforme dicho término se define más adelante).</w:t>
      </w:r>
      <w:r w:rsidR="00BC090F" w:rsidRPr="005B76C0">
        <w:rPr>
          <w:rFonts w:ascii="Times New Roman" w:eastAsia="Times New Roman" w:hAnsi="Times New Roman" w:cs="Times New Roman"/>
          <w:lang w:bidi="es-ES"/>
        </w:rPr>
        <w:t xml:space="preserve"> Para más información</w:t>
      </w:r>
      <w:r w:rsidR="004A46AE">
        <w:rPr>
          <w:rFonts w:ascii="Times New Roman" w:eastAsia="Times New Roman" w:hAnsi="Times New Roman" w:cs="Times New Roman"/>
          <w:lang w:bidi="es-ES"/>
        </w:rPr>
        <w:t>,</w:t>
      </w:r>
      <w:r w:rsidR="00BC090F" w:rsidRPr="005B76C0">
        <w:rPr>
          <w:rFonts w:ascii="Times New Roman" w:eastAsia="Times New Roman" w:hAnsi="Times New Roman" w:cs="Times New Roman"/>
          <w:lang w:bidi="es-ES"/>
        </w:rPr>
        <w:t xml:space="preserve"> véase el apartado “</w:t>
      </w:r>
      <w:r w:rsidR="00BC090F" w:rsidRPr="005B76C0">
        <w:rPr>
          <w:rFonts w:ascii="Times New Roman" w:eastAsia="Times New Roman" w:hAnsi="Times New Roman" w:cs="Times New Roman"/>
          <w:i/>
          <w:lang w:bidi="es-ES"/>
        </w:rPr>
        <w:t>Nuevos Requisitos para la Modificación a los Términos y Condiciones Esenciales de las Obligaciones Negociables</w:t>
      </w:r>
      <w:r w:rsidR="00BC090F" w:rsidRPr="005B76C0">
        <w:rPr>
          <w:rFonts w:ascii="Times New Roman" w:eastAsia="Times New Roman" w:hAnsi="Times New Roman" w:cs="Times New Roman"/>
          <w:lang w:bidi="es-ES"/>
        </w:rPr>
        <w:t>” de la presente Solicitud de Consentimiento.</w:t>
      </w:r>
    </w:p>
    <w:p w14:paraId="6F1A6F42" w14:textId="77777777" w:rsidR="000B1FD2" w:rsidRPr="00092991" w:rsidRDefault="000B1FD2" w:rsidP="00C13AAC">
      <w:pPr>
        <w:pStyle w:val="Prrafodelista"/>
        <w:spacing w:after="0" w:line="240" w:lineRule="auto"/>
        <w:ind w:leftChars="0" w:left="925" w:firstLineChars="0" w:firstLine="0"/>
        <w:jc w:val="both"/>
        <w:rPr>
          <w:rFonts w:ascii="Times New Roman" w:eastAsia="Times New Roman" w:hAnsi="Times New Roman" w:cs="Times New Roman"/>
          <w:lang w:bidi="es-ES"/>
        </w:rPr>
      </w:pPr>
    </w:p>
    <w:p w14:paraId="68CA7D24" w14:textId="5AC44D9C" w:rsidR="00BC090F" w:rsidRPr="00092991" w:rsidRDefault="00BC090F" w:rsidP="00F93ED5">
      <w:pPr>
        <w:pStyle w:val="Prrafodelista"/>
        <w:numPr>
          <w:ilvl w:val="0"/>
          <w:numId w:val="18"/>
        </w:numPr>
        <w:spacing w:after="0" w:line="240" w:lineRule="auto"/>
        <w:ind w:leftChars="0" w:left="993" w:firstLineChars="0" w:hanging="567"/>
        <w:rPr>
          <w:rFonts w:ascii="Times New Roman" w:eastAsia="Times New Roman" w:hAnsi="Times New Roman" w:cs="Times New Roman"/>
          <w:i/>
          <w:u w:val="single"/>
          <w:lang w:bidi="es-ES"/>
        </w:rPr>
      </w:pPr>
      <w:r w:rsidRPr="00092991">
        <w:rPr>
          <w:rFonts w:ascii="Times New Roman" w:eastAsia="Times New Roman" w:hAnsi="Times New Roman" w:cs="Times New Roman"/>
          <w:i/>
          <w:u w:val="single"/>
          <w:lang w:bidi="es-ES"/>
        </w:rPr>
        <w:t xml:space="preserve">Aplicabilidad </w:t>
      </w:r>
      <w:r w:rsidR="000B1FD2" w:rsidRPr="00092991">
        <w:rPr>
          <w:rFonts w:ascii="Times New Roman" w:eastAsia="Times New Roman" w:hAnsi="Times New Roman" w:cs="Times New Roman"/>
          <w:i/>
          <w:u w:val="single"/>
          <w:lang w:bidi="es-ES"/>
        </w:rPr>
        <w:t xml:space="preserve">de </w:t>
      </w:r>
      <w:r w:rsidRPr="00092991">
        <w:rPr>
          <w:rFonts w:ascii="Times New Roman" w:eastAsia="Times New Roman" w:hAnsi="Times New Roman" w:cs="Times New Roman"/>
          <w:i/>
          <w:u w:val="single"/>
          <w:lang w:bidi="es-ES"/>
        </w:rPr>
        <w:t xml:space="preserve">los términos y condiciones básicos de las Obligaciones Negociables </w:t>
      </w:r>
    </w:p>
    <w:p w14:paraId="245943D5" w14:textId="77777777" w:rsidR="000B1FD2" w:rsidRPr="00092991" w:rsidRDefault="000B1FD2" w:rsidP="00C13AAC">
      <w:pPr>
        <w:pStyle w:val="Prrafodelista"/>
        <w:spacing w:after="0" w:line="240" w:lineRule="auto"/>
        <w:ind w:leftChars="0" w:left="925" w:firstLineChars="0" w:firstLine="0"/>
        <w:jc w:val="both"/>
        <w:rPr>
          <w:rFonts w:ascii="Times New Roman" w:eastAsia="Times New Roman" w:hAnsi="Times New Roman" w:cs="Times New Roman"/>
          <w:lang w:bidi="es-ES"/>
        </w:rPr>
      </w:pPr>
    </w:p>
    <w:p w14:paraId="05BE2479" w14:textId="2193298F" w:rsidR="00405068" w:rsidRPr="0032028C" w:rsidRDefault="000B1FD2" w:rsidP="00C13AAC">
      <w:pPr>
        <w:pStyle w:val="Prrafodelista"/>
        <w:spacing w:after="0" w:line="240" w:lineRule="auto"/>
        <w:ind w:leftChars="0" w:left="925" w:firstLineChars="0" w:firstLine="0"/>
        <w:jc w:val="both"/>
        <w:rPr>
          <w:rFonts w:ascii="Times New Roman" w:eastAsia="Times New Roman" w:hAnsi="Times New Roman" w:cs="Times New Roman"/>
          <w:lang w:bidi="es-ES"/>
        </w:rPr>
      </w:pPr>
      <w:r w:rsidRPr="00092991">
        <w:rPr>
          <w:rFonts w:ascii="Times New Roman" w:eastAsia="Times New Roman" w:hAnsi="Times New Roman" w:cs="Times New Roman"/>
          <w:lang w:bidi="es-ES"/>
        </w:rPr>
        <w:t xml:space="preserve">En caso de que la Sociedad </w:t>
      </w:r>
      <w:r w:rsidRPr="00092991">
        <w:rPr>
          <w:rFonts w:ascii="Times New Roman" w:eastAsia="Times New Roman" w:hAnsi="Times New Roman" w:cs="Times New Roman"/>
        </w:rPr>
        <w:t>obtenga el consentimiento de la Mayoría Necesaria</w:t>
      </w:r>
      <w:r w:rsidR="00D72A60">
        <w:rPr>
          <w:rFonts w:ascii="Times New Roman" w:eastAsia="Times New Roman" w:hAnsi="Times New Roman" w:cs="Times New Roman"/>
        </w:rPr>
        <w:t xml:space="preserve"> (conforme dicho término se define más adelante)</w:t>
      </w:r>
      <w:r w:rsidRPr="00092991">
        <w:rPr>
          <w:rFonts w:ascii="Times New Roman" w:eastAsia="Times New Roman" w:hAnsi="Times New Roman" w:cs="Times New Roman"/>
        </w:rPr>
        <w:t xml:space="preserve"> para </w:t>
      </w:r>
      <w:r w:rsidRPr="008663AE">
        <w:rPr>
          <w:rFonts w:ascii="Times New Roman" w:eastAsia="Times New Roman" w:hAnsi="Times New Roman" w:cs="Times New Roman"/>
          <w:lang w:bidi="es-ES"/>
        </w:rPr>
        <w:t>la Modificación Propuesta, los T&amp;C Básicos aplicarán a las Obligaciones Negociables</w:t>
      </w:r>
      <w:r w:rsidR="00E845DF" w:rsidRPr="008663AE">
        <w:rPr>
          <w:rFonts w:ascii="Times New Roman" w:eastAsia="Times New Roman" w:hAnsi="Times New Roman" w:cs="Times New Roman"/>
          <w:lang w:bidi="es-ES"/>
        </w:rPr>
        <w:t xml:space="preserve"> salvo que ocurra</w:t>
      </w:r>
      <w:r w:rsidR="00405068" w:rsidRPr="0032028C">
        <w:rPr>
          <w:rFonts w:ascii="Times New Roman" w:eastAsia="Times New Roman" w:hAnsi="Times New Roman" w:cs="Times New Roman"/>
          <w:lang w:bidi="es-ES"/>
        </w:rPr>
        <w:t xml:space="preserve"> alguna de las siguientes condiciones:</w:t>
      </w:r>
    </w:p>
    <w:p w14:paraId="47711D22" w14:textId="77777777" w:rsidR="00405068" w:rsidRPr="0032028C" w:rsidRDefault="00405068" w:rsidP="00C13AAC">
      <w:pPr>
        <w:pStyle w:val="Prrafodelista"/>
        <w:spacing w:after="0" w:line="240" w:lineRule="auto"/>
        <w:ind w:leftChars="0" w:left="925" w:firstLineChars="0" w:firstLine="0"/>
        <w:jc w:val="both"/>
        <w:rPr>
          <w:rFonts w:ascii="Times New Roman" w:eastAsia="Times New Roman" w:hAnsi="Times New Roman" w:cs="Times New Roman"/>
          <w:lang w:bidi="es-ES"/>
        </w:rPr>
      </w:pPr>
    </w:p>
    <w:p w14:paraId="5DBBFE3C" w14:textId="6338C81C" w:rsidR="00405068" w:rsidRPr="0032028C" w:rsidRDefault="00405068" w:rsidP="00C13AAC">
      <w:pPr>
        <w:pStyle w:val="Prrafodelista"/>
        <w:spacing w:after="0" w:line="240" w:lineRule="auto"/>
        <w:ind w:leftChars="0" w:left="1440" w:firstLineChars="0" w:firstLine="0"/>
        <w:jc w:val="both"/>
        <w:rPr>
          <w:rFonts w:ascii="Times New Roman" w:eastAsia="Times New Roman" w:hAnsi="Times New Roman" w:cs="Times New Roman"/>
          <w:lang w:val="es-MX" w:bidi="es-ES"/>
        </w:rPr>
      </w:pPr>
      <w:r w:rsidRPr="0032028C">
        <w:rPr>
          <w:rFonts w:ascii="Times New Roman" w:eastAsia="Times New Roman" w:hAnsi="Times New Roman" w:cs="Times New Roman"/>
          <w:lang w:bidi="es-ES"/>
        </w:rPr>
        <w:t>(a)</w:t>
      </w:r>
      <w:r w:rsidR="00E845DF" w:rsidRPr="0032028C">
        <w:rPr>
          <w:rFonts w:ascii="Times New Roman" w:eastAsia="Times New Roman" w:hAnsi="Times New Roman" w:cs="Times New Roman"/>
          <w:lang w:bidi="es-ES"/>
        </w:rPr>
        <w:t xml:space="preserve"> </w:t>
      </w:r>
      <w:r w:rsidR="00F51500" w:rsidRPr="0032028C">
        <w:rPr>
          <w:rFonts w:ascii="Times New Roman" w:eastAsia="Times New Roman" w:hAnsi="Times New Roman" w:cs="Times New Roman"/>
          <w:lang w:bidi="es-ES"/>
        </w:rPr>
        <w:t>s</w:t>
      </w:r>
      <w:r w:rsidRPr="0032028C">
        <w:rPr>
          <w:rFonts w:ascii="Times New Roman" w:eastAsia="Times New Roman" w:hAnsi="Times New Roman" w:cs="Times New Roman"/>
          <w:lang w:bidi="es-ES"/>
        </w:rPr>
        <w:t>i</w:t>
      </w:r>
      <w:r w:rsidR="002F73F2">
        <w:rPr>
          <w:rFonts w:ascii="Times New Roman" w:eastAsia="Times New Roman" w:hAnsi="Times New Roman" w:cs="Times New Roman"/>
          <w:lang w:bidi="es-ES"/>
        </w:rPr>
        <w:t>,</w:t>
      </w:r>
      <w:r w:rsidRPr="0032028C">
        <w:rPr>
          <w:rFonts w:ascii="Times New Roman" w:eastAsia="Times New Roman" w:hAnsi="Times New Roman" w:cs="Times New Roman"/>
          <w:lang w:bidi="es-ES"/>
        </w:rPr>
        <w:t xml:space="preserve"> al 1° de agosto de 2022</w:t>
      </w:r>
      <w:r w:rsidR="00F51500" w:rsidRPr="0032028C">
        <w:rPr>
          <w:rFonts w:ascii="Times New Roman" w:eastAsia="Times New Roman" w:hAnsi="Times New Roman" w:cs="Times New Roman"/>
          <w:lang w:bidi="es-ES"/>
        </w:rPr>
        <w:t>,</w:t>
      </w:r>
      <w:r w:rsidRPr="0032028C">
        <w:rPr>
          <w:rFonts w:ascii="Times New Roman" w:eastAsia="Times New Roman" w:hAnsi="Times New Roman" w:cs="Times New Roman"/>
          <w:lang w:bidi="es-ES"/>
        </w:rPr>
        <w:t xml:space="preserve"> se concretó el Acuerdo con </w:t>
      </w:r>
      <w:proofErr w:type="spellStart"/>
      <w:r w:rsidRPr="0032028C">
        <w:rPr>
          <w:rFonts w:ascii="Times New Roman" w:eastAsia="Times New Roman" w:hAnsi="Times New Roman" w:cs="Times New Roman"/>
          <w:lang w:bidi="es-ES"/>
        </w:rPr>
        <w:t>Itaú</w:t>
      </w:r>
      <w:proofErr w:type="spellEnd"/>
      <w:r w:rsidRPr="0032028C">
        <w:rPr>
          <w:rFonts w:ascii="Times New Roman" w:eastAsia="Times New Roman" w:hAnsi="Times New Roman" w:cs="Times New Roman"/>
          <w:lang w:bidi="es-ES"/>
        </w:rPr>
        <w:t xml:space="preserve"> sobre la Participación en Catalinas (conforme dicho término se define más adelante), se aplicarán los T&amp;C Aplicables en Caso de Acuerdo con </w:t>
      </w:r>
      <w:proofErr w:type="spellStart"/>
      <w:r w:rsidRPr="0032028C">
        <w:rPr>
          <w:rFonts w:ascii="Times New Roman" w:eastAsia="Times New Roman" w:hAnsi="Times New Roman" w:cs="Times New Roman"/>
          <w:lang w:bidi="es-ES"/>
        </w:rPr>
        <w:t>Itaú</w:t>
      </w:r>
      <w:proofErr w:type="spellEnd"/>
      <w:r w:rsidRPr="0032028C">
        <w:rPr>
          <w:rFonts w:ascii="Times New Roman" w:eastAsia="Times New Roman" w:hAnsi="Times New Roman" w:cs="Times New Roman"/>
          <w:lang w:bidi="es-ES"/>
        </w:rPr>
        <w:t xml:space="preserve"> sobre la Participación </w:t>
      </w:r>
      <w:r w:rsidRPr="0032028C">
        <w:rPr>
          <w:rFonts w:ascii="Times New Roman" w:eastAsia="Times New Roman" w:hAnsi="Times New Roman" w:cs="Times New Roman"/>
          <w:lang w:bidi="es-ES"/>
        </w:rPr>
        <w:lastRenderedPageBreak/>
        <w:t>en Catalinas (conforme dicho término se define más adelante) (la “</w:t>
      </w:r>
      <w:r w:rsidRPr="0032028C">
        <w:rPr>
          <w:rFonts w:ascii="Times New Roman" w:eastAsia="Times New Roman" w:hAnsi="Times New Roman" w:cs="Times New Roman"/>
          <w:u w:val="single"/>
          <w:lang w:bidi="es-ES"/>
        </w:rPr>
        <w:t xml:space="preserve">Condición en Caso de Acuerdo con </w:t>
      </w:r>
      <w:proofErr w:type="spellStart"/>
      <w:r w:rsidRPr="0032028C">
        <w:rPr>
          <w:rFonts w:ascii="Times New Roman" w:eastAsia="Times New Roman" w:hAnsi="Times New Roman" w:cs="Times New Roman"/>
          <w:u w:val="single"/>
          <w:lang w:bidi="es-ES"/>
        </w:rPr>
        <w:t>Itaú</w:t>
      </w:r>
      <w:proofErr w:type="spellEnd"/>
      <w:r w:rsidRPr="0032028C">
        <w:rPr>
          <w:rFonts w:ascii="Times New Roman" w:eastAsia="Times New Roman" w:hAnsi="Times New Roman" w:cs="Times New Roman"/>
          <w:u w:val="single"/>
          <w:lang w:bidi="es-ES"/>
        </w:rPr>
        <w:t xml:space="preserve"> sobre la Participación en Catalinas</w:t>
      </w:r>
      <w:r w:rsidRPr="0032028C">
        <w:rPr>
          <w:rFonts w:ascii="Times New Roman" w:eastAsia="Times New Roman" w:hAnsi="Times New Roman" w:cs="Times New Roman"/>
          <w:lang w:bidi="es-ES"/>
        </w:rPr>
        <w:t>”);</w:t>
      </w:r>
      <w:r w:rsidRPr="0032028C">
        <w:rPr>
          <w:rFonts w:ascii="Times New Roman" w:eastAsia="Times New Roman" w:hAnsi="Times New Roman" w:cs="Times New Roman"/>
          <w:lang w:val="es-MX" w:bidi="es-ES"/>
        </w:rPr>
        <w:t xml:space="preserve"> o </w:t>
      </w:r>
    </w:p>
    <w:p w14:paraId="28A2106B" w14:textId="77777777" w:rsidR="00405068" w:rsidRPr="0032028C" w:rsidRDefault="00405068" w:rsidP="00C13AAC">
      <w:pPr>
        <w:pStyle w:val="Prrafodelista"/>
        <w:spacing w:after="0" w:line="240" w:lineRule="auto"/>
        <w:ind w:leftChars="0" w:left="925" w:firstLineChars="0" w:firstLine="0"/>
        <w:jc w:val="both"/>
        <w:rPr>
          <w:rFonts w:ascii="Times New Roman" w:eastAsia="Times New Roman" w:hAnsi="Times New Roman" w:cs="Times New Roman"/>
          <w:lang w:val="es-MX" w:bidi="es-ES"/>
        </w:rPr>
      </w:pPr>
    </w:p>
    <w:p w14:paraId="75803271" w14:textId="1461C566" w:rsidR="00F51500" w:rsidRPr="0032028C" w:rsidRDefault="00405068" w:rsidP="00C13AAC">
      <w:pPr>
        <w:pStyle w:val="Prrafodelista"/>
        <w:spacing w:after="0" w:line="240" w:lineRule="auto"/>
        <w:ind w:leftChars="0" w:left="1440" w:firstLineChars="0" w:firstLine="0"/>
        <w:jc w:val="both"/>
        <w:rPr>
          <w:rFonts w:ascii="Times New Roman" w:eastAsia="Times New Roman" w:hAnsi="Times New Roman" w:cs="Times New Roman"/>
          <w:lang w:val="es-MX" w:bidi="es-ES"/>
        </w:rPr>
      </w:pPr>
      <w:r w:rsidRPr="0032028C">
        <w:rPr>
          <w:rFonts w:ascii="Times New Roman" w:eastAsia="Times New Roman" w:hAnsi="Times New Roman" w:cs="Times New Roman"/>
          <w:lang w:val="es-MX" w:bidi="es-ES"/>
        </w:rPr>
        <w:t xml:space="preserve">(b) </w:t>
      </w:r>
      <w:r w:rsidR="00F51500" w:rsidRPr="0032028C">
        <w:rPr>
          <w:rFonts w:ascii="Times New Roman" w:eastAsia="Times New Roman" w:hAnsi="Times New Roman" w:cs="Times New Roman"/>
          <w:lang w:bidi="es-ES"/>
        </w:rPr>
        <w:t>s</w:t>
      </w:r>
      <w:r w:rsidRPr="0032028C">
        <w:rPr>
          <w:rFonts w:ascii="Times New Roman" w:eastAsia="Times New Roman" w:hAnsi="Times New Roman" w:cs="Times New Roman"/>
          <w:lang w:bidi="es-ES"/>
        </w:rPr>
        <w:t>i</w:t>
      </w:r>
      <w:r w:rsidR="002F73F2">
        <w:rPr>
          <w:rFonts w:ascii="Times New Roman" w:eastAsia="Times New Roman" w:hAnsi="Times New Roman" w:cs="Times New Roman"/>
          <w:lang w:bidi="es-ES"/>
        </w:rPr>
        <w:t>,</w:t>
      </w:r>
      <w:r w:rsidRPr="0032028C">
        <w:rPr>
          <w:rFonts w:ascii="Times New Roman" w:eastAsia="Times New Roman" w:hAnsi="Times New Roman" w:cs="Times New Roman"/>
          <w:lang w:bidi="es-ES"/>
        </w:rPr>
        <w:t xml:space="preserve"> al 1° de agosto de 2022</w:t>
      </w:r>
      <w:r w:rsidR="00F51500" w:rsidRPr="0032028C">
        <w:rPr>
          <w:rFonts w:ascii="Times New Roman" w:eastAsia="Times New Roman" w:hAnsi="Times New Roman" w:cs="Times New Roman"/>
          <w:lang w:bidi="es-ES"/>
        </w:rPr>
        <w:t>,</w:t>
      </w:r>
      <w:r w:rsidRPr="0032028C">
        <w:rPr>
          <w:rFonts w:ascii="Times New Roman" w:eastAsia="Times New Roman" w:hAnsi="Times New Roman" w:cs="Times New Roman"/>
          <w:lang w:bidi="es-ES"/>
        </w:rPr>
        <w:t xml:space="preserve"> no se concretó el Acuerdo con </w:t>
      </w:r>
      <w:proofErr w:type="spellStart"/>
      <w:r w:rsidRPr="0032028C">
        <w:rPr>
          <w:rFonts w:ascii="Times New Roman" w:eastAsia="Times New Roman" w:hAnsi="Times New Roman" w:cs="Times New Roman"/>
          <w:lang w:bidi="es-ES"/>
        </w:rPr>
        <w:t>Itaú</w:t>
      </w:r>
      <w:proofErr w:type="spellEnd"/>
      <w:r w:rsidRPr="0032028C">
        <w:rPr>
          <w:rFonts w:ascii="Times New Roman" w:eastAsia="Times New Roman" w:hAnsi="Times New Roman" w:cs="Times New Roman"/>
          <w:lang w:bidi="es-ES"/>
        </w:rPr>
        <w:t xml:space="preserve"> sobre la Participación en Catalinas y no se concretó la Venta de la Participación en Catalinas a un Tercero (conforme dicho término se define más adelante), se aplicarán los T&amp;C Aplicables en Caso de No Acuerdo sobre la Participación en Catalinas (conforme dicho término se define más adelante) (</w:t>
      </w:r>
      <w:r w:rsidRPr="0032028C">
        <w:rPr>
          <w:rFonts w:ascii="Times New Roman" w:eastAsia="Times New Roman" w:hAnsi="Times New Roman" w:cs="Times New Roman"/>
          <w:lang w:val="es-MX" w:bidi="es-ES"/>
        </w:rPr>
        <w:t>la “</w:t>
      </w:r>
      <w:r w:rsidRPr="0032028C">
        <w:rPr>
          <w:rFonts w:ascii="Times New Roman" w:eastAsia="Times New Roman" w:hAnsi="Times New Roman" w:cs="Times New Roman"/>
          <w:u w:val="single"/>
          <w:lang w:val="es-MX" w:bidi="es-ES"/>
        </w:rPr>
        <w:t xml:space="preserve">Condición en </w:t>
      </w:r>
      <w:r w:rsidRPr="0032028C">
        <w:rPr>
          <w:rFonts w:ascii="Times New Roman" w:eastAsia="Times New Roman" w:hAnsi="Times New Roman" w:cs="Times New Roman"/>
          <w:u w:val="single"/>
          <w:lang w:bidi="es-ES"/>
        </w:rPr>
        <w:t>Caso de No Acuerdo sobre la Participación en Catalinas</w:t>
      </w:r>
      <w:r w:rsidRPr="0032028C">
        <w:rPr>
          <w:rFonts w:ascii="Times New Roman" w:eastAsia="Times New Roman" w:hAnsi="Times New Roman" w:cs="Times New Roman"/>
          <w:lang w:bidi="es-ES"/>
        </w:rPr>
        <w:t>”</w:t>
      </w:r>
      <w:r w:rsidR="00F51500" w:rsidRPr="0032028C">
        <w:rPr>
          <w:rFonts w:ascii="Times New Roman" w:eastAsia="Times New Roman" w:hAnsi="Times New Roman" w:cs="Times New Roman"/>
          <w:lang w:bidi="es-ES"/>
        </w:rPr>
        <w:t xml:space="preserve">, y junto con </w:t>
      </w:r>
      <w:r w:rsidR="00195F2C" w:rsidRPr="0032028C">
        <w:rPr>
          <w:rFonts w:ascii="Times New Roman" w:eastAsia="Times New Roman" w:hAnsi="Times New Roman" w:cs="Times New Roman"/>
          <w:lang w:bidi="es-ES"/>
        </w:rPr>
        <w:t xml:space="preserve">la </w:t>
      </w:r>
      <w:r w:rsidR="00F51500" w:rsidRPr="0032028C">
        <w:rPr>
          <w:rFonts w:ascii="Times New Roman" w:eastAsia="Times New Roman" w:hAnsi="Times New Roman" w:cs="Times New Roman"/>
          <w:lang w:bidi="es-ES"/>
        </w:rPr>
        <w:t xml:space="preserve">Condición en Caso de Acuerdo con </w:t>
      </w:r>
      <w:proofErr w:type="spellStart"/>
      <w:r w:rsidR="00F51500" w:rsidRPr="0032028C">
        <w:rPr>
          <w:rFonts w:ascii="Times New Roman" w:eastAsia="Times New Roman" w:hAnsi="Times New Roman" w:cs="Times New Roman"/>
          <w:lang w:bidi="es-ES"/>
        </w:rPr>
        <w:t>Itaú</w:t>
      </w:r>
      <w:proofErr w:type="spellEnd"/>
      <w:r w:rsidR="00F51500" w:rsidRPr="0032028C">
        <w:rPr>
          <w:rFonts w:ascii="Times New Roman" w:eastAsia="Times New Roman" w:hAnsi="Times New Roman" w:cs="Times New Roman"/>
          <w:lang w:bidi="es-ES"/>
        </w:rPr>
        <w:t xml:space="preserve"> sobre la Participación en Catalinas, las “</w:t>
      </w:r>
      <w:r w:rsidR="00F51500" w:rsidRPr="0032028C">
        <w:rPr>
          <w:rFonts w:ascii="Times New Roman" w:eastAsia="Times New Roman" w:hAnsi="Times New Roman" w:cs="Times New Roman"/>
          <w:u w:val="single"/>
          <w:lang w:val="es-MX" w:bidi="es-ES"/>
        </w:rPr>
        <w:t xml:space="preserve">Condiciones </w:t>
      </w:r>
      <w:r w:rsidR="00F51500" w:rsidRPr="0032028C">
        <w:rPr>
          <w:rFonts w:ascii="Times New Roman" w:eastAsia="Times New Roman" w:hAnsi="Times New Roman" w:cs="Times New Roman"/>
          <w:u w:val="single"/>
          <w:lang w:bidi="es-ES"/>
        </w:rPr>
        <w:t>sobre la Participación en Catalinas</w:t>
      </w:r>
      <w:r w:rsidR="00F51500" w:rsidRPr="0032028C">
        <w:rPr>
          <w:rFonts w:ascii="Times New Roman" w:eastAsia="Times New Roman" w:hAnsi="Times New Roman" w:cs="Times New Roman"/>
          <w:lang w:bidi="es-ES"/>
        </w:rPr>
        <w:t>”</w:t>
      </w:r>
      <w:r w:rsidR="00F51500" w:rsidRPr="0032028C">
        <w:rPr>
          <w:rFonts w:ascii="Times New Roman" w:eastAsia="Times New Roman" w:hAnsi="Times New Roman" w:cs="Times New Roman"/>
          <w:lang w:val="es-MX" w:bidi="es-ES"/>
        </w:rPr>
        <w:t>).</w:t>
      </w:r>
    </w:p>
    <w:p w14:paraId="184723B7" w14:textId="77777777" w:rsidR="00F51500" w:rsidRPr="0032028C" w:rsidRDefault="00F51500" w:rsidP="00C13AAC">
      <w:pPr>
        <w:pStyle w:val="Prrafodelista"/>
        <w:spacing w:after="0" w:line="240" w:lineRule="auto"/>
        <w:ind w:leftChars="0" w:left="925" w:firstLineChars="0" w:firstLine="0"/>
        <w:jc w:val="both"/>
        <w:rPr>
          <w:rFonts w:ascii="Times New Roman" w:eastAsia="Times New Roman" w:hAnsi="Times New Roman" w:cs="Times New Roman"/>
          <w:lang w:val="es-MX" w:bidi="es-ES"/>
        </w:rPr>
      </w:pPr>
    </w:p>
    <w:p w14:paraId="34E73B5A" w14:textId="4BA2A508" w:rsidR="00146F91" w:rsidRPr="00A359F0" w:rsidRDefault="00F51500" w:rsidP="00C13AAC">
      <w:pPr>
        <w:spacing w:after="0" w:line="240" w:lineRule="auto"/>
        <w:ind w:leftChars="0" w:left="993" w:firstLineChars="0" w:hanging="2"/>
        <w:jc w:val="both"/>
        <w:rPr>
          <w:rFonts w:ascii="Times New Roman" w:eastAsia="Times New Roman" w:hAnsi="Times New Roman" w:cs="Times New Roman"/>
          <w:lang w:bidi="es-ES"/>
        </w:rPr>
      </w:pPr>
      <w:r w:rsidRPr="0032028C">
        <w:rPr>
          <w:rFonts w:ascii="Times New Roman" w:eastAsia="Times New Roman" w:hAnsi="Times New Roman" w:cs="Times New Roman"/>
          <w:lang w:bidi="es-ES"/>
        </w:rPr>
        <w:tab/>
        <w:t xml:space="preserve">Sin perjuicio de ello, si en o antes del 11 de agosto de 2022, </w:t>
      </w:r>
      <w:r w:rsidR="001062EF" w:rsidRPr="0032028C">
        <w:rPr>
          <w:rFonts w:ascii="Times New Roman" w:eastAsia="Times New Roman" w:hAnsi="Times New Roman" w:cs="Times New Roman"/>
          <w:lang w:bidi="es-ES"/>
        </w:rPr>
        <w:t xml:space="preserve">la Sociedad, a </w:t>
      </w:r>
      <w:r w:rsidR="001A42C1" w:rsidRPr="0032028C">
        <w:rPr>
          <w:rFonts w:ascii="Times New Roman" w:eastAsia="Times New Roman" w:hAnsi="Times New Roman" w:cs="Times New Roman"/>
          <w:lang w:bidi="es-ES"/>
        </w:rPr>
        <w:t xml:space="preserve">su entera </w:t>
      </w:r>
      <w:r w:rsidR="001062EF" w:rsidRPr="0032028C">
        <w:rPr>
          <w:rFonts w:ascii="Times New Roman" w:eastAsia="Times New Roman" w:hAnsi="Times New Roman" w:cs="Times New Roman"/>
          <w:lang w:bidi="es-ES"/>
        </w:rPr>
        <w:t>discreción</w:t>
      </w:r>
      <w:r w:rsidRPr="0032028C">
        <w:rPr>
          <w:rFonts w:ascii="Times New Roman" w:eastAsia="Times New Roman" w:hAnsi="Times New Roman" w:cs="Times New Roman"/>
          <w:lang w:bidi="es-ES"/>
        </w:rPr>
        <w:t xml:space="preserve"> e independientemente de que</w:t>
      </w:r>
      <w:r w:rsidR="00047C2B">
        <w:rPr>
          <w:rFonts w:ascii="Times New Roman" w:eastAsia="Times New Roman" w:hAnsi="Times New Roman" w:cs="Times New Roman"/>
          <w:lang w:bidi="es-ES"/>
        </w:rPr>
        <w:t xml:space="preserve"> no</w:t>
      </w:r>
      <w:r w:rsidRPr="0032028C">
        <w:rPr>
          <w:rFonts w:ascii="Times New Roman" w:eastAsia="Times New Roman" w:hAnsi="Times New Roman" w:cs="Times New Roman"/>
          <w:lang w:bidi="es-ES"/>
        </w:rPr>
        <w:t xml:space="preserve"> ocurra </w:t>
      </w:r>
      <w:r w:rsidR="00467CFC" w:rsidRPr="0032028C">
        <w:rPr>
          <w:rFonts w:ascii="Times New Roman" w:eastAsia="Times New Roman" w:hAnsi="Times New Roman" w:cs="Times New Roman"/>
          <w:lang w:bidi="es-ES"/>
        </w:rPr>
        <w:t>cualquiera</w:t>
      </w:r>
      <w:r w:rsidRPr="0032028C">
        <w:rPr>
          <w:rFonts w:ascii="Times New Roman" w:eastAsia="Times New Roman" w:hAnsi="Times New Roman" w:cs="Times New Roman"/>
          <w:lang w:bidi="es-ES"/>
        </w:rPr>
        <w:t xml:space="preserve"> de las Condiciones sobre la Participación en Catalinas, cancela</w:t>
      </w:r>
      <w:r w:rsidR="00D72A60">
        <w:rPr>
          <w:rFonts w:ascii="Times New Roman" w:eastAsia="Times New Roman" w:hAnsi="Times New Roman" w:cs="Times New Roman"/>
          <w:lang w:bidi="es-ES"/>
        </w:rPr>
        <w:t>se</w:t>
      </w:r>
      <w:r w:rsidRPr="0032028C">
        <w:rPr>
          <w:rFonts w:ascii="Times New Roman" w:eastAsia="Times New Roman" w:hAnsi="Times New Roman" w:cs="Times New Roman"/>
          <w:lang w:bidi="es-ES"/>
        </w:rPr>
        <w:t xml:space="preserve"> </w:t>
      </w:r>
      <w:r w:rsidR="00C54470" w:rsidRPr="0032028C">
        <w:rPr>
          <w:rFonts w:ascii="Times New Roman" w:eastAsia="Times New Roman" w:hAnsi="Times New Roman" w:cs="Times New Roman"/>
          <w:lang w:bidi="es-ES"/>
        </w:rPr>
        <w:t>el 33</w:t>
      </w:r>
      <w:r w:rsidR="00980D6E" w:rsidRPr="0032028C">
        <w:rPr>
          <w:rFonts w:ascii="Times New Roman" w:eastAsia="Times New Roman" w:hAnsi="Times New Roman" w:cs="Times New Roman"/>
          <w:lang w:bidi="es-ES"/>
        </w:rPr>
        <w:t>,33</w:t>
      </w:r>
      <w:r w:rsidR="00C54470" w:rsidRPr="0032028C">
        <w:rPr>
          <w:rFonts w:ascii="Times New Roman" w:eastAsia="Times New Roman" w:hAnsi="Times New Roman" w:cs="Times New Roman"/>
          <w:lang w:bidi="es-ES"/>
        </w:rPr>
        <w:t>% el capital adeudado bajo las Obligaciones Negociables</w:t>
      </w:r>
      <w:r w:rsidR="0055089D">
        <w:rPr>
          <w:rFonts w:ascii="Times New Roman" w:eastAsia="Times New Roman" w:hAnsi="Times New Roman" w:cs="Times New Roman"/>
          <w:lang w:bidi="es-ES"/>
        </w:rPr>
        <w:t xml:space="preserve"> </w:t>
      </w:r>
      <w:r w:rsidR="0055089D">
        <w:rPr>
          <w:rFonts w:ascii="Times New Roman" w:eastAsia="Times New Roman" w:hAnsi="Times New Roman" w:cs="Times New Roman"/>
          <w:lang w:val="es-AR" w:bidi="es-ES"/>
        </w:rPr>
        <w:t xml:space="preserve">incluyendo los intereses capitalizados </w:t>
      </w:r>
      <w:r w:rsidR="00495F8F">
        <w:rPr>
          <w:rFonts w:ascii="Times New Roman" w:eastAsia="Times New Roman" w:hAnsi="Times New Roman" w:cs="Times New Roman"/>
          <w:lang w:val="es-AR" w:bidi="es-ES"/>
        </w:rPr>
        <w:t>hasta esa fecha</w:t>
      </w:r>
      <w:r w:rsidR="004711F9" w:rsidRPr="00F93ED5">
        <w:rPr>
          <w:rFonts w:ascii="Times New Roman" w:hAnsi="Times New Roman"/>
          <w:lang w:val="es-AR"/>
        </w:rPr>
        <w:t xml:space="preserve"> </w:t>
      </w:r>
      <w:r w:rsidR="004711F9">
        <w:rPr>
          <w:rFonts w:ascii="Times New Roman" w:eastAsia="Times New Roman" w:hAnsi="Times New Roman" w:cs="Times New Roman"/>
          <w:lang w:val="es-AR" w:bidi="es-ES"/>
        </w:rPr>
        <w:t>inclusive</w:t>
      </w:r>
      <w:r w:rsidR="001062EF" w:rsidRPr="0055089D">
        <w:rPr>
          <w:rFonts w:ascii="Times New Roman" w:eastAsia="Times New Roman" w:hAnsi="Times New Roman" w:cs="Times New Roman"/>
          <w:lang w:bidi="es-ES"/>
        </w:rPr>
        <w:t xml:space="preserve"> </w:t>
      </w:r>
      <w:r w:rsidR="0055089D">
        <w:rPr>
          <w:rFonts w:ascii="Times New Roman" w:eastAsia="Times New Roman" w:hAnsi="Times New Roman" w:cs="Times New Roman"/>
          <w:lang w:bidi="es-ES"/>
        </w:rPr>
        <w:t>(</w:t>
      </w:r>
      <w:r w:rsidR="004711F9">
        <w:rPr>
          <w:rFonts w:ascii="Times New Roman" w:eastAsia="Times New Roman" w:hAnsi="Times New Roman" w:cs="Times New Roman"/>
          <w:lang w:bidi="es-ES"/>
        </w:rPr>
        <w:t xml:space="preserve">cuyo monto </w:t>
      </w:r>
      <w:r w:rsidRPr="0055089D">
        <w:rPr>
          <w:rFonts w:ascii="Times New Roman" w:eastAsia="Times New Roman" w:hAnsi="Times New Roman" w:cs="Times New Roman"/>
          <w:lang w:bidi="es-ES"/>
        </w:rPr>
        <w:t>a la fecha de la presente Solicitud de Consentimiento</w:t>
      </w:r>
      <w:r w:rsidR="007D6CB0" w:rsidRPr="0055089D">
        <w:rPr>
          <w:rFonts w:ascii="Times New Roman" w:eastAsia="Times New Roman" w:hAnsi="Times New Roman" w:cs="Times New Roman"/>
          <w:lang w:bidi="es-ES"/>
        </w:rPr>
        <w:t xml:space="preserve"> </w:t>
      </w:r>
      <w:r w:rsidR="004711F9">
        <w:rPr>
          <w:rFonts w:ascii="Times New Roman" w:eastAsia="Times New Roman" w:hAnsi="Times New Roman" w:cs="Times New Roman"/>
          <w:lang w:bidi="es-ES"/>
        </w:rPr>
        <w:t>es</w:t>
      </w:r>
      <w:r w:rsidR="00D72A60">
        <w:rPr>
          <w:rFonts w:ascii="Times New Roman" w:eastAsia="Times New Roman" w:hAnsi="Times New Roman" w:cs="Times New Roman"/>
          <w:lang w:bidi="es-ES"/>
        </w:rPr>
        <w:t xml:space="preserve"> de</w:t>
      </w:r>
      <w:r w:rsidRPr="0055089D">
        <w:rPr>
          <w:rFonts w:ascii="Times New Roman" w:eastAsia="Times New Roman" w:hAnsi="Times New Roman" w:cs="Times New Roman"/>
          <w:lang w:bidi="es-ES"/>
        </w:rPr>
        <w:t xml:space="preserve"> </w:t>
      </w:r>
      <w:r w:rsidRPr="0055089D">
        <w:rPr>
          <w:rFonts w:ascii="Times New Roman" w:eastAsia="Times New Roman" w:hAnsi="Times New Roman" w:cs="Times New Roman"/>
        </w:rPr>
        <w:t>US$</w:t>
      </w:r>
      <w:r w:rsidR="007D6CB0" w:rsidRPr="0055089D">
        <w:rPr>
          <w:rFonts w:ascii="Times New Roman" w:eastAsia="Times New Roman" w:hAnsi="Times New Roman" w:cs="Times New Roman"/>
          <w:lang w:bidi="es-ES"/>
        </w:rPr>
        <w:t xml:space="preserve"> </w:t>
      </w:r>
      <w:r w:rsidR="0055089D" w:rsidRPr="0055089D">
        <w:rPr>
          <w:rFonts w:ascii="Times New Roman" w:eastAsia="Times New Roman" w:hAnsi="Times New Roman" w:cs="Times New Roman"/>
          <w:lang w:bidi="es-ES"/>
        </w:rPr>
        <w:t>7.069.507,07</w:t>
      </w:r>
      <w:r w:rsidR="00313266">
        <w:rPr>
          <w:rFonts w:ascii="Times New Roman" w:eastAsia="Times New Roman" w:hAnsi="Times New Roman" w:cs="Times New Roman"/>
          <w:lang w:bidi="es-ES"/>
        </w:rPr>
        <w:t xml:space="preserve"> </w:t>
      </w:r>
      <w:r w:rsidRPr="00214269">
        <w:rPr>
          <w:rFonts w:ascii="Times New Roman" w:eastAsia="Times New Roman" w:hAnsi="Times New Roman" w:cs="Times New Roman"/>
          <w:lang w:bidi="es-ES"/>
        </w:rPr>
        <w:t xml:space="preserve">(Dólares Estadounidenses </w:t>
      </w:r>
      <w:r w:rsidR="0055089D" w:rsidRPr="0055089D">
        <w:rPr>
          <w:rFonts w:ascii="Times New Roman" w:eastAsia="Times New Roman" w:hAnsi="Times New Roman" w:cs="Times New Roman"/>
          <w:lang w:bidi="es-ES"/>
        </w:rPr>
        <w:t xml:space="preserve">siete millones sesenta </w:t>
      </w:r>
      <w:r w:rsidR="0055089D">
        <w:rPr>
          <w:rFonts w:ascii="Times New Roman" w:eastAsia="Times New Roman" w:hAnsi="Times New Roman" w:cs="Times New Roman"/>
          <w:lang w:bidi="es-ES"/>
        </w:rPr>
        <w:t>y nueve mil quinientos siete coma cero siete</w:t>
      </w:r>
      <w:r w:rsidRPr="00214269">
        <w:rPr>
          <w:rFonts w:ascii="Times New Roman" w:eastAsia="Times New Roman" w:hAnsi="Times New Roman" w:cs="Times New Roman"/>
          <w:lang w:bidi="es-ES"/>
        </w:rPr>
        <w:t>)</w:t>
      </w:r>
      <w:r w:rsidR="002F73F2">
        <w:rPr>
          <w:rFonts w:ascii="Times New Roman" w:eastAsia="Times New Roman" w:hAnsi="Times New Roman" w:cs="Times New Roman"/>
          <w:lang w:bidi="es-ES"/>
        </w:rPr>
        <w:t>)</w:t>
      </w:r>
      <w:r w:rsidR="00195F2C" w:rsidRPr="00214269">
        <w:rPr>
          <w:rFonts w:ascii="Times New Roman" w:eastAsia="Times New Roman" w:hAnsi="Times New Roman" w:cs="Times New Roman"/>
          <w:lang w:bidi="es-ES"/>
        </w:rPr>
        <w:t xml:space="preserve"> (la “</w:t>
      </w:r>
      <w:r w:rsidR="00195F2C" w:rsidRPr="00214269">
        <w:rPr>
          <w:rFonts w:ascii="Times New Roman" w:eastAsia="Times New Roman" w:hAnsi="Times New Roman" w:cs="Times New Roman"/>
          <w:u w:val="single"/>
          <w:lang w:bidi="es-ES"/>
        </w:rPr>
        <w:t>Cancelación del 33</w:t>
      </w:r>
      <w:r w:rsidR="00980D6E" w:rsidRPr="00214269">
        <w:rPr>
          <w:rFonts w:ascii="Times New Roman" w:eastAsia="Times New Roman" w:hAnsi="Times New Roman" w:cs="Times New Roman"/>
          <w:u w:val="single"/>
          <w:lang w:bidi="es-ES"/>
        </w:rPr>
        <w:t>,33</w:t>
      </w:r>
      <w:r w:rsidR="00195F2C" w:rsidRPr="00214269">
        <w:rPr>
          <w:rFonts w:ascii="Times New Roman" w:eastAsia="Times New Roman" w:hAnsi="Times New Roman" w:cs="Times New Roman"/>
          <w:u w:val="single"/>
          <w:lang w:bidi="es-ES"/>
        </w:rPr>
        <w:t>% del Capital de las Obligaciones Negociables</w:t>
      </w:r>
      <w:r w:rsidR="00195F2C" w:rsidRPr="0062702E">
        <w:rPr>
          <w:rFonts w:ascii="Times New Roman" w:eastAsia="Times New Roman" w:hAnsi="Times New Roman" w:cs="Times New Roman"/>
          <w:lang w:bidi="es-ES"/>
        </w:rPr>
        <w:t>”)</w:t>
      </w:r>
      <w:r w:rsidR="000C569E" w:rsidRPr="0062702E">
        <w:rPr>
          <w:rFonts w:ascii="Times New Roman" w:eastAsia="Times New Roman" w:hAnsi="Times New Roman" w:cs="Times New Roman"/>
          <w:lang w:bidi="es-ES"/>
        </w:rPr>
        <w:t>,</w:t>
      </w:r>
      <w:r w:rsidR="00467CFC" w:rsidRPr="0062702E">
        <w:rPr>
          <w:rFonts w:ascii="Times New Roman" w:eastAsia="Times New Roman" w:hAnsi="Times New Roman" w:cs="Times New Roman"/>
          <w:lang w:bidi="es-ES"/>
        </w:rPr>
        <w:t xml:space="preserve"> </w:t>
      </w:r>
      <w:r w:rsidR="000C569E" w:rsidRPr="0062702E">
        <w:rPr>
          <w:rFonts w:ascii="Times New Roman" w:eastAsia="Times New Roman" w:hAnsi="Times New Roman" w:cs="Times New Roman"/>
          <w:lang w:bidi="es-ES"/>
        </w:rPr>
        <w:t>los T&amp;C</w:t>
      </w:r>
      <w:r w:rsidR="000D0846" w:rsidRPr="007A4D3C">
        <w:rPr>
          <w:rFonts w:ascii="Times New Roman" w:eastAsia="Times New Roman" w:hAnsi="Times New Roman" w:cs="Times New Roman"/>
          <w:lang w:bidi="es-ES"/>
        </w:rPr>
        <w:t xml:space="preserve"> Básicos</w:t>
      </w:r>
      <w:r w:rsidR="000C569E" w:rsidRPr="00A359F0">
        <w:rPr>
          <w:rFonts w:ascii="Times New Roman" w:eastAsia="Times New Roman" w:hAnsi="Times New Roman" w:cs="Times New Roman"/>
          <w:lang w:bidi="es-ES"/>
        </w:rPr>
        <w:t xml:space="preserve"> seguirán siendo </w:t>
      </w:r>
      <w:r w:rsidR="00195F2C" w:rsidRPr="00A359F0">
        <w:rPr>
          <w:rFonts w:ascii="Times New Roman" w:eastAsia="Times New Roman" w:hAnsi="Times New Roman" w:cs="Times New Roman"/>
          <w:lang w:bidi="es-ES"/>
        </w:rPr>
        <w:t>de aplicación para</w:t>
      </w:r>
      <w:r w:rsidR="000C569E" w:rsidRPr="00A359F0">
        <w:rPr>
          <w:rFonts w:ascii="Times New Roman" w:eastAsia="Times New Roman" w:hAnsi="Times New Roman" w:cs="Times New Roman"/>
          <w:lang w:bidi="es-ES"/>
        </w:rPr>
        <w:t xml:space="preserve"> las Obligaciones Negociables.</w:t>
      </w:r>
    </w:p>
    <w:p w14:paraId="13381BF4" w14:textId="77777777" w:rsidR="008D0968" w:rsidRPr="00310976" w:rsidRDefault="008D0968">
      <w:pPr>
        <w:pStyle w:val="Prrafodelista"/>
        <w:spacing w:after="0" w:line="240" w:lineRule="auto"/>
        <w:ind w:leftChars="0" w:left="925" w:firstLineChars="0" w:firstLine="0"/>
        <w:jc w:val="both"/>
        <w:rPr>
          <w:rFonts w:ascii="Times New Roman" w:eastAsia="Times New Roman" w:hAnsi="Times New Roman" w:cs="Times New Roman"/>
          <w:lang w:bidi="es-ES"/>
        </w:rPr>
      </w:pPr>
    </w:p>
    <w:p w14:paraId="48B0E744" w14:textId="359AC369" w:rsidR="00195F2C" w:rsidRPr="00F66991" w:rsidRDefault="00195F2C" w:rsidP="00F93ED5">
      <w:pPr>
        <w:pStyle w:val="Prrafodelista"/>
        <w:numPr>
          <w:ilvl w:val="0"/>
          <w:numId w:val="18"/>
        </w:numPr>
        <w:spacing w:after="0" w:line="240" w:lineRule="auto"/>
        <w:ind w:leftChars="0" w:left="993" w:firstLineChars="0" w:hanging="567"/>
        <w:jc w:val="both"/>
        <w:rPr>
          <w:rFonts w:ascii="Times New Roman" w:eastAsia="Times New Roman" w:hAnsi="Times New Roman" w:cs="Times New Roman"/>
          <w:lang w:bidi="es-ES"/>
        </w:rPr>
      </w:pPr>
      <w:r w:rsidRPr="00740007">
        <w:rPr>
          <w:rFonts w:ascii="Times New Roman" w:eastAsia="Times New Roman" w:hAnsi="Times New Roman" w:cs="Times New Roman"/>
          <w:i/>
          <w:u w:val="single"/>
          <w:lang w:bidi="es-ES"/>
        </w:rPr>
        <w:t xml:space="preserve">Términos y condiciones Aplicables en Caso de Acuerdo con </w:t>
      </w:r>
      <w:proofErr w:type="spellStart"/>
      <w:r w:rsidRPr="00740007">
        <w:rPr>
          <w:rFonts w:ascii="Times New Roman" w:eastAsia="Times New Roman" w:hAnsi="Times New Roman" w:cs="Times New Roman"/>
          <w:i/>
          <w:u w:val="single"/>
          <w:lang w:bidi="es-ES"/>
        </w:rPr>
        <w:t>Itaú</w:t>
      </w:r>
      <w:proofErr w:type="spellEnd"/>
      <w:r w:rsidRPr="00740007">
        <w:rPr>
          <w:rFonts w:ascii="Times New Roman" w:eastAsia="Times New Roman" w:hAnsi="Times New Roman" w:cs="Times New Roman"/>
          <w:i/>
          <w:u w:val="single"/>
          <w:lang w:bidi="es-ES"/>
        </w:rPr>
        <w:t xml:space="preserve"> sobre la Participación en Catalinas</w:t>
      </w:r>
    </w:p>
    <w:p w14:paraId="45A4F3BE" w14:textId="77777777" w:rsidR="00195F2C" w:rsidRPr="0055089D" w:rsidRDefault="00195F2C">
      <w:pPr>
        <w:pStyle w:val="Prrafodelista"/>
        <w:spacing w:after="0" w:line="240" w:lineRule="auto"/>
        <w:ind w:leftChars="0" w:left="925" w:firstLineChars="0" w:firstLine="0"/>
        <w:jc w:val="both"/>
        <w:rPr>
          <w:rFonts w:ascii="Times New Roman" w:eastAsia="Times New Roman" w:hAnsi="Times New Roman" w:cs="Times New Roman"/>
          <w:lang w:bidi="es-ES"/>
        </w:rPr>
      </w:pPr>
    </w:p>
    <w:p w14:paraId="063955A7" w14:textId="32481BD5" w:rsidR="00195F2C" w:rsidRDefault="00195F2C" w:rsidP="00C13AAC">
      <w:pPr>
        <w:pStyle w:val="Prrafodelista"/>
        <w:spacing w:after="0" w:line="240" w:lineRule="auto"/>
        <w:ind w:leftChars="0" w:left="925" w:firstLineChars="0" w:firstLine="0"/>
        <w:jc w:val="both"/>
        <w:rPr>
          <w:rFonts w:ascii="Times New Roman" w:eastAsia="Times New Roman" w:hAnsi="Times New Roman" w:cs="Times New Roman"/>
          <w:lang w:val="es-MX" w:bidi="es-ES"/>
        </w:rPr>
      </w:pPr>
      <w:r w:rsidRPr="00626DBF">
        <w:rPr>
          <w:rFonts w:ascii="Times New Roman" w:eastAsia="Times New Roman" w:hAnsi="Times New Roman" w:cs="Times New Roman"/>
          <w:lang w:bidi="es-ES"/>
        </w:rPr>
        <w:t xml:space="preserve">En caso de que la Sociedad </w:t>
      </w:r>
      <w:r w:rsidRPr="00626DBF">
        <w:rPr>
          <w:rFonts w:ascii="Times New Roman" w:eastAsia="Times New Roman" w:hAnsi="Times New Roman" w:cs="Times New Roman"/>
        </w:rPr>
        <w:t xml:space="preserve">obtenga el consentimiento de la Mayoría Necesaria </w:t>
      </w:r>
      <w:r w:rsidR="00D72A60">
        <w:rPr>
          <w:rFonts w:ascii="Times New Roman" w:eastAsia="Times New Roman" w:hAnsi="Times New Roman" w:cs="Times New Roman"/>
        </w:rPr>
        <w:t xml:space="preserve">(conforme dicho término se define más adelante) </w:t>
      </w:r>
      <w:r w:rsidRPr="00626DBF">
        <w:rPr>
          <w:rFonts w:ascii="Times New Roman" w:eastAsia="Times New Roman" w:hAnsi="Times New Roman" w:cs="Times New Roman"/>
        </w:rPr>
        <w:t xml:space="preserve">para </w:t>
      </w:r>
      <w:r w:rsidRPr="00626DBF">
        <w:rPr>
          <w:rFonts w:ascii="Times New Roman" w:eastAsia="Times New Roman" w:hAnsi="Times New Roman" w:cs="Times New Roman"/>
          <w:lang w:bidi="es-ES"/>
        </w:rPr>
        <w:t xml:space="preserve">la Modificación Propuesta, y ocurra la Condición en Caso de Acuerdo con </w:t>
      </w:r>
      <w:proofErr w:type="spellStart"/>
      <w:r w:rsidRPr="00626DBF">
        <w:rPr>
          <w:rFonts w:ascii="Times New Roman" w:eastAsia="Times New Roman" w:hAnsi="Times New Roman" w:cs="Times New Roman"/>
          <w:lang w:bidi="es-ES"/>
        </w:rPr>
        <w:t>Itaú</w:t>
      </w:r>
      <w:proofErr w:type="spellEnd"/>
      <w:r w:rsidRPr="00626DBF">
        <w:rPr>
          <w:rFonts w:ascii="Times New Roman" w:eastAsia="Times New Roman" w:hAnsi="Times New Roman" w:cs="Times New Roman"/>
          <w:lang w:bidi="es-ES"/>
        </w:rPr>
        <w:t xml:space="preserve"> sobre la Participación en Catalinas sin que se haya producido la Cancelación del 33</w:t>
      </w:r>
      <w:r w:rsidR="0092549E">
        <w:rPr>
          <w:rFonts w:ascii="Times New Roman" w:eastAsia="Times New Roman" w:hAnsi="Times New Roman" w:cs="Times New Roman"/>
          <w:lang w:bidi="es-ES"/>
        </w:rPr>
        <w:t>,33</w:t>
      </w:r>
      <w:r w:rsidRPr="00626DBF">
        <w:rPr>
          <w:rFonts w:ascii="Times New Roman" w:eastAsia="Times New Roman" w:hAnsi="Times New Roman" w:cs="Times New Roman"/>
          <w:lang w:bidi="es-ES"/>
        </w:rPr>
        <w:t>% del Capital de Obligaciones Negociables, los siguiente</w:t>
      </w:r>
      <w:r w:rsidR="005B3076" w:rsidRPr="00D92D5E">
        <w:rPr>
          <w:rFonts w:ascii="Times New Roman" w:eastAsia="Times New Roman" w:hAnsi="Times New Roman" w:cs="Times New Roman"/>
          <w:lang w:bidi="es-ES"/>
        </w:rPr>
        <w:t>s</w:t>
      </w:r>
      <w:r w:rsidRPr="00D92D5E">
        <w:rPr>
          <w:rFonts w:ascii="Times New Roman" w:eastAsia="Times New Roman" w:hAnsi="Times New Roman" w:cs="Times New Roman"/>
          <w:lang w:bidi="es-ES"/>
        </w:rPr>
        <w:t xml:space="preserve"> términos y condiciones aplicarán </w:t>
      </w:r>
      <w:r w:rsidR="00A673A7">
        <w:rPr>
          <w:rFonts w:ascii="Times New Roman" w:eastAsia="Times New Roman" w:hAnsi="Times New Roman" w:cs="Times New Roman"/>
          <w:lang w:bidi="es-ES"/>
        </w:rPr>
        <w:t xml:space="preserve">a partir del acaecimiento de la Condición en Caso de Acuerdo con </w:t>
      </w:r>
      <w:proofErr w:type="spellStart"/>
      <w:r w:rsidR="00A673A7">
        <w:rPr>
          <w:rFonts w:ascii="Times New Roman" w:eastAsia="Times New Roman" w:hAnsi="Times New Roman" w:cs="Times New Roman"/>
          <w:lang w:bidi="es-ES"/>
        </w:rPr>
        <w:t>Itaú</w:t>
      </w:r>
      <w:proofErr w:type="spellEnd"/>
      <w:r w:rsidR="00A673A7">
        <w:rPr>
          <w:rFonts w:ascii="Times New Roman" w:eastAsia="Times New Roman" w:hAnsi="Times New Roman" w:cs="Times New Roman"/>
          <w:lang w:bidi="es-ES"/>
        </w:rPr>
        <w:t xml:space="preserve"> sobre la Participación en Catalinas y </w:t>
      </w:r>
      <w:r w:rsidRPr="00D92D5E">
        <w:rPr>
          <w:rFonts w:ascii="Times New Roman" w:eastAsia="Times New Roman" w:hAnsi="Times New Roman" w:cs="Times New Roman"/>
          <w:lang w:bidi="es-ES"/>
        </w:rPr>
        <w:t>en lo sucesivo a las Obligaciones Negociables (los “</w:t>
      </w:r>
      <w:r w:rsidRPr="00D92D5E">
        <w:rPr>
          <w:rFonts w:ascii="Times New Roman" w:eastAsia="Times New Roman" w:hAnsi="Times New Roman" w:cs="Times New Roman"/>
          <w:u w:val="single"/>
          <w:lang w:val="es-MX" w:bidi="es-ES"/>
        </w:rPr>
        <w:t xml:space="preserve">T&amp;C </w:t>
      </w:r>
      <w:r w:rsidRPr="00F43580">
        <w:rPr>
          <w:rFonts w:ascii="Times New Roman" w:eastAsia="Times New Roman" w:hAnsi="Times New Roman" w:cs="Times New Roman"/>
          <w:u w:val="single"/>
          <w:lang w:bidi="es-ES"/>
        </w:rPr>
        <w:t xml:space="preserve">Aplicables en Caso de Acuerdo con </w:t>
      </w:r>
      <w:proofErr w:type="spellStart"/>
      <w:r w:rsidRPr="00F43580">
        <w:rPr>
          <w:rFonts w:ascii="Times New Roman" w:eastAsia="Times New Roman" w:hAnsi="Times New Roman" w:cs="Times New Roman"/>
          <w:u w:val="single"/>
          <w:lang w:bidi="es-ES"/>
        </w:rPr>
        <w:t>Itaú</w:t>
      </w:r>
      <w:proofErr w:type="spellEnd"/>
      <w:r w:rsidRPr="00F43580">
        <w:rPr>
          <w:rFonts w:ascii="Times New Roman" w:eastAsia="Times New Roman" w:hAnsi="Times New Roman" w:cs="Times New Roman"/>
          <w:u w:val="single"/>
          <w:lang w:bidi="es-ES"/>
        </w:rPr>
        <w:t xml:space="preserve"> sobre la Participación en Catalinas</w:t>
      </w:r>
      <w:r w:rsidRPr="00F43580">
        <w:rPr>
          <w:rFonts w:ascii="Times New Roman" w:eastAsia="Times New Roman" w:hAnsi="Times New Roman" w:cs="Times New Roman"/>
          <w:lang w:bidi="es-ES"/>
        </w:rPr>
        <w:t>”)</w:t>
      </w:r>
      <w:r w:rsidRPr="00F43580">
        <w:rPr>
          <w:rFonts w:ascii="Times New Roman" w:eastAsia="Times New Roman" w:hAnsi="Times New Roman" w:cs="Times New Roman"/>
          <w:lang w:val="es-MX" w:bidi="es-ES"/>
        </w:rPr>
        <w:t>:</w:t>
      </w:r>
    </w:p>
    <w:p w14:paraId="64B750F2" w14:textId="67A9485A" w:rsidR="00481E90" w:rsidRDefault="00481E90" w:rsidP="00C13AAC">
      <w:pPr>
        <w:pStyle w:val="Prrafodelista"/>
        <w:spacing w:after="0" w:line="240" w:lineRule="auto"/>
        <w:ind w:leftChars="0" w:left="925" w:firstLineChars="0" w:firstLine="0"/>
        <w:jc w:val="both"/>
        <w:rPr>
          <w:rFonts w:ascii="Times New Roman" w:eastAsia="Times New Roman" w:hAnsi="Times New Roman" w:cs="Times New Roman"/>
          <w:lang w:val="es-MX" w:bidi="es-ES"/>
        </w:rPr>
      </w:pPr>
    </w:p>
    <w:p w14:paraId="644988DF" w14:textId="7B59B3FD" w:rsidR="00481E90" w:rsidRPr="00481E90" w:rsidRDefault="00D72A60" w:rsidP="00481E90">
      <w:pPr>
        <w:pStyle w:val="Prrafodelista"/>
        <w:numPr>
          <w:ilvl w:val="0"/>
          <w:numId w:val="5"/>
        </w:numPr>
        <w:spacing w:after="0" w:line="240" w:lineRule="auto"/>
        <w:ind w:leftChars="0" w:firstLineChars="0"/>
        <w:jc w:val="both"/>
        <w:rPr>
          <w:rFonts w:ascii="Times New Roman" w:hAnsi="Times New Roman" w:cs="Times New Roman"/>
          <w:i/>
          <w:lang w:bidi="es-ES"/>
        </w:rPr>
      </w:pPr>
      <w:r>
        <w:rPr>
          <w:rFonts w:ascii="Times New Roman" w:hAnsi="Times New Roman" w:cs="Times New Roman"/>
          <w:lang w:bidi="es-ES"/>
        </w:rPr>
        <w:t>L</w:t>
      </w:r>
      <w:r w:rsidR="00481E90" w:rsidRPr="00214269">
        <w:rPr>
          <w:rFonts w:ascii="Times New Roman" w:hAnsi="Times New Roman" w:cs="Times New Roman"/>
          <w:lang w:bidi="es-ES"/>
        </w:rPr>
        <w:t xml:space="preserve">as Obligaciones Negociables estarán garantizadas (i) </w:t>
      </w:r>
      <w:r w:rsidR="007A745E">
        <w:rPr>
          <w:rFonts w:ascii="Times New Roman" w:hAnsi="Times New Roman" w:cs="Times New Roman"/>
          <w:lang w:bidi="es-ES"/>
        </w:rPr>
        <w:t xml:space="preserve">por </w:t>
      </w:r>
      <w:r w:rsidR="00481E90" w:rsidRPr="00214269">
        <w:rPr>
          <w:rFonts w:ascii="Times New Roman" w:hAnsi="Times New Roman" w:cs="Times New Roman"/>
          <w:lang w:bidi="es-ES"/>
        </w:rPr>
        <w:t>el Fideicomiso MPN</w:t>
      </w:r>
      <w:r w:rsidR="00481E90" w:rsidRPr="00C14A55">
        <w:rPr>
          <w:rFonts w:ascii="Times New Roman" w:hAnsi="Times New Roman" w:cs="Times New Roman"/>
          <w:lang w:bidi="es-ES"/>
        </w:rPr>
        <w:t xml:space="preserve"> y</w:t>
      </w:r>
      <w:r w:rsidR="007A745E" w:rsidRPr="00C14A55">
        <w:rPr>
          <w:rFonts w:ascii="Times New Roman" w:hAnsi="Times New Roman" w:cs="Times New Roman"/>
          <w:lang w:bidi="es-ES"/>
        </w:rPr>
        <w:t>,</w:t>
      </w:r>
      <w:r w:rsidR="00E200E3" w:rsidRPr="00C14A55">
        <w:rPr>
          <w:rFonts w:ascii="Times New Roman" w:hAnsi="Times New Roman" w:cs="Times New Roman"/>
          <w:lang w:bidi="es-ES"/>
        </w:rPr>
        <w:t xml:space="preserve"> adicionalmente</w:t>
      </w:r>
      <w:r w:rsidR="007A745E" w:rsidRPr="00C14A55">
        <w:rPr>
          <w:rFonts w:ascii="Times New Roman" w:hAnsi="Times New Roman" w:cs="Times New Roman"/>
          <w:lang w:bidi="es-ES"/>
        </w:rPr>
        <w:t>,</w:t>
      </w:r>
      <w:r w:rsidR="00481E90" w:rsidRPr="00214269">
        <w:rPr>
          <w:rFonts w:ascii="Times New Roman" w:hAnsi="Times New Roman" w:cs="Times New Roman"/>
          <w:lang w:bidi="es-ES"/>
        </w:rPr>
        <w:t xml:space="preserve"> (ii) </w:t>
      </w:r>
      <w:r w:rsidR="007A745E">
        <w:rPr>
          <w:rFonts w:ascii="Times New Roman" w:hAnsi="Times New Roman" w:cs="Times New Roman"/>
          <w:lang w:bidi="es-ES"/>
        </w:rPr>
        <w:t xml:space="preserve">por </w:t>
      </w:r>
      <w:r w:rsidR="00481E90" w:rsidRPr="00214269">
        <w:rPr>
          <w:rFonts w:ascii="Times New Roman" w:hAnsi="Times New Roman" w:cs="Times New Roman"/>
          <w:lang w:bidi="es-ES"/>
        </w:rPr>
        <w:t>la hipoteca en primer grado de privilegio sobre el Inmueble Hudson una vez constituida de acuerdo con lo establecido en el apartado “</w:t>
      </w:r>
      <w:r w:rsidR="00481E90" w:rsidRPr="00214269">
        <w:rPr>
          <w:rFonts w:ascii="Times New Roman" w:hAnsi="Times New Roman" w:cs="Times New Roman"/>
          <w:i/>
          <w:lang w:bidi="es-ES"/>
        </w:rPr>
        <w:t>Derecho de la Sociedad de liberar de la Garantía a la Prenda”.</w:t>
      </w:r>
      <w:r w:rsidR="00481E90" w:rsidRPr="003F685D">
        <w:rPr>
          <w:rFonts w:ascii="Times New Roman" w:eastAsia="Times New Roman" w:hAnsi="Times New Roman" w:cs="Times New Roman"/>
          <w:lang w:val="es-MX" w:bidi="es-ES"/>
        </w:rPr>
        <w:t xml:space="preserve"> </w:t>
      </w:r>
      <w:r w:rsidR="00481E90" w:rsidRPr="00214269">
        <w:rPr>
          <w:rFonts w:ascii="Times New Roman" w:eastAsia="Times New Roman" w:hAnsi="Times New Roman" w:cs="Times New Roman"/>
          <w:lang w:val="es-MX" w:bidi="es-ES"/>
        </w:rPr>
        <w:t>Para más información</w:t>
      </w:r>
      <w:r w:rsidR="00A94011">
        <w:rPr>
          <w:rFonts w:ascii="Times New Roman" w:eastAsia="Times New Roman" w:hAnsi="Times New Roman" w:cs="Times New Roman"/>
          <w:lang w:val="es-MX" w:bidi="es-ES"/>
        </w:rPr>
        <w:t>,</w:t>
      </w:r>
      <w:r w:rsidR="00481E90" w:rsidRPr="00214269">
        <w:rPr>
          <w:rFonts w:ascii="Times New Roman" w:eastAsia="Times New Roman" w:hAnsi="Times New Roman" w:cs="Times New Roman"/>
          <w:lang w:val="es-MX" w:bidi="es-ES"/>
        </w:rPr>
        <w:t xml:space="preserve"> véase el apartado “</w:t>
      </w:r>
      <w:r w:rsidR="00481E90" w:rsidRPr="00214269">
        <w:rPr>
          <w:rFonts w:ascii="Times New Roman" w:eastAsia="Times New Roman" w:hAnsi="Times New Roman" w:cs="Times New Roman"/>
          <w:i/>
          <w:lang w:val="es-AR" w:bidi="es-ES"/>
        </w:rPr>
        <w:t xml:space="preserve">Ampliación y modificación de la Garantía de las </w:t>
      </w:r>
      <w:r w:rsidR="00481E90" w:rsidRPr="00214269">
        <w:rPr>
          <w:rFonts w:ascii="Times New Roman" w:eastAsia="Times New Roman" w:hAnsi="Times New Roman" w:cs="Times New Roman"/>
          <w:i/>
          <w:lang w:val="es-MX" w:bidi="es-ES"/>
        </w:rPr>
        <w:t>Obligaciones Negociables</w:t>
      </w:r>
      <w:r w:rsidR="00481E90" w:rsidRPr="00214269">
        <w:rPr>
          <w:rFonts w:ascii="Times New Roman" w:eastAsia="Times New Roman" w:hAnsi="Times New Roman" w:cs="Times New Roman"/>
          <w:lang w:val="es-MX" w:bidi="es-ES"/>
        </w:rPr>
        <w:t>” de la presente Solicitud de Consentimiento</w:t>
      </w:r>
      <w:r w:rsidR="00481E90">
        <w:rPr>
          <w:rFonts w:ascii="Times New Roman" w:eastAsia="Times New Roman" w:hAnsi="Times New Roman" w:cs="Times New Roman"/>
          <w:lang w:val="es-MX" w:bidi="es-ES"/>
        </w:rPr>
        <w:t>;</w:t>
      </w:r>
    </w:p>
    <w:p w14:paraId="609798F8" w14:textId="77777777" w:rsidR="00195F2C" w:rsidRPr="008433DA" w:rsidRDefault="00195F2C">
      <w:pPr>
        <w:spacing w:after="0" w:line="240" w:lineRule="auto"/>
        <w:ind w:leftChars="0" w:left="851" w:firstLineChars="0" w:hanging="283"/>
        <w:jc w:val="both"/>
        <w:rPr>
          <w:rFonts w:ascii="Times New Roman" w:eastAsia="Times New Roman" w:hAnsi="Times New Roman" w:cs="Times New Roman"/>
          <w:lang w:val="es-MX" w:bidi="es-ES"/>
        </w:rPr>
      </w:pPr>
    </w:p>
    <w:p w14:paraId="66321571" w14:textId="1EEDB4E8" w:rsidR="00195F2C" w:rsidRPr="003E13B9" w:rsidRDefault="00195F2C">
      <w:pPr>
        <w:pStyle w:val="Prrafodelista"/>
        <w:numPr>
          <w:ilvl w:val="0"/>
          <w:numId w:val="5"/>
        </w:numPr>
        <w:spacing w:after="0" w:line="240" w:lineRule="auto"/>
        <w:ind w:leftChars="0" w:firstLineChars="0"/>
        <w:jc w:val="both"/>
        <w:rPr>
          <w:rFonts w:ascii="Times New Roman" w:eastAsia="Times New Roman" w:hAnsi="Times New Roman" w:cs="Times New Roman"/>
          <w:lang w:val="es-MX" w:bidi="es-ES"/>
        </w:rPr>
      </w:pPr>
      <w:r w:rsidRPr="003E13B9">
        <w:rPr>
          <w:rFonts w:ascii="Times New Roman" w:eastAsia="Times New Roman" w:hAnsi="Times New Roman" w:cs="Times New Roman"/>
          <w:lang w:bidi="es-ES"/>
        </w:rPr>
        <w:t xml:space="preserve">La </w:t>
      </w:r>
      <w:r w:rsidR="00DF2A43">
        <w:rPr>
          <w:rFonts w:ascii="Times New Roman" w:eastAsia="Times New Roman" w:hAnsi="Times New Roman" w:cs="Times New Roman"/>
          <w:lang w:bidi="es-ES"/>
        </w:rPr>
        <w:t>f</w:t>
      </w:r>
      <w:r w:rsidRPr="003E13B9">
        <w:rPr>
          <w:rFonts w:ascii="Times New Roman" w:eastAsia="Times New Roman" w:hAnsi="Times New Roman" w:cs="Times New Roman"/>
          <w:lang w:bidi="es-ES"/>
        </w:rPr>
        <w:t xml:space="preserve">echa de </w:t>
      </w:r>
      <w:r w:rsidR="00DF2A43">
        <w:rPr>
          <w:rFonts w:ascii="Times New Roman" w:eastAsia="Times New Roman" w:hAnsi="Times New Roman" w:cs="Times New Roman"/>
          <w:lang w:bidi="es-ES"/>
        </w:rPr>
        <w:t>v</w:t>
      </w:r>
      <w:r w:rsidRPr="003E13B9">
        <w:rPr>
          <w:rFonts w:ascii="Times New Roman" w:eastAsia="Times New Roman" w:hAnsi="Times New Roman" w:cs="Times New Roman"/>
          <w:lang w:bidi="es-ES"/>
        </w:rPr>
        <w:t>encimiento se prorrogará desde el 11 de febrero de 2023 hasta el 11 de febrero de 2027</w:t>
      </w:r>
      <w:r w:rsidR="00DF2A43">
        <w:rPr>
          <w:rFonts w:ascii="Times New Roman" w:eastAsia="Times New Roman" w:hAnsi="Times New Roman" w:cs="Times New Roman"/>
          <w:lang w:bidi="es-ES"/>
        </w:rPr>
        <w:t xml:space="preserve"> (la “</w:t>
      </w:r>
      <w:r w:rsidR="00DF2A43" w:rsidRPr="00922096">
        <w:rPr>
          <w:rFonts w:ascii="Times New Roman" w:eastAsia="Times New Roman" w:hAnsi="Times New Roman" w:cs="Times New Roman"/>
          <w:u w:val="single"/>
          <w:lang w:bidi="es-ES"/>
        </w:rPr>
        <w:t xml:space="preserve">Fecha de Vencimiento </w:t>
      </w:r>
      <w:r w:rsidR="00D97578">
        <w:rPr>
          <w:rFonts w:ascii="Times New Roman" w:eastAsia="Times New Roman" w:hAnsi="Times New Roman" w:cs="Times New Roman"/>
          <w:u w:val="single"/>
          <w:lang w:bidi="es-ES"/>
        </w:rPr>
        <w:t xml:space="preserve">en los </w:t>
      </w:r>
      <w:r w:rsidR="00DF2A43" w:rsidRPr="00DF2A43">
        <w:rPr>
          <w:rFonts w:ascii="Times New Roman" w:eastAsia="Times New Roman" w:hAnsi="Times New Roman" w:cs="Times New Roman"/>
          <w:u w:val="single"/>
          <w:lang w:val="es-MX" w:bidi="es-ES"/>
        </w:rPr>
        <w:t xml:space="preserve">T&amp;C </w:t>
      </w:r>
      <w:r w:rsidR="00DF2A43" w:rsidRPr="00DF2A43">
        <w:rPr>
          <w:rFonts w:ascii="Times New Roman" w:eastAsia="Times New Roman" w:hAnsi="Times New Roman" w:cs="Times New Roman"/>
          <w:u w:val="single"/>
          <w:lang w:bidi="es-ES"/>
        </w:rPr>
        <w:t xml:space="preserve">Aplicables en Caso de Acuerdo con </w:t>
      </w:r>
      <w:proofErr w:type="spellStart"/>
      <w:r w:rsidR="00DF2A43" w:rsidRPr="00DF2A43">
        <w:rPr>
          <w:rFonts w:ascii="Times New Roman" w:eastAsia="Times New Roman" w:hAnsi="Times New Roman" w:cs="Times New Roman"/>
          <w:u w:val="single"/>
          <w:lang w:bidi="es-ES"/>
        </w:rPr>
        <w:t>It</w:t>
      </w:r>
      <w:r w:rsidR="00DF2A43" w:rsidRPr="00D97578">
        <w:rPr>
          <w:rFonts w:ascii="Times New Roman" w:eastAsia="Times New Roman" w:hAnsi="Times New Roman" w:cs="Times New Roman"/>
          <w:u w:val="single"/>
          <w:lang w:bidi="es-ES"/>
        </w:rPr>
        <w:t>aú</w:t>
      </w:r>
      <w:proofErr w:type="spellEnd"/>
      <w:r w:rsidR="00DF2A43" w:rsidRPr="00D97578">
        <w:rPr>
          <w:rFonts w:ascii="Times New Roman" w:eastAsia="Times New Roman" w:hAnsi="Times New Roman" w:cs="Times New Roman"/>
          <w:u w:val="single"/>
          <w:lang w:bidi="es-ES"/>
        </w:rPr>
        <w:t xml:space="preserve"> sobre la Participación en Catalinas</w:t>
      </w:r>
      <w:r w:rsidR="00DF2A43">
        <w:rPr>
          <w:rFonts w:ascii="Times New Roman" w:eastAsia="Times New Roman" w:hAnsi="Times New Roman" w:cs="Times New Roman"/>
          <w:lang w:bidi="es-ES"/>
        </w:rPr>
        <w:t>”)</w:t>
      </w:r>
      <w:r w:rsidRPr="003E13B9">
        <w:rPr>
          <w:rFonts w:ascii="Times New Roman" w:eastAsia="Times New Roman" w:hAnsi="Times New Roman" w:cs="Times New Roman"/>
          <w:lang w:bidi="es-ES"/>
        </w:rPr>
        <w:t>;</w:t>
      </w:r>
    </w:p>
    <w:p w14:paraId="2A6D7535" w14:textId="77777777" w:rsidR="00195F2C" w:rsidRPr="003E13B9" w:rsidRDefault="00195F2C">
      <w:pPr>
        <w:spacing w:after="0" w:line="240" w:lineRule="auto"/>
        <w:ind w:leftChars="0" w:left="851" w:firstLineChars="0" w:hanging="283"/>
        <w:jc w:val="both"/>
        <w:rPr>
          <w:rFonts w:ascii="Times New Roman" w:eastAsia="Times New Roman" w:hAnsi="Times New Roman" w:cs="Times New Roman"/>
          <w:lang w:val="es-MX" w:bidi="es-ES"/>
        </w:rPr>
      </w:pPr>
    </w:p>
    <w:p w14:paraId="4FEE4DE1" w14:textId="77777777" w:rsidR="00191BF4" w:rsidRPr="008C39F0" w:rsidRDefault="00195F2C" w:rsidP="0030475A">
      <w:pPr>
        <w:pStyle w:val="Prrafodelista"/>
        <w:numPr>
          <w:ilvl w:val="0"/>
          <w:numId w:val="5"/>
        </w:numPr>
        <w:spacing w:after="0" w:line="240" w:lineRule="auto"/>
        <w:ind w:leftChars="0" w:firstLineChars="0"/>
        <w:jc w:val="both"/>
        <w:rPr>
          <w:rFonts w:ascii="Times New Roman" w:eastAsia="Times New Roman" w:hAnsi="Times New Roman" w:cs="Times New Roman"/>
          <w:lang w:val="es-AR" w:bidi="es-ES"/>
        </w:rPr>
      </w:pPr>
      <w:r w:rsidRPr="00262E03">
        <w:rPr>
          <w:rFonts w:ascii="Times New Roman" w:eastAsia="Times New Roman" w:hAnsi="Times New Roman" w:cs="Times New Roman"/>
          <w:lang w:bidi="es-ES"/>
        </w:rPr>
        <w:t>E</w:t>
      </w:r>
      <w:r w:rsidRPr="00262E03">
        <w:rPr>
          <w:rFonts w:ascii="Times New Roman" w:eastAsia="Times New Roman" w:hAnsi="Times New Roman" w:cs="Times New Roman"/>
          <w:lang w:val="es-AR" w:bidi="es-ES"/>
        </w:rPr>
        <w:t xml:space="preserve">l capital de las Obligaciones Negociables será amortizado de la siguiente manera: </w:t>
      </w:r>
    </w:p>
    <w:p w14:paraId="042E92AC" w14:textId="77777777" w:rsidR="00191BF4" w:rsidRPr="00523952" w:rsidRDefault="00191BF4" w:rsidP="00200738">
      <w:pPr>
        <w:pStyle w:val="Prrafodelista"/>
        <w:ind w:left="0" w:hanging="2"/>
        <w:rPr>
          <w:rFonts w:ascii="Times New Roman" w:eastAsia="Times New Roman" w:hAnsi="Times New Roman" w:cs="Times New Roman"/>
          <w:lang w:val="es-AR" w:bidi="es-ES"/>
        </w:rPr>
      </w:pPr>
    </w:p>
    <w:p w14:paraId="1C473DF5" w14:textId="299340BA" w:rsidR="00191BF4" w:rsidRPr="00C54836" w:rsidRDefault="00195F2C" w:rsidP="00200738">
      <w:pPr>
        <w:pStyle w:val="Prrafodelista"/>
        <w:spacing w:after="0" w:line="240" w:lineRule="auto"/>
        <w:ind w:leftChars="0" w:left="1285" w:firstLineChars="0" w:firstLine="0"/>
        <w:jc w:val="both"/>
        <w:rPr>
          <w:rFonts w:ascii="Times New Roman" w:eastAsia="Times New Roman" w:hAnsi="Times New Roman" w:cs="Times New Roman"/>
          <w:lang w:val="es-AR" w:bidi="es-ES"/>
        </w:rPr>
      </w:pPr>
      <w:r w:rsidRPr="005B76C0">
        <w:rPr>
          <w:rFonts w:ascii="Times New Roman" w:eastAsia="Times New Roman" w:hAnsi="Times New Roman" w:cs="Times New Roman"/>
          <w:lang w:val="es-AR" w:bidi="es-ES"/>
        </w:rPr>
        <w:t>(i) con fecha 11 de agosto de 2022, la Sociedad abonará el 10</w:t>
      </w:r>
      <w:r w:rsidR="004711F9">
        <w:rPr>
          <w:rFonts w:ascii="Times New Roman" w:eastAsia="Times New Roman" w:hAnsi="Times New Roman" w:cs="Times New Roman"/>
          <w:lang w:val="es-AR" w:bidi="es-ES"/>
        </w:rPr>
        <w:t>,00</w:t>
      </w:r>
      <w:r w:rsidRPr="005B76C0">
        <w:rPr>
          <w:rFonts w:ascii="Times New Roman" w:eastAsia="Times New Roman" w:hAnsi="Times New Roman" w:cs="Times New Roman"/>
          <w:lang w:val="es-AR" w:bidi="es-ES"/>
        </w:rPr>
        <w:t xml:space="preserve">% del monto de capital </w:t>
      </w:r>
      <w:r w:rsidR="004711F9">
        <w:rPr>
          <w:rFonts w:ascii="Times New Roman" w:eastAsia="Times New Roman" w:hAnsi="Times New Roman" w:cs="Times New Roman"/>
          <w:lang w:val="es-AR" w:bidi="es-ES"/>
        </w:rPr>
        <w:t xml:space="preserve">de las Obligaciones Negociables </w:t>
      </w:r>
      <w:r w:rsidRPr="005B76C0">
        <w:rPr>
          <w:rFonts w:ascii="Times New Roman" w:eastAsia="Times New Roman" w:hAnsi="Times New Roman" w:cs="Times New Roman"/>
          <w:lang w:val="es-AR" w:bidi="es-ES"/>
        </w:rPr>
        <w:t>adeudado a esa fecha</w:t>
      </w:r>
      <w:r w:rsidR="00C54836" w:rsidRPr="00C54836">
        <w:rPr>
          <w:rFonts w:ascii="Times New Roman" w:eastAsia="Times New Roman" w:hAnsi="Times New Roman" w:cs="Times New Roman"/>
          <w:lang w:val="es-AR" w:bidi="es-ES"/>
        </w:rPr>
        <w:t xml:space="preserve"> </w:t>
      </w:r>
      <w:r w:rsidR="00C54836">
        <w:rPr>
          <w:rFonts w:ascii="Times New Roman" w:eastAsia="Times New Roman" w:hAnsi="Times New Roman" w:cs="Times New Roman"/>
          <w:lang w:val="es-AR" w:bidi="es-ES"/>
        </w:rPr>
        <w:t>incluyendo todos los interes</w:t>
      </w:r>
      <w:r w:rsidR="00F43580">
        <w:rPr>
          <w:rFonts w:ascii="Times New Roman" w:eastAsia="Times New Roman" w:hAnsi="Times New Roman" w:cs="Times New Roman"/>
          <w:lang w:val="es-AR" w:bidi="es-ES"/>
        </w:rPr>
        <w:t xml:space="preserve">es capitalizados hasta </w:t>
      </w:r>
      <w:r w:rsidR="00C54836">
        <w:rPr>
          <w:rFonts w:ascii="Times New Roman" w:eastAsia="Times New Roman" w:hAnsi="Times New Roman" w:cs="Times New Roman"/>
          <w:lang w:val="es-AR" w:bidi="es-ES"/>
        </w:rPr>
        <w:t>dicha fecha inclusive</w:t>
      </w:r>
      <w:r w:rsidR="00F43580">
        <w:rPr>
          <w:rFonts w:ascii="Times New Roman" w:eastAsia="Times New Roman" w:hAnsi="Times New Roman" w:cs="Times New Roman"/>
          <w:lang w:val="es-AR" w:bidi="es-ES"/>
        </w:rPr>
        <w:t xml:space="preserve"> (lo que representa la suma de </w:t>
      </w:r>
      <w:r w:rsidR="00F43580" w:rsidRPr="00F43580">
        <w:rPr>
          <w:rFonts w:ascii="Times New Roman" w:eastAsia="Times New Roman" w:hAnsi="Times New Roman" w:cs="Times New Roman"/>
          <w:lang w:val="es-AR" w:bidi="es-ES"/>
        </w:rPr>
        <w:t>US$</w:t>
      </w:r>
      <w:r w:rsidR="00F43580">
        <w:rPr>
          <w:rFonts w:ascii="Times New Roman" w:eastAsia="Times New Roman" w:hAnsi="Times New Roman" w:cs="Times New Roman"/>
          <w:lang w:val="es-AR" w:bidi="es-ES"/>
        </w:rPr>
        <w:t xml:space="preserve"> </w:t>
      </w:r>
      <w:r w:rsidR="00F43580" w:rsidRPr="00F43580">
        <w:rPr>
          <w:rFonts w:ascii="Times New Roman" w:eastAsia="Times New Roman" w:hAnsi="Times New Roman" w:cs="Times New Roman"/>
          <w:lang w:val="es-AR" w:bidi="es-ES"/>
        </w:rPr>
        <w:t>2.121.064,23</w:t>
      </w:r>
      <w:r w:rsidR="00F43580">
        <w:rPr>
          <w:rFonts w:ascii="Times New Roman" w:eastAsia="Times New Roman" w:hAnsi="Times New Roman" w:cs="Times New Roman"/>
          <w:lang w:val="es-AR" w:bidi="es-ES"/>
        </w:rPr>
        <w:t>)</w:t>
      </w:r>
      <w:r w:rsidRPr="00C54836">
        <w:rPr>
          <w:rFonts w:ascii="Times New Roman" w:eastAsia="Times New Roman" w:hAnsi="Times New Roman" w:cs="Times New Roman"/>
          <w:lang w:val="es-AR" w:bidi="es-ES"/>
        </w:rPr>
        <w:t xml:space="preserve">, </w:t>
      </w:r>
      <w:r w:rsidR="00D01FB4">
        <w:rPr>
          <w:rFonts w:ascii="Times New Roman" w:eastAsia="Times New Roman" w:hAnsi="Times New Roman" w:cs="Times New Roman"/>
          <w:lang w:val="es-AR" w:bidi="es-ES"/>
        </w:rPr>
        <w:t>al cual se aplicará</w:t>
      </w:r>
      <w:r w:rsidR="00E560D0" w:rsidRPr="00C54836">
        <w:rPr>
          <w:rFonts w:ascii="Times New Roman" w:eastAsia="Times New Roman" w:hAnsi="Times New Roman" w:cs="Times New Roman"/>
          <w:lang w:val="es-AR" w:bidi="es-ES"/>
        </w:rPr>
        <w:t xml:space="preserve"> una quita del 20</w:t>
      </w:r>
      <w:r w:rsidR="004711F9">
        <w:rPr>
          <w:rFonts w:ascii="Times New Roman" w:eastAsia="Times New Roman" w:hAnsi="Times New Roman" w:cs="Times New Roman"/>
          <w:lang w:val="es-AR" w:bidi="es-ES"/>
        </w:rPr>
        <w:t>,00</w:t>
      </w:r>
      <w:r w:rsidR="009A06AE">
        <w:rPr>
          <w:rFonts w:ascii="Times New Roman" w:eastAsia="Times New Roman" w:hAnsi="Times New Roman" w:cs="Times New Roman"/>
          <w:lang w:val="es-AR" w:bidi="es-ES"/>
        </w:rPr>
        <w:t xml:space="preserve">%, </w:t>
      </w:r>
      <w:r w:rsidR="00D9449C">
        <w:rPr>
          <w:rFonts w:ascii="Times New Roman" w:eastAsia="Times New Roman" w:hAnsi="Times New Roman" w:cs="Times New Roman"/>
          <w:lang w:val="es-AR" w:bidi="es-ES"/>
        </w:rPr>
        <w:t>totalizando</w:t>
      </w:r>
      <w:r w:rsidR="00F43580">
        <w:rPr>
          <w:rFonts w:ascii="Times New Roman" w:eastAsia="Times New Roman" w:hAnsi="Times New Roman" w:cs="Times New Roman"/>
          <w:lang w:val="es-AR" w:bidi="es-ES"/>
        </w:rPr>
        <w:t xml:space="preserve"> la suma </w:t>
      </w:r>
      <w:r w:rsidR="009A06AE">
        <w:rPr>
          <w:rFonts w:ascii="Times New Roman" w:eastAsia="Times New Roman" w:hAnsi="Times New Roman" w:cs="Times New Roman"/>
          <w:lang w:val="es-AR" w:bidi="es-ES"/>
        </w:rPr>
        <w:t xml:space="preserve">total </w:t>
      </w:r>
      <w:r w:rsidR="00F43580">
        <w:rPr>
          <w:rFonts w:ascii="Times New Roman" w:eastAsia="Times New Roman" w:hAnsi="Times New Roman" w:cs="Times New Roman"/>
          <w:lang w:val="es-AR" w:bidi="es-ES"/>
        </w:rPr>
        <w:t xml:space="preserve">de </w:t>
      </w:r>
      <w:r w:rsidR="00F43580" w:rsidRPr="00F43580">
        <w:rPr>
          <w:rFonts w:ascii="Times New Roman" w:eastAsia="Times New Roman" w:hAnsi="Times New Roman" w:cs="Times New Roman"/>
          <w:lang w:val="es-AR" w:bidi="es-ES"/>
        </w:rPr>
        <w:t>US$</w:t>
      </w:r>
      <w:r w:rsidR="00F43580">
        <w:rPr>
          <w:rFonts w:ascii="Times New Roman" w:eastAsia="Times New Roman" w:hAnsi="Times New Roman" w:cs="Times New Roman"/>
          <w:lang w:val="es-AR" w:bidi="es-ES"/>
        </w:rPr>
        <w:t xml:space="preserve"> </w:t>
      </w:r>
      <w:r w:rsidR="00F43580" w:rsidRPr="00F43580">
        <w:rPr>
          <w:rFonts w:ascii="Times New Roman" w:eastAsia="Times New Roman" w:hAnsi="Times New Roman" w:cs="Times New Roman"/>
          <w:lang w:val="es-AR" w:bidi="es-ES"/>
        </w:rPr>
        <w:t>1.696.851,38</w:t>
      </w:r>
      <w:r w:rsidR="00191BF4" w:rsidRPr="00C54836">
        <w:rPr>
          <w:rFonts w:ascii="Times New Roman" w:eastAsia="Times New Roman" w:hAnsi="Times New Roman" w:cs="Times New Roman"/>
          <w:lang w:val="es-AR" w:bidi="es-ES"/>
        </w:rPr>
        <w:t xml:space="preserve">; </w:t>
      </w:r>
    </w:p>
    <w:p w14:paraId="7420A84F" w14:textId="77777777" w:rsidR="00191BF4" w:rsidRPr="00F43580" w:rsidRDefault="00191BF4" w:rsidP="00200738">
      <w:pPr>
        <w:pStyle w:val="Prrafodelista"/>
        <w:ind w:left="0" w:hanging="2"/>
        <w:rPr>
          <w:rFonts w:ascii="Times New Roman" w:eastAsia="Times New Roman" w:hAnsi="Times New Roman" w:cs="Times New Roman"/>
          <w:lang w:val="es-AR" w:bidi="es-ES"/>
        </w:rPr>
      </w:pPr>
    </w:p>
    <w:p w14:paraId="7EAC8886" w14:textId="6DDB9FF8" w:rsidR="00191BF4" w:rsidRPr="00EF6EEA" w:rsidRDefault="00BF5190" w:rsidP="00BD5E05">
      <w:pPr>
        <w:pStyle w:val="Prrafodelista"/>
        <w:spacing w:after="0" w:line="240" w:lineRule="auto"/>
        <w:ind w:leftChars="0" w:left="1276" w:firstLineChars="0" w:hanging="11"/>
        <w:jc w:val="both"/>
        <w:rPr>
          <w:rFonts w:ascii="Times New Roman" w:hAnsi="Times New Roman" w:cs="Times New Roman"/>
          <w:lang w:val="es-AR" w:bidi="es-ES"/>
        </w:rPr>
      </w:pPr>
      <w:r w:rsidRPr="00BF5190">
        <w:rPr>
          <w:rFonts w:ascii="Times New Roman" w:hAnsi="Times New Roman" w:cs="Times New Roman"/>
        </w:rPr>
        <w:lastRenderedPageBreak/>
        <w:t xml:space="preserve"> </w:t>
      </w:r>
      <w:r>
        <w:rPr>
          <w:rFonts w:ascii="Times New Roman" w:hAnsi="Times New Roman" w:cs="Times New Roman"/>
        </w:rPr>
        <w:t xml:space="preserve">(ii) </w:t>
      </w:r>
      <w:r w:rsidR="00A94011">
        <w:rPr>
          <w:rFonts w:ascii="Times New Roman" w:hAnsi="Times New Roman" w:cs="Times New Roman"/>
        </w:rPr>
        <w:t>e</w:t>
      </w:r>
      <w:r>
        <w:rPr>
          <w:rFonts w:ascii="Times New Roman" w:hAnsi="Times New Roman" w:cs="Times New Roman"/>
        </w:rPr>
        <w:t>n cada una de las siguientes fechas: 11 de mayo de 2023, 11 de agosto de 2023, 11 de noviembre de 2023 y 11 de febrero de 2024, la Sociedad abonará un</w:t>
      </w:r>
      <w:r w:rsidR="00E015F4">
        <w:rPr>
          <w:rFonts w:ascii="Times New Roman" w:hAnsi="Times New Roman" w:cs="Times New Roman"/>
        </w:rPr>
        <w:t>a</w:t>
      </w:r>
      <w:r>
        <w:rPr>
          <w:rFonts w:ascii="Times New Roman" w:hAnsi="Times New Roman" w:cs="Times New Roman"/>
        </w:rPr>
        <w:t xml:space="preserve"> cuota de capital por hasta el 6</w:t>
      </w:r>
      <w:r w:rsidR="004711F9">
        <w:rPr>
          <w:rFonts w:ascii="Times New Roman" w:hAnsi="Times New Roman" w:cs="Times New Roman"/>
        </w:rPr>
        <w:t>,00</w:t>
      </w:r>
      <w:r>
        <w:rPr>
          <w:rFonts w:ascii="Times New Roman" w:hAnsi="Times New Roman" w:cs="Times New Roman"/>
        </w:rPr>
        <w:t>%</w:t>
      </w:r>
      <w:r w:rsidR="004711F9">
        <w:rPr>
          <w:rFonts w:ascii="Times New Roman" w:hAnsi="Times New Roman" w:cs="Times New Roman"/>
        </w:rPr>
        <w:t xml:space="preserve"> </w:t>
      </w:r>
      <w:r w:rsidR="004711F9" w:rsidRPr="00AC0F43">
        <w:rPr>
          <w:rFonts w:ascii="Times New Roman" w:eastAsia="Times New Roman" w:hAnsi="Times New Roman" w:cs="Times New Roman"/>
          <w:lang w:bidi="es-ES"/>
        </w:rPr>
        <w:t>del capital en circulación de las Obligaciones Negociables</w:t>
      </w:r>
      <w:r>
        <w:rPr>
          <w:rFonts w:ascii="Times New Roman" w:hAnsi="Times New Roman" w:cs="Times New Roman"/>
        </w:rPr>
        <w:t xml:space="preserve"> (considerando </w:t>
      </w:r>
      <w:r w:rsidR="00A94011">
        <w:rPr>
          <w:rFonts w:ascii="Times New Roman" w:hAnsi="Times New Roman" w:cs="Times New Roman"/>
        </w:rPr>
        <w:t xml:space="preserve">el </w:t>
      </w:r>
      <w:r>
        <w:rPr>
          <w:rFonts w:ascii="Times New Roman" w:hAnsi="Times New Roman" w:cs="Times New Roman"/>
        </w:rPr>
        <w:t>capital adeudado al 11 de Agosto de 2022 y previo a la cancelación del 10% mencionado en el punto (i) anterior, cuyo monto es US$ 21.210.642,28) en caso que ocurra un Ingreso de Caja MPN (cada una de estas fechas, una “</w:t>
      </w:r>
      <w:r>
        <w:rPr>
          <w:rFonts w:ascii="Times New Roman" w:hAnsi="Times New Roman" w:cs="Times New Roman"/>
          <w:u w:val="single"/>
        </w:rPr>
        <w:t>Fecha de Amortización por Ingreso de Caja MPN</w:t>
      </w:r>
      <w:r>
        <w:rPr>
          <w:rFonts w:ascii="Times New Roman" w:hAnsi="Times New Roman" w:cs="Times New Roman"/>
        </w:rPr>
        <w:t>”, y cada una de esas cuotas de capital, una “</w:t>
      </w:r>
      <w:r>
        <w:rPr>
          <w:rFonts w:ascii="Times New Roman" w:hAnsi="Times New Roman" w:cs="Times New Roman"/>
          <w:u w:val="single"/>
        </w:rPr>
        <w:t>Cuota de Amortización por Ingreso de Caja MPN</w:t>
      </w:r>
      <w:r>
        <w:rPr>
          <w:rFonts w:ascii="Times New Roman" w:hAnsi="Times New Roman" w:cs="Times New Roman"/>
        </w:rPr>
        <w:t>”)</w:t>
      </w:r>
      <w:r w:rsidR="002019FA" w:rsidRPr="00D3494C">
        <w:rPr>
          <w:rFonts w:ascii="Times New Roman" w:eastAsia="Times New Roman" w:hAnsi="Times New Roman" w:cs="Times New Roman"/>
          <w:lang w:val="es-AR" w:bidi="es-ES"/>
        </w:rPr>
        <w:t>.</w:t>
      </w:r>
      <w:r w:rsidR="007A22AA" w:rsidRPr="005B76C0">
        <w:rPr>
          <w:rFonts w:ascii="Times New Roman" w:eastAsia="Times New Roman" w:hAnsi="Times New Roman" w:cs="Times New Roman"/>
          <w:lang w:val="es-AR" w:bidi="es-ES"/>
        </w:rPr>
        <w:t xml:space="preserve"> </w:t>
      </w:r>
      <w:r w:rsidR="007A22AA" w:rsidRPr="005B76C0">
        <w:rPr>
          <w:rFonts w:ascii="Times New Roman" w:eastAsia="Times New Roman" w:hAnsi="Times New Roman" w:cs="Times New Roman"/>
          <w:lang w:bidi="es-ES"/>
        </w:rPr>
        <w:t xml:space="preserve">Queda expresamente acordado que (a) en cada Fecha de Amortización por </w:t>
      </w:r>
      <w:r w:rsidR="00625B49">
        <w:rPr>
          <w:rFonts w:ascii="Times New Roman" w:eastAsia="Times New Roman" w:hAnsi="Times New Roman" w:cs="Times New Roman"/>
          <w:lang w:bidi="es-ES"/>
        </w:rPr>
        <w:t>Ingreso de Caja MPN</w:t>
      </w:r>
      <w:r w:rsidR="007A22AA" w:rsidRPr="005B76C0">
        <w:rPr>
          <w:rFonts w:ascii="Times New Roman" w:eastAsia="Times New Roman" w:hAnsi="Times New Roman" w:cs="Times New Roman"/>
          <w:lang w:bidi="es-ES"/>
        </w:rPr>
        <w:t xml:space="preserve">, la Cuota de Amortización por </w:t>
      </w:r>
      <w:r w:rsidR="00625B49">
        <w:rPr>
          <w:rFonts w:ascii="Times New Roman" w:eastAsia="Times New Roman" w:hAnsi="Times New Roman" w:cs="Times New Roman"/>
          <w:lang w:bidi="es-ES"/>
        </w:rPr>
        <w:t>Ingreso de Caja MPN</w:t>
      </w:r>
      <w:r w:rsidR="00061A4B">
        <w:rPr>
          <w:rFonts w:ascii="Times New Roman" w:eastAsia="Times New Roman" w:hAnsi="Times New Roman" w:cs="Times New Roman"/>
          <w:lang w:bidi="es-ES"/>
        </w:rPr>
        <w:t>,</w:t>
      </w:r>
      <w:r w:rsidR="00061A4B" w:rsidRPr="00061A4B">
        <w:rPr>
          <w:rFonts w:ascii="Times New Roman" w:eastAsia="Times New Roman" w:hAnsi="Times New Roman" w:cs="Times New Roman"/>
          <w:lang w:bidi="es-ES"/>
        </w:rPr>
        <w:t xml:space="preserve"> </w:t>
      </w:r>
      <w:r w:rsidR="00061A4B">
        <w:rPr>
          <w:rFonts w:ascii="Times New Roman" w:eastAsia="Times New Roman" w:hAnsi="Times New Roman" w:cs="Times New Roman"/>
          <w:lang w:bidi="es-ES"/>
        </w:rPr>
        <w:t>que no podrá ser superior al 6,00% del capital en circulación de las Obligaciones Negociables</w:t>
      </w:r>
      <w:r w:rsidR="00E200E3">
        <w:rPr>
          <w:rFonts w:ascii="Times New Roman" w:eastAsia="Times New Roman" w:hAnsi="Times New Roman" w:cs="Times New Roman"/>
          <w:lang w:bidi="es-ES"/>
        </w:rPr>
        <w:t xml:space="preserve"> (en adelante “</w:t>
      </w:r>
      <w:r w:rsidR="00E200E3" w:rsidRPr="00BC512D">
        <w:rPr>
          <w:rFonts w:ascii="Times New Roman" w:eastAsia="Times New Roman" w:hAnsi="Times New Roman" w:cs="Times New Roman"/>
          <w:u w:val="single"/>
          <w:lang w:bidi="es-ES"/>
        </w:rPr>
        <w:t>El Porcentaje Máximo</w:t>
      </w:r>
      <w:r w:rsidR="00E200E3">
        <w:rPr>
          <w:rFonts w:ascii="Times New Roman" w:eastAsia="Times New Roman" w:hAnsi="Times New Roman" w:cs="Times New Roman"/>
          <w:lang w:bidi="es-ES"/>
        </w:rPr>
        <w:t xml:space="preserve">”), salvo que en </w:t>
      </w:r>
      <w:r w:rsidR="007A745E">
        <w:rPr>
          <w:rFonts w:ascii="Times New Roman" w:eastAsia="Times New Roman" w:hAnsi="Times New Roman" w:cs="Times New Roman"/>
          <w:lang w:bidi="es-ES"/>
        </w:rPr>
        <w:t xml:space="preserve">las </w:t>
      </w:r>
      <w:r w:rsidR="00E200E3">
        <w:rPr>
          <w:rFonts w:ascii="Times New Roman" w:eastAsia="Times New Roman" w:hAnsi="Times New Roman" w:cs="Times New Roman"/>
          <w:lang w:bidi="es-ES"/>
        </w:rPr>
        <w:t xml:space="preserve">Fechas de Amortización vencidas con anterioridad a la Fecha de Amortización </w:t>
      </w:r>
      <w:r w:rsidR="007A745E">
        <w:rPr>
          <w:rFonts w:ascii="Times New Roman" w:eastAsia="Times New Roman" w:hAnsi="Times New Roman" w:cs="Times New Roman"/>
          <w:lang w:bidi="es-ES"/>
        </w:rPr>
        <w:t xml:space="preserve">por Ingreso de Caja MPN </w:t>
      </w:r>
      <w:r w:rsidR="00E200E3">
        <w:rPr>
          <w:rFonts w:ascii="Times New Roman" w:eastAsia="Times New Roman" w:hAnsi="Times New Roman" w:cs="Times New Roman"/>
          <w:lang w:bidi="es-ES"/>
        </w:rPr>
        <w:t>relevante El Porcentaje Máximo no hubiese sido efectivamente pagado</w:t>
      </w:r>
      <w:r w:rsidR="00061A4B">
        <w:rPr>
          <w:rFonts w:ascii="Times New Roman" w:eastAsia="Times New Roman" w:hAnsi="Times New Roman" w:cs="Times New Roman"/>
          <w:lang w:bidi="es-ES"/>
        </w:rPr>
        <w:t>,</w:t>
      </w:r>
      <w:r w:rsidR="007A22AA" w:rsidRPr="005B76C0">
        <w:rPr>
          <w:rFonts w:ascii="Times New Roman" w:eastAsia="Times New Roman" w:hAnsi="Times New Roman" w:cs="Times New Roman"/>
          <w:lang w:bidi="es-ES"/>
        </w:rPr>
        <w:t xml:space="preserve"> será igual al menor monto que se registre entre (i) el porcentaje máximo de capital establecido para esa Fecha de Amortización por </w:t>
      </w:r>
      <w:r w:rsidR="00625B49">
        <w:rPr>
          <w:rFonts w:ascii="Times New Roman" w:eastAsia="Times New Roman" w:hAnsi="Times New Roman" w:cs="Times New Roman"/>
          <w:lang w:bidi="es-ES"/>
        </w:rPr>
        <w:t>Ingreso de Caja MPN</w:t>
      </w:r>
      <w:r w:rsidR="007A22AA" w:rsidRPr="005B76C0">
        <w:rPr>
          <w:rFonts w:ascii="Times New Roman" w:eastAsia="Times New Roman" w:hAnsi="Times New Roman" w:cs="Times New Roman"/>
          <w:lang w:bidi="es-ES"/>
        </w:rPr>
        <w:t xml:space="preserve">; y (ii) los Fondos MPN (conforme dicho término se define más adelante) en poder del Fideicomiso MPN el quinto Día Hábil anterior a esa Fecha de Amortización por </w:t>
      </w:r>
      <w:r w:rsidR="00625B49">
        <w:rPr>
          <w:rFonts w:ascii="Times New Roman" w:eastAsia="Times New Roman" w:hAnsi="Times New Roman" w:cs="Times New Roman"/>
          <w:lang w:bidi="es-ES"/>
        </w:rPr>
        <w:t>Ingreso de Caja MPN</w:t>
      </w:r>
      <w:r w:rsidR="007A22AA" w:rsidRPr="005B76C0">
        <w:rPr>
          <w:rFonts w:ascii="Times New Roman" w:eastAsia="Times New Roman" w:hAnsi="Times New Roman" w:cs="Times New Roman"/>
          <w:lang w:bidi="es-ES"/>
        </w:rPr>
        <w:t>; y (b) en caso que no existieran Fondos MPN en poder del Fideicomiso MPN en la fecha referida anteriorment</w:t>
      </w:r>
      <w:r w:rsidR="007A22AA" w:rsidRPr="00092991">
        <w:rPr>
          <w:rFonts w:ascii="Times New Roman" w:eastAsia="Times New Roman" w:hAnsi="Times New Roman" w:cs="Times New Roman"/>
          <w:lang w:bidi="es-ES"/>
        </w:rPr>
        <w:t xml:space="preserve">e, la Cuota de Amortización por </w:t>
      </w:r>
      <w:r w:rsidR="00625B49">
        <w:rPr>
          <w:rFonts w:ascii="Times New Roman" w:eastAsia="Times New Roman" w:hAnsi="Times New Roman" w:cs="Times New Roman"/>
          <w:lang w:bidi="es-ES"/>
        </w:rPr>
        <w:t>Ingreso de Caja MPN</w:t>
      </w:r>
      <w:r w:rsidR="007A22AA" w:rsidRPr="00092991">
        <w:rPr>
          <w:rFonts w:ascii="Times New Roman" w:eastAsia="Times New Roman" w:hAnsi="Times New Roman" w:cs="Times New Roman"/>
          <w:lang w:bidi="es-ES"/>
        </w:rPr>
        <w:t xml:space="preserve"> de esa Fecha de Amortización por </w:t>
      </w:r>
      <w:r w:rsidR="00625B49">
        <w:rPr>
          <w:rFonts w:ascii="Times New Roman" w:eastAsia="Times New Roman" w:hAnsi="Times New Roman" w:cs="Times New Roman"/>
          <w:lang w:bidi="es-ES"/>
        </w:rPr>
        <w:t>Ingreso de Caja MPN</w:t>
      </w:r>
      <w:r w:rsidR="007A22AA" w:rsidRPr="00092991">
        <w:rPr>
          <w:rFonts w:ascii="Times New Roman" w:eastAsia="Times New Roman" w:hAnsi="Times New Roman" w:cs="Times New Roman"/>
          <w:lang w:bidi="es-ES"/>
        </w:rPr>
        <w:t xml:space="preserve"> será igual a US$ 0</w:t>
      </w:r>
      <w:r w:rsidR="00B068AC">
        <w:rPr>
          <w:rFonts w:ascii="Times New Roman" w:eastAsia="Times New Roman" w:hAnsi="Times New Roman" w:cs="Times New Roman"/>
          <w:lang w:bidi="es-ES"/>
        </w:rPr>
        <w:t>,00</w:t>
      </w:r>
      <w:r w:rsidR="009F0E93">
        <w:rPr>
          <w:rFonts w:ascii="Times New Roman" w:eastAsia="Times New Roman" w:hAnsi="Times New Roman" w:cs="Times New Roman"/>
          <w:lang w:bidi="es-ES"/>
        </w:rPr>
        <w:t xml:space="preserve"> (cero)</w:t>
      </w:r>
      <w:r w:rsidR="00E200E3">
        <w:rPr>
          <w:rFonts w:ascii="Times New Roman" w:hAnsi="Times New Roman" w:cs="Times New Roman"/>
          <w:lang w:bidi="es-ES"/>
        </w:rPr>
        <w:t>. En caso que</w:t>
      </w:r>
      <w:r w:rsidR="007A745E">
        <w:rPr>
          <w:rFonts w:ascii="Times New Roman" w:hAnsi="Times New Roman" w:cs="Times New Roman"/>
          <w:lang w:bidi="es-ES"/>
        </w:rPr>
        <w:t>,</w:t>
      </w:r>
      <w:r w:rsidR="00E200E3">
        <w:rPr>
          <w:rFonts w:ascii="Times New Roman" w:hAnsi="Times New Roman" w:cs="Times New Roman"/>
          <w:lang w:bidi="es-ES"/>
        </w:rPr>
        <w:t xml:space="preserve"> en una o más Fecha</w:t>
      </w:r>
      <w:r w:rsidR="007A745E">
        <w:rPr>
          <w:rFonts w:ascii="Times New Roman" w:hAnsi="Times New Roman" w:cs="Times New Roman"/>
          <w:lang w:bidi="es-ES"/>
        </w:rPr>
        <w:t>s</w:t>
      </w:r>
      <w:r w:rsidR="00E200E3">
        <w:rPr>
          <w:rFonts w:ascii="Times New Roman" w:hAnsi="Times New Roman" w:cs="Times New Roman"/>
          <w:lang w:bidi="es-ES"/>
        </w:rPr>
        <w:t xml:space="preserve"> de Amortización </w:t>
      </w:r>
      <w:r w:rsidR="007A745E">
        <w:rPr>
          <w:rFonts w:ascii="Times New Roman" w:hAnsi="Times New Roman" w:cs="Times New Roman"/>
          <w:lang w:bidi="es-ES"/>
        </w:rPr>
        <w:t xml:space="preserve">por Ingreso de Caja MPN </w:t>
      </w:r>
      <w:r w:rsidR="00E200E3">
        <w:rPr>
          <w:rFonts w:ascii="Times New Roman" w:hAnsi="Times New Roman" w:cs="Times New Roman"/>
          <w:lang w:bidi="es-ES"/>
        </w:rPr>
        <w:t>El Porcentaje Máximo no hubiese sido pagado, l</w:t>
      </w:r>
      <w:r w:rsidR="007A745E">
        <w:rPr>
          <w:rFonts w:ascii="Times New Roman" w:hAnsi="Times New Roman" w:cs="Times New Roman"/>
          <w:lang w:bidi="es-ES"/>
        </w:rPr>
        <w:t>a</w:t>
      </w:r>
      <w:r w:rsidR="00E200E3">
        <w:rPr>
          <w:rFonts w:ascii="Times New Roman" w:hAnsi="Times New Roman" w:cs="Times New Roman"/>
          <w:lang w:bidi="es-ES"/>
        </w:rPr>
        <w:t xml:space="preserve"> diferencia en menos será</w:t>
      </w:r>
      <w:r w:rsidR="001E1A19">
        <w:rPr>
          <w:rFonts w:ascii="Times New Roman" w:hAnsi="Times New Roman" w:cs="Times New Roman"/>
          <w:lang w:bidi="es-ES"/>
        </w:rPr>
        <w:t>, en la medida en que la normativa cambiaria lo permita,</w:t>
      </w:r>
      <w:r w:rsidR="00E200E3">
        <w:rPr>
          <w:rFonts w:ascii="Times New Roman" w:hAnsi="Times New Roman" w:cs="Times New Roman"/>
          <w:lang w:bidi="es-ES"/>
        </w:rPr>
        <w:t xml:space="preserve"> acumulable a las Fechas de Amortización </w:t>
      </w:r>
      <w:r w:rsidR="007A745E">
        <w:rPr>
          <w:rFonts w:ascii="Times New Roman" w:hAnsi="Times New Roman" w:cs="Times New Roman"/>
          <w:lang w:bidi="es-ES"/>
        </w:rPr>
        <w:t xml:space="preserve">por Ingreso de Caja MPN </w:t>
      </w:r>
      <w:r w:rsidR="00E200E3">
        <w:rPr>
          <w:rFonts w:ascii="Times New Roman" w:hAnsi="Times New Roman" w:cs="Times New Roman"/>
          <w:lang w:bidi="es-ES"/>
        </w:rPr>
        <w:t xml:space="preserve">siguientes y tomado para cada una de esas Fechas de Amortización </w:t>
      </w:r>
      <w:r w:rsidR="007A745E">
        <w:rPr>
          <w:rFonts w:ascii="Times New Roman" w:hAnsi="Times New Roman" w:cs="Times New Roman"/>
          <w:lang w:bidi="es-ES"/>
        </w:rPr>
        <w:t xml:space="preserve">por Ingreso de Caja MPN </w:t>
      </w:r>
      <w:r w:rsidR="00E200E3">
        <w:rPr>
          <w:rFonts w:ascii="Times New Roman" w:hAnsi="Times New Roman" w:cs="Times New Roman"/>
          <w:lang w:bidi="es-ES"/>
        </w:rPr>
        <w:t>como porcentaje máximo de capital establecido para esa Fecha de Amortización</w:t>
      </w:r>
      <w:r w:rsidR="007A745E">
        <w:rPr>
          <w:rFonts w:ascii="Times New Roman" w:hAnsi="Times New Roman" w:cs="Times New Roman"/>
          <w:lang w:bidi="es-ES"/>
        </w:rPr>
        <w:t xml:space="preserve"> por Ingreso de Caja MPN </w:t>
      </w:r>
      <w:r w:rsidR="00E200E3">
        <w:rPr>
          <w:rFonts w:ascii="Times New Roman" w:hAnsi="Times New Roman" w:cs="Times New Roman"/>
          <w:lang w:bidi="es-ES"/>
        </w:rPr>
        <w:t xml:space="preserve"> el originalmente previsto </w:t>
      </w:r>
      <w:r w:rsidR="007A745E">
        <w:rPr>
          <w:rFonts w:ascii="Times New Roman" w:hAnsi="Times New Roman" w:cs="Times New Roman"/>
          <w:lang w:bidi="es-ES"/>
        </w:rPr>
        <w:t>más</w:t>
      </w:r>
      <w:r w:rsidR="00E200E3">
        <w:rPr>
          <w:rFonts w:ascii="Times New Roman" w:hAnsi="Times New Roman" w:cs="Times New Roman"/>
          <w:lang w:bidi="es-ES"/>
        </w:rPr>
        <w:t xml:space="preserve"> la diferencia en menos acumulada, hasta su </w:t>
      </w:r>
      <w:r w:rsidR="007A745E">
        <w:rPr>
          <w:rFonts w:ascii="Times New Roman" w:hAnsi="Times New Roman" w:cs="Times New Roman"/>
          <w:lang w:bidi="es-ES"/>
        </w:rPr>
        <w:t>concurrencia.</w:t>
      </w:r>
    </w:p>
    <w:p w14:paraId="2B46703B" w14:textId="77777777" w:rsidR="00191BF4" w:rsidRPr="00214269" w:rsidRDefault="00191BF4" w:rsidP="00200738">
      <w:pPr>
        <w:pStyle w:val="Prrafodelista"/>
        <w:spacing w:after="0" w:line="240" w:lineRule="auto"/>
        <w:ind w:leftChars="0" w:left="1285" w:firstLineChars="0" w:firstLine="0"/>
        <w:jc w:val="both"/>
        <w:rPr>
          <w:rFonts w:ascii="Times New Roman" w:eastAsia="Times New Roman" w:hAnsi="Times New Roman" w:cs="Times New Roman"/>
          <w:lang w:val="es-AR" w:bidi="es-ES"/>
        </w:rPr>
      </w:pPr>
    </w:p>
    <w:p w14:paraId="30BBDFF6" w14:textId="26D2135C" w:rsidR="00191BF4" w:rsidRPr="00A359F0" w:rsidRDefault="00195F2C" w:rsidP="00200738">
      <w:pPr>
        <w:pStyle w:val="Prrafodelista"/>
        <w:spacing w:after="0" w:line="240" w:lineRule="auto"/>
        <w:ind w:leftChars="0" w:left="1285" w:firstLineChars="0" w:firstLine="0"/>
        <w:jc w:val="both"/>
        <w:rPr>
          <w:rFonts w:ascii="Times New Roman" w:eastAsia="Times New Roman" w:hAnsi="Times New Roman" w:cs="Times New Roman"/>
          <w:lang w:val="es-AR" w:bidi="es-ES"/>
        </w:rPr>
      </w:pPr>
      <w:r w:rsidRPr="007A4D3C">
        <w:rPr>
          <w:rFonts w:ascii="Times New Roman" w:eastAsia="Times New Roman" w:hAnsi="Times New Roman" w:cs="Times New Roman"/>
          <w:lang w:val="es-AR" w:bidi="es-ES"/>
        </w:rPr>
        <w:t>(i</w:t>
      </w:r>
      <w:r w:rsidR="00191BF4" w:rsidRPr="00A359F0">
        <w:rPr>
          <w:rFonts w:ascii="Times New Roman" w:eastAsia="Times New Roman" w:hAnsi="Times New Roman" w:cs="Times New Roman"/>
          <w:lang w:val="es-AR" w:bidi="es-ES"/>
        </w:rPr>
        <w:t>i</w:t>
      </w:r>
      <w:r w:rsidRPr="00A359F0">
        <w:rPr>
          <w:rFonts w:ascii="Times New Roman" w:eastAsia="Times New Roman" w:hAnsi="Times New Roman" w:cs="Times New Roman"/>
          <w:lang w:val="es-AR" w:bidi="es-ES"/>
        </w:rPr>
        <w:t>i) con fecha 11 de febrero de 2026, la Sociedad abonará el 24</w:t>
      </w:r>
      <w:r w:rsidR="00B068AC">
        <w:rPr>
          <w:rFonts w:ascii="Times New Roman" w:eastAsia="Times New Roman" w:hAnsi="Times New Roman" w:cs="Times New Roman"/>
          <w:lang w:val="es-AR" w:bidi="es-ES"/>
        </w:rPr>
        <w:t>,00</w:t>
      </w:r>
      <w:r w:rsidRPr="00A359F0">
        <w:rPr>
          <w:rFonts w:ascii="Times New Roman" w:eastAsia="Times New Roman" w:hAnsi="Times New Roman" w:cs="Times New Roman"/>
          <w:lang w:val="es-AR" w:bidi="es-ES"/>
        </w:rPr>
        <w:t xml:space="preserve">% del monto de capital adeudado </w:t>
      </w:r>
      <w:r w:rsidR="00EF6EEA">
        <w:rPr>
          <w:rFonts w:ascii="Times New Roman" w:eastAsia="Times New Roman" w:hAnsi="Times New Roman" w:cs="Times New Roman"/>
          <w:lang w:val="es-AR" w:bidi="es-ES"/>
        </w:rPr>
        <w:t>antes de la amortización del 10</w:t>
      </w:r>
      <w:r w:rsidR="00B068AC">
        <w:rPr>
          <w:rFonts w:ascii="Times New Roman" w:eastAsia="Times New Roman" w:hAnsi="Times New Roman" w:cs="Times New Roman"/>
          <w:lang w:val="es-AR" w:bidi="es-ES"/>
        </w:rPr>
        <w:t>,00</w:t>
      </w:r>
      <w:r w:rsidR="00EF6EEA">
        <w:rPr>
          <w:rFonts w:ascii="Times New Roman" w:eastAsia="Times New Roman" w:hAnsi="Times New Roman" w:cs="Times New Roman"/>
          <w:lang w:val="es-AR" w:bidi="es-ES"/>
        </w:rPr>
        <w:t>% mencionada en (i)</w:t>
      </w:r>
      <w:r w:rsidR="00191BF4" w:rsidRPr="00A359F0">
        <w:rPr>
          <w:rFonts w:ascii="Times New Roman" w:eastAsia="Times New Roman" w:hAnsi="Times New Roman" w:cs="Times New Roman"/>
          <w:lang w:val="es-AR" w:bidi="es-ES"/>
        </w:rPr>
        <w:t>;</w:t>
      </w:r>
      <w:r w:rsidRPr="00A359F0">
        <w:rPr>
          <w:rFonts w:ascii="Times New Roman" w:eastAsia="Times New Roman" w:hAnsi="Times New Roman" w:cs="Times New Roman"/>
          <w:lang w:val="es-AR" w:bidi="es-ES"/>
        </w:rPr>
        <w:t xml:space="preserve"> y </w:t>
      </w:r>
    </w:p>
    <w:p w14:paraId="0A81AB6F" w14:textId="77777777" w:rsidR="00EA3355" w:rsidRPr="00310976" w:rsidRDefault="00EA3355" w:rsidP="00200738">
      <w:pPr>
        <w:pStyle w:val="Prrafodelista"/>
        <w:spacing w:after="0" w:line="240" w:lineRule="auto"/>
        <w:ind w:leftChars="0" w:left="1285" w:firstLineChars="0" w:firstLine="0"/>
        <w:jc w:val="both"/>
        <w:rPr>
          <w:rFonts w:ascii="Times New Roman" w:eastAsia="Times New Roman" w:hAnsi="Times New Roman" w:cs="Times New Roman"/>
          <w:lang w:val="es-AR" w:bidi="es-ES"/>
        </w:rPr>
      </w:pPr>
    </w:p>
    <w:p w14:paraId="6B3C5B77" w14:textId="69BF5A70" w:rsidR="00912490" w:rsidRPr="00EB3FA3" w:rsidRDefault="00195F2C" w:rsidP="00200738">
      <w:pPr>
        <w:pStyle w:val="Prrafodelista"/>
        <w:spacing w:after="0" w:line="240" w:lineRule="auto"/>
        <w:ind w:leftChars="0" w:left="1285" w:firstLineChars="0" w:firstLine="0"/>
        <w:jc w:val="both"/>
        <w:rPr>
          <w:rFonts w:ascii="Times New Roman" w:eastAsia="Times New Roman" w:hAnsi="Times New Roman" w:cs="Times New Roman"/>
          <w:lang w:val="es-AR" w:bidi="es-ES"/>
        </w:rPr>
      </w:pPr>
      <w:r w:rsidRPr="00740007">
        <w:rPr>
          <w:rFonts w:ascii="Times New Roman" w:eastAsia="Times New Roman" w:hAnsi="Times New Roman" w:cs="Times New Roman"/>
          <w:lang w:val="es-AR" w:bidi="es-ES"/>
        </w:rPr>
        <w:t>(i</w:t>
      </w:r>
      <w:r w:rsidR="00C4475B" w:rsidRPr="00740007">
        <w:rPr>
          <w:rFonts w:ascii="Times New Roman" w:eastAsia="Times New Roman" w:hAnsi="Times New Roman" w:cs="Times New Roman"/>
          <w:lang w:val="es-AR" w:bidi="es-ES"/>
        </w:rPr>
        <w:t>v</w:t>
      </w:r>
      <w:r w:rsidRPr="00F66991">
        <w:rPr>
          <w:rFonts w:ascii="Times New Roman" w:eastAsia="Times New Roman" w:hAnsi="Times New Roman" w:cs="Times New Roman"/>
          <w:lang w:val="es-AR" w:bidi="es-ES"/>
        </w:rPr>
        <w:t>) en la Fecha de Vencimiento</w:t>
      </w:r>
      <w:r w:rsidR="00D97578">
        <w:rPr>
          <w:rFonts w:ascii="Times New Roman" w:eastAsia="Times New Roman" w:hAnsi="Times New Roman" w:cs="Times New Roman"/>
          <w:lang w:val="es-AR" w:bidi="es-ES"/>
        </w:rPr>
        <w:t xml:space="preserve"> </w:t>
      </w:r>
      <w:r w:rsidR="00D97578" w:rsidRPr="00C14A55">
        <w:rPr>
          <w:rFonts w:ascii="Times New Roman" w:eastAsia="Times New Roman" w:hAnsi="Times New Roman" w:cs="Times New Roman"/>
          <w:lang w:bidi="es-ES"/>
        </w:rPr>
        <w:t xml:space="preserve">en los </w:t>
      </w:r>
      <w:r w:rsidR="00D97578" w:rsidRPr="00C14A55">
        <w:rPr>
          <w:rFonts w:ascii="Times New Roman" w:eastAsia="Times New Roman" w:hAnsi="Times New Roman" w:cs="Times New Roman"/>
          <w:lang w:val="es-MX" w:bidi="es-ES"/>
        </w:rPr>
        <w:t xml:space="preserve">T&amp;C </w:t>
      </w:r>
      <w:r w:rsidR="00D97578" w:rsidRPr="00C14A55">
        <w:rPr>
          <w:rFonts w:ascii="Times New Roman" w:eastAsia="Times New Roman" w:hAnsi="Times New Roman" w:cs="Times New Roman"/>
          <w:lang w:bidi="es-ES"/>
        </w:rPr>
        <w:t xml:space="preserve">Aplicables en Caso de Acuerdo con </w:t>
      </w:r>
      <w:proofErr w:type="spellStart"/>
      <w:r w:rsidR="00D97578" w:rsidRPr="00C14A55">
        <w:rPr>
          <w:rFonts w:ascii="Times New Roman" w:eastAsia="Times New Roman" w:hAnsi="Times New Roman" w:cs="Times New Roman"/>
          <w:lang w:bidi="es-ES"/>
        </w:rPr>
        <w:t>Itaú</w:t>
      </w:r>
      <w:proofErr w:type="spellEnd"/>
      <w:r w:rsidR="00D97578" w:rsidRPr="00C14A55">
        <w:rPr>
          <w:rFonts w:ascii="Times New Roman" w:eastAsia="Times New Roman" w:hAnsi="Times New Roman" w:cs="Times New Roman"/>
          <w:lang w:bidi="es-ES"/>
        </w:rPr>
        <w:t xml:space="preserve"> sobre la Participación en Catalinas</w:t>
      </w:r>
      <w:r w:rsidRPr="00F66991">
        <w:rPr>
          <w:rFonts w:ascii="Times New Roman" w:eastAsia="Times New Roman" w:hAnsi="Times New Roman" w:cs="Times New Roman"/>
          <w:lang w:val="es-AR" w:bidi="es-ES"/>
        </w:rPr>
        <w:t>, la Sociedad abonará el saldo de capital remanente</w:t>
      </w:r>
    </w:p>
    <w:p w14:paraId="2D92DE51" w14:textId="77777777" w:rsidR="00912490" w:rsidRPr="0055089D" w:rsidRDefault="00912490" w:rsidP="00200738">
      <w:pPr>
        <w:pStyle w:val="Prrafodelista"/>
        <w:spacing w:after="0" w:line="240" w:lineRule="auto"/>
        <w:ind w:leftChars="0" w:left="1285" w:firstLineChars="0" w:firstLine="0"/>
        <w:jc w:val="both"/>
        <w:rPr>
          <w:rFonts w:ascii="Times New Roman" w:eastAsia="Times New Roman" w:hAnsi="Times New Roman" w:cs="Times New Roman"/>
          <w:lang w:val="es-AR" w:bidi="es-ES"/>
        </w:rPr>
      </w:pPr>
    </w:p>
    <w:p w14:paraId="44362DF9" w14:textId="1D94D433" w:rsidR="00195F2C" w:rsidRPr="00C54836" w:rsidRDefault="00B068AC" w:rsidP="00200738">
      <w:pPr>
        <w:pStyle w:val="Prrafodelista"/>
        <w:spacing w:after="0" w:line="240" w:lineRule="auto"/>
        <w:ind w:leftChars="0" w:left="1285" w:firstLineChars="0" w:firstLine="0"/>
        <w:jc w:val="both"/>
        <w:rPr>
          <w:rFonts w:ascii="Times New Roman" w:eastAsia="Times New Roman" w:hAnsi="Times New Roman" w:cs="Times New Roman"/>
          <w:lang w:val="es-AR" w:bidi="es-ES"/>
        </w:rPr>
      </w:pPr>
      <w:r>
        <w:rPr>
          <w:rFonts w:ascii="Times New Roman" w:eastAsia="Times New Roman" w:hAnsi="Times New Roman" w:cs="Times New Roman"/>
          <w:lang w:val="es-AR" w:bidi="es-ES"/>
        </w:rPr>
        <w:t>E</w:t>
      </w:r>
      <w:r w:rsidRPr="00C54836">
        <w:rPr>
          <w:rFonts w:ascii="Times New Roman" w:eastAsia="Times New Roman" w:hAnsi="Times New Roman" w:cs="Times New Roman"/>
          <w:lang w:val="es-AR" w:bidi="es-ES"/>
        </w:rPr>
        <w:t>n relación a cada fecha de pago de amortización de capital</w:t>
      </w:r>
      <w:r>
        <w:rPr>
          <w:rFonts w:ascii="Times New Roman" w:eastAsia="Times New Roman" w:hAnsi="Times New Roman" w:cs="Times New Roman"/>
          <w:lang w:val="es-AR" w:bidi="es-ES"/>
        </w:rPr>
        <w:t xml:space="preserve"> de las Obligaciones Negociables</w:t>
      </w:r>
      <w:r w:rsidR="0030475A" w:rsidRPr="00626DBF">
        <w:rPr>
          <w:rFonts w:ascii="Times New Roman" w:eastAsia="Times New Roman" w:hAnsi="Times New Roman" w:cs="Times New Roman"/>
          <w:lang w:val="es-AR" w:bidi="es-ES"/>
        </w:rPr>
        <w:t xml:space="preserve">, en los avisos de pago </w:t>
      </w:r>
      <w:r w:rsidR="009573B9">
        <w:rPr>
          <w:rFonts w:ascii="Times New Roman" w:eastAsia="Times New Roman" w:hAnsi="Times New Roman" w:cs="Times New Roman"/>
          <w:lang w:val="es-AR" w:bidi="es-ES"/>
        </w:rPr>
        <w:t xml:space="preserve">que </w:t>
      </w:r>
      <w:r w:rsidR="0030475A" w:rsidRPr="00626DBF">
        <w:rPr>
          <w:rFonts w:ascii="Times New Roman" w:eastAsia="Times New Roman" w:hAnsi="Times New Roman" w:cs="Times New Roman"/>
          <w:lang w:val="es-AR" w:bidi="es-ES"/>
        </w:rPr>
        <w:t>la Sociedad</w:t>
      </w:r>
      <w:r>
        <w:rPr>
          <w:rFonts w:ascii="Times New Roman" w:eastAsia="Times New Roman" w:hAnsi="Times New Roman" w:cs="Times New Roman"/>
          <w:lang w:val="es-AR" w:bidi="es-ES"/>
        </w:rPr>
        <w:t xml:space="preserve"> publicará</w:t>
      </w:r>
      <w:r w:rsidR="0030475A" w:rsidRPr="00C54836">
        <w:rPr>
          <w:rFonts w:ascii="Times New Roman" w:eastAsia="Times New Roman" w:hAnsi="Times New Roman" w:cs="Times New Roman"/>
          <w:lang w:val="es-AR" w:bidi="es-ES"/>
        </w:rPr>
        <w:t xml:space="preserve"> en la AIF de la CNV se informará el capital residual de las Obligaciones Negociables.</w:t>
      </w:r>
    </w:p>
    <w:p w14:paraId="6D8E7A61" w14:textId="77777777" w:rsidR="00195F2C" w:rsidRPr="00F43580" w:rsidRDefault="00195F2C" w:rsidP="00C13AAC">
      <w:pPr>
        <w:pStyle w:val="Prrafodelista"/>
        <w:spacing w:after="0" w:line="240" w:lineRule="auto"/>
        <w:ind w:left="0" w:hanging="2"/>
        <w:rPr>
          <w:rFonts w:ascii="Times New Roman" w:eastAsia="Times New Roman" w:hAnsi="Times New Roman" w:cs="Times New Roman"/>
          <w:lang w:val="es-AR" w:bidi="es-ES"/>
        </w:rPr>
      </w:pPr>
    </w:p>
    <w:p w14:paraId="2B788720" w14:textId="756F88DF" w:rsidR="00200738" w:rsidRPr="00EF6EEA" w:rsidRDefault="00195F2C">
      <w:pPr>
        <w:pStyle w:val="Prrafodelista"/>
        <w:spacing w:after="0" w:line="240" w:lineRule="auto"/>
        <w:ind w:leftChars="0" w:left="1285" w:firstLineChars="0" w:firstLine="0"/>
        <w:jc w:val="both"/>
        <w:rPr>
          <w:rFonts w:ascii="Times New Roman" w:eastAsia="Times New Roman" w:hAnsi="Times New Roman" w:cs="Times New Roman"/>
          <w:lang w:bidi="es-ES"/>
        </w:rPr>
      </w:pPr>
      <w:r w:rsidRPr="00F43580">
        <w:rPr>
          <w:rFonts w:ascii="Times New Roman" w:eastAsia="Times New Roman" w:hAnsi="Times New Roman" w:cs="Times New Roman"/>
          <w:lang w:val="es-AR" w:bidi="es-ES"/>
        </w:rPr>
        <w:t>Adicionalmente, y con respecto al pago mencionado en el punto (i) anterior, la Sociedad establece que</w:t>
      </w:r>
      <w:r w:rsidRPr="00F43580">
        <w:rPr>
          <w:rFonts w:ascii="Times New Roman" w:eastAsia="Times New Roman" w:hAnsi="Times New Roman" w:cs="Times New Roman"/>
          <w:lang w:bidi="es-ES"/>
        </w:rPr>
        <w:t xml:space="preserve"> este pago no será condición de la liberación de la Prenda de la Garantía, y se entenderá que los Tenedores han prestado su consentimiento automático, irrevocable y definitivo para esa liberación de la Prenda, si en cualquier momento anterior a esa fecha la Sociedad constituye, en favor de los tenedores y en garantía de ese 10</w:t>
      </w:r>
      <w:r w:rsidR="00E21BC1">
        <w:rPr>
          <w:rFonts w:ascii="Times New Roman" w:eastAsia="Times New Roman" w:hAnsi="Times New Roman" w:cs="Times New Roman"/>
          <w:lang w:bidi="es-ES"/>
        </w:rPr>
        <w:t>,00</w:t>
      </w:r>
      <w:r w:rsidRPr="00F43580">
        <w:rPr>
          <w:rFonts w:ascii="Times New Roman" w:eastAsia="Times New Roman" w:hAnsi="Times New Roman" w:cs="Times New Roman"/>
          <w:lang w:bidi="es-ES"/>
        </w:rPr>
        <w:t>% del monto de capital pagadero con fecha 11 de agosto de 2022, un depó</w:t>
      </w:r>
      <w:r w:rsidRPr="00EF6EEA">
        <w:rPr>
          <w:rFonts w:ascii="Times New Roman" w:eastAsia="Times New Roman" w:hAnsi="Times New Roman" w:cs="Times New Roman"/>
          <w:lang w:bidi="es-ES"/>
        </w:rPr>
        <w:t>sito de garantía o fideicomiso de dinero u obtiene una fianza bancaria a primera demanda o una carta de crédito stand-</w:t>
      </w:r>
      <w:proofErr w:type="spellStart"/>
      <w:r w:rsidRPr="00EF6EEA">
        <w:rPr>
          <w:rFonts w:ascii="Times New Roman" w:eastAsia="Times New Roman" w:hAnsi="Times New Roman" w:cs="Times New Roman"/>
          <w:lang w:bidi="es-ES"/>
        </w:rPr>
        <w:t>by</w:t>
      </w:r>
      <w:proofErr w:type="spellEnd"/>
      <w:r w:rsidRPr="00EF6EEA">
        <w:rPr>
          <w:rFonts w:ascii="Times New Roman" w:eastAsia="Times New Roman" w:hAnsi="Times New Roman" w:cs="Times New Roman"/>
          <w:lang w:bidi="es-ES"/>
        </w:rPr>
        <w:t xml:space="preserve"> de un banco de primera línea por un importe suficiente para efectuar el pago de esa amortización</w:t>
      </w:r>
      <w:r w:rsidR="00200738" w:rsidRPr="00EF6EEA">
        <w:rPr>
          <w:rFonts w:ascii="Times New Roman" w:eastAsia="Times New Roman" w:hAnsi="Times New Roman" w:cs="Times New Roman"/>
          <w:lang w:bidi="es-ES"/>
        </w:rPr>
        <w:t>.</w:t>
      </w:r>
      <w:r w:rsidR="0052005B">
        <w:rPr>
          <w:rFonts w:ascii="Times New Roman" w:eastAsia="Times New Roman" w:hAnsi="Times New Roman" w:cs="Times New Roman"/>
          <w:lang w:bidi="es-ES"/>
        </w:rPr>
        <w:t xml:space="preserve"> Este depósito de garantía, fidei</w:t>
      </w:r>
      <w:r w:rsidR="001760E8">
        <w:rPr>
          <w:rFonts w:ascii="Times New Roman" w:eastAsia="Times New Roman" w:hAnsi="Times New Roman" w:cs="Times New Roman"/>
          <w:lang w:bidi="es-ES"/>
        </w:rPr>
        <w:t>co</w:t>
      </w:r>
      <w:r w:rsidR="0052005B">
        <w:rPr>
          <w:rFonts w:ascii="Times New Roman" w:eastAsia="Times New Roman" w:hAnsi="Times New Roman" w:cs="Times New Roman"/>
          <w:lang w:bidi="es-ES"/>
        </w:rPr>
        <w:t>miso de dinero, fianza bancaria a primera demanda o carta de crédito stand-</w:t>
      </w:r>
      <w:proofErr w:type="spellStart"/>
      <w:r w:rsidR="0052005B">
        <w:rPr>
          <w:rFonts w:ascii="Times New Roman" w:eastAsia="Times New Roman" w:hAnsi="Times New Roman" w:cs="Times New Roman"/>
          <w:lang w:bidi="es-ES"/>
        </w:rPr>
        <w:t>by</w:t>
      </w:r>
      <w:proofErr w:type="spellEnd"/>
      <w:r w:rsidR="0052005B">
        <w:rPr>
          <w:rFonts w:ascii="Times New Roman" w:eastAsia="Times New Roman" w:hAnsi="Times New Roman" w:cs="Times New Roman"/>
          <w:lang w:bidi="es-ES"/>
        </w:rPr>
        <w:t xml:space="preserve"> de un banco de primera línea, podrá estar constituido o pactado para ser pagado, según corresponda, fuera de la República en dólares estadounidenses o dentro de la República en pesos, pero en este último caso, solo se considerará importe suficiente, al monto nominal adeudado </w:t>
      </w:r>
      <w:r w:rsidR="0052005B">
        <w:rPr>
          <w:rFonts w:ascii="Times New Roman" w:eastAsia="Times New Roman" w:hAnsi="Times New Roman" w:cs="Times New Roman"/>
          <w:lang w:bidi="es-ES"/>
        </w:rPr>
        <w:lastRenderedPageBreak/>
        <w:t>multiplicado por un coeficiente de 1,30</w:t>
      </w:r>
      <w:r w:rsidR="001E1A19">
        <w:rPr>
          <w:rFonts w:ascii="Times New Roman" w:eastAsia="Times New Roman" w:hAnsi="Times New Roman" w:cs="Times New Roman"/>
          <w:lang w:bidi="es-ES"/>
        </w:rPr>
        <w:t xml:space="preserve"> o si se tratare de instrumentos dólar </w:t>
      </w:r>
      <w:proofErr w:type="spellStart"/>
      <w:r w:rsidR="001E1A19">
        <w:rPr>
          <w:rFonts w:ascii="Times New Roman" w:eastAsia="Times New Roman" w:hAnsi="Times New Roman" w:cs="Times New Roman"/>
          <w:lang w:bidi="es-ES"/>
        </w:rPr>
        <w:t>linked</w:t>
      </w:r>
      <w:proofErr w:type="spellEnd"/>
      <w:r w:rsidR="001E1A19">
        <w:rPr>
          <w:rFonts w:ascii="Times New Roman" w:eastAsia="Times New Roman" w:hAnsi="Times New Roman" w:cs="Times New Roman"/>
          <w:lang w:bidi="es-ES"/>
        </w:rPr>
        <w:t xml:space="preserve"> el coeficiente será de 1,10</w:t>
      </w:r>
      <w:r w:rsidR="0052005B">
        <w:rPr>
          <w:rFonts w:ascii="Times New Roman" w:eastAsia="Times New Roman" w:hAnsi="Times New Roman" w:cs="Times New Roman"/>
          <w:lang w:bidi="es-ES"/>
        </w:rPr>
        <w:t>.</w:t>
      </w:r>
    </w:p>
    <w:p w14:paraId="60C94B26" w14:textId="77777777" w:rsidR="00200738" w:rsidRPr="008433DA" w:rsidRDefault="00200738">
      <w:pPr>
        <w:pStyle w:val="Prrafodelista"/>
        <w:spacing w:after="0" w:line="240" w:lineRule="auto"/>
        <w:ind w:leftChars="0" w:left="1285" w:firstLineChars="0" w:firstLine="0"/>
        <w:jc w:val="both"/>
        <w:rPr>
          <w:rFonts w:ascii="Times New Roman" w:eastAsia="Times New Roman" w:hAnsi="Times New Roman" w:cs="Times New Roman"/>
          <w:lang w:bidi="es-ES"/>
        </w:rPr>
      </w:pPr>
    </w:p>
    <w:p w14:paraId="39A5C4B6" w14:textId="39659A74" w:rsidR="00200738" w:rsidRPr="004E7C62" w:rsidRDefault="00200738">
      <w:pPr>
        <w:pStyle w:val="Prrafodelista"/>
        <w:spacing w:after="0" w:line="240" w:lineRule="auto"/>
        <w:ind w:leftChars="0" w:left="1285" w:firstLineChars="0" w:firstLine="0"/>
        <w:jc w:val="both"/>
        <w:rPr>
          <w:rFonts w:ascii="Times New Roman" w:eastAsia="Times New Roman" w:hAnsi="Times New Roman" w:cs="Times New Roman"/>
          <w:lang w:bidi="es-ES"/>
        </w:rPr>
      </w:pPr>
      <w:r w:rsidRPr="008433DA">
        <w:rPr>
          <w:rFonts w:ascii="Times New Roman" w:eastAsia="Times New Roman" w:hAnsi="Times New Roman" w:cs="Times New Roman"/>
          <w:lang w:bidi="es-ES"/>
        </w:rPr>
        <w:t>Se detalla</w:t>
      </w:r>
      <w:r w:rsidR="008E7217" w:rsidRPr="008433DA">
        <w:rPr>
          <w:rFonts w:ascii="Times New Roman" w:eastAsia="Times New Roman" w:hAnsi="Times New Roman" w:cs="Times New Roman"/>
          <w:lang w:bidi="es-ES"/>
        </w:rPr>
        <w:t>n</w:t>
      </w:r>
      <w:r w:rsidR="008E7217" w:rsidRPr="003E13B9">
        <w:rPr>
          <w:rFonts w:ascii="Times New Roman" w:eastAsia="Times New Roman" w:hAnsi="Times New Roman" w:cs="Times New Roman"/>
          <w:lang w:bidi="es-ES"/>
        </w:rPr>
        <w:t xml:space="preserve"> a continuación </w:t>
      </w:r>
      <w:r w:rsidRPr="003E13B9">
        <w:rPr>
          <w:rFonts w:ascii="Times New Roman" w:eastAsia="Times New Roman" w:hAnsi="Times New Roman" w:cs="Times New Roman"/>
          <w:lang w:bidi="es-ES"/>
        </w:rPr>
        <w:t>las fechas de pago de capital</w:t>
      </w:r>
      <w:r w:rsidR="00E21BC1">
        <w:rPr>
          <w:rFonts w:ascii="Times New Roman" w:eastAsia="Times New Roman" w:hAnsi="Times New Roman" w:cs="Times New Roman"/>
          <w:lang w:bidi="es-ES"/>
        </w:rPr>
        <w:t xml:space="preserve"> de las Obligaciones Negociables</w:t>
      </w:r>
      <w:r w:rsidRPr="003E13B9">
        <w:rPr>
          <w:rFonts w:ascii="Times New Roman" w:eastAsia="Times New Roman" w:hAnsi="Times New Roman" w:cs="Times New Roman"/>
          <w:lang w:bidi="es-ES"/>
        </w:rPr>
        <w:t xml:space="preserve"> mencionadas anteriormente</w:t>
      </w:r>
      <w:r w:rsidR="008E7217" w:rsidRPr="003E13B9">
        <w:rPr>
          <w:rFonts w:ascii="Times New Roman" w:eastAsia="Times New Roman" w:hAnsi="Times New Roman" w:cs="Times New Roman"/>
          <w:lang w:bidi="es-ES"/>
        </w:rPr>
        <w:t xml:space="preserve"> en los puntos (i), (ii)</w:t>
      </w:r>
      <w:r w:rsidR="005804DD" w:rsidRPr="004E7C62">
        <w:rPr>
          <w:rFonts w:ascii="Times New Roman" w:eastAsia="Times New Roman" w:hAnsi="Times New Roman" w:cs="Times New Roman"/>
          <w:lang w:bidi="es-ES"/>
        </w:rPr>
        <w:t>,</w:t>
      </w:r>
      <w:r w:rsidR="008E7217" w:rsidRPr="004E7C62">
        <w:rPr>
          <w:rFonts w:ascii="Times New Roman" w:eastAsia="Times New Roman" w:hAnsi="Times New Roman" w:cs="Times New Roman"/>
          <w:lang w:bidi="es-ES"/>
        </w:rPr>
        <w:t xml:space="preserve"> (iii)</w:t>
      </w:r>
      <w:r w:rsidR="005804DD" w:rsidRPr="004E7C62">
        <w:rPr>
          <w:rFonts w:ascii="Times New Roman" w:eastAsia="Times New Roman" w:hAnsi="Times New Roman" w:cs="Times New Roman"/>
          <w:lang w:bidi="es-ES"/>
        </w:rPr>
        <w:t xml:space="preserve"> y (iv)</w:t>
      </w:r>
      <w:r w:rsidRPr="004E7C62">
        <w:rPr>
          <w:rFonts w:ascii="Times New Roman" w:eastAsia="Times New Roman" w:hAnsi="Times New Roman" w:cs="Times New Roman"/>
          <w:lang w:bidi="es-ES"/>
        </w:rPr>
        <w:t>:</w:t>
      </w:r>
    </w:p>
    <w:p w14:paraId="4AFDD4EC" w14:textId="77777777" w:rsidR="00200738" w:rsidRPr="00262E03" w:rsidRDefault="00200738">
      <w:pPr>
        <w:pStyle w:val="Prrafodelista"/>
        <w:spacing w:after="0" w:line="240" w:lineRule="auto"/>
        <w:ind w:leftChars="0" w:left="1285" w:firstLineChars="0" w:firstLine="0"/>
        <w:jc w:val="both"/>
        <w:rPr>
          <w:rFonts w:ascii="Times New Roman" w:eastAsia="Times New Roman" w:hAnsi="Times New Roman" w:cs="Times New Roman"/>
          <w:lang w:bidi="es-ES"/>
        </w:rPr>
      </w:pPr>
    </w:p>
    <w:tbl>
      <w:tblPr>
        <w:tblStyle w:val="Tablaconcuadrcula"/>
        <w:tblW w:w="7247" w:type="dxa"/>
        <w:jc w:val="right"/>
        <w:tblLook w:val="04A0" w:firstRow="1" w:lastRow="0" w:firstColumn="1" w:lastColumn="0" w:noHBand="0" w:noVBand="1"/>
      </w:tblPr>
      <w:tblGrid>
        <w:gridCol w:w="2590"/>
        <w:gridCol w:w="4657"/>
      </w:tblGrid>
      <w:tr w:rsidR="00200738" w:rsidRPr="0032028C" w14:paraId="6350C9CC" w14:textId="77777777" w:rsidTr="00F93ED5">
        <w:trPr>
          <w:trHeight w:val="675"/>
          <w:jc w:val="right"/>
        </w:trPr>
        <w:tc>
          <w:tcPr>
            <w:tcW w:w="2590" w:type="dxa"/>
            <w:shd w:val="clear" w:color="auto" w:fill="FFFFFF" w:themeFill="background1"/>
            <w:vAlign w:val="center"/>
          </w:tcPr>
          <w:p w14:paraId="2258C7CC" w14:textId="44D87378" w:rsidR="00200738" w:rsidRPr="00C14A55" w:rsidRDefault="00BD059A" w:rsidP="00BD059A">
            <w:pPr>
              <w:pStyle w:val="Prrafodelista"/>
              <w:ind w:leftChars="0" w:left="0" w:firstLineChars="0" w:firstLine="0"/>
              <w:jc w:val="center"/>
              <w:rPr>
                <w:rFonts w:ascii="Times New Roman" w:eastAsia="Times New Roman" w:hAnsi="Times New Roman" w:cs="Times New Roman"/>
                <w:b/>
                <w:sz w:val="20"/>
                <w:szCs w:val="20"/>
                <w:lang w:bidi="es-ES"/>
              </w:rPr>
            </w:pPr>
            <w:r w:rsidRPr="00C14A55">
              <w:rPr>
                <w:rFonts w:ascii="Times New Roman" w:eastAsia="Times New Roman" w:hAnsi="Times New Roman" w:cs="Times New Roman"/>
                <w:b/>
                <w:sz w:val="20"/>
                <w:szCs w:val="20"/>
                <w:lang w:bidi="es-ES"/>
              </w:rPr>
              <w:t>Fecha</w:t>
            </w:r>
          </w:p>
        </w:tc>
        <w:tc>
          <w:tcPr>
            <w:tcW w:w="4657" w:type="dxa"/>
            <w:shd w:val="clear" w:color="auto" w:fill="FFFFFF" w:themeFill="background1"/>
            <w:vAlign w:val="center"/>
          </w:tcPr>
          <w:p w14:paraId="42F59B3A" w14:textId="065115BB" w:rsidR="00200738" w:rsidRPr="00C14A55" w:rsidRDefault="00BD059A" w:rsidP="00BD059A">
            <w:pPr>
              <w:pStyle w:val="Prrafodelista"/>
              <w:ind w:leftChars="0" w:left="2" w:firstLineChars="0" w:firstLine="0"/>
              <w:jc w:val="both"/>
              <w:rPr>
                <w:rFonts w:ascii="Times New Roman" w:eastAsia="Times New Roman" w:hAnsi="Times New Roman" w:cs="Times New Roman"/>
                <w:b/>
                <w:sz w:val="20"/>
                <w:szCs w:val="20"/>
                <w:lang w:bidi="es-ES"/>
              </w:rPr>
            </w:pPr>
            <w:r w:rsidRPr="00C14A55">
              <w:rPr>
                <w:rFonts w:ascii="Times New Roman" w:eastAsia="Times New Roman" w:hAnsi="Times New Roman" w:cs="Times New Roman"/>
                <w:b/>
                <w:sz w:val="20"/>
                <w:szCs w:val="20"/>
                <w:lang w:bidi="es-ES"/>
              </w:rPr>
              <w:t>Porcentaje de capital pagadero en cada fecha de pago de amortización considerando el capital adeudado al 11 de agosto de 2022</w:t>
            </w:r>
            <w:r w:rsidR="00200738" w:rsidRPr="00C14A55">
              <w:rPr>
                <w:rFonts w:ascii="Times New Roman" w:eastAsia="Times New Roman" w:hAnsi="Times New Roman" w:cs="Times New Roman"/>
                <w:b/>
                <w:sz w:val="20"/>
                <w:szCs w:val="20"/>
                <w:lang w:bidi="es-ES"/>
              </w:rPr>
              <w:t xml:space="preserve"> </w:t>
            </w:r>
          </w:p>
        </w:tc>
      </w:tr>
      <w:tr w:rsidR="00200738" w:rsidRPr="0032028C" w14:paraId="04CF9C7A" w14:textId="77777777" w:rsidTr="00BD5E05">
        <w:trPr>
          <w:trHeight w:val="229"/>
          <w:jc w:val="right"/>
        </w:trPr>
        <w:tc>
          <w:tcPr>
            <w:tcW w:w="2590" w:type="dxa"/>
            <w:vAlign w:val="center"/>
          </w:tcPr>
          <w:p w14:paraId="5D86C122" w14:textId="36B03875" w:rsidR="00200738" w:rsidRPr="00214269" w:rsidRDefault="00200738" w:rsidP="00B92425">
            <w:pPr>
              <w:pStyle w:val="Prrafodelista"/>
              <w:ind w:leftChars="0" w:left="2" w:firstLineChars="0" w:firstLine="0"/>
              <w:jc w:val="center"/>
              <w:rPr>
                <w:rFonts w:ascii="Times New Roman" w:eastAsia="Times New Roman" w:hAnsi="Times New Roman" w:cs="Times New Roman"/>
                <w:lang w:bidi="es-ES"/>
              </w:rPr>
            </w:pPr>
            <w:r w:rsidRPr="00214269">
              <w:rPr>
                <w:rFonts w:ascii="Times New Roman" w:eastAsia="Times New Roman" w:hAnsi="Times New Roman" w:cs="Times New Roman"/>
                <w:lang w:bidi="es-ES"/>
              </w:rPr>
              <w:t>11/08/2022</w:t>
            </w:r>
          </w:p>
        </w:tc>
        <w:tc>
          <w:tcPr>
            <w:tcW w:w="4657" w:type="dxa"/>
            <w:vAlign w:val="center"/>
          </w:tcPr>
          <w:p w14:paraId="15AC0F32" w14:textId="09E32D29" w:rsidR="00200738" w:rsidRPr="00A359F0" w:rsidRDefault="00200738" w:rsidP="00B92425">
            <w:pPr>
              <w:pStyle w:val="Prrafodelista"/>
              <w:ind w:leftChars="0" w:left="2" w:firstLineChars="0" w:firstLine="0"/>
              <w:jc w:val="center"/>
              <w:rPr>
                <w:rFonts w:ascii="Times New Roman" w:eastAsia="Times New Roman" w:hAnsi="Times New Roman" w:cs="Times New Roman"/>
                <w:lang w:bidi="es-ES"/>
              </w:rPr>
            </w:pPr>
            <w:r w:rsidRPr="007A4D3C">
              <w:rPr>
                <w:rFonts w:ascii="Times New Roman" w:eastAsia="Times New Roman" w:hAnsi="Times New Roman" w:cs="Times New Roman"/>
                <w:lang w:bidi="es-ES"/>
              </w:rPr>
              <w:t>10</w:t>
            </w:r>
            <w:r w:rsidR="00E21BC1">
              <w:rPr>
                <w:rFonts w:ascii="Times New Roman" w:eastAsia="Times New Roman" w:hAnsi="Times New Roman" w:cs="Times New Roman"/>
                <w:lang w:bidi="es-ES"/>
              </w:rPr>
              <w:t>,00</w:t>
            </w:r>
            <w:r w:rsidRPr="007A4D3C">
              <w:rPr>
                <w:rFonts w:ascii="Times New Roman" w:eastAsia="Times New Roman" w:hAnsi="Times New Roman" w:cs="Times New Roman"/>
                <w:lang w:bidi="es-ES"/>
              </w:rPr>
              <w:t>%</w:t>
            </w:r>
          </w:p>
        </w:tc>
      </w:tr>
      <w:tr w:rsidR="00200738" w:rsidRPr="0032028C" w14:paraId="32F3298F" w14:textId="77777777" w:rsidTr="00BD5E05">
        <w:trPr>
          <w:trHeight w:val="229"/>
          <w:jc w:val="right"/>
        </w:trPr>
        <w:tc>
          <w:tcPr>
            <w:tcW w:w="2590" w:type="dxa"/>
            <w:vAlign w:val="center"/>
          </w:tcPr>
          <w:p w14:paraId="2D5A8D1F" w14:textId="77777777" w:rsidR="00200738" w:rsidRPr="00214269" w:rsidRDefault="00200738" w:rsidP="00B92425">
            <w:pPr>
              <w:pStyle w:val="Prrafodelista"/>
              <w:ind w:leftChars="0" w:left="2" w:firstLineChars="0" w:firstLine="0"/>
              <w:jc w:val="center"/>
              <w:rPr>
                <w:rFonts w:ascii="Times New Roman" w:eastAsia="Times New Roman" w:hAnsi="Times New Roman" w:cs="Times New Roman"/>
                <w:lang w:bidi="es-ES"/>
              </w:rPr>
            </w:pPr>
            <w:r w:rsidRPr="00214269">
              <w:rPr>
                <w:rFonts w:ascii="Times New Roman" w:eastAsia="Times New Roman" w:hAnsi="Times New Roman" w:cs="Times New Roman"/>
                <w:lang w:bidi="es-ES"/>
              </w:rPr>
              <w:t>11/05/2023</w:t>
            </w:r>
          </w:p>
        </w:tc>
        <w:tc>
          <w:tcPr>
            <w:tcW w:w="4657" w:type="dxa"/>
            <w:vAlign w:val="center"/>
          </w:tcPr>
          <w:p w14:paraId="05E4BB54" w14:textId="5491488B" w:rsidR="00200738" w:rsidRPr="00A359F0" w:rsidRDefault="00E21BC1" w:rsidP="00B92425">
            <w:pPr>
              <w:pStyle w:val="Prrafodelista"/>
              <w:ind w:leftChars="0" w:left="2" w:firstLineChars="0" w:firstLine="0"/>
              <w:jc w:val="center"/>
              <w:rPr>
                <w:rFonts w:ascii="Times New Roman" w:eastAsia="Times New Roman" w:hAnsi="Times New Roman" w:cs="Times New Roman"/>
                <w:lang w:bidi="es-ES"/>
              </w:rPr>
            </w:pPr>
            <w:r>
              <w:rPr>
                <w:rFonts w:ascii="Times New Roman" w:eastAsia="Times New Roman" w:hAnsi="Times New Roman" w:cs="Times New Roman"/>
                <w:lang w:bidi="es-ES"/>
              </w:rPr>
              <w:t xml:space="preserve">Hasta el </w:t>
            </w:r>
            <w:r w:rsidR="00200738" w:rsidRPr="007A4D3C">
              <w:rPr>
                <w:rFonts w:ascii="Times New Roman" w:eastAsia="Times New Roman" w:hAnsi="Times New Roman" w:cs="Times New Roman"/>
                <w:lang w:bidi="es-ES"/>
              </w:rPr>
              <w:t>6</w:t>
            </w:r>
            <w:r>
              <w:rPr>
                <w:rFonts w:ascii="Times New Roman" w:eastAsia="Times New Roman" w:hAnsi="Times New Roman" w:cs="Times New Roman"/>
                <w:lang w:bidi="es-ES"/>
              </w:rPr>
              <w:t>,00</w:t>
            </w:r>
            <w:r w:rsidR="00200738" w:rsidRPr="007A4D3C">
              <w:rPr>
                <w:rFonts w:ascii="Times New Roman" w:eastAsia="Times New Roman" w:hAnsi="Times New Roman" w:cs="Times New Roman"/>
                <w:lang w:bidi="es-ES"/>
              </w:rPr>
              <w:t>%</w:t>
            </w:r>
            <w:r w:rsidR="0011176E">
              <w:rPr>
                <w:rFonts w:ascii="Times New Roman" w:eastAsia="Times New Roman" w:hAnsi="Times New Roman" w:cs="Times New Roman"/>
                <w:lang w:bidi="es-ES"/>
              </w:rPr>
              <w:t>*</w:t>
            </w:r>
          </w:p>
        </w:tc>
      </w:tr>
      <w:tr w:rsidR="00200738" w:rsidRPr="0032028C" w14:paraId="13653ECB" w14:textId="77777777" w:rsidTr="00BD5E05">
        <w:trPr>
          <w:trHeight w:val="229"/>
          <w:jc w:val="right"/>
        </w:trPr>
        <w:tc>
          <w:tcPr>
            <w:tcW w:w="2590" w:type="dxa"/>
            <w:vAlign w:val="center"/>
          </w:tcPr>
          <w:p w14:paraId="358E1496" w14:textId="77777777" w:rsidR="00200738" w:rsidRPr="00214269" w:rsidRDefault="00200738" w:rsidP="00B92425">
            <w:pPr>
              <w:pStyle w:val="Prrafodelista"/>
              <w:ind w:leftChars="0" w:left="2" w:firstLineChars="0" w:firstLine="0"/>
              <w:jc w:val="center"/>
              <w:rPr>
                <w:rFonts w:ascii="Times New Roman" w:eastAsia="Times New Roman" w:hAnsi="Times New Roman" w:cs="Times New Roman"/>
                <w:lang w:bidi="es-ES"/>
              </w:rPr>
            </w:pPr>
            <w:r w:rsidRPr="00214269">
              <w:rPr>
                <w:rFonts w:ascii="Times New Roman" w:eastAsia="Times New Roman" w:hAnsi="Times New Roman" w:cs="Times New Roman"/>
                <w:lang w:bidi="es-ES"/>
              </w:rPr>
              <w:t>11/08/2023</w:t>
            </w:r>
          </w:p>
        </w:tc>
        <w:tc>
          <w:tcPr>
            <w:tcW w:w="4657" w:type="dxa"/>
            <w:vAlign w:val="center"/>
          </w:tcPr>
          <w:p w14:paraId="26B89CD4" w14:textId="6498EC4A" w:rsidR="00200738" w:rsidRPr="00A359F0" w:rsidRDefault="00E21BC1" w:rsidP="00B92425">
            <w:pPr>
              <w:pStyle w:val="Prrafodelista"/>
              <w:ind w:leftChars="0" w:left="2" w:firstLineChars="0" w:firstLine="0"/>
              <w:jc w:val="center"/>
              <w:rPr>
                <w:rFonts w:ascii="Times New Roman" w:eastAsia="Times New Roman" w:hAnsi="Times New Roman" w:cs="Times New Roman"/>
                <w:lang w:bidi="es-ES"/>
              </w:rPr>
            </w:pPr>
            <w:r>
              <w:rPr>
                <w:rFonts w:ascii="Times New Roman" w:eastAsia="Times New Roman" w:hAnsi="Times New Roman" w:cs="Times New Roman"/>
                <w:lang w:bidi="es-ES"/>
              </w:rPr>
              <w:t>Hasta el</w:t>
            </w:r>
            <w:r w:rsidRPr="007A4D3C">
              <w:rPr>
                <w:rFonts w:ascii="Times New Roman" w:eastAsia="Times New Roman" w:hAnsi="Times New Roman" w:cs="Times New Roman"/>
                <w:lang w:bidi="es-ES"/>
              </w:rPr>
              <w:t xml:space="preserve"> </w:t>
            </w:r>
            <w:r w:rsidR="00200738" w:rsidRPr="007A4D3C">
              <w:rPr>
                <w:rFonts w:ascii="Times New Roman" w:eastAsia="Times New Roman" w:hAnsi="Times New Roman" w:cs="Times New Roman"/>
                <w:lang w:bidi="es-ES"/>
              </w:rPr>
              <w:t>6</w:t>
            </w:r>
            <w:r>
              <w:rPr>
                <w:rFonts w:ascii="Times New Roman" w:eastAsia="Times New Roman" w:hAnsi="Times New Roman" w:cs="Times New Roman"/>
                <w:lang w:bidi="es-ES"/>
              </w:rPr>
              <w:t>,00</w:t>
            </w:r>
            <w:r w:rsidR="00200738" w:rsidRPr="007A4D3C">
              <w:rPr>
                <w:rFonts w:ascii="Times New Roman" w:eastAsia="Times New Roman" w:hAnsi="Times New Roman" w:cs="Times New Roman"/>
                <w:lang w:bidi="es-ES"/>
              </w:rPr>
              <w:t>%</w:t>
            </w:r>
            <w:r w:rsidR="0011176E">
              <w:rPr>
                <w:rFonts w:ascii="Times New Roman" w:eastAsia="Times New Roman" w:hAnsi="Times New Roman" w:cs="Times New Roman"/>
                <w:lang w:bidi="es-ES"/>
              </w:rPr>
              <w:t>*</w:t>
            </w:r>
          </w:p>
        </w:tc>
      </w:tr>
      <w:tr w:rsidR="00200738" w:rsidRPr="0032028C" w14:paraId="3D25593C" w14:textId="77777777" w:rsidTr="00BD5E05">
        <w:trPr>
          <w:trHeight w:val="216"/>
          <w:jc w:val="right"/>
        </w:trPr>
        <w:tc>
          <w:tcPr>
            <w:tcW w:w="2590" w:type="dxa"/>
            <w:vAlign w:val="center"/>
          </w:tcPr>
          <w:p w14:paraId="2E26BA0E" w14:textId="77777777" w:rsidR="00200738" w:rsidRPr="00214269" w:rsidRDefault="00200738" w:rsidP="00B92425">
            <w:pPr>
              <w:pStyle w:val="Prrafodelista"/>
              <w:ind w:leftChars="0" w:left="2" w:firstLineChars="0" w:firstLine="0"/>
              <w:jc w:val="center"/>
              <w:rPr>
                <w:rFonts w:ascii="Times New Roman" w:eastAsia="Times New Roman" w:hAnsi="Times New Roman" w:cs="Times New Roman"/>
                <w:lang w:bidi="es-ES"/>
              </w:rPr>
            </w:pPr>
            <w:r w:rsidRPr="00214269">
              <w:rPr>
                <w:rFonts w:ascii="Times New Roman" w:eastAsia="Times New Roman" w:hAnsi="Times New Roman" w:cs="Times New Roman"/>
                <w:lang w:bidi="es-ES"/>
              </w:rPr>
              <w:t>11/11/2023</w:t>
            </w:r>
          </w:p>
        </w:tc>
        <w:tc>
          <w:tcPr>
            <w:tcW w:w="4657" w:type="dxa"/>
            <w:vAlign w:val="center"/>
          </w:tcPr>
          <w:p w14:paraId="1EBC696E" w14:textId="59ADAD05" w:rsidR="00200738" w:rsidRPr="00214269" w:rsidRDefault="00E21BC1" w:rsidP="00B92425">
            <w:pPr>
              <w:pStyle w:val="Prrafodelista"/>
              <w:ind w:leftChars="0" w:left="2" w:firstLineChars="0" w:firstLine="0"/>
              <w:jc w:val="center"/>
              <w:rPr>
                <w:rFonts w:ascii="Times New Roman" w:eastAsia="Times New Roman" w:hAnsi="Times New Roman" w:cs="Times New Roman"/>
                <w:lang w:bidi="es-ES"/>
              </w:rPr>
            </w:pPr>
            <w:r>
              <w:rPr>
                <w:rFonts w:ascii="Times New Roman" w:eastAsia="Times New Roman" w:hAnsi="Times New Roman" w:cs="Times New Roman"/>
                <w:lang w:bidi="es-ES"/>
              </w:rPr>
              <w:t>Hasta el</w:t>
            </w:r>
            <w:r w:rsidRPr="00214269">
              <w:rPr>
                <w:rFonts w:ascii="Times New Roman" w:eastAsia="Times New Roman" w:hAnsi="Times New Roman" w:cs="Times New Roman"/>
                <w:lang w:bidi="es-ES"/>
              </w:rPr>
              <w:t xml:space="preserve"> </w:t>
            </w:r>
            <w:r w:rsidR="00200738" w:rsidRPr="00214269">
              <w:rPr>
                <w:rFonts w:ascii="Times New Roman" w:eastAsia="Times New Roman" w:hAnsi="Times New Roman" w:cs="Times New Roman"/>
                <w:lang w:bidi="es-ES"/>
              </w:rPr>
              <w:t>6%</w:t>
            </w:r>
            <w:r w:rsidR="0011176E">
              <w:rPr>
                <w:rFonts w:ascii="Times New Roman" w:eastAsia="Times New Roman" w:hAnsi="Times New Roman" w:cs="Times New Roman"/>
                <w:lang w:bidi="es-ES"/>
              </w:rPr>
              <w:t>*</w:t>
            </w:r>
          </w:p>
        </w:tc>
      </w:tr>
      <w:tr w:rsidR="00200738" w:rsidRPr="0032028C" w14:paraId="5D436EC3" w14:textId="77777777" w:rsidTr="00BD5E05">
        <w:trPr>
          <w:trHeight w:val="216"/>
          <w:jc w:val="right"/>
        </w:trPr>
        <w:tc>
          <w:tcPr>
            <w:tcW w:w="2590" w:type="dxa"/>
            <w:vAlign w:val="center"/>
          </w:tcPr>
          <w:p w14:paraId="5CDD1615" w14:textId="77777777" w:rsidR="00200738" w:rsidRPr="00214269" w:rsidRDefault="00200738" w:rsidP="00B92425">
            <w:pPr>
              <w:pStyle w:val="Prrafodelista"/>
              <w:ind w:leftChars="0" w:left="2" w:firstLineChars="0" w:firstLine="0"/>
              <w:jc w:val="center"/>
              <w:rPr>
                <w:rFonts w:ascii="Times New Roman" w:eastAsia="Times New Roman" w:hAnsi="Times New Roman" w:cs="Times New Roman"/>
                <w:lang w:bidi="es-ES"/>
              </w:rPr>
            </w:pPr>
            <w:r w:rsidRPr="00214269">
              <w:rPr>
                <w:rFonts w:ascii="Times New Roman" w:eastAsia="Times New Roman" w:hAnsi="Times New Roman" w:cs="Times New Roman"/>
                <w:lang w:bidi="es-ES"/>
              </w:rPr>
              <w:t>11/02/2024</w:t>
            </w:r>
          </w:p>
        </w:tc>
        <w:tc>
          <w:tcPr>
            <w:tcW w:w="4657" w:type="dxa"/>
            <w:vAlign w:val="center"/>
          </w:tcPr>
          <w:p w14:paraId="28A501D1" w14:textId="76D3865C" w:rsidR="00200738" w:rsidRPr="00214269" w:rsidRDefault="00E21BC1" w:rsidP="00B92425">
            <w:pPr>
              <w:pStyle w:val="Prrafodelista"/>
              <w:ind w:leftChars="0" w:left="2" w:firstLineChars="0" w:firstLine="0"/>
              <w:jc w:val="center"/>
              <w:rPr>
                <w:rFonts w:ascii="Times New Roman" w:eastAsia="Times New Roman" w:hAnsi="Times New Roman" w:cs="Times New Roman"/>
                <w:lang w:bidi="es-ES"/>
              </w:rPr>
            </w:pPr>
            <w:r>
              <w:rPr>
                <w:rFonts w:ascii="Times New Roman" w:eastAsia="Times New Roman" w:hAnsi="Times New Roman" w:cs="Times New Roman"/>
                <w:lang w:bidi="es-ES"/>
              </w:rPr>
              <w:t>Hasta el</w:t>
            </w:r>
            <w:r w:rsidRPr="00214269">
              <w:rPr>
                <w:rFonts w:ascii="Times New Roman" w:eastAsia="Times New Roman" w:hAnsi="Times New Roman" w:cs="Times New Roman"/>
                <w:lang w:bidi="es-ES"/>
              </w:rPr>
              <w:t xml:space="preserve"> </w:t>
            </w:r>
            <w:r w:rsidR="00200738" w:rsidRPr="00214269">
              <w:rPr>
                <w:rFonts w:ascii="Times New Roman" w:eastAsia="Times New Roman" w:hAnsi="Times New Roman" w:cs="Times New Roman"/>
                <w:lang w:bidi="es-ES"/>
              </w:rPr>
              <w:t>6%</w:t>
            </w:r>
            <w:r w:rsidR="0011176E">
              <w:rPr>
                <w:rFonts w:ascii="Times New Roman" w:eastAsia="Times New Roman" w:hAnsi="Times New Roman" w:cs="Times New Roman"/>
                <w:lang w:bidi="es-ES"/>
              </w:rPr>
              <w:t>*</w:t>
            </w:r>
          </w:p>
        </w:tc>
      </w:tr>
      <w:tr w:rsidR="00FA7587" w:rsidRPr="0032028C" w14:paraId="7A236CD8" w14:textId="77777777" w:rsidTr="00BD5E05">
        <w:trPr>
          <w:trHeight w:val="216"/>
          <w:jc w:val="right"/>
        </w:trPr>
        <w:tc>
          <w:tcPr>
            <w:tcW w:w="2590" w:type="dxa"/>
            <w:vAlign w:val="center"/>
          </w:tcPr>
          <w:p w14:paraId="3A527CC6" w14:textId="07A5097F" w:rsidR="00FA7587" w:rsidRPr="00214269" w:rsidRDefault="00FA7587" w:rsidP="00B92425">
            <w:pPr>
              <w:pStyle w:val="Prrafodelista"/>
              <w:ind w:leftChars="0" w:left="2" w:firstLineChars="0" w:firstLine="0"/>
              <w:jc w:val="center"/>
              <w:rPr>
                <w:rFonts w:ascii="Times New Roman" w:eastAsia="Times New Roman" w:hAnsi="Times New Roman" w:cs="Times New Roman"/>
                <w:lang w:bidi="es-ES"/>
              </w:rPr>
            </w:pPr>
            <w:r w:rsidRPr="00214269">
              <w:rPr>
                <w:rFonts w:ascii="Times New Roman" w:eastAsia="Times New Roman" w:hAnsi="Times New Roman" w:cs="Times New Roman"/>
                <w:lang w:bidi="es-ES"/>
              </w:rPr>
              <w:t>11/02/2026</w:t>
            </w:r>
          </w:p>
        </w:tc>
        <w:tc>
          <w:tcPr>
            <w:tcW w:w="4657" w:type="dxa"/>
            <w:vAlign w:val="center"/>
          </w:tcPr>
          <w:p w14:paraId="09897A3F" w14:textId="1F833977" w:rsidR="00FA7587" w:rsidRPr="00214269" w:rsidRDefault="00FA7587" w:rsidP="00B92425">
            <w:pPr>
              <w:pStyle w:val="Prrafodelista"/>
              <w:ind w:leftChars="0" w:left="2" w:firstLineChars="0" w:firstLine="0"/>
              <w:jc w:val="center"/>
              <w:rPr>
                <w:rFonts w:ascii="Times New Roman" w:eastAsia="Times New Roman" w:hAnsi="Times New Roman" w:cs="Times New Roman"/>
                <w:lang w:bidi="es-ES"/>
              </w:rPr>
            </w:pPr>
            <w:r w:rsidRPr="00214269">
              <w:rPr>
                <w:rFonts w:ascii="Times New Roman" w:eastAsia="Times New Roman" w:hAnsi="Times New Roman" w:cs="Times New Roman"/>
                <w:lang w:bidi="es-ES"/>
              </w:rPr>
              <w:t>2</w:t>
            </w:r>
            <w:r w:rsidR="002C0D7D">
              <w:rPr>
                <w:rFonts w:ascii="Times New Roman" w:eastAsia="Times New Roman" w:hAnsi="Times New Roman" w:cs="Times New Roman"/>
                <w:lang w:bidi="es-ES"/>
              </w:rPr>
              <w:t>4</w:t>
            </w:r>
            <w:r w:rsidR="00E21BC1">
              <w:rPr>
                <w:rFonts w:ascii="Times New Roman" w:eastAsia="Times New Roman" w:hAnsi="Times New Roman" w:cs="Times New Roman"/>
                <w:lang w:bidi="es-ES"/>
              </w:rPr>
              <w:t>,00</w:t>
            </w:r>
            <w:r w:rsidRPr="00214269">
              <w:rPr>
                <w:rFonts w:ascii="Times New Roman" w:eastAsia="Times New Roman" w:hAnsi="Times New Roman" w:cs="Times New Roman"/>
                <w:lang w:bidi="es-ES"/>
              </w:rPr>
              <w:t>%</w:t>
            </w:r>
          </w:p>
        </w:tc>
      </w:tr>
      <w:tr w:rsidR="00432A97" w:rsidRPr="0032028C" w14:paraId="055B355F" w14:textId="77777777" w:rsidTr="00BD5E05">
        <w:trPr>
          <w:trHeight w:val="216"/>
          <w:jc w:val="right"/>
        </w:trPr>
        <w:tc>
          <w:tcPr>
            <w:tcW w:w="2590" w:type="dxa"/>
            <w:vAlign w:val="center"/>
          </w:tcPr>
          <w:p w14:paraId="18EF8B46" w14:textId="5B53796C" w:rsidR="00432A97" w:rsidRPr="00214269" w:rsidRDefault="00432A97" w:rsidP="00B92425">
            <w:pPr>
              <w:pStyle w:val="Prrafodelista"/>
              <w:ind w:leftChars="0" w:left="2" w:firstLineChars="0" w:firstLine="0"/>
              <w:jc w:val="center"/>
              <w:rPr>
                <w:rFonts w:ascii="Times New Roman" w:eastAsia="Times New Roman" w:hAnsi="Times New Roman" w:cs="Times New Roman"/>
                <w:lang w:bidi="es-ES"/>
              </w:rPr>
            </w:pPr>
            <w:r w:rsidRPr="00214269">
              <w:rPr>
                <w:rFonts w:ascii="Times New Roman" w:eastAsia="Times New Roman" w:hAnsi="Times New Roman" w:cs="Times New Roman"/>
                <w:lang w:bidi="es-ES"/>
              </w:rPr>
              <w:t>11/02/2027</w:t>
            </w:r>
          </w:p>
        </w:tc>
        <w:tc>
          <w:tcPr>
            <w:tcW w:w="4657" w:type="dxa"/>
            <w:vAlign w:val="center"/>
          </w:tcPr>
          <w:p w14:paraId="38BEA8B7" w14:textId="5F192167" w:rsidR="00432A97" w:rsidRPr="00A359F0" w:rsidRDefault="00990005" w:rsidP="00B92425">
            <w:pPr>
              <w:pStyle w:val="Prrafodelista"/>
              <w:ind w:leftChars="0" w:left="2" w:firstLineChars="0" w:firstLine="0"/>
              <w:jc w:val="center"/>
              <w:rPr>
                <w:rFonts w:ascii="Times New Roman" w:eastAsia="Times New Roman" w:hAnsi="Times New Roman" w:cs="Times New Roman"/>
                <w:lang w:bidi="es-ES"/>
              </w:rPr>
            </w:pPr>
            <w:r>
              <w:rPr>
                <w:rFonts w:ascii="Times New Roman" w:eastAsia="Times New Roman" w:hAnsi="Times New Roman" w:cs="Times New Roman"/>
                <w:lang w:bidi="es-ES"/>
              </w:rPr>
              <w:t>Porcentaje</w:t>
            </w:r>
            <w:r w:rsidR="00B47CA9" w:rsidRPr="007A4D3C">
              <w:rPr>
                <w:rFonts w:ascii="Times New Roman" w:eastAsia="Times New Roman" w:hAnsi="Times New Roman" w:cs="Times New Roman"/>
                <w:lang w:bidi="es-ES"/>
              </w:rPr>
              <w:t xml:space="preserve"> de capital remanente</w:t>
            </w:r>
          </w:p>
        </w:tc>
      </w:tr>
    </w:tbl>
    <w:p w14:paraId="0DF9BBAD" w14:textId="0CD46050" w:rsidR="00195F2C" w:rsidRDefault="0011176E" w:rsidP="00741651">
      <w:pPr>
        <w:pStyle w:val="Prrafodelista"/>
        <w:spacing w:after="0" w:line="240" w:lineRule="auto"/>
        <w:ind w:leftChars="0" w:left="1560" w:right="282" w:firstLineChars="0" w:firstLine="0"/>
        <w:jc w:val="both"/>
        <w:rPr>
          <w:rFonts w:ascii="Times New Roman" w:eastAsia="Times New Roman" w:hAnsi="Times New Roman" w:cs="Times New Roman"/>
          <w:sz w:val="18"/>
          <w:szCs w:val="18"/>
          <w:lang w:bidi="es-ES"/>
        </w:rPr>
      </w:pPr>
      <w:r w:rsidRPr="00741651">
        <w:rPr>
          <w:rFonts w:ascii="Times New Roman" w:eastAsia="Times New Roman" w:hAnsi="Times New Roman" w:cs="Times New Roman"/>
          <w:sz w:val="18"/>
          <w:szCs w:val="18"/>
          <w:lang w:val="es-AR" w:bidi="es-ES"/>
        </w:rPr>
        <w:t xml:space="preserve">*Pagadero </w:t>
      </w:r>
      <w:r>
        <w:rPr>
          <w:rFonts w:ascii="Times New Roman" w:eastAsia="Times New Roman" w:hAnsi="Times New Roman" w:cs="Times New Roman"/>
          <w:sz w:val="18"/>
          <w:szCs w:val="18"/>
          <w:lang w:val="es-AR" w:bidi="es-ES"/>
        </w:rPr>
        <w:t>únicamente</w:t>
      </w:r>
      <w:r w:rsidRPr="00741651">
        <w:rPr>
          <w:rFonts w:ascii="Times New Roman" w:eastAsia="Times New Roman" w:hAnsi="Times New Roman" w:cs="Times New Roman"/>
          <w:sz w:val="18"/>
          <w:szCs w:val="18"/>
          <w:lang w:val="es-AR" w:bidi="es-ES"/>
        </w:rPr>
        <w:t xml:space="preserve"> en los casos en que exista </w:t>
      </w:r>
      <w:r w:rsidR="00625B49">
        <w:rPr>
          <w:rFonts w:ascii="Times New Roman" w:eastAsia="Times New Roman" w:hAnsi="Times New Roman" w:cs="Times New Roman"/>
          <w:sz w:val="18"/>
          <w:szCs w:val="18"/>
          <w:lang w:bidi="es-ES"/>
        </w:rPr>
        <w:t>Ingreso de Caja MPN</w:t>
      </w:r>
      <w:r w:rsidRPr="00741651">
        <w:rPr>
          <w:rFonts w:ascii="Times New Roman" w:eastAsia="Times New Roman" w:hAnsi="Times New Roman" w:cs="Times New Roman"/>
          <w:sz w:val="18"/>
          <w:szCs w:val="18"/>
          <w:lang w:bidi="es-ES"/>
        </w:rPr>
        <w:t xml:space="preserve"> en la correspondiente Fecha de Amortización por </w:t>
      </w:r>
      <w:r w:rsidR="00625B49">
        <w:rPr>
          <w:rFonts w:ascii="Times New Roman" w:eastAsia="Times New Roman" w:hAnsi="Times New Roman" w:cs="Times New Roman"/>
          <w:sz w:val="18"/>
          <w:szCs w:val="18"/>
          <w:lang w:bidi="es-ES"/>
        </w:rPr>
        <w:t>Ingreso de Caja MPN</w:t>
      </w:r>
      <w:r w:rsidRPr="00741651">
        <w:rPr>
          <w:rFonts w:ascii="Times New Roman" w:eastAsia="Times New Roman" w:hAnsi="Times New Roman" w:cs="Times New Roman"/>
          <w:sz w:val="18"/>
          <w:szCs w:val="18"/>
          <w:lang w:bidi="es-ES"/>
        </w:rPr>
        <w:t xml:space="preserve"> conforme se detalla anteriormente.</w:t>
      </w:r>
    </w:p>
    <w:p w14:paraId="7BA69743" w14:textId="77777777" w:rsidR="00EA7FCF" w:rsidRPr="00741651" w:rsidRDefault="00EA7FCF" w:rsidP="00741651">
      <w:pPr>
        <w:pStyle w:val="Prrafodelista"/>
        <w:spacing w:after="0" w:line="240" w:lineRule="auto"/>
        <w:ind w:leftChars="0" w:left="1560" w:right="282" w:firstLineChars="0" w:firstLine="0"/>
        <w:jc w:val="both"/>
        <w:rPr>
          <w:rFonts w:ascii="Times New Roman" w:eastAsia="Times New Roman" w:hAnsi="Times New Roman" w:cs="Times New Roman"/>
          <w:lang w:bidi="es-ES"/>
        </w:rPr>
      </w:pPr>
    </w:p>
    <w:p w14:paraId="3F36352E" w14:textId="780D2953" w:rsidR="00195F2C" w:rsidRPr="00214269" w:rsidRDefault="00195F2C">
      <w:pPr>
        <w:pStyle w:val="Prrafodelista"/>
        <w:numPr>
          <w:ilvl w:val="0"/>
          <w:numId w:val="5"/>
        </w:numPr>
        <w:spacing w:after="0" w:line="240" w:lineRule="auto"/>
        <w:ind w:leftChars="0" w:firstLineChars="0"/>
        <w:jc w:val="both"/>
        <w:rPr>
          <w:rFonts w:ascii="Times New Roman" w:eastAsia="Times New Roman" w:hAnsi="Times New Roman" w:cs="Times New Roman"/>
          <w:lang w:bidi="es-ES"/>
        </w:rPr>
      </w:pPr>
      <w:r w:rsidRPr="00214269">
        <w:rPr>
          <w:rFonts w:ascii="Times New Roman" w:eastAsia="Times New Roman" w:hAnsi="Times New Roman" w:cs="Times New Roman"/>
          <w:lang w:bidi="es-ES"/>
        </w:rPr>
        <w:t>Las Fechas de Pago de Intereses, serán las siguientes: 11 de noviembre de 2021, 11 de febrero de 2022, 11 de mayo de 2022, 11 de agosto de 2022, 11 de noviembre de 2022, 11 de febrero de 2023, 11 de mayo de 2023, 11 de agosto de 2023, 11 de noviembre de 2023, 11 de febrero de 2024, 11 de mayo de 2024, 11 de agosto de 2024, 11 de noviembre de 2024, 11 de febrero de 2025, 11 de mayo de 2025, 11 de agosto de 2025, 11 de noviembre de 2025, 11 de febrero de 2026, 11 de mayo de 2026, 11 de agosto de 2026, 11 de noviembre de 2026 y en la Fecha de Vencimiento</w:t>
      </w:r>
      <w:r w:rsidR="00922096" w:rsidRPr="00922096">
        <w:rPr>
          <w:rFonts w:ascii="Times New Roman" w:eastAsia="Times New Roman" w:hAnsi="Times New Roman" w:cs="Times New Roman"/>
          <w:lang w:val="es-AR" w:bidi="es-ES"/>
        </w:rPr>
        <w:t xml:space="preserve"> </w:t>
      </w:r>
      <w:r w:rsidR="00922096" w:rsidRPr="00C14A55">
        <w:rPr>
          <w:rFonts w:ascii="Times New Roman" w:eastAsia="Times New Roman" w:hAnsi="Times New Roman" w:cs="Times New Roman"/>
          <w:lang w:bidi="es-ES"/>
        </w:rPr>
        <w:t xml:space="preserve">en los </w:t>
      </w:r>
      <w:r w:rsidR="00922096" w:rsidRPr="00C14A55">
        <w:rPr>
          <w:rFonts w:ascii="Times New Roman" w:eastAsia="Times New Roman" w:hAnsi="Times New Roman" w:cs="Times New Roman"/>
          <w:lang w:val="es-MX" w:bidi="es-ES"/>
        </w:rPr>
        <w:t xml:space="preserve">T&amp;C </w:t>
      </w:r>
      <w:r w:rsidR="00922096" w:rsidRPr="00C14A55">
        <w:rPr>
          <w:rFonts w:ascii="Times New Roman" w:eastAsia="Times New Roman" w:hAnsi="Times New Roman" w:cs="Times New Roman"/>
          <w:lang w:bidi="es-ES"/>
        </w:rPr>
        <w:t xml:space="preserve">Aplicables en Caso de Acuerdo con </w:t>
      </w:r>
      <w:proofErr w:type="spellStart"/>
      <w:r w:rsidR="00922096" w:rsidRPr="00C14A55">
        <w:rPr>
          <w:rFonts w:ascii="Times New Roman" w:eastAsia="Times New Roman" w:hAnsi="Times New Roman" w:cs="Times New Roman"/>
          <w:lang w:bidi="es-ES"/>
        </w:rPr>
        <w:t>Itaú</w:t>
      </w:r>
      <w:proofErr w:type="spellEnd"/>
      <w:r w:rsidR="00922096" w:rsidRPr="00C14A55">
        <w:rPr>
          <w:rFonts w:ascii="Times New Roman" w:eastAsia="Times New Roman" w:hAnsi="Times New Roman" w:cs="Times New Roman"/>
          <w:lang w:bidi="es-ES"/>
        </w:rPr>
        <w:t xml:space="preserve"> sobre la Participación en Catalinas</w:t>
      </w:r>
      <w:r w:rsidRPr="00214269">
        <w:rPr>
          <w:rFonts w:ascii="Times New Roman" w:eastAsia="Times New Roman" w:hAnsi="Times New Roman" w:cs="Times New Roman"/>
          <w:lang w:bidi="es-ES"/>
        </w:rPr>
        <w:t>, es decir, el 11 de febrero de 2027;</w:t>
      </w:r>
    </w:p>
    <w:p w14:paraId="1DA2F00B" w14:textId="77777777" w:rsidR="00195F2C" w:rsidRPr="007A4D3C" w:rsidRDefault="00195F2C">
      <w:pPr>
        <w:pStyle w:val="Prrafodelista"/>
        <w:spacing w:after="0" w:line="240" w:lineRule="auto"/>
        <w:ind w:leftChars="0" w:left="1285" w:firstLineChars="0" w:firstLine="0"/>
        <w:jc w:val="both"/>
        <w:rPr>
          <w:rFonts w:ascii="Times New Roman" w:eastAsia="Times New Roman" w:hAnsi="Times New Roman" w:cs="Times New Roman"/>
          <w:lang w:bidi="es-ES"/>
        </w:rPr>
      </w:pPr>
    </w:p>
    <w:p w14:paraId="6B324403" w14:textId="11D14C41" w:rsidR="003F685D" w:rsidRDefault="00195F2C" w:rsidP="00F93ED5">
      <w:pPr>
        <w:pStyle w:val="Prrafodelista"/>
        <w:numPr>
          <w:ilvl w:val="0"/>
          <w:numId w:val="5"/>
        </w:numPr>
        <w:spacing w:after="0" w:line="240" w:lineRule="auto"/>
        <w:ind w:leftChars="0" w:firstLineChars="0" w:hanging="292"/>
        <w:jc w:val="both"/>
        <w:rPr>
          <w:rFonts w:ascii="Times New Roman" w:eastAsia="Times New Roman" w:hAnsi="Times New Roman" w:cs="Times New Roman"/>
          <w:lang w:bidi="es-ES"/>
        </w:rPr>
      </w:pPr>
      <w:r w:rsidRPr="003F685D">
        <w:rPr>
          <w:rFonts w:ascii="Times New Roman" w:eastAsia="Times New Roman" w:hAnsi="Times New Roman" w:cs="Times New Roman"/>
          <w:lang w:bidi="es-ES"/>
        </w:rPr>
        <w:t>Las Obligaciones Negociables devengarán intereses sobre el monto de capital</w:t>
      </w:r>
      <w:r w:rsidR="00781841" w:rsidRPr="003F685D">
        <w:rPr>
          <w:rFonts w:ascii="Times New Roman" w:eastAsia="Times New Roman" w:hAnsi="Times New Roman" w:cs="Times New Roman"/>
          <w:lang w:bidi="es-ES"/>
        </w:rPr>
        <w:t xml:space="preserve"> en circulación</w:t>
      </w:r>
      <w:r w:rsidRPr="003F685D">
        <w:rPr>
          <w:rFonts w:ascii="Times New Roman" w:eastAsia="Times New Roman" w:hAnsi="Times New Roman" w:cs="Times New Roman"/>
          <w:lang w:bidi="es-ES"/>
        </w:rPr>
        <w:t xml:space="preserve"> impago: (i) para los Períodos de Intereses que devenguen entre la Fecha de Pago de Intereses correspondiente al 11 de noviembre de 2021 (inclusive) y la Fecha de Pago de Intereses correspondiente al 11 de febrero de 2023 (</w:t>
      </w:r>
      <w:r w:rsidR="009B65FD">
        <w:rPr>
          <w:rFonts w:ascii="Times New Roman" w:eastAsia="Times New Roman" w:hAnsi="Times New Roman" w:cs="Times New Roman"/>
          <w:lang w:bidi="es-ES"/>
        </w:rPr>
        <w:t>ex</w:t>
      </w:r>
      <w:r w:rsidRPr="003F685D">
        <w:rPr>
          <w:rFonts w:ascii="Times New Roman" w:eastAsia="Times New Roman" w:hAnsi="Times New Roman" w:cs="Times New Roman"/>
          <w:lang w:bidi="es-ES"/>
        </w:rPr>
        <w:t>clusive), a una tasa de interés fija del 3,50% nominal anual</w:t>
      </w:r>
      <w:r w:rsidR="0011176E" w:rsidRPr="003F685D">
        <w:rPr>
          <w:rFonts w:ascii="Times New Roman" w:eastAsia="Times New Roman" w:hAnsi="Times New Roman" w:cs="Times New Roman"/>
          <w:lang w:bidi="es-ES"/>
        </w:rPr>
        <w:t>, esta tasa de interés también será aplicable a los intereses correspondientes al Período de Intereses cuya Fecha de Pago de Intereses venció el 11 de agosto de 2021 siendo el capital actualizado</w:t>
      </w:r>
      <w:r w:rsidR="003221AE">
        <w:rPr>
          <w:rFonts w:ascii="Times New Roman" w:eastAsia="Times New Roman" w:hAnsi="Times New Roman" w:cs="Times New Roman"/>
          <w:lang w:bidi="es-ES"/>
        </w:rPr>
        <w:t xml:space="preserve"> de las Obligaciones Negociables</w:t>
      </w:r>
      <w:r w:rsidR="0011176E" w:rsidRPr="003F685D">
        <w:rPr>
          <w:rFonts w:ascii="Times New Roman" w:eastAsia="Times New Roman" w:hAnsi="Times New Roman" w:cs="Times New Roman"/>
          <w:lang w:bidi="es-ES"/>
        </w:rPr>
        <w:t xml:space="preserve"> a la fecha de la presente Solicitud de Consentimiento</w:t>
      </w:r>
      <w:r w:rsidR="00B429A1">
        <w:rPr>
          <w:rFonts w:ascii="Times New Roman" w:eastAsia="Times New Roman" w:hAnsi="Times New Roman" w:cs="Times New Roman"/>
          <w:lang w:bidi="es-ES"/>
        </w:rPr>
        <w:t xml:space="preserve"> </w:t>
      </w:r>
      <w:r w:rsidR="0011176E" w:rsidRPr="003F685D">
        <w:rPr>
          <w:rFonts w:ascii="Times New Roman" w:eastAsia="Times New Roman" w:hAnsi="Times New Roman" w:cs="Times New Roman"/>
          <w:lang w:bidi="es-ES"/>
        </w:rPr>
        <w:t>de US$20.484.229,92</w:t>
      </w:r>
      <w:r w:rsidRPr="003F685D">
        <w:rPr>
          <w:rFonts w:ascii="Times New Roman" w:eastAsia="Times New Roman" w:hAnsi="Times New Roman" w:cs="Times New Roman"/>
          <w:lang w:bidi="es-ES"/>
        </w:rPr>
        <w:t xml:space="preserve">; (ii) para los Períodos de Intereses que devenguen entre la Fecha de Pago de Intereses del 11 de </w:t>
      </w:r>
      <w:r w:rsidR="009E1FAA">
        <w:rPr>
          <w:rFonts w:ascii="Times New Roman" w:eastAsia="Times New Roman" w:hAnsi="Times New Roman" w:cs="Times New Roman"/>
          <w:lang w:bidi="es-ES"/>
        </w:rPr>
        <w:t>febrero</w:t>
      </w:r>
      <w:r w:rsidRPr="003F685D">
        <w:rPr>
          <w:rFonts w:ascii="Times New Roman" w:eastAsia="Times New Roman" w:hAnsi="Times New Roman" w:cs="Times New Roman"/>
          <w:lang w:bidi="es-ES"/>
        </w:rPr>
        <w:t xml:space="preserve"> de 2023 (inclusive) y la Fecha de Pago de Intereses del 11 de febrero de 2024 (</w:t>
      </w:r>
      <w:r w:rsidR="009E1FAA">
        <w:rPr>
          <w:rFonts w:ascii="Times New Roman" w:eastAsia="Times New Roman" w:hAnsi="Times New Roman" w:cs="Times New Roman"/>
          <w:lang w:bidi="es-ES"/>
        </w:rPr>
        <w:t>ex</w:t>
      </w:r>
      <w:r w:rsidRPr="003F685D">
        <w:rPr>
          <w:rFonts w:ascii="Times New Roman" w:eastAsia="Times New Roman" w:hAnsi="Times New Roman" w:cs="Times New Roman"/>
          <w:lang w:bidi="es-ES"/>
        </w:rPr>
        <w:t xml:space="preserve">clusive), a una tasa de interés fija del 4,50% nominal anual; (iii) para los Períodos de Intereses que devenguen entre la Fecha de Pago de Intereses del 11 de </w:t>
      </w:r>
      <w:r w:rsidR="009E1FAA">
        <w:rPr>
          <w:rFonts w:ascii="Times New Roman" w:eastAsia="Times New Roman" w:hAnsi="Times New Roman" w:cs="Times New Roman"/>
          <w:lang w:bidi="es-ES"/>
        </w:rPr>
        <w:t>febrero</w:t>
      </w:r>
      <w:r w:rsidRPr="003F685D">
        <w:rPr>
          <w:rFonts w:ascii="Times New Roman" w:eastAsia="Times New Roman" w:hAnsi="Times New Roman" w:cs="Times New Roman"/>
          <w:lang w:bidi="es-ES"/>
        </w:rPr>
        <w:t xml:space="preserve"> de 2024 (inclusive) y la Fecha de Pago de Intereses del 11 de febrero de 2025 (</w:t>
      </w:r>
      <w:r w:rsidR="009E1FAA">
        <w:rPr>
          <w:rFonts w:ascii="Times New Roman" w:eastAsia="Times New Roman" w:hAnsi="Times New Roman" w:cs="Times New Roman"/>
          <w:lang w:bidi="es-ES"/>
        </w:rPr>
        <w:t>ex</w:t>
      </w:r>
      <w:r w:rsidRPr="003F685D">
        <w:rPr>
          <w:rFonts w:ascii="Times New Roman" w:eastAsia="Times New Roman" w:hAnsi="Times New Roman" w:cs="Times New Roman"/>
          <w:lang w:bidi="es-ES"/>
        </w:rPr>
        <w:t>clusive), a una tasa de interés fija del 5,50% nominal anual; (iv) para los Períodos de Intereses que devenguen</w:t>
      </w:r>
      <w:r w:rsidRPr="003F685D" w:rsidDel="003E7F77">
        <w:rPr>
          <w:rFonts w:ascii="Times New Roman" w:eastAsia="Times New Roman" w:hAnsi="Times New Roman" w:cs="Times New Roman"/>
          <w:lang w:bidi="es-ES"/>
        </w:rPr>
        <w:t xml:space="preserve"> </w:t>
      </w:r>
      <w:r w:rsidRPr="003F685D">
        <w:rPr>
          <w:rFonts w:ascii="Times New Roman" w:eastAsia="Times New Roman" w:hAnsi="Times New Roman" w:cs="Times New Roman"/>
          <w:lang w:bidi="es-ES"/>
        </w:rPr>
        <w:t xml:space="preserve">entre la Fecha de Pago de Intereses del 11 de </w:t>
      </w:r>
      <w:r w:rsidR="009E1FAA">
        <w:rPr>
          <w:rFonts w:ascii="Times New Roman" w:eastAsia="Times New Roman" w:hAnsi="Times New Roman" w:cs="Times New Roman"/>
          <w:lang w:bidi="es-ES"/>
        </w:rPr>
        <w:t>febrero</w:t>
      </w:r>
      <w:r w:rsidRPr="003F685D">
        <w:rPr>
          <w:rFonts w:ascii="Times New Roman" w:eastAsia="Times New Roman" w:hAnsi="Times New Roman" w:cs="Times New Roman"/>
          <w:lang w:bidi="es-ES"/>
        </w:rPr>
        <w:t xml:space="preserve"> de 2025 (inclusive) y la Fecha de Pago de Intereses del 11 de febrero de 2026 (</w:t>
      </w:r>
      <w:r w:rsidR="009E1FAA">
        <w:rPr>
          <w:rFonts w:ascii="Times New Roman" w:eastAsia="Times New Roman" w:hAnsi="Times New Roman" w:cs="Times New Roman"/>
          <w:lang w:bidi="es-ES"/>
        </w:rPr>
        <w:t>ex</w:t>
      </w:r>
      <w:r w:rsidRPr="003F685D">
        <w:rPr>
          <w:rFonts w:ascii="Times New Roman" w:eastAsia="Times New Roman" w:hAnsi="Times New Roman" w:cs="Times New Roman"/>
          <w:lang w:bidi="es-ES"/>
        </w:rPr>
        <w:t xml:space="preserve">clusive), a una tasa de interés fija del 6,50% nominal anual; y (v) para los Períodos de Intereses que devenguen entre la Fecha de Pago de Intereses del 11 de </w:t>
      </w:r>
      <w:r w:rsidR="009E1FAA">
        <w:rPr>
          <w:rFonts w:ascii="Times New Roman" w:eastAsia="Times New Roman" w:hAnsi="Times New Roman" w:cs="Times New Roman"/>
          <w:lang w:bidi="es-ES"/>
        </w:rPr>
        <w:t>febrero</w:t>
      </w:r>
      <w:r w:rsidRPr="003F685D">
        <w:rPr>
          <w:rFonts w:ascii="Times New Roman" w:eastAsia="Times New Roman" w:hAnsi="Times New Roman" w:cs="Times New Roman"/>
          <w:lang w:bidi="es-ES"/>
        </w:rPr>
        <w:t xml:space="preserve"> de 2026 (inclusive) y hasta la Fecha de Vencimiento</w:t>
      </w:r>
      <w:r w:rsidR="00BE483D">
        <w:rPr>
          <w:rFonts w:ascii="Times New Roman" w:eastAsia="Times New Roman" w:hAnsi="Times New Roman" w:cs="Times New Roman"/>
          <w:lang w:bidi="es-ES"/>
        </w:rPr>
        <w:t xml:space="preserve"> </w:t>
      </w:r>
      <w:r w:rsidR="00BE483D" w:rsidRPr="00C14A55">
        <w:rPr>
          <w:rFonts w:ascii="Times New Roman" w:eastAsia="Times New Roman" w:hAnsi="Times New Roman" w:cs="Times New Roman"/>
          <w:lang w:bidi="es-ES"/>
        </w:rPr>
        <w:t xml:space="preserve">en los </w:t>
      </w:r>
      <w:r w:rsidR="00BE483D" w:rsidRPr="00C14A55">
        <w:rPr>
          <w:rFonts w:ascii="Times New Roman" w:eastAsia="Times New Roman" w:hAnsi="Times New Roman" w:cs="Times New Roman"/>
          <w:lang w:val="es-MX" w:bidi="es-ES"/>
        </w:rPr>
        <w:t xml:space="preserve">T&amp;C </w:t>
      </w:r>
      <w:r w:rsidR="00BE483D" w:rsidRPr="00C14A55">
        <w:rPr>
          <w:rFonts w:ascii="Times New Roman" w:eastAsia="Times New Roman" w:hAnsi="Times New Roman" w:cs="Times New Roman"/>
          <w:lang w:bidi="es-ES"/>
        </w:rPr>
        <w:t xml:space="preserve">Aplicables en Caso de Acuerdo con </w:t>
      </w:r>
      <w:proofErr w:type="spellStart"/>
      <w:r w:rsidR="00BE483D" w:rsidRPr="00C14A55">
        <w:rPr>
          <w:rFonts w:ascii="Times New Roman" w:eastAsia="Times New Roman" w:hAnsi="Times New Roman" w:cs="Times New Roman"/>
          <w:lang w:bidi="es-ES"/>
        </w:rPr>
        <w:t>Itaú</w:t>
      </w:r>
      <w:proofErr w:type="spellEnd"/>
      <w:r w:rsidR="00BE483D" w:rsidRPr="00C14A55">
        <w:rPr>
          <w:rFonts w:ascii="Times New Roman" w:eastAsia="Times New Roman" w:hAnsi="Times New Roman" w:cs="Times New Roman"/>
          <w:lang w:bidi="es-ES"/>
        </w:rPr>
        <w:t xml:space="preserve"> sobre la Participación en Catalinas</w:t>
      </w:r>
      <w:r w:rsidRPr="003F685D">
        <w:rPr>
          <w:rFonts w:ascii="Times New Roman" w:eastAsia="Times New Roman" w:hAnsi="Times New Roman" w:cs="Times New Roman"/>
          <w:lang w:bidi="es-ES"/>
        </w:rPr>
        <w:t>, a una tasa de interés fija del 7,50% nominal anual</w:t>
      </w:r>
      <w:r w:rsidR="004E7C62" w:rsidRPr="003F685D">
        <w:rPr>
          <w:rFonts w:ascii="Times New Roman" w:eastAsia="Times New Roman" w:hAnsi="Times New Roman" w:cs="Times New Roman"/>
          <w:lang w:bidi="es-ES"/>
        </w:rPr>
        <w:t xml:space="preserve">. </w:t>
      </w:r>
    </w:p>
    <w:p w14:paraId="31BDAC37" w14:textId="77777777" w:rsidR="00195F2C" w:rsidRPr="003F685D" w:rsidRDefault="00195F2C" w:rsidP="003F685D">
      <w:pPr>
        <w:pStyle w:val="Prrafodelista"/>
        <w:spacing w:after="0" w:line="240" w:lineRule="auto"/>
        <w:ind w:leftChars="0" w:left="1285" w:firstLineChars="0" w:firstLine="0"/>
        <w:jc w:val="both"/>
        <w:rPr>
          <w:rFonts w:ascii="Times New Roman" w:eastAsia="Times New Roman" w:hAnsi="Times New Roman" w:cs="Times New Roman"/>
          <w:lang w:bidi="es-ES"/>
        </w:rPr>
      </w:pPr>
    </w:p>
    <w:p w14:paraId="54848761" w14:textId="01DA5AA8" w:rsidR="00195F2C" w:rsidRPr="000D01F5" w:rsidRDefault="00195F2C" w:rsidP="00BA1BE2">
      <w:pPr>
        <w:spacing w:after="0" w:line="240" w:lineRule="auto"/>
        <w:ind w:leftChars="0" w:left="1276" w:firstLineChars="0" w:firstLine="0"/>
        <w:jc w:val="both"/>
        <w:rPr>
          <w:rFonts w:ascii="Times New Roman" w:eastAsia="Times New Roman" w:hAnsi="Times New Roman" w:cs="Times New Roman"/>
          <w:lang w:bidi="es-ES"/>
        </w:rPr>
      </w:pPr>
      <w:r w:rsidRPr="000D01F5">
        <w:rPr>
          <w:rFonts w:ascii="Times New Roman" w:eastAsia="Times New Roman" w:hAnsi="Times New Roman" w:cs="Times New Roman"/>
          <w:lang w:bidi="es-ES"/>
        </w:rPr>
        <w:t xml:space="preserve">No obstante lo establecido anteriormente, </w:t>
      </w:r>
      <w:r w:rsidRPr="000D01F5">
        <w:rPr>
          <w:rFonts w:ascii="Times New Roman" w:eastAsia="Times New Roman" w:hAnsi="Times New Roman" w:cs="Times New Roman"/>
          <w:lang w:val="es-AR" w:bidi="es-ES"/>
        </w:rPr>
        <w:t xml:space="preserve">en caso de que </w:t>
      </w:r>
      <w:r w:rsidRPr="000D01F5">
        <w:rPr>
          <w:rFonts w:ascii="Times New Roman" w:eastAsia="Times New Roman" w:hAnsi="Times New Roman" w:cs="Times New Roman"/>
          <w:lang w:bidi="es-ES"/>
        </w:rPr>
        <w:t xml:space="preserve">la Sociedad cumpla con el pago </w:t>
      </w:r>
      <w:r w:rsidR="002B5AC6" w:rsidRPr="000D01F5">
        <w:rPr>
          <w:rFonts w:ascii="Times New Roman" w:eastAsia="Times New Roman" w:hAnsi="Times New Roman" w:cs="Times New Roman"/>
          <w:lang w:bidi="es-ES"/>
        </w:rPr>
        <w:t xml:space="preserve">del </w:t>
      </w:r>
      <w:r w:rsidR="008F1C81" w:rsidRPr="000D01F5">
        <w:rPr>
          <w:rFonts w:ascii="Times New Roman" w:eastAsia="Times New Roman" w:hAnsi="Times New Roman" w:cs="Times New Roman"/>
          <w:lang w:bidi="es-ES"/>
        </w:rPr>
        <w:t>P</w:t>
      </w:r>
      <w:r w:rsidR="002B5AC6" w:rsidRPr="000D01F5">
        <w:rPr>
          <w:rFonts w:ascii="Times New Roman" w:eastAsia="Times New Roman" w:hAnsi="Times New Roman" w:cs="Times New Roman"/>
          <w:lang w:bidi="es-ES"/>
        </w:rPr>
        <w:t xml:space="preserve">orcentaje </w:t>
      </w:r>
      <w:r w:rsidR="008F1C81" w:rsidRPr="000D01F5">
        <w:rPr>
          <w:rFonts w:ascii="Times New Roman" w:eastAsia="Times New Roman" w:hAnsi="Times New Roman" w:cs="Times New Roman"/>
          <w:lang w:bidi="es-ES"/>
        </w:rPr>
        <w:t>M</w:t>
      </w:r>
      <w:r w:rsidR="002B5AC6" w:rsidRPr="000D01F5">
        <w:rPr>
          <w:rFonts w:ascii="Times New Roman" w:eastAsia="Times New Roman" w:hAnsi="Times New Roman" w:cs="Times New Roman"/>
          <w:lang w:bidi="es-ES"/>
        </w:rPr>
        <w:t xml:space="preserve">áximo </w:t>
      </w:r>
      <w:r w:rsidRPr="000D01F5">
        <w:rPr>
          <w:rFonts w:ascii="Times New Roman" w:eastAsia="Times New Roman" w:hAnsi="Times New Roman" w:cs="Times New Roman"/>
          <w:lang w:bidi="es-ES"/>
        </w:rPr>
        <w:t xml:space="preserve">de la Cuota de Amortización por </w:t>
      </w:r>
      <w:r w:rsidR="00625B49" w:rsidRPr="000D01F5">
        <w:rPr>
          <w:rFonts w:ascii="Times New Roman" w:eastAsia="Times New Roman" w:hAnsi="Times New Roman" w:cs="Times New Roman"/>
          <w:lang w:bidi="es-ES"/>
        </w:rPr>
        <w:t>Ingreso de Caja MPN</w:t>
      </w:r>
      <w:r w:rsidRPr="000D01F5">
        <w:rPr>
          <w:rFonts w:ascii="Times New Roman" w:eastAsia="Times New Roman" w:hAnsi="Times New Roman" w:cs="Times New Roman"/>
          <w:lang w:bidi="es-ES"/>
        </w:rPr>
        <w:t xml:space="preserve"> en cada Fecha de Amortización por </w:t>
      </w:r>
      <w:r w:rsidR="00625B49" w:rsidRPr="000D01F5">
        <w:rPr>
          <w:rFonts w:ascii="Times New Roman" w:eastAsia="Times New Roman" w:hAnsi="Times New Roman" w:cs="Times New Roman"/>
          <w:lang w:bidi="es-ES"/>
        </w:rPr>
        <w:t>Ingreso de Caja MPN</w:t>
      </w:r>
      <w:r w:rsidRPr="000D01F5">
        <w:rPr>
          <w:rFonts w:ascii="Times New Roman" w:eastAsia="Times New Roman" w:hAnsi="Times New Roman" w:cs="Times New Roman"/>
          <w:lang w:bidi="es-ES"/>
        </w:rPr>
        <w:t xml:space="preserve">, los intereses a devengarse sobre el capital </w:t>
      </w:r>
      <w:r w:rsidR="00781841" w:rsidRPr="000D01F5">
        <w:rPr>
          <w:rFonts w:ascii="Times New Roman" w:eastAsia="Times New Roman" w:hAnsi="Times New Roman" w:cs="Times New Roman"/>
          <w:lang w:bidi="es-ES"/>
        </w:rPr>
        <w:t xml:space="preserve">en circulación </w:t>
      </w:r>
      <w:r w:rsidRPr="000D01F5">
        <w:rPr>
          <w:rFonts w:ascii="Times New Roman" w:eastAsia="Times New Roman" w:hAnsi="Times New Roman" w:cs="Times New Roman"/>
          <w:lang w:bidi="es-ES"/>
        </w:rPr>
        <w:t xml:space="preserve">impago de las Obligaciones Negociables </w:t>
      </w:r>
      <w:r w:rsidRPr="000D01F5">
        <w:rPr>
          <w:rFonts w:ascii="Times New Roman" w:eastAsia="Times New Roman" w:hAnsi="Times New Roman" w:cs="Times New Roman"/>
          <w:lang w:bidi="es-ES"/>
        </w:rPr>
        <w:lastRenderedPageBreak/>
        <w:t>para los Períodos de Intereses que corran entre la Fecha de Pago de Intereses del 11 de mayo de 2024 y la Fecha de Vencimiento</w:t>
      </w:r>
      <w:r w:rsidR="00990005">
        <w:rPr>
          <w:rFonts w:ascii="Times New Roman" w:eastAsia="Times New Roman" w:hAnsi="Times New Roman" w:cs="Times New Roman"/>
          <w:lang w:bidi="es-ES"/>
        </w:rPr>
        <w:t xml:space="preserve"> </w:t>
      </w:r>
      <w:r w:rsidR="00990005" w:rsidRPr="00D06052">
        <w:rPr>
          <w:rFonts w:ascii="Times New Roman" w:eastAsia="Times New Roman" w:hAnsi="Times New Roman" w:cs="Times New Roman"/>
          <w:lang w:bidi="es-ES"/>
        </w:rPr>
        <w:t xml:space="preserve">en los </w:t>
      </w:r>
      <w:r w:rsidR="00990005" w:rsidRPr="00D06052">
        <w:rPr>
          <w:rFonts w:ascii="Times New Roman" w:eastAsia="Times New Roman" w:hAnsi="Times New Roman" w:cs="Times New Roman"/>
          <w:lang w:val="es-MX" w:bidi="es-ES"/>
        </w:rPr>
        <w:t xml:space="preserve">T&amp;C </w:t>
      </w:r>
      <w:r w:rsidR="00990005" w:rsidRPr="00D06052">
        <w:rPr>
          <w:rFonts w:ascii="Times New Roman" w:eastAsia="Times New Roman" w:hAnsi="Times New Roman" w:cs="Times New Roman"/>
          <w:lang w:bidi="es-ES"/>
        </w:rPr>
        <w:t xml:space="preserve">Aplicables en Caso de Acuerdo con </w:t>
      </w:r>
      <w:proofErr w:type="spellStart"/>
      <w:r w:rsidR="00990005" w:rsidRPr="00D06052">
        <w:rPr>
          <w:rFonts w:ascii="Times New Roman" w:eastAsia="Times New Roman" w:hAnsi="Times New Roman" w:cs="Times New Roman"/>
          <w:lang w:bidi="es-ES"/>
        </w:rPr>
        <w:t>Itaú</w:t>
      </w:r>
      <w:proofErr w:type="spellEnd"/>
      <w:r w:rsidR="00990005" w:rsidRPr="00D06052">
        <w:rPr>
          <w:rFonts w:ascii="Times New Roman" w:eastAsia="Times New Roman" w:hAnsi="Times New Roman" w:cs="Times New Roman"/>
          <w:lang w:bidi="es-ES"/>
        </w:rPr>
        <w:t xml:space="preserve"> sobre la Participación en Catalinas</w:t>
      </w:r>
      <w:r w:rsidRPr="000D01F5">
        <w:rPr>
          <w:rFonts w:ascii="Times New Roman" w:eastAsia="Times New Roman" w:hAnsi="Times New Roman" w:cs="Times New Roman"/>
          <w:lang w:bidi="es-ES"/>
        </w:rPr>
        <w:t>, se reducirán un 0,5</w:t>
      </w:r>
      <w:r w:rsidR="003221AE" w:rsidRPr="000D01F5">
        <w:rPr>
          <w:rFonts w:ascii="Times New Roman" w:eastAsia="Times New Roman" w:hAnsi="Times New Roman" w:cs="Times New Roman"/>
          <w:lang w:bidi="es-ES"/>
        </w:rPr>
        <w:t>0</w:t>
      </w:r>
      <w:r w:rsidRPr="000D01F5">
        <w:rPr>
          <w:rFonts w:ascii="Times New Roman" w:eastAsia="Times New Roman" w:hAnsi="Times New Roman" w:cs="Times New Roman"/>
          <w:lang w:bidi="es-ES"/>
        </w:rPr>
        <w:t xml:space="preserve">%, quedando establecido en ese caso el siguiente esquema de intereses: (i) para los Períodos de Intereses que devenguen entre la Fecha de Pago de Intereses del 11 de </w:t>
      </w:r>
      <w:r w:rsidR="009E1FAA" w:rsidRPr="000D01F5">
        <w:rPr>
          <w:rFonts w:ascii="Times New Roman" w:eastAsia="Times New Roman" w:hAnsi="Times New Roman" w:cs="Times New Roman"/>
          <w:lang w:bidi="es-ES"/>
        </w:rPr>
        <w:t>febrero</w:t>
      </w:r>
      <w:r w:rsidRPr="000D01F5">
        <w:rPr>
          <w:rFonts w:ascii="Times New Roman" w:eastAsia="Times New Roman" w:hAnsi="Times New Roman" w:cs="Times New Roman"/>
          <w:lang w:bidi="es-ES"/>
        </w:rPr>
        <w:t xml:space="preserve"> de 2024 (inclusive) y la Fecha de Pago de Intereses del 11 de febrero de 2025 (</w:t>
      </w:r>
      <w:r w:rsidR="009E1FAA" w:rsidRPr="000D01F5">
        <w:rPr>
          <w:rFonts w:ascii="Times New Roman" w:eastAsia="Times New Roman" w:hAnsi="Times New Roman" w:cs="Times New Roman"/>
          <w:lang w:bidi="es-ES"/>
        </w:rPr>
        <w:t>ex</w:t>
      </w:r>
      <w:r w:rsidRPr="000D01F5">
        <w:rPr>
          <w:rFonts w:ascii="Times New Roman" w:eastAsia="Times New Roman" w:hAnsi="Times New Roman" w:cs="Times New Roman"/>
          <w:lang w:bidi="es-ES"/>
        </w:rPr>
        <w:t>clusive), a una tasa de interés fija del 5</w:t>
      </w:r>
      <w:r w:rsidR="003221AE" w:rsidRPr="000D01F5">
        <w:rPr>
          <w:rFonts w:ascii="Times New Roman" w:eastAsia="Times New Roman" w:hAnsi="Times New Roman" w:cs="Times New Roman"/>
          <w:lang w:bidi="es-ES"/>
        </w:rPr>
        <w:t>,00</w:t>
      </w:r>
      <w:r w:rsidRPr="000D01F5">
        <w:rPr>
          <w:rFonts w:ascii="Times New Roman" w:eastAsia="Times New Roman" w:hAnsi="Times New Roman" w:cs="Times New Roman"/>
          <w:lang w:bidi="es-ES"/>
        </w:rPr>
        <w:t>% nominal anual; (ii) para los Períodos de Intereses que devenguen</w:t>
      </w:r>
      <w:r w:rsidRPr="000D01F5" w:rsidDel="003E7F77">
        <w:rPr>
          <w:rFonts w:ascii="Times New Roman" w:eastAsia="Times New Roman" w:hAnsi="Times New Roman" w:cs="Times New Roman"/>
          <w:lang w:bidi="es-ES"/>
        </w:rPr>
        <w:t xml:space="preserve"> </w:t>
      </w:r>
      <w:r w:rsidRPr="000D01F5">
        <w:rPr>
          <w:rFonts w:ascii="Times New Roman" w:eastAsia="Times New Roman" w:hAnsi="Times New Roman" w:cs="Times New Roman"/>
          <w:lang w:bidi="es-ES"/>
        </w:rPr>
        <w:t xml:space="preserve">entre la Fecha de Pago de Intereses del 11 de </w:t>
      </w:r>
      <w:r w:rsidR="009E1FAA" w:rsidRPr="000D01F5">
        <w:rPr>
          <w:rFonts w:ascii="Times New Roman" w:eastAsia="Times New Roman" w:hAnsi="Times New Roman" w:cs="Times New Roman"/>
          <w:lang w:bidi="es-ES"/>
        </w:rPr>
        <w:t>febrero</w:t>
      </w:r>
      <w:r w:rsidRPr="000D01F5">
        <w:rPr>
          <w:rFonts w:ascii="Times New Roman" w:eastAsia="Times New Roman" w:hAnsi="Times New Roman" w:cs="Times New Roman"/>
          <w:lang w:bidi="es-ES"/>
        </w:rPr>
        <w:t xml:space="preserve"> de 2025 (inclusive) y la Fecha de Pago de Intereses del 11 de febrero de 2026 (</w:t>
      </w:r>
      <w:r w:rsidR="009E1FAA" w:rsidRPr="000D01F5">
        <w:rPr>
          <w:rFonts w:ascii="Times New Roman" w:eastAsia="Times New Roman" w:hAnsi="Times New Roman" w:cs="Times New Roman"/>
          <w:lang w:bidi="es-ES"/>
        </w:rPr>
        <w:t>ex</w:t>
      </w:r>
      <w:r w:rsidRPr="000D01F5">
        <w:rPr>
          <w:rFonts w:ascii="Times New Roman" w:eastAsia="Times New Roman" w:hAnsi="Times New Roman" w:cs="Times New Roman"/>
          <w:lang w:bidi="es-ES"/>
        </w:rPr>
        <w:t>clusive), a una tasa de interés fija del 6</w:t>
      </w:r>
      <w:r w:rsidR="003221AE" w:rsidRPr="000D01F5">
        <w:rPr>
          <w:rFonts w:ascii="Times New Roman" w:eastAsia="Times New Roman" w:hAnsi="Times New Roman" w:cs="Times New Roman"/>
          <w:lang w:bidi="es-ES"/>
        </w:rPr>
        <w:t>,00</w:t>
      </w:r>
      <w:r w:rsidRPr="000D01F5">
        <w:rPr>
          <w:rFonts w:ascii="Times New Roman" w:eastAsia="Times New Roman" w:hAnsi="Times New Roman" w:cs="Times New Roman"/>
          <w:lang w:bidi="es-ES"/>
        </w:rPr>
        <w:t>% nominal anual; y (iii) para los Períodos de Intereses que devenguen</w:t>
      </w:r>
      <w:r w:rsidRPr="000D01F5" w:rsidDel="003E7F77">
        <w:rPr>
          <w:rFonts w:ascii="Times New Roman" w:eastAsia="Times New Roman" w:hAnsi="Times New Roman" w:cs="Times New Roman"/>
          <w:lang w:bidi="es-ES"/>
        </w:rPr>
        <w:t xml:space="preserve"> </w:t>
      </w:r>
      <w:r w:rsidRPr="000D01F5">
        <w:rPr>
          <w:rFonts w:ascii="Times New Roman" w:eastAsia="Times New Roman" w:hAnsi="Times New Roman" w:cs="Times New Roman"/>
          <w:lang w:bidi="es-ES"/>
        </w:rPr>
        <w:t xml:space="preserve"> entre la Fecha de Pago de Intereses del 11 de </w:t>
      </w:r>
      <w:r w:rsidR="009E1FAA" w:rsidRPr="000D01F5">
        <w:rPr>
          <w:rFonts w:ascii="Times New Roman" w:eastAsia="Times New Roman" w:hAnsi="Times New Roman" w:cs="Times New Roman"/>
          <w:lang w:bidi="es-ES"/>
        </w:rPr>
        <w:t>febrero</w:t>
      </w:r>
      <w:r w:rsidRPr="000D01F5">
        <w:rPr>
          <w:rFonts w:ascii="Times New Roman" w:eastAsia="Times New Roman" w:hAnsi="Times New Roman" w:cs="Times New Roman"/>
          <w:lang w:bidi="es-ES"/>
        </w:rPr>
        <w:t xml:space="preserve"> de 2026 (inclusive) y hasta la Fecha de Vencimiento</w:t>
      </w:r>
      <w:r w:rsidR="00647F4C" w:rsidRPr="000D01F5">
        <w:rPr>
          <w:rFonts w:ascii="Times New Roman" w:eastAsia="Times New Roman" w:hAnsi="Times New Roman" w:cs="Times New Roman"/>
          <w:lang w:bidi="es-ES"/>
        </w:rPr>
        <w:t xml:space="preserve"> </w:t>
      </w:r>
      <w:r w:rsidR="00647F4C" w:rsidRPr="00C14A55">
        <w:rPr>
          <w:rFonts w:ascii="Times New Roman" w:eastAsia="Times New Roman" w:hAnsi="Times New Roman" w:cs="Times New Roman"/>
          <w:lang w:bidi="es-ES"/>
        </w:rPr>
        <w:t xml:space="preserve">en los </w:t>
      </w:r>
      <w:r w:rsidR="00647F4C" w:rsidRPr="00C14A55">
        <w:rPr>
          <w:rFonts w:ascii="Times New Roman" w:eastAsia="Times New Roman" w:hAnsi="Times New Roman" w:cs="Times New Roman"/>
          <w:lang w:val="es-MX" w:bidi="es-ES"/>
        </w:rPr>
        <w:t xml:space="preserve">T&amp;C </w:t>
      </w:r>
      <w:r w:rsidR="00647F4C" w:rsidRPr="00C14A55">
        <w:rPr>
          <w:rFonts w:ascii="Times New Roman" w:eastAsia="Times New Roman" w:hAnsi="Times New Roman" w:cs="Times New Roman"/>
          <w:lang w:bidi="es-ES"/>
        </w:rPr>
        <w:t xml:space="preserve">Aplicables en Caso de Acuerdo con </w:t>
      </w:r>
      <w:proofErr w:type="spellStart"/>
      <w:r w:rsidR="00647F4C" w:rsidRPr="00C14A55">
        <w:rPr>
          <w:rFonts w:ascii="Times New Roman" w:eastAsia="Times New Roman" w:hAnsi="Times New Roman" w:cs="Times New Roman"/>
          <w:lang w:bidi="es-ES"/>
        </w:rPr>
        <w:t>Itaú</w:t>
      </w:r>
      <w:proofErr w:type="spellEnd"/>
      <w:r w:rsidR="00647F4C" w:rsidRPr="00C14A55">
        <w:rPr>
          <w:rFonts w:ascii="Times New Roman" w:eastAsia="Times New Roman" w:hAnsi="Times New Roman" w:cs="Times New Roman"/>
          <w:lang w:bidi="es-ES"/>
        </w:rPr>
        <w:t xml:space="preserve"> sobre la Participación en Catalinas</w:t>
      </w:r>
      <w:r w:rsidRPr="000D01F5">
        <w:rPr>
          <w:rFonts w:ascii="Times New Roman" w:eastAsia="Times New Roman" w:hAnsi="Times New Roman" w:cs="Times New Roman"/>
          <w:lang w:bidi="es-ES"/>
        </w:rPr>
        <w:t>, a una tasa de interés fija del 7</w:t>
      </w:r>
      <w:r w:rsidR="003221AE" w:rsidRPr="000D01F5">
        <w:rPr>
          <w:rFonts w:ascii="Times New Roman" w:eastAsia="Times New Roman" w:hAnsi="Times New Roman" w:cs="Times New Roman"/>
          <w:lang w:bidi="es-ES"/>
        </w:rPr>
        <w:t>,00</w:t>
      </w:r>
      <w:r w:rsidRPr="000D01F5">
        <w:rPr>
          <w:rFonts w:ascii="Times New Roman" w:eastAsia="Times New Roman" w:hAnsi="Times New Roman" w:cs="Times New Roman"/>
          <w:lang w:bidi="es-ES"/>
        </w:rPr>
        <w:t>% nominal anual;</w:t>
      </w:r>
    </w:p>
    <w:p w14:paraId="7B4A866D" w14:textId="77777777" w:rsidR="00195F2C" w:rsidRPr="0062702E" w:rsidRDefault="00195F2C">
      <w:pPr>
        <w:pStyle w:val="Prrafodelista"/>
        <w:spacing w:after="0" w:line="240" w:lineRule="auto"/>
        <w:ind w:leftChars="0" w:left="1285" w:firstLineChars="0" w:firstLine="0"/>
        <w:jc w:val="both"/>
        <w:rPr>
          <w:rFonts w:ascii="Times New Roman" w:eastAsia="Times New Roman" w:hAnsi="Times New Roman" w:cs="Times New Roman"/>
          <w:lang w:bidi="es-ES"/>
        </w:rPr>
      </w:pPr>
    </w:p>
    <w:p w14:paraId="360790D3" w14:textId="1506839B" w:rsidR="009943B2" w:rsidRPr="009943B2" w:rsidRDefault="00195F2C" w:rsidP="00F93ED5">
      <w:pPr>
        <w:pStyle w:val="Prrafodelista"/>
        <w:numPr>
          <w:ilvl w:val="0"/>
          <w:numId w:val="5"/>
        </w:numPr>
        <w:spacing w:after="0"/>
        <w:ind w:leftChars="0" w:left="1281" w:firstLineChars="0" w:hanging="357"/>
        <w:jc w:val="both"/>
        <w:rPr>
          <w:lang w:bidi="es-ES"/>
        </w:rPr>
      </w:pPr>
      <w:r w:rsidRPr="00310976">
        <w:rPr>
          <w:rFonts w:ascii="Times New Roman" w:eastAsia="Times New Roman" w:hAnsi="Times New Roman" w:cs="Times New Roman"/>
          <w:lang w:bidi="es-ES"/>
        </w:rPr>
        <w:t>Los intereses pagaderos en las Fechas de Pago de Intereses del</w:t>
      </w:r>
      <w:r w:rsidR="004E151E" w:rsidRPr="00310976">
        <w:rPr>
          <w:rFonts w:ascii="Times New Roman" w:eastAsia="Times New Roman" w:hAnsi="Times New Roman" w:cs="Times New Roman"/>
          <w:lang w:bidi="es-ES"/>
        </w:rPr>
        <w:t xml:space="preserve"> </w:t>
      </w:r>
      <w:r w:rsidR="004E151E" w:rsidRPr="00740007">
        <w:rPr>
          <w:rFonts w:ascii="Times New Roman" w:eastAsia="Times New Roman" w:hAnsi="Times New Roman" w:cs="Times New Roman"/>
          <w:lang w:bidi="es-ES"/>
        </w:rPr>
        <w:t>11 de noviembre de 2021,</w:t>
      </w:r>
      <w:r w:rsidRPr="00F66991">
        <w:rPr>
          <w:rFonts w:ascii="Times New Roman" w:eastAsia="Times New Roman" w:hAnsi="Times New Roman" w:cs="Times New Roman"/>
          <w:lang w:bidi="es-ES"/>
        </w:rPr>
        <w:t xml:space="preserve"> 11 de febrero de 2022, 11 de mayo de 2022, 11 de agosto de 2022, 11 de noviembre de 2022 y 11 de febrero de 2023 serán automáticamente capitalizados en cada </w:t>
      </w:r>
      <w:r w:rsidRPr="0055089D">
        <w:rPr>
          <w:rFonts w:ascii="Times New Roman" w:eastAsia="Times New Roman" w:hAnsi="Times New Roman" w:cs="Times New Roman"/>
          <w:lang w:bidi="es-ES"/>
        </w:rPr>
        <w:t xml:space="preserve">una de esas respectivas </w:t>
      </w:r>
      <w:r w:rsidR="000B2806" w:rsidRPr="00626DBF">
        <w:rPr>
          <w:rFonts w:ascii="Times New Roman" w:eastAsia="Times New Roman" w:hAnsi="Times New Roman" w:cs="Times New Roman"/>
          <w:lang w:val="es-AR" w:bidi="es-ES"/>
        </w:rPr>
        <w:t>Fecha</w:t>
      </w:r>
      <w:r w:rsidR="003F685D">
        <w:rPr>
          <w:rFonts w:ascii="Times New Roman" w:eastAsia="Times New Roman" w:hAnsi="Times New Roman" w:cs="Times New Roman"/>
          <w:lang w:val="es-AR" w:bidi="es-ES"/>
        </w:rPr>
        <w:t>s</w:t>
      </w:r>
      <w:r w:rsidR="000B2806" w:rsidRPr="00626DBF">
        <w:rPr>
          <w:rFonts w:ascii="Times New Roman" w:eastAsia="Times New Roman" w:hAnsi="Times New Roman" w:cs="Times New Roman"/>
          <w:lang w:val="es-AR" w:bidi="es-ES"/>
        </w:rPr>
        <w:t xml:space="preserve"> de Pago de Interés </w:t>
      </w:r>
      <w:r w:rsidR="000B2806" w:rsidRPr="00F43580">
        <w:rPr>
          <w:rFonts w:ascii="Times New Roman" w:eastAsia="Times New Roman" w:hAnsi="Times New Roman" w:cs="Times New Roman"/>
          <w:lang w:val="es-AR" w:bidi="es-ES"/>
        </w:rPr>
        <w:t xml:space="preserve">informando </w:t>
      </w:r>
      <w:r w:rsidR="003F685D" w:rsidRPr="00626DBF">
        <w:rPr>
          <w:rFonts w:ascii="Times New Roman" w:eastAsia="Times New Roman" w:hAnsi="Times New Roman" w:cs="Times New Roman"/>
          <w:lang w:val="es-AR" w:bidi="es-ES"/>
        </w:rPr>
        <w:t xml:space="preserve">en la AIF de la </w:t>
      </w:r>
      <w:r w:rsidR="003F685D" w:rsidRPr="00F43580">
        <w:rPr>
          <w:rFonts w:ascii="Times New Roman" w:eastAsia="Times New Roman" w:hAnsi="Times New Roman" w:cs="Times New Roman"/>
          <w:lang w:val="es-AR" w:bidi="es-ES"/>
        </w:rPr>
        <w:t xml:space="preserve">CNV </w:t>
      </w:r>
      <w:r w:rsidR="000B2806" w:rsidRPr="00F43580">
        <w:rPr>
          <w:rFonts w:ascii="Times New Roman" w:eastAsia="Times New Roman" w:hAnsi="Times New Roman" w:cs="Times New Roman"/>
          <w:lang w:val="es-AR" w:bidi="es-ES"/>
        </w:rPr>
        <w:t>el capital residual de las Obligaciones Negociables</w:t>
      </w:r>
      <w:r w:rsidRPr="00214269">
        <w:rPr>
          <w:rFonts w:ascii="Times New Roman" w:eastAsia="Times New Roman" w:hAnsi="Times New Roman" w:cs="Times New Roman"/>
          <w:lang w:bidi="es-ES"/>
        </w:rPr>
        <w:t xml:space="preserve">. </w:t>
      </w:r>
    </w:p>
    <w:p w14:paraId="35F39618" w14:textId="77777777" w:rsidR="009943B2" w:rsidRPr="00481E90" w:rsidRDefault="009943B2" w:rsidP="00D60D4C">
      <w:pPr>
        <w:spacing w:after="0"/>
        <w:ind w:leftChars="0" w:left="0" w:firstLineChars="0" w:firstLine="0"/>
        <w:jc w:val="both"/>
        <w:rPr>
          <w:lang w:bidi="es-ES"/>
        </w:rPr>
      </w:pPr>
    </w:p>
    <w:p w14:paraId="6B183834" w14:textId="62F8010F" w:rsidR="00195F2C" w:rsidRPr="006A4775" w:rsidRDefault="00195F2C" w:rsidP="00C13AAC">
      <w:pPr>
        <w:pStyle w:val="Prrafodelista"/>
        <w:numPr>
          <w:ilvl w:val="0"/>
          <w:numId w:val="5"/>
        </w:numPr>
        <w:spacing w:after="0" w:line="240" w:lineRule="auto"/>
        <w:ind w:leftChars="0" w:firstLineChars="0"/>
        <w:jc w:val="both"/>
        <w:rPr>
          <w:rFonts w:ascii="Times New Roman" w:eastAsia="Times New Roman" w:hAnsi="Times New Roman" w:cs="Times New Roman"/>
          <w:lang w:bidi="es-ES"/>
        </w:rPr>
      </w:pPr>
      <w:r w:rsidRPr="0062702E">
        <w:rPr>
          <w:rFonts w:ascii="Times New Roman" w:eastAsia="Times New Roman" w:hAnsi="Times New Roman" w:cs="Times New Roman"/>
          <w:lang w:bidi="es-ES"/>
        </w:rPr>
        <w:t>Será</w:t>
      </w:r>
      <w:r w:rsidR="00990005">
        <w:rPr>
          <w:rFonts w:ascii="Times New Roman" w:eastAsia="Times New Roman" w:hAnsi="Times New Roman" w:cs="Times New Roman"/>
          <w:lang w:bidi="es-ES"/>
        </w:rPr>
        <w:t>n</w:t>
      </w:r>
      <w:r w:rsidRPr="0062702E">
        <w:rPr>
          <w:rFonts w:ascii="Times New Roman" w:eastAsia="Times New Roman" w:hAnsi="Times New Roman" w:cs="Times New Roman"/>
          <w:lang w:bidi="es-ES"/>
        </w:rPr>
        <w:t xml:space="preserve"> de aplicación los Nuevos Supuestos de Incumplimiento</w:t>
      </w:r>
      <w:r w:rsidR="00E62126" w:rsidRPr="0062702E">
        <w:rPr>
          <w:rFonts w:ascii="Times New Roman" w:eastAsia="Times New Roman" w:hAnsi="Times New Roman" w:cs="Times New Roman"/>
          <w:lang w:bidi="es-ES"/>
        </w:rPr>
        <w:t xml:space="preserve">. </w:t>
      </w:r>
      <w:r w:rsidR="00E62126" w:rsidRPr="0062702E">
        <w:rPr>
          <w:rFonts w:ascii="Times New Roman" w:eastAsia="Times New Roman" w:hAnsi="Times New Roman" w:cs="Times New Roman"/>
          <w:lang w:val="es-MX" w:bidi="es-ES"/>
        </w:rPr>
        <w:t>Para más información</w:t>
      </w:r>
      <w:r w:rsidR="007145BE">
        <w:rPr>
          <w:rFonts w:ascii="Times New Roman" w:eastAsia="Times New Roman" w:hAnsi="Times New Roman" w:cs="Times New Roman"/>
          <w:lang w:val="es-MX" w:bidi="es-ES"/>
        </w:rPr>
        <w:t>,</w:t>
      </w:r>
      <w:r w:rsidR="00E62126" w:rsidRPr="0062702E">
        <w:rPr>
          <w:rFonts w:ascii="Times New Roman" w:eastAsia="Times New Roman" w:hAnsi="Times New Roman" w:cs="Times New Roman"/>
          <w:lang w:val="es-MX" w:bidi="es-ES"/>
        </w:rPr>
        <w:t xml:space="preserve"> véase el apartado “</w:t>
      </w:r>
      <w:r w:rsidR="00E62126" w:rsidRPr="007A4D3C">
        <w:rPr>
          <w:rFonts w:ascii="Times New Roman" w:eastAsia="Times New Roman" w:hAnsi="Times New Roman" w:cs="Times New Roman"/>
          <w:i/>
          <w:lang w:val="es-AR" w:bidi="es-ES"/>
        </w:rPr>
        <w:t>Nuevos Supuestos de Incumplimiento de las Obligaciones Negociables</w:t>
      </w:r>
      <w:r w:rsidR="00E62126" w:rsidRPr="00A359F0">
        <w:rPr>
          <w:rFonts w:ascii="Times New Roman" w:eastAsia="Times New Roman" w:hAnsi="Times New Roman" w:cs="Times New Roman"/>
          <w:lang w:val="es-MX" w:bidi="es-ES"/>
        </w:rPr>
        <w:t>” de la presente Solicitud de Consentimiento</w:t>
      </w:r>
      <w:r w:rsidRPr="00A359F0">
        <w:rPr>
          <w:rFonts w:ascii="Times New Roman" w:eastAsia="Times New Roman" w:hAnsi="Times New Roman" w:cs="Times New Roman"/>
          <w:lang w:bidi="es-ES"/>
        </w:rPr>
        <w:t xml:space="preserve">;  </w:t>
      </w:r>
    </w:p>
    <w:p w14:paraId="1B3121F9" w14:textId="77777777" w:rsidR="00195F2C" w:rsidRPr="00310976" w:rsidRDefault="00195F2C" w:rsidP="00C13AAC">
      <w:pPr>
        <w:pStyle w:val="Prrafodelista"/>
        <w:spacing w:after="0" w:line="240" w:lineRule="auto"/>
        <w:ind w:left="0" w:hanging="2"/>
        <w:rPr>
          <w:rFonts w:ascii="Times New Roman" w:eastAsia="Times New Roman" w:hAnsi="Times New Roman" w:cs="Times New Roman"/>
          <w:lang w:bidi="es-ES"/>
        </w:rPr>
      </w:pPr>
    </w:p>
    <w:p w14:paraId="46F10355" w14:textId="114BF78C" w:rsidR="00195F2C" w:rsidRPr="00EB3FA3" w:rsidRDefault="00195F2C" w:rsidP="00C13AAC">
      <w:pPr>
        <w:pStyle w:val="Prrafodelista"/>
        <w:numPr>
          <w:ilvl w:val="0"/>
          <w:numId w:val="5"/>
        </w:numPr>
        <w:spacing w:after="0" w:line="240" w:lineRule="auto"/>
        <w:ind w:leftChars="0" w:firstLineChars="0"/>
        <w:jc w:val="both"/>
        <w:rPr>
          <w:rFonts w:ascii="Times New Roman" w:eastAsia="Times New Roman" w:hAnsi="Times New Roman" w:cs="Times New Roman"/>
          <w:lang w:bidi="es-ES"/>
        </w:rPr>
      </w:pPr>
      <w:r w:rsidRPr="00310976">
        <w:rPr>
          <w:rFonts w:ascii="Times New Roman" w:eastAsia="Times New Roman" w:hAnsi="Times New Roman" w:cs="Times New Roman"/>
          <w:lang w:bidi="es-ES"/>
        </w:rPr>
        <w:t>Serán de aplicación los Nuevos Compromisos de las Obligaciones Negociables</w:t>
      </w:r>
      <w:r w:rsidR="00E62126" w:rsidRPr="00310976">
        <w:rPr>
          <w:rFonts w:ascii="Times New Roman" w:eastAsia="Times New Roman" w:hAnsi="Times New Roman" w:cs="Times New Roman"/>
          <w:lang w:bidi="es-ES"/>
        </w:rPr>
        <w:t xml:space="preserve">. </w:t>
      </w:r>
      <w:r w:rsidR="00E62126" w:rsidRPr="00740007">
        <w:rPr>
          <w:rFonts w:ascii="Times New Roman" w:eastAsia="Times New Roman" w:hAnsi="Times New Roman" w:cs="Times New Roman"/>
          <w:lang w:val="es-MX" w:bidi="es-ES"/>
        </w:rPr>
        <w:t>Para más información</w:t>
      </w:r>
      <w:r w:rsidR="009943B2">
        <w:rPr>
          <w:rFonts w:ascii="Times New Roman" w:eastAsia="Times New Roman" w:hAnsi="Times New Roman" w:cs="Times New Roman"/>
          <w:lang w:val="es-MX" w:bidi="es-ES"/>
        </w:rPr>
        <w:t>,</w:t>
      </w:r>
      <w:r w:rsidR="00E62126" w:rsidRPr="00740007">
        <w:rPr>
          <w:rFonts w:ascii="Times New Roman" w:eastAsia="Times New Roman" w:hAnsi="Times New Roman" w:cs="Times New Roman"/>
          <w:lang w:val="es-MX" w:bidi="es-ES"/>
        </w:rPr>
        <w:t xml:space="preserve"> véase el apartado “</w:t>
      </w:r>
      <w:r w:rsidR="00E62126" w:rsidRPr="00740007">
        <w:rPr>
          <w:rFonts w:ascii="Times New Roman" w:eastAsia="Times New Roman" w:hAnsi="Times New Roman" w:cs="Times New Roman"/>
          <w:i/>
          <w:lang w:val="es-AR" w:bidi="es-ES"/>
        </w:rPr>
        <w:t>Nuevos Comprom</w:t>
      </w:r>
      <w:r w:rsidR="00E62126" w:rsidRPr="00F66991">
        <w:rPr>
          <w:rFonts w:ascii="Times New Roman" w:eastAsia="Times New Roman" w:hAnsi="Times New Roman" w:cs="Times New Roman"/>
          <w:i/>
          <w:lang w:val="es-AR" w:bidi="es-ES"/>
        </w:rPr>
        <w:t>isos de las Obligaciones Negociables</w:t>
      </w:r>
      <w:r w:rsidR="00E62126" w:rsidRPr="00F66991">
        <w:rPr>
          <w:rFonts w:ascii="Times New Roman" w:eastAsia="Times New Roman" w:hAnsi="Times New Roman" w:cs="Times New Roman"/>
          <w:lang w:val="es-MX" w:bidi="es-ES"/>
        </w:rPr>
        <w:t>” de la presente Solicitud de Consentimiento</w:t>
      </w:r>
      <w:r w:rsidRPr="00EB3FA3">
        <w:rPr>
          <w:rFonts w:ascii="Times New Roman" w:eastAsia="Times New Roman" w:hAnsi="Times New Roman" w:cs="Times New Roman"/>
          <w:lang w:bidi="es-ES"/>
        </w:rPr>
        <w:t>; y</w:t>
      </w:r>
    </w:p>
    <w:p w14:paraId="27199E5C" w14:textId="77777777" w:rsidR="00195F2C" w:rsidRPr="0055089D" w:rsidRDefault="00195F2C" w:rsidP="00C13AAC">
      <w:pPr>
        <w:pStyle w:val="Prrafodelista"/>
        <w:spacing w:after="0" w:line="240" w:lineRule="auto"/>
        <w:ind w:left="0" w:hanging="2"/>
        <w:rPr>
          <w:rFonts w:ascii="Times New Roman" w:eastAsia="Times New Roman" w:hAnsi="Times New Roman" w:cs="Times New Roman"/>
          <w:lang w:bidi="es-ES"/>
        </w:rPr>
      </w:pPr>
    </w:p>
    <w:p w14:paraId="1CDCF808" w14:textId="4B442BAA" w:rsidR="00195F2C" w:rsidRPr="00F43580" w:rsidRDefault="00195F2C" w:rsidP="00C13AAC">
      <w:pPr>
        <w:pStyle w:val="Prrafodelista"/>
        <w:numPr>
          <w:ilvl w:val="0"/>
          <w:numId w:val="5"/>
        </w:numPr>
        <w:spacing w:after="0" w:line="240" w:lineRule="auto"/>
        <w:ind w:leftChars="0" w:firstLineChars="0"/>
        <w:jc w:val="both"/>
        <w:rPr>
          <w:rFonts w:ascii="Times New Roman" w:eastAsia="Times New Roman" w:hAnsi="Times New Roman" w:cs="Times New Roman"/>
          <w:lang w:bidi="es-ES"/>
        </w:rPr>
      </w:pPr>
      <w:r w:rsidRPr="00626DBF">
        <w:rPr>
          <w:rFonts w:ascii="Times New Roman" w:eastAsia="Times New Roman" w:hAnsi="Times New Roman" w:cs="Times New Roman"/>
          <w:lang w:bidi="es-ES"/>
        </w:rPr>
        <w:t xml:space="preserve">Serán de aplicación los </w:t>
      </w:r>
      <w:r w:rsidRPr="00626DBF">
        <w:rPr>
          <w:rFonts w:ascii="Times New Roman" w:eastAsia="Times New Roman" w:hAnsi="Times New Roman" w:cs="Times New Roman"/>
          <w:lang w:val="es-AR" w:bidi="es-ES"/>
        </w:rPr>
        <w:t>Nuevos Requisitos Para la Modificación a los Términos y Condiciones Esenciales de las Obligaciones Negociables</w:t>
      </w:r>
      <w:r w:rsidR="00E62126" w:rsidRPr="00626DBF">
        <w:rPr>
          <w:rFonts w:ascii="Times New Roman" w:eastAsia="Times New Roman" w:hAnsi="Times New Roman" w:cs="Times New Roman"/>
          <w:lang w:val="es-AR" w:bidi="es-ES"/>
        </w:rPr>
        <w:t xml:space="preserve"> </w:t>
      </w:r>
      <w:r w:rsidR="00E62126" w:rsidRPr="00626DBF">
        <w:rPr>
          <w:rFonts w:ascii="Times New Roman" w:eastAsia="Times New Roman" w:hAnsi="Times New Roman" w:cs="Times New Roman"/>
          <w:lang w:bidi="es-ES"/>
        </w:rPr>
        <w:t>Para más información</w:t>
      </w:r>
      <w:r w:rsidR="009943B2">
        <w:rPr>
          <w:rFonts w:ascii="Times New Roman" w:eastAsia="Times New Roman" w:hAnsi="Times New Roman" w:cs="Times New Roman"/>
          <w:lang w:bidi="es-ES"/>
        </w:rPr>
        <w:t>,</w:t>
      </w:r>
      <w:r w:rsidR="00E62126" w:rsidRPr="00626DBF">
        <w:rPr>
          <w:rFonts w:ascii="Times New Roman" w:eastAsia="Times New Roman" w:hAnsi="Times New Roman" w:cs="Times New Roman"/>
          <w:lang w:bidi="es-ES"/>
        </w:rPr>
        <w:t xml:space="preserve"> véase el </w:t>
      </w:r>
      <w:r w:rsidR="00E62126" w:rsidRPr="00C54836">
        <w:rPr>
          <w:rFonts w:ascii="Times New Roman" w:eastAsia="Times New Roman" w:hAnsi="Times New Roman" w:cs="Times New Roman"/>
          <w:lang w:bidi="es-ES"/>
        </w:rPr>
        <w:t>apartado “</w:t>
      </w:r>
      <w:r w:rsidR="00E62126" w:rsidRPr="00C54836">
        <w:rPr>
          <w:rFonts w:ascii="Times New Roman" w:eastAsia="Times New Roman" w:hAnsi="Times New Roman" w:cs="Times New Roman"/>
          <w:i/>
          <w:lang w:bidi="es-ES"/>
        </w:rPr>
        <w:t>Nuevos Requisitos para la Modificación a los Términos y Condiciones Esenciales de las Obligaciones Negociables</w:t>
      </w:r>
      <w:r w:rsidR="00E62126" w:rsidRPr="00F43580">
        <w:rPr>
          <w:rFonts w:ascii="Times New Roman" w:eastAsia="Times New Roman" w:hAnsi="Times New Roman" w:cs="Times New Roman"/>
          <w:lang w:bidi="es-ES"/>
        </w:rPr>
        <w:t>” de la presente Solicitud de Consentimiento</w:t>
      </w:r>
      <w:r w:rsidRPr="00F43580">
        <w:rPr>
          <w:rFonts w:ascii="Times New Roman" w:eastAsia="Times New Roman" w:hAnsi="Times New Roman" w:cs="Times New Roman"/>
          <w:lang w:val="es-AR" w:bidi="es-ES"/>
        </w:rPr>
        <w:t>.</w:t>
      </w:r>
    </w:p>
    <w:p w14:paraId="6423FEC1" w14:textId="77777777" w:rsidR="00195F2C" w:rsidRPr="00F43580" w:rsidRDefault="00195F2C">
      <w:pPr>
        <w:pStyle w:val="Prrafodelista"/>
        <w:spacing w:after="0" w:line="240" w:lineRule="auto"/>
        <w:ind w:leftChars="0" w:left="1285" w:firstLineChars="0" w:firstLine="0"/>
        <w:jc w:val="both"/>
        <w:rPr>
          <w:rFonts w:ascii="Times New Roman" w:eastAsia="Times New Roman" w:hAnsi="Times New Roman" w:cs="Times New Roman"/>
          <w:lang w:bidi="es-ES"/>
        </w:rPr>
      </w:pPr>
    </w:p>
    <w:p w14:paraId="028B80BF" w14:textId="7757DD8B" w:rsidR="00003E01" w:rsidRPr="00262E03" w:rsidRDefault="00003E01" w:rsidP="00003E01">
      <w:pPr>
        <w:pStyle w:val="Prrafodelista"/>
        <w:spacing w:after="0" w:line="240" w:lineRule="auto"/>
        <w:ind w:leftChars="0" w:left="925" w:firstLineChars="0" w:firstLine="0"/>
        <w:jc w:val="both"/>
        <w:rPr>
          <w:rFonts w:ascii="Times New Roman" w:eastAsia="Times New Roman" w:hAnsi="Times New Roman" w:cs="Times New Roman"/>
          <w:lang w:bidi="es-ES"/>
        </w:rPr>
      </w:pPr>
      <w:r w:rsidRPr="008433DA">
        <w:rPr>
          <w:rFonts w:ascii="Times New Roman" w:eastAsia="Times New Roman" w:hAnsi="Times New Roman" w:cs="Times New Roman"/>
          <w:lang w:bidi="es-ES"/>
        </w:rPr>
        <w:t xml:space="preserve">En caso de que ocurra la Condición en Caso de Acuerdo con </w:t>
      </w:r>
      <w:proofErr w:type="spellStart"/>
      <w:r w:rsidRPr="008433DA">
        <w:rPr>
          <w:rFonts w:ascii="Times New Roman" w:eastAsia="Times New Roman" w:hAnsi="Times New Roman" w:cs="Times New Roman"/>
          <w:lang w:bidi="es-ES"/>
        </w:rPr>
        <w:t>Itaú</w:t>
      </w:r>
      <w:proofErr w:type="spellEnd"/>
      <w:r w:rsidRPr="008433DA">
        <w:rPr>
          <w:rFonts w:ascii="Times New Roman" w:eastAsia="Times New Roman" w:hAnsi="Times New Roman" w:cs="Times New Roman"/>
          <w:lang w:bidi="es-ES"/>
        </w:rPr>
        <w:t xml:space="preserve"> sobre la Participación en Catalinas sin que se haya producido la Cancelación del 33</w:t>
      </w:r>
      <w:r w:rsidR="0030475A" w:rsidRPr="003E13B9">
        <w:rPr>
          <w:rFonts w:ascii="Times New Roman" w:eastAsia="Times New Roman" w:hAnsi="Times New Roman" w:cs="Times New Roman"/>
          <w:lang w:bidi="es-ES"/>
        </w:rPr>
        <w:t>,33</w:t>
      </w:r>
      <w:r w:rsidRPr="003E13B9">
        <w:rPr>
          <w:rFonts w:ascii="Times New Roman" w:eastAsia="Times New Roman" w:hAnsi="Times New Roman" w:cs="Times New Roman"/>
          <w:lang w:bidi="es-ES"/>
        </w:rPr>
        <w:t xml:space="preserve">% del Capital de Obligaciones Negociables, la Sociedad </w:t>
      </w:r>
      <w:r w:rsidR="00B32C8B" w:rsidRPr="004E7C62">
        <w:rPr>
          <w:rFonts w:ascii="Times New Roman" w:eastAsia="Times New Roman" w:hAnsi="Times New Roman" w:cs="Times New Roman"/>
          <w:lang w:bidi="es-ES"/>
        </w:rPr>
        <w:t>procederá a</w:t>
      </w:r>
      <w:r w:rsidRPr="004E7C62">
        <w:rPr>
          <w:rFonts w:ascii="Times New Roman" w:eastAsia="Times New Roman" w:hAnsi="Times New Roman" w:cs="Times New Roman"/>
          <w:lang w:bidi="es-ES"/>
        </w:rPr>
        <w:t xml:space="preserve"> informarlo a tra</w:t>
      </w:r>
      <w:r w:rsidR="006027BA" w:rsidRPr="004E7C62">
        <w:rPr>
          <w:rFonts w:ascii="Times New Roman" w:eastAsia="Times New Roman" w:hAnsi="Times New Roman" w:cs="Times New Roman"/>
          <w:lang w:bidi="es-ES"/>
        </w:rPr>
        <w:t xml:space="preserve">vés de la </w:t>
      </w:r>
      <w:r w:rsidR="00B32C8B" w:rsidRPr="004E7C62">
        <w:rPr>
          <w:rFonts w:ascii="Times New Roman" w:eastAsia="Times New Roman" w:hAnsi="Times New Roman" w:cs="Times New Roman"/>
          <w:lang w:bidi="es-ES"/>
        </w:rPr>
        <w:t xml:space="preserve">AIF </w:t>
      </w:r>
      <w:r w:rsidR="006027BA" w:rsidRPr="004E7C62">
        <w:rPr>
          <w:rFonts w:ascii="Times New Roman" w:eastAsia="Times New Roman" w:hAnsi="Times New Roman" w:cs="Times New Roman"/>
          <w:lang w:bidi="es-ES"/>
        </w:rPr>
        <w:t xml:space="preserve">de la </w:t>
      </w:r>
      <w:r w:rsidR="00467895" w:rsidRPr="004E7C62">
        <w:rPr>
          <w:rFonts w:ascii="Times New Roman" w:eastAsia="Times New Roman" w:hAnsi="Times New Roman" w:cs="Times New Roman"/>
          <w:lang w:bidi="es-ES"/>
        </w:rPr>
        <w:t xml:space="preserve">CNV, la </w:t>
      </w:r>
      <w:proofErr w:type="spellStart"/>
      <w:r w:rsidR="00467895" w:rsidRPr="004E7C62">
        <w:rPr>
          <w:rFonts w:ascii="Times New Roman" w:eastAsia="Times New Roman" w:hAnsi="Times New Roman" w:cs="Times New Roman"/>
          <w:lang w:bidi="es-ES"/>
        </w:rPr>
        <w:t>website</w:t>
      </w:r>
      <w:proofErr w:type="spellEnd"/>
      <w:r w:rsidR="00467895" w:rsidRPr="004E7C62">
        <w:rPr>
          <w:rFonts w:ascii="Times New Roman" w:eastAsia="Times New Roman" w:hAnsi="Times New Roman" w:cs="Times New Roman"/>
          <w:lang w:bidi="es-ES"/>
        </w:rPr>
        <w:t xml:space="preserve"> de Bolsas y Mercados Argentinos S.A (“</w:t>
      </w:r>
      <w:r w:rsidR="00467895" w:rsidRPr="004E7C62">
        <w:rPr>
          <w:rFonts w:ascii="Times New Roman" w:eastAsia="Times New Roman" w:hAnsi="Times New Roman" w:cs="Times New Roman"/>
          <w:u w:val="single"/>
          <w:lang w:bidi="es-ES"/>
        </w:rPr>
        <w:t>BYMA</w:t>
      </w:r>
      <w:r w:rsidR="00467895" w:rsidRPr="004E7C62">
        <w:rPr>
          <w:rFonts w:ascii="Times New Roman" w:eastAsia="Times New Roman" w:hAnsi="Times New Roman" w:cs="Times New Roman"/>
          <w:lang w:bidi="es-ES"/>
        </w:rPr>
        <w:t xml:space="preserve">”), y </w:t>
      </w:r>
      <w:r w:rsidR="00061A4B">
        <w:rPr>
          <w:rFonts w:ascii="Times New Roman" w:eastAsia="Times New Roman" w:hAnsi="Times New Roman" w:cs="Times New Roman"/>
          <w:lang w:bidi="es-ES"/>
        </w:rPr>
        <w:t xml:space="preserve">en el boletín electrónico  </w:t>
      </w:r>
      <w:r w:rsidR="00467895" w:rsidRPr="004E7C62">
        <w:rPr>
          <w:rFonts w:ascii="Times New Roman" w:eastAsia="Times New Roman" w:hAnsi="Times New Roman" w:cs="Times New Roman"/>
          <w:lang w:bidi="es-ES"/>
        </w:rPr>
        <w:t>de</w:t>
      </w:r>
      <w:r w:rsidR="00061A4B">
        <w:rPr>
          <w:rFonts w:ascii="Times New Roman" w:eastAsia="Times New Roman" w:hAnsi="Times New Roman" w:cs="Times New Roman"/>
          <w:lang w:bidi="es-ES"/>
        </w:rPr>
        <w:t>l</w:t>
      </w:r>
      <w:r w:rsidR="00467895" w:rsidRPr="004E7C62">
        <w:rPr>
          <w:rFonts w:ascii="Times New Roman" w:eastAsia="Times New Roman" w:hAnsi="Times New Roman" w:cs="Times New Roman"/>
          <w:lang w:bidi="es-ES"/>
        </w:rPr>
        <w:t xml:space="preserve"> Mercado Abierto Electrónico S.A. (</w:t>
      </w:r>
      <w:r w:rsidR="00061A4B">
        <w:rPr>
          <w:rFonts w:ascii="Times New Roman" w:eastAsia="Times New Roman" w:hAnsi="Times New Roman" w:cs="Times New Roman"/>
          <w:lang w:bidi="es-ES"/>
        </w:rPr>
        <w:t xml:space="preserve">el </w:t>
      </w:r>
      <w:r w:rsidR="00467895" w:rsidRPr="004E7C62">
        <w:rPr>
          <w:rFonts w:ascii="Times New Roman" w:eastAsia="Times New Roman" w:hAnsi="Times New Roman" w:cs="Times New Roman"/>
          <w:lang w:bidi="es-ES"/>
        </w:rPr>
        <w:t>“</w:t>
      </w:r>
      <w:r w:rsidR="00467895" w:rsidRPr="004E7C62">
        <w:rPr>
          <w:rFonts w:ascii="Times New Roman" w:eastAsia="Times New Roman" w:hAnsi="Times New Roman" w:cs="Times New Roman"/>
          <w:u w:val="single"/>
          <w:lang w:bidi="es-ES"/>
        </w:rPr>
        <w:t>MAE</w:t>
      </w:r>
      <w:r w:rsidR="00467895" w:rsidRPr="004E7C62">
        <w:rPr>
          <w:rFonts w:ascii="Times New Roman" w:eastAsia="Times New Roman" w:hAnsi="Times New Roman" w:cs="Times New Roman"/>
          <w:lang w:bidi="es-ES"/>
        </w:rPr>
        <w:t>”),</w:t>
      </w:r>
      <w:r w:rsidR="00B32C8B" w:rsidRPr="004E7C62">
        <w:rPr>
          <w:rFonts w:ascii="Times New Roman" w:eastAsia="Times New Roman" w:hAnsi="Times New Roman" w:cs="Times New Roman"/>
          <w:lang w:bidi="es-ES"/>
        </w:rPr>
        <w:t xml:space="preserve"> </w:t>
      </w:r>
      <w:r w:rsidRPr="00262E03">
        <w:rPr>
          <w:rFonts w:ascii="Times New Roman" w:eastAsia="Times New Roman" w:hAnsi="Times New Roman" w:cs="Times New Roman"/>
          <w:lang w:bidi="es-ES"/>
        </w:rPr>
        <w:t xml:space="preserve">y automáticamente serán de aplicación a las Obligaciones Negociables los T&amp;C Aplicables en Caso de Acuerdo con </w:t>
      </w:r>
      <w:proofErr w:type="spellStart"/>
      <w:r w:rsidRPr="00262E03">
        <w:rPr>
          <w:rFonts w:ascii="Times New Roman" w:eastAsia="Times New Roman" w:hAnsi="Times New Roman" w:cs="Times New Roman"/>
          <w:lang w:bidi="es-ES"/>
        </w:rPr>
        <w:t>Itaú</w:t>
      </w:r>
      <w:proofErr w:type="spellEnd"/>
      <w:r w:rsidRPr="00262E03">
        <w:rPr>
          <w:rFonts w:ascii="Times New Roman" w:eastAsia="Times New Roman" w:hAnsi="Times New Roman" w:cs="Times New Roman"/>
          <w:lang w:bidi="es-ES"/>
        </w:rPr>
        <w:t xml:space="preserve"> sobre la Participación en Catalinas.</w:t>
      </w:r>
    </w:p>
    <w:p w14:paraId="610DDC04" w14:textId="77777777" w:rsidR="00003E01" w:rsidRPr="00262E03" w:rsidRDefault="00003E01" w:rsidP="00C13AAC">
      <w:pPr>
        <w:spacing w:after="0" w:line="240" w:lineRule="auto"/>
        <w:ind w:leftChars="0" w:left="0" w:firstLineChars="0" w:firstLine="0"/>
        <w:jc w:val="both"/>
        <w:rPr>
          <w:rFonts w:ascii="Times New Roman" w:eastAsia="Times New Roman" w:hAnsi="Times New Roman" w:cs="Times New Roman"/>
          <w:lang w:bidi="es-ES"/>
        </w:rPr>
      </w:pPr>
    </w:p>
    <w:p w14:paraId="1660719C" w14:textId="7BB93F1F" w:rsidR="005B3076" w:rsidRPr="008C39F0" w:rsidRDefault="005B3076" w:rsidP="00F93ED5">
      <w:pPr>
        <w:pStyle w:val="Prrafodelista"/>
        <w:numPr>
          <w:ilvl w:val="0"/>
          <w:numId w:val="18"/>
        </w:numPr>
        <w:spacing w:after="0" w:line="240" w:lineRule="auto"/>
        <w:ind w:leftChars="0" w:left="993" w:firstLineChars="0" w:hanging="567"/>
        <w:jc w:val="both"/>
        <w:rPr>
          <w:rFonts w:ascii="Times New Roman" w:eastAsia="Times New Roman" w:hAnsi="Times New Roman" w:cs="Times New Roman"/>
          <w:lang w:bidi="es-ES"/>
        </w:rPr>
      </w:pPr>
      <w:r w:rsidRPr="00262E03">
        <w:rPr>
          <w:rFonts w:ascii="Times New Roman" w:eastAsia="Times New Roman" w:hAnsi="Times New Roman" w:cs="Times New Roman"/>
          <w:i/>
          <w:u w:val="single"/>
          <w:lang w:bidi="es-ES"/>
        </w:rPr>
        <w:t xml:space="preserve">Términos y condiciones Aplicables en Caso de No Acuerdo con </w:t>
      </w:r>
      <w:proofErr w:type="spellStart"/>
      <w:r w:rsidRPr="00262E03">
        <w:rPr>
          <w:rFonts w:ascii="Times New Roman" w:eastAsia="Times New Roman" w:hAnsi="Times New Roman" w:cs="Times New Roman"/>
          <w:i/>
          <w:u w:val="single"/>
          <w:lang w:bidi="es-ES"/>
        </w:rPr>
        <w:t>Itaú</w:t>
      </w:r>
      <w:proofErr w:type="spellEnd"/>
      <w:r w:rsidRPr="00262E03">
        <w:rPr>
          <w:rFonts w:ascii="Times New Roman" w:eastAsia="Times New Roman" w:hAnsi="Times New Roman" w:cs="Times New Roman"/>
          <w:i/>
          <w:u w:val="single"/>
          <w:lang w:bidi="es-ES"/>
        </w:rPr>
        <w:t xml:space="preserve"> sobre la Participación en Catalinas</w:t>
      </w:r>
    </w:p>
    <w:p w14:paraId="0CF328A5" w14:textId="77777777" w:rsidR="005B3076" w:rsidRPr="00523952" w:rsidRDefault="005B3076">
      <w:pPr>
        <w:pStyle w:val="Prrafodelista"/>
        <w:spacing w:after="0" w:line="240" w:lineRule="auto"/>
        <w:ind w:leftChars="0" w:left="925" w:firstLineChars="0" w:firstLine="0"/>
        <w:jc w:val="both"/>
        <w:rPr>
          <w:rFonts w:ascii="Times New Roman" w:eastAsia="Times New Roman" w:hAnsi="Times New Roman" w:cs="Times New Roman"/>
          <w:lang w:bidi="es-ES"/>
        </w:rPr>
      </w:pPr>
    </w:p>
    <w:p w14:paraId="13D28431" w14:textId="4C8BC9BF" w:rsidR="001C0857" w:rsidRPr="001C0857" w:rsidRDefault="005B3076" w:rsidP="001C0857">
      <w:pPr>
        <w:pStyle w:val="Prrafodelista"/>
        <w:numPr>
          <w:ilvl w:val="0"/>
          <w:numId w:val="5"/>
        </w:numPr>
        <w:spacing w:after="0" w:line="240" w:lineRule="auto"/>
        <w:ind w:leftChars="0" w:firstLineChars="0"/>
        <w:jc w:val="both"/>
        <w:rPr>
          <w:rFonts w:ascii="Times New Roman" w:hAnsi="Times New Roman" w:cs="Times New Roman"/>
          <w:i/>
          <w:lang w:bidi="es-ES"/>
        </w:rPr>
      </w:pPr>
      <w:r w:rsidRPr="005B76C0">
        <w:rPr>
          <w:rFonts w:ascii="Times New Roman" w:eastAsia="Times New Roman" w:hAnsi="Times New Roman" w:cs="Times New Roman"/>
          <w:lang w:bidi="es-ES"/>
        </w:rPr>
        <w:t xml:space="preserve">En caso de que la Sociedad </w:t>
      </w:r>
      <w:r w:rsidRPr="005B76C0">
        <w:rPr>
          <w:rFonts w:ascii="Times New Roman" w:eastAsia="Times New Roman" w:hAnsi="Times New Roman" w:cs="Times New Roman"/>
        </w:rPr>
        <w:t>obtenga el consentimiento de la Mayoría Necesaria</w:t>
      </w:r>
      <w:r w:rsidR="00990005">
        <w:rPr>
          <w:rFonts w:ascii="Times New Roman" w:eastAsia="Times New Roman" w:hAnsi="Times New Roman" w:cs="Times New Roman"/>
        </w:rPr>
        <w:t xml:space="preserve"> (conforme dicho término se define más adelante)</w:t>
      </w:r>
      <w:r w:rsidRPr="005B76C0">
        <w:rPr>
          <w:rFonts w:ascii="Times New Roman" w:eastAsia="Times New Roman" w:hAnsi="Times New Roman" w:cs="Times New Roman"/>
        </w:rPr>
        <w:t xml:space="preserve"> para </w:t>
      </w:r>
      <w:r w:rsidRPr="005B76C0">
        <w:rPr>
          <w:rFonts w:ascii="Times New Roman" w:eastAsia="Times New Roman" w:hAnsi="Times New Roman" w:cs="Times New Roman"/>
          <w:lang w:bidi="es-ES"/>
        </w:rPr>
        <w:t xml:space="preserve">la Modificación Propuesta, y ocurra la Condición en Caso de No Acuerdo con </w:t>
      </w:r>
      <w:proofErr w:type="spellStart"/>
      <w:r w:rsidRPr="005B76C0">
        <w:rPr>
          <w:rFonts w:ascii="Times New Roman" w:eastAsia="Times New Roman" w:hAnsi="Times New Roman" w:cs="Times New Roman"/>
          <w:lang w:bidi="es-ES"/>
        </w:rPr>
        <w:t>Itaú</w:t>
      </w:r>
      <w:proofErr w:type="spellEnd"/>
      <w:r w:rsidRPr="005B76C0">
        <w:rPr>
          <w:rFonts w:ascii="Times New Roman" w:eastAsia="Times New Roman" w:hAnsi="Times New Roman" w:cs="Times New Roman"/>
          <w:lang w:bidi="es-ES"/>
        </w:rPr>
        <w:t xml:space="preserve"> sobre la Participación en Catalinas sin que se haya producido la Cancelación del 33</w:t>
      </w:r>
      <w:r w:rsidR="005857F0">
        <w:rPr>
          <w:rFonts w:ascii="Times New Roman" w:eastAsia="Times New Roman" w:hAnsi="Times New Roman" w:cs="Times New Roman"/>
          <w:lang w:bidi="es-ES"/>
        </w:rPr>
        <w:t>,33</w:t>
      </w:r>
      <w:r w:rsidRPr="005B76C0">
        <w:rPr>
          <w:rFonts w:ascii="Times New Roman" w:eastAsia="Times New Roman" w:hAnsi="Times New Roman" w:cs="Times New Roman"/>
          <w:lang w:bidi="es-ES"/>
        </w:rPr>
        <w:t xml:space="preserve">% del Capital de Obligaciones Negociables, </w:t>
      </w:r>
      <w:r w:rsidR="0072782B" w:rsidRPr="005B76C0">
        <w:rPr>
          <w:rFonts w:ascii="Times New Roman" w:eastAsia="Times New Roman" w:hAnsi="Times New Roman" w:cs="Times New Roman"/>
          <w:lang w:val="es-MX" w:bidi="es-ES"/>
        </w:rPr>
        <w:t>y de conformidad con lo establecido en los apartados “</w:t>
      </w:r>
      <w:r w:rsidR="0072782B" w:rsidRPr="005B76C0">
        <w:rPr>
          <w:rFonts w:ascii="Times New Roman" w:eastAsia="Times New Roman" w:hAnsi="Times New Roman" w:cs="Times New Roman"/>
          <w:i/>
          <w:lang w:bidi="es-ES"/>
        </w:rPr>
        <w:t>Derecho de la Sociedad de liberar de la Garantía la Prenda</w:t>
      </w:r>
      <w:r w:rsidR="0072782B" w:rsidRPr="005B76C0">
        <w:rPr>
          <w:rFonts w:ascii="Times New Roman" w:eastAsia="Times New Roman" w:hAnsi="Times New Roman" w:cs="Times New Roman"/>
          <w:lang w:val="es-MX" w:bidi="es-ES"/>
        </w:rPr>
        <w:t>” y  “</w:t>
      </w:r>
      <w:r w:rsidR="0072782B" w:rsidRPr="005B76C0">
        <w:rPr>
          <w:rFonts w:ascii="Times New Roman" w:eastAsia="Times New Roman" w:hAnsi="Times New Roman" w:cs="Times New Roman"/>
          <w:i/>
          <w:lang w:val="es-MX" w:bidi="es-ES"/>
        </w:rPr>
        <w:t>Derecho de la Sociedad de vender la Participación en Catalinas</w:t>
      </w:r>
      <w:r w:rsidR="0072782B" w:rsidRPr="005B76C0">
        <w:rPr>
          <w:rFonts w:ascii="Times New Roman" w:eastAsia="Times New Roman" w:hAnsi="Times New Roman" w:cs="Times New Roman"/>
          <w:lang w:val="es-MX" w:bidi="es-ES"/>
        </w:rPr>
        <w:t xml:space="preserve">” de la presente Solicitud de Consentimiento, </w:t>
      </w:r>
      <w:r w:rsidRPr="005B76C0">
        <w:rPr>
          <w:rFonts w:ascii="Times New Roman" w:eastAsia="Times New Roman" w:hAnsi="Times New Roman" w:cs="Times New Roman"/>
          <w:lang w:bidi="es-ES"/>
        </w:rPr>
        <w:t>los siguientes términos y condiciones aplicarán</w:t>
      </w:r>
      <w:r w:rsidR="00190665">
        <w:rPr>
          <w:rFonts w:ascii="Times New Roman" w:eastAsia="Times New Roman" w:hAnsi="Times New Roman" w:cs="Times New Roman"/>
          <w:lang w:bidi="es-ES"/>
        </w:rPr>
        <w:t xml:space="preserve"> a partir del </w:t>
      </w:r>
      <w:r w:rsidR="00190665">
        <w:rPr>
          <w:rFonts w:ascii="Times New Roman" w:eastAsia="Times New Roman" w:hAnsi="Times New Roman" w:cs="Times New Roman"/>
          <w:lang w:bidi="es-ES"/>
        </w:rPr>
        <w:lastRenderedPageBreak/>
        <w:t xml:space="preserve">vencimiento de la Condición en Caso de No Acuerdo con </w:t>
      </w:r>
      <w:proofErr w:type="spellStart"/>
      <w:r w:rsidR="00190665">
        <w:rPr>
          <w:rFonts w:ascii="Times New Roman" w:eastAsia="Times New Roman" w:hAnsi="Times New Roman" w:cs="Times New Roman"/>
          <w:lang w:bidi="es-ES"/>
        </w:rPr>
        <w:t>Itaú</w:t>
      </w:r>
      <w:proofErr w:type="spellEnd"/>
      <w:r w:rsidR="00190665">
        <w:rPr>
          <w:rFonts w:ascii="Times New Roman" w:eastAsia="Times New Roman" w:hAnsi="Times New Roman" w:cs="Times New Roman"/>
          <w:lang w:bidi="es-ES"/>
        </w:rPr>
        <w:t xml:space="preserve"> sobre la Participación en Catalinas</w:t>
      </w:r>
      <w:r w:rsidR="006B6B70">
        <w:rPr>
          <w:rFonts w:ascii="Times New Roman" w:eastAsia="Times New Roman" w:hAnsi="Times New Roman" w:cs="Times New Roman"/>
          <w:lang w:bidi="es-ES"/>
        </w:rPr>
        <w:t xml:space="preserve"> y</w:t>
      </w:r>
      <w:r w:rsidRPr="005B76C0">
        <w:rPr>
          <w:rFonts w:ascii="Times New Roman" w:eastAsia="Times New Roman" w:hAnsi="Times New Roman" w:cs="Times New Roman"/>
          <w:lang w:bidi="es-ES"/>
        </w:rPr>
        <w:t xml:space="preserve"> en lo sucesivo a las Obligaciones Negociables (los “</w:t>
      </w:r>
      <w:r w:rsidRPr="005B76C0">
        <w:rPr>
          <w:rFonts w:ascii="Times New Roman" w:eastAsia="Times New Roman" w:hAnsi="Times New Roman" w:cs="Times New Roman"/>
          <w:u w:val="single"/>
          <w:lang w:val="es-MX" w:bidi="es-ES"/>
        </w:rPr>
        <w:t xml:space="preserve">T&amp;C </w:t>
      </w:r>
      <w:r w:rsidRPr="005B76C0">
        <w:rPr>
          <w:rFonts w:ascii="Times New Roman" w:eastAsia="Times New Roman" w:hAnsi="Times New Roman" w:cs="Times New Roman"/>
          <w:u w:val="single"/>
          <w:lang w:bidi="es-ES"/>
        </w:rPr>
        <w:t xml:space="preserve">Aplicables en Caso de </w:t>
      </w:r>
      <w:r w:rsidR="0072782B" w:rsidRPr="005B76C0">
        <w:rPr>
          <w:rFonts w:ascii="Times New Roman" w:eastAsia="Times New Roman" w:hAnsi="Times New Roman" w:cs="Times New Roman"/>
          <w:u w:val="single"/>
          <w:lang w:bidi="es-ES"/>
        </w:rPr>
        <w:t xml:space="preserve">No </w:t>
      </w:r>
      <w:r w:rsidRPr="005B76C0">
        <w:rPr>
          <w:rFonts w:ascii="Times New Roman" w:eastAsia="Times New Roman" w:hAnsi="Times New Roman" w:cs="Times New Roman"/>
          <w:u w:val="single"/>
          <w:lang w:bidi="es-ES"/>
        </w:rPr>
        <w:t xml:space="preserve">Acuerdo con </w:t>
      </w:r>
      <w:proofErr w:type="spellStart"/>
      <w:r w:rsidRPr="005B76C0">
        <w:rPr>
          <w:rFonts w:ascii="Times New Roman" w:eastAsia="Times New Roman" w:hAnsi="Times New Roman" w:cs="Times New Roman"/>
          <w:u w:val="single"/>
          <w:lang w:bidi="es-ES"/>
        </w:rPr>
        <w:t>Itaú</w:t>
      </w:r>
      <w:proofErr w:type="spellEnd"/>
      <w:r w:rsidRPr="005B76C0">
        <w:rPr>
          <w:rFonts w:ascii="Times New Roman" w:eastAsia="Times New Roman" w:hAnsi="Times New Roman" w:cs="Times New Roman"/>
          <w:u w:val="single"/>
          <w:lang w:bidi="es-ES"/>
        </w:rPr>
        <w:t xml:space="preserve"> sobre la Participación en Catalinas</w:t>
      </w:r>
      <w:r w:rsidRPr="005B76C0">
        <w:rPr>
          <w:rFonts w:ascii="Times New Roman" w:eastAsia="Times New Roman" w:hAnsi="Times New Roman" w:cs="Times New Roman"/>
          <w:lang w:bidi="es-ES"/>
        </w:rPr>
        <w:t>”)</w:t>
      </w:r>
      <w:r w:rsidRPr="005B76C0">
        <w:rPr>
          <w:rFonts w:ascii="Times New Roman" w:eastAsia="Times New Roman" w:hAnsi="Times New Roman" w:cs="Times New Roman"/>
          <w:lang w:val="es-MX" w:bidi="es-ES"/>
        </w:rPr>
        <w:t>:</w:t>
      </w:r>
    </w:p>
    <w:p w14:paraId="41C6FD8F" w14:textId="09FA3969" w:rsidR="002A0C4D" w:rsidRDefault="002A0C4D">
      <w:pPr>
        <w:pStyle w:val="Prrafodelista"/>
        <w:spacing w:after="0" w:line="240" w:lineRule="auto"/>
        <w:ind w:leftChars="0" w:left="925" w:firstLineChars="0" w:firstLine="0"/>
        <w:jc w:val="both"/>
        <w:rPr>
          <w:rFonts w:ascii="Times New Roman" w:eastAsia="Times New Roman" w:hAnsi="Times New Roman" w:cs="Times New Roman"/>
          <w:lang w:val="es-MX" w:bidi="es-ES"/>
        </w:rPr>
      </w:pPr>
    </w:p>
    <w:p w14:paraId="5F79182E" w14:textId="7FA8FD7C" w:rsidR="002A0C4D" w:rsidRPr="002A0C4D" w:rsidRDefault="002A0C4D" w:rsidP="002A0C4D">
      <w:pPr>
        <w:pStyle w:val="Prrafodelista"/>
        <w:numPr>
          <w:ilvl w:val="0"/>
          <w:numId w:val="5"/>
        </w:numPr>
        <w:spacing w:after="0" w:line="240" w:lineRule="auto"/>
        <w:ind w:leftChars="0" w:firstLineChars="0"/>
        <w:jc w:val="both"/>
        <w:rPr>
          <w:rFonts w:ascii="Times New Roman" w:eastAsia="Times New Roman" w:hAnsi="Times New Roman" w:cs="Times New Roman"/>
          <w:lang w:bidi="es-ES"/>
        </w:rPr>
      </w:pPr>
      <w:r w:rsidRPr="00310976">
        <w:rPr>
          <w:rFonts w:ascii="Times New Roman" w:eastAsia="Times New Roman" w:hAnsi="Times New Roman" w:cs="Times New Roman"/>
          <w:lang w:bidi="es-ES"/>
        </w:rPr>
        <w:t>Las Obligaciones Negociables estarán garantizadas por el Fideicomiso MPN</w:t>
      </w:r>
      <w:r w:rsidR="001C0857">
        <w:rPr>
          <w:rFonts w:ascii="Times New Roman" w:hAnsi="Times New Roman" w:cs="Times New Roman"/>
          <w:lang w:bidi="es-ES"/>
        </w:rPr>
        <w:t xml:space="preserve"> </w:t>
      </w:r>
      <w:r w:rsidRPr="00310976">
        <w:rPr>
          <w:rFonts w:ascii="Times New Roman" w:eastAsia="Times New Roman" w:hAnsi="Times New Roman" w:cs="Times New Roman"/>
          <w:lang w:bidi="es-ES"/>
        </w:rPr>
        <w:t xml:space="preserve">y la Prenda. </w:t>
      </w:r>
      <w:r w:rsidRPr="00740007">
        <w:rPr>
          <w:rFonts w:ascii="Times New Roman" w:eastAsia="Times New Roman" w:hAnsi="Times New Roman" w:cs="Times New Roman"/>
          <w:lang w:val="es-MX" w:bidi="es-ES"/>
        </w:rPr>
        <w:t>Para más información véase el apartado “</w:t>
      </w:r>
      <w:r w:rsidRPr="00740007">
        <w:rPr>
          <w:rFonts w:ascii="Times New Roman" w:eastAsia="Times New Roman" w:hAnsi="Times New Roman" w:cs="Times New Roman"/>
          <w:i/>
          <w:lang w:bidi="es-ES"/>
        </w:rPr>
        <w:t xml:space="preserve">Ampliación y modificación de la Garantía de las </w:t>
      </w:r>
      <w:r w:rsidRPr="0055089D">
        <w:rPr>
          <w:rFonts w:ascii="Times New Roman" w:eastAsia="Times New Roman" w:hAnsi="Times New Roman" w:cs="Times New Roman"/>
          <w:i/>
          <w:lang w:val="es-MX" w:bidi="es-ES"/>
        </w:rPr>
        <w:t>Obligaciones Negociables</w:t>
      </w:r>
      <w:r w:rsidRPr="0055089D">
        <w:rPr>
          <w:rFonts w:ascii="Times New Roman" w:eastAsia="Times New Roman" w:hAnsi="Times New Roman" w:cs="Times New Roman"/>
          <w:lang w:val="es-MX" w:bidi="es-ES"/>
        </w:rPr>
        <w:t>” de la presente Solicitud de Consentimiento</w:t>
      </w:r>
      <w:r w:rsidRPr="003F14C4">
        <w:rPr>
          <w:rFonts w:ascii="Times New Roman" w:eastAsia="Times New Roman" w:hAnsi="Times New Roman" w:cs="Times New Roman"/>
          <w:lang w:bidi="es-ES"/>
        </w:rPr>
        <w:t>;</w:t>
      </w:r>
    </w:p>
    <w:p w14:paraId="5C236929" w14:textId="77777777" w:rsidR="005B3076" w:rsidRPr="00092991" w:rsidRDefault="005B3076">
      <w:pPr>
        <w:spacing w:after="0" w:line="240" w:lineRule="auto"/>
        <w:ind w:leftChars="0" w:left="851" w:firstLineChars="0" w:hanging="284"/>
        <w:jc w:val="both"/>
        <w:rPr>
          <w:rFonts w:ascii="Times New Roman" w:eastAsia="Times New Roman" w:hAnsi="Times New Roman" w:cs="Times New Roman"/>
          <w:lang w:val="es-MX" w:bidi="es-ES"/>
        </w:rPr>
      </w:pPr>
    </w:p>
    <w:p w14:paraId="3419BC44" w14:textId="7EBA87CB" w:rsidR="00195F2C" w:rsidRPr="00092991" w:rsidRDefault="00195F2C">
      <w:pPr>
        <w:pStyle w:val="Prrafodelista"/>
        <w:numPr>
          <w:ilvl w:val="0"/>
          <w:numId w:val="5"/>
        </w:numPr>
        <w:spacing w:after="0" w:line="240" w:lineRule="auto"/>
        <w:ind w:leftChars="0" w:firstLineChars="0"/>
        <w:jc w:val="both"/>
        <w:rPr>
          <w:rFonts w:ascii="Times New Roman" w:eastAsia="Times New Roman" w:hAnsi="Times New Roman" w:cs="Times New Roman"/>
          <w:lang w:val="es-MX" w:bidi="es-ES"/>
        </w:rPr>
      </w:pPr>
      <w:r w:rsidRPr="00092991">
        <w:rPr>
          <w:rFonts w:ascii="Times New Roman" w:eastAsia="Times New Roman" w:hAnsi="Times New Roman" w:cs="Times New Roman"/>
          <w:lang w:bidi="es-ES"/>
        </w:rPr>
        <w:t>La Fecha de Vencimiento se prorrogará desde el 11 de febrero de 2023 hasta el 11 de febrero de 2027</w:t>
      </w:r>
      <w:r w:rsidR="00990005">
        <w:rPr>
          <w:rFonts w:ascii="Times New Roman" w:eastAsia="Times New Roman" w:hAnsi="Times New Roman" w:cs="Times New Roman"/>
          <w:lang w:bidi="es-ES"/>
        </w:rPr>
        <w:t xml:space="preserve"> (la “</w:t>
      </w:r>
      <w:r w:rsidR="00990005" w:rsidRPr="0085786F">
        <w:rPr>
          <w:rFonts w:ascii="Times New Roman" w:eastAsia="Times New Roman" w:hAnsi="Times New Roman" w:cs="Times New Roman"/>
          <w:u w:val="single"/>
          <w:lang w:bidi="es-ES"/>
        </w:rPr>
        <w:t xml:space="preserve">Fecha de Vencimiento en los T&amp;C Aplicables en Caso de No Acuerdo con </w:t>
      </w:r>
      <w:proofErr w:type="spellStart"/>
      <w:r w:rsidR="00990005" w:rsidRPr="0085786F">
        <w:rPr>
          <w:rFonts w:ascii="Times New Roman" w:eastAsia="Times New Roman" w:hAnsi="Times New Roman" w:cs="Times New Roman"/>
          <w:u w:val="single"/>
          <w:lang w:bidi="es-ES"/>
        </w:rPr>
        <w:t>Itaú</w:t>
      </w:r>
      <w:proofErr w:type="spellEnd"/>
      <w:r w:rsidR="00990005" w:rsidRPr="0085786F">
        <w:rPr>
          <w:rFonts w:ascii="Times New Roman" w:eastAsia="Times New Roman" w:hAnsi="Times New Roman" w:cs="Times New Roman"/>
          <w:u w:val="single"/>
          <w:lang w:bidi="es-ES"/>
        </w:rPr>
        <w:t xml:space="preserve"> sobre la Participación en Catalinas</w:t>
      </w:r>
      <w:r w:rsidR="00990005">
        <w:rPr>
          <w:rFonts w:ascii="Times New Roman" w:eastAsia="Times New Roman" w:hAnsi="Times New Roman" w:cs="Times New Roman"/>
          <w:lang w:bidi="es-ES"/>
        </w:rPr>
        <w:t>”)</w:t>
      </w:r>
      <w:r w:rsidRPr="00092991">
        <w:rPr>
          <w:rFonts w:ascii="Times New Roman" w:eastAsia="Times New Roman" w:hAnsi="Times New Roman" w:cs="Times New Roman"/>
          <w:lang w:bidi="es-ES"/>
        </w:rPr>
        <w:t>;</w:t>
      </w:r>
    </w:p>
    <w:p w14:paraId="5A584096" w14:textId="77777777" w:rsidR="00195F2C" w:rsidRPr="00092991" w:rsidRDefault="00195F2C">
      <w:pPr>
        <w:spacing w:after="0" w:line="240" w:lineRule="auto"/>
        <w:ind w:leftChars="0" w:left="851" w:firstLineChars="0" w:hanging="283"/>
        <w:jc w:val="both"/>
        <w:rPr>
          <w:rFonts w:ascii="Times New Roman" w:eastAsia="Times New Roman" w:hAnsi="Times New Roman" w:cs="Times New Roman"/>
          <w:lang w:val="es-MX" w:bidi="es-ES"/>
        </w:rPr>
      </w:pPr>
    </w:p>
    <w:p w14:paraId="7D2F2C60" w14:textId="0B6E39A8" w:rsidR="00726644" w:rsidRPr="00D60D4C" w:rsidRDefault="00195F2C" w:rsidP="00D60D4C">
      <w:pPr>
        <w:pStyle w:val="Prrafodelista"/>
        <w:numPr>
          <w:ilvl w:val="0"/>
          <w:numId w:val="5"/>
        </w:numPr>
        <w:spacing w:after="0" w:line="240" w:lineRule="auto"/>
        <w:ind w:leftChars="0" w:firstLineChars="0"/>
        <w:jc w:val="both"/>
        <w:rPr>
          <w:rFonts w:ascii="Times New Roman" w:eastAsia="Times New Roman" w:hAnsi="Times New Roman" w:cs="Times New Roman"/>
          <w:lang w:val="es-AR" w:bidi="es-ES"/>
        </w:rPr>
      </w:pPr>
      <w:r w:rsidRPr="00092991">
        <w:rPr>
          <w:rFonts w:ascii="Times New Roman" w:eastAsia="Times New Roman" w:hAnsi="Times New Roman" w:cs="Times New Roman"/>
          <w:lang w:bidi="es-ES"/>
        </w:rPr>
        <w:t>E</w:t>
      </w:r>
      <w:r w:rsidRPr="00092991">
        <w:rPr>
          <w:rFonts w:ascii="Times New Roman" w:eastAsia="Times New Roman" w:hAnsi="Times New Roman" w:cs="Times New Roman"/>
          <w:lang w:val="es-AR" w:bidi="es-ES"/>
        </w:rPr>
        <w:t xml:space="preserve">l capital de las Obligaciones Negociables será amortizado de la siguiente manera: </w:t>
      </w:r>
    </w:p>
    <w:p w14:paraId="6D7002FA" w14:textId="3D6A0679" w:rsidR="00726644" w:rsidRPr="0032028C" w:rsidRDefault="00BF5190" w:rsidP="008E7217">
      <w:pPr>
        <w:pStyle w:val="Prrafodelista"/>
        <w:spacing w:after="0" w:line="240" w:lineRule="auto"/>
        <w:ind w:leftChars="0" w:left="1285" w:firstLineChars="0" w:firstLine="0"/>
        <w:jc w:val="both"/>
        <w:rPr>
          <w:rFonts w:ascii="Times New Roman" w:eastAsia="Times New Roman" w:hAnsi="Times New Roman" w:cs="Times New Roman"/>
          <w:lang w:val="es-AR" w:bidi="es-ES"/>
        </w:rPr>
      </w:pPr>
      <w:r>
        <w:rPr>
          <w:rFonts w:ascii="Times New Roman" w:hAnsi="Times New Roman" w:cs="Times New Roman"/>
        </w:rPr>
        <w:t xml:space="preserve">(i) </w:t>
      </w:r>
      <w:r w:rsidR="0076405B">
        <w:rPr>
          <w:rFonts w:ascii="Times New Roman" w:hAnsi="Times New Roman" w:cs="Times New Roman"/>
        </w:rPr>
        <w:t>e</w:t>
      </w:r>
      <w:r>
        <w:rPr>
          <w:rFonts w:ascii="Times New Roman" w:hAnsi="Times New Roman" w:cs="Times New Roman"/>
        </w:rPr>
        <w:t>n las fechas 11 de mayo de 2023, 11 de agosto de 2023, 11 de noviembre de 2023 y 11 de febrero de 2024, la Sociedad abonará un</w:t>
      </w:r>
      <w:r w:rsidR="00644C0F">
        <w:rPr>
          <w:rFonts w:ascii="Times New Roman" w:hAnsi="Times New Roman" w:cs="Times New Roman"/>
        </w:rPr>
        <w:t>a</w:t>
      </w:r>
      <w:r>
        <w:rPr>
          <w:rFonts w:ascii="Times New Roman" w:hAnsi="Times New Roman" w:cs="Times New Roman"/>
        </w:rPr>
        <w:t xml:space="preserve"> cuota de capital por hasta el 6% (considerando</w:t>
      </w:r>
      <w:r w:rsidR="00A67AA2">
        <w:rPr>
          <w:rFonts w:ascii="Times New Roman" w:hAnsi="Times New Roman" w:cs="Times New Roman"/>
        </w:rPr>
        <w:t xml:space="preserve"> el</w:t>
      </w:r>
      <w:r>
        <w:rPr>
          <w:rFonts w:ascii="Times New Roman" w:hAnsi="Times New Roman" w:cs="Times New Roman"/>
        </w:rPr>
        <w:t xml:space="preserve"> capital adeudado al 11 de </w:t>
      </w:r>
      <w:r w:rsidR="00EA10EA">
        <w:rPr>
          <w:rFonts w:ascii="Times New Roman" w:hAnsi="Times New Roman" w:cs="Times New Roman"/>
        </w:rPr>
        <w:t>agosto</w:t>
      </w:r>
      <w:r>
        <w:rPr>
          <w:rFonts w:ascii="Times New Roman" w:hAnsi="Times New Roman" w:cs="Times New Roman"/>
        </w:rPr>
        <w:t xml:space="preserve"> de 2022 cuyo monto es US$ 21.210.642,28) en caso que ocurra un Ingreso de Caja MPN (cada una de estas fechas, una “</w:t>
      </w:r>
      <w:r>
        <w:rPr>
          <w:rFonts w:ascii="Times New Roman" w:hAnsi="Times New Roman" w:cs="Times New Roman"/>
          <w:u w:val="single"/>
        </w:rPr>
        <w:t>Fecha de Amortización por Ingreso de Caja MPN</w:t>
      </w:r>
      <w:r>
        <w:rPr>
          <w:rFonts w:ascii="Times New Roman" w:hAnsi="Times New Roman" w:cs="Times New Roman"/>
        </w:rPr>
        <w:t>”, y cada una de esas cuotas de capital, una “</w:t>
      </w:r>
      <w:r>
        <w:rPr>
          <w:rFonts w:ascii="Times New Roman" w:hAnsi="Times New Roman" w:cs="Times New Roman"/>
          <w:u w:val="single"/>
        </w:rPr>
        <w:t>Cuota de Amortización por Ingreso de Caja MPN</w:t>
      </w:r>
      <w:r>
        <w:rPr>
          <w:rFonts w:ascii="Times New Roman" w:hAnsi="Times New Roman" w:cs="Times New Roman"/>
        </w:rPr>
        <w:t>”)</w:t>
      </w:r>
      <w:r w:rsidR="00726644" w:rsidRPr="0032028C">
        <w:rPr>
          <w:rFonts w:ascii="Times New Roman" w:eastAsia="Times New Roman" w:hAnsi="Times New Roman" w:cs="Times New Roman"/>
          <w:lang w:val="es-AR" w:bidi="es-ES"/>
        </w:rPr>
        <w:t>.</w:t>
      </w:r>
      <w:r w:rsidR="00523E04">
        <w:rPr>
          <w:rFonts w:ascii="Times New Roman" w:eastAsia="Times New Roman" w:hAnsi="Times New Roman" w:cs="Times New Roman"/>
          <w:lang w:val="es-AR" w:bidi="es-ES"/>
        </w:rPr>
        <w:t xml:space="preserve"> </w:t>
      </w:r>
      <w:r w:rsidR="00726644" w:rsidRPr="0032028C">
        <w:rPr>
          <w:rFonts w:ascii="Times New Roman" w:eastAsia="Times New Roman" w:hAnsi="Times New Roman" w:cs="Times New Roman"/>
          <w:lang w:bidi="es-ES"/>
        </w:rPr>
        <w:t xml:space="preserve">Queda expresamente acordado que (a) en cada Fecha de Amortización por </w:t>
      </w:r>
      <w:r w:rsidR="00625B49">
        <w:rPr>
          <w:rFonts w:ascii="Times New Roman" w:eastAsia="Times New Roman" w:hAnsi="Times New Roman" w:cs="Times New Roman"/>
          <w:lang w:bidi="es-ES"/>
        </w:rPr>
        <w:t>Ingreso de Caja MPN</w:t>
      </w:r>
      <w:r w:rsidR="00726644" w:rsidRPr="0032028C">
        <w:rPr>
          <w:rFonts w:ascii="Times New Roman" w:eastAsia="Times New Roman" w:hAnsi="Times New Roman" w:cs="Times New Roman"/>
          <w:lang w:bidi="es-ES"/>
        </w:rPr>
        <w:t xml:space="preserve">, la Cuota de Amortización por </w:t>
      </w:r>
      <w:r w:rsidR="00625B49">
        <w:rPr>
          <w:rFonts w:ascii="Times New Roman" w:eastAsia="Times New Roman" w:hAnsi="Times New Roman" w:cs="Times New Roman"/>
          <w:lang w:bidi="es-ES"/>
        </w:rPr>
        <w:t>Ingreso de Caja MPN</w:t>
      </w:r>
      <w:r w:rsidR="00061A4B">
        <w:rPr>
          <w:rFonts w:ascii="Times New Roman" w:eastAsia="Times New Roman" w:hAnsi="Times New Roman" w:cs="Times New Roman"/>
          <w:lang w:bidi="es-ES"/>
        </w:rPr>
        <w:t>,</w:t>
      </w:r>
      <w:r w:rsidR="00061A4B" w:rsidRPr="00061A4B">
        <w:rPr>
          <w:rFonts w:ascii="Times New Roman" w:eastAsia="Times New Roman" w:hAnsi="Times New Roman" w:cs="Times New Roman"/>
          <w:lang w:bidi="es-ES"/>
        </w:rPr>
        <w:t xml:space="preserve"> </w:t>
      </w:r>
      <w:r w:rsidR="00061A4B">
        <w:rPr>
          <w:rFonts w:ascii="Times New Roman" w:eastAsia="Times New Roman" w:hAnsi="Times New Roman" w:cs="Times New Roman"/>
          <w:lang w:bidi="es-ES"/>
        </w:rPr>
        <w:t xml:space="preserve">que no podrá ser superior al </w:t>
      </w:r>
      <w:r w:rsidR="007A745E">
        <w:rPr>
          <w:rFonts w:ascii="Times New Roman" w:eastAsia="Times New Roman" w:hAnsi="Times New Roman" w:cs="Times New Roman"/>
          <w:lang w:bidi="es-ES"/>
        </w:rPr>
        <w:t xml:space="preserve">El </w:t>
      </w:r>
      <w:r w:rsidR="008F1C81">
        <w:rPr>
          <w:rFonts w:ascii="Times New Roman" w:eastAsia="Times New Roman" w:hAnsi="Times New Roman" w:cs="Times New Roman"/>
          <w:lang w:bidi="es-ES"/>
        </w:rPr>
        <w:t>Porcentaje Máximo</w:t>
      </w:r>
      <w:r w:rsidR="007A745E">
        <w:rPr>
          <w:rFonts w:ascii="Times New Roman" w:eastAsia="Times New Roman" w:hAnsi="Times New Roman" w:cs="Times New Roman"/>
          <w:lang w:bidi="es-ES"/>
        </w:rPr>
        <w:t xml:space="preserve"> </w:t>
      </w:r>
      <w:r w:rsidR="00061A4B">
        <w:rPr>
          <w:rFonts w:ascii="Times New Roman" w:eastAsia="Times New Roman" w:hAnsi="Times New Roman" w:cs="Times New Roman"/>
          <w:lang w:bidi="es-ES"/>
        </w:rPr>
        <w:t>del capital en circulación de las Obligaciones Negociables</w:t>
      </w:r>
      <w:r w:rsidR="008F1C81" w:rsidRPr="008F1C81">
        <w:rPr>
          <w:rFonts w:ascii="Times New Roman" w:eastAsia="Times New Roman" w:hAnsi="Times New Roman" w:cs="Times New Roman"/>
          <w:lang w:bidi="es-ES"/>
        </w:rPr>
        <w:t xml:space="preserve"> salvo que en Fechas de Amortización </w:t>
      </w:r>
      <w:r w:rsidR="007A745E">
        <w:rPr>
          <w:rFonts w:ascii="Times New Roman" w:eastAsia="Times New Roman" w:hAnsi="Times New Roman" w:cs="Times New Roman"/>
          <w:lang w:bidi="es-ES"/>
        </w:rPr>
        <w:t xml:space="preserve">por Ingreso de Caja MPN </w:t>
      </w:r>
      <w:r w:rsidR="008F1C81" w:rsidRPr="008F1C81">
        <w:rPr>
          <w:rFonts w:ascii="Times New Roman" w:eastAsia="Times New Roman" w:hAnsi="Times New Roman" w:cs="Times New Roman"/>
          <w:lang w:bidi="es-ES"/>
        </w:rPr>
        <w:t xml:space="preserve">vencidas con anterioridad a la Fecha de Amortización </w:t>
      </w:r>
      <w:r w:rsidR="007A745E">
        <w:rPr>
          <w:rFonts w:ascii="Times New Roman" w:eastAsia="Times New Roman" w:hAnsi="Times New Roman" w:cs="Times New Roman"/>
          <w:lang w:bidi="es-ES"/>
        </w:rPr>
        <w:t xml:space="preserve">por Ingreso de Caja MPN </w:t>
      </w:r>
      <w:r w:rsidR="008F1C81" w:rsidRPr="008F1C81">
        <w:rPr>
          <w:rFonts w:ascii="Times New Roman" w:eastAsia="Times New Roman" w:hAnsi="Times New Roman" w:cs="Times New Roman"/>
          <w:lang w:bidi="es-ES"/>
        </w:rPr>
        <w:t>relevante El Porcentaje Máximo no hu</w:t>
      </w:r>
      <w:r w:rsidR="008F1C81">
        <w:rPr>
          <w:rFonts w:ascii="Times New Roman" w:eastAsia="Times New Roman" w:hAnsi="Times New Roman" w:cs="Times New Roman"/>
          <w:lang w:bidi="es-ES"/>
        </w:rPr>
        <w:t>biese sido efectivamente pagado</w:t>
      </w:r>
      <w:r w:rsidR="00061A4B">
        <w:rPr>
          <w:rFonts w:ascii="Times New Roman" w:eastAsia="Times New Roman" w:hAnsi="Times New Roman" w:cs="Times New Roman"/>
          <w:lang w:bidi="es-ES"/>
        </w:rPr>
        <w:t>,</w:t>
      </w:r>
      <w:r w:rsidR="00726644" w:rsidRPr="0032028C">
        <w:rPr>
          <w:rFonts w:ascii="Times New Roman" w:eastAsia="Times New Roman" w:hAnsi="Times New Roman" w:cs="Times New Roman"/>
          <w:lang w:bidi="es-ES"/>
        </w:rPr>
        <w:t xml:space="preserve"> será igual al menor monto que se registre entre (i) el porcentaje máximo de capital establecido para esa Fecha de Amortización por </w:t>
      </w:r>
      <w:r w:rsidR="00625B49">
        <w:rPr>
          <w:rFonts w:ascii="Times New Roman" w:eastAsia="Times New Roman" w:hAnsi="Times New Roman" w:cs="Times New Roman"/>
          <w:lang w:bidi="es-ES"/>
        </w:rPr>
        <w:t>Ingreso de Caja MPN</w:t>
      </w:r>
      <w:r w:rsidR="00726644" w:rsidRPr="0032028C">
        <w:rPr>
          <w:rFonts w:ascii="Times New Roman" w:eastAsia="Times New Roman" w:hAnsi="Times New Roman" w:cs="Times New Roman"/>
          <w:lang w:bidi="es-ES"/>
        </w:rPr>
        <w:t xml:space="preserve">; y (ii) los Fondos MPN (conforme dicho término se define más adelante) en poder del Fideicomiso MPN el quinto Día Hábil anterior a esa Fecha de Amortización por </w:t>
      </w:r>
      <w:r w:rsidR="00625B49">
        <w:rPr>
          <w:rFonts w:ascii="Times New Roman" w:eastAsia="Times New Roman" w:hAnsi="Times New Roman" w:cs="Times New Roman"/>
          <w:lang w:bidi="es-ES"/>
        </w:rPr>
        <w:t>Ingreso de Caja MPN</w:t>
      </w:r>
      <w:r w:rsidR="00726644" w:rsidRPr="0032028C">
        <w:rPr>
          <w:rFonts w:ascii="Times New Roman" w:eastAsia="Times New Roman" w:hAnsi="Times New Roman" w:cs="Times New Roman"/>
          <w:lang w:bidi="es-ES"/>
        </w:rPr>
        <w:t xml:space="preserve">; y (b) en caso que no existieran Fondos MPN en poder del Fideicomiso MPN en la fecha referida anteriormente, la Cuota de Amortización por </w:t>
      </w:r>
      <w:r w:rsidR="00625B49">
        <w:rPr>
          <w:rFonts w:ascii="Times New Roman" w:eastAsia="Times New Roman" w:hAnsi="Times New Roman" w:cs="Times New Roman"/>
          <w:lang w:bidi="es-ES"/>
        </w:rPr>
        <w:t>Ingreso de Caja MPN</w:t>
      </w:r>
      <w:r w:rsidR="00726644" w:rsidRPr="0032028C">
        <w:rPr>
          <w:rFonts w:ascii="Times New Roman" w:eastAsia="Times New Roman" w:hAnsi="Times New Roman" w:cs="Times New Roman"/>
          <w:lang w:bidi="es-ES"/>
        </w:rPr>
        <w:t xml:space="preserve"> de esa Fecha de Amortización por </w:t>
      </w:r>
      <w:r w:rsidR="00625B49">
        <w:rPr>
          <w:rFonts w:ascii="Times New Roman" w:eastAsia="Times New Roman" w:hAnsi="Times New Roman" w:cs="Times New Roman"/>
          <w:lang w:bidi="es-ES"/>
        </w:rPr>
        <w:t>Ingreso de Caja MPN</w:t>
      </w:r>
      <w:r w:rsidR="00726644" w:rsidRPr="0032028C">
        <w:rPr>
          <w:rFonts w:ascii="Times New Roman" w:eastAsia="Times New Roman" w:hAnsi="Times New Roman" w:cs="Times New Roman"/>
          <w:lang w:bidi="es-ES"/>
        </w:rPr>
        <w:t xml:space="preserve"> será igual a US$ 0</w:t>
      </w:r>
      <w:r w:rsidR="0076405B">
        <w:rPr>
          <w:rFonts w:ascii="Times New Roman" w:eastAsia="Times New Roman" w:hAnsi="Times New Roman" w:cs="Times New Roman"/>
          <w:lang w:bidi="es-ES"/>
        </w:rPr>
        <w:t xml:space="preserve"> (cero)</w:t>
      </w:r>
      <w:r w:rsidR="008F1C81">
        <w:rPr>
          <w:rFonts w:ascii="Times New Roman" w:eastAsia="Times New Roman" w:hAnsi="Times New Roman" w:cs="Times New Roman"/>
          <w:lang w:bidi="es-ES"/>
        </w:rPr>
        <w:t>.</w:t>
      </w:r>
      <w:r w:rsidR="008F1C81" w:rsidRPr="008F1C81">
        <w:t xml:space="preserve"> </w:t>
      </w:r>
      <w:r w:rsidR="008F1C81" w:rsidRPr="008F1C81">
        <w:rPr>
          <w:rFonts w:ascii="Times New Roman" w:eastAsia="Times New Roman" w:hAnsi="Times New Roman" w:cs="Times New Roman"/>
          <w:lang w:bidi="es-ES"/>
        </w:rPr>
        <w:t>En caso que en una o más Fecha de Amortización</w:t>
      </w:r>
      <w:r w:rsidR="007A745E">
        <w:rPr>
          <w:rFonts w:ascii="Times New Roman" w:eastAsia="Times New Roman" w:hAnsi="Times New Roman" w:cs="Times New Roman"/>
          <w:lang w:bidi="es-ES"/>
        </w:rPr>
        <w:t xml:space="preserve"> por </w:t>
      </w:r>
      <w:r w:rsidR="00BA1BE2">
        <w:rPr>
          <w:rFonts w:ascii="Times New Roman" w:eastAsia="Times New Roman" w:hAnsi="Times New Roman" w:cs="Times New Roman"/>
          <w:lang w:bidi="es-ES"/>
        </w:rPr>
        <w:t>Ingreso de Caja MPN e</w:t>
      </w:r>
      <w:r w:rsidR="008F1C81" w:rsidRPr="008F1C81">
        <w:rPr>
          <w:rFonts w:ascii="Times New Roman" w:eastAsia="Times New Roman" w:hAnsi="Times New Roman" w:cs="Times New Roman"/>
          <w:lang w:bidi="es-ES"/>
        </w:rPr>
        <w:t>l Porcentaje Máximo no hubiese sido pagado, l</w:t>
      </w:r>
      <w:r w:rsidR="008F1C81">
        <w:rPr>
          <w:rFonts w:ascii="Times New Roman" w:eastAsia="Times New Roman" w:hAnsi="Times New Roman" w:cs="Times New Roman"/>
          <w:lang w:bidi="es-ES"/>
        </w:rPr>
        <w:t>a</w:t>
      </w:r>
      <w:r w:rsidR="008F1C81" w:rsidRPr="008F1C81">
        <w:rPr>
          <w:rFonts w:ascii="Times New Roman" w:eastAsia="Times New Roman" w:hAnsi="Times New Roman" w:cs="Times New Roman"/>
          <w:lang w:bidi="es-ES"/>
        </w:rPr>
        <w:t xml:space="preserve"> diferencia en menos será</w:t>
      </w:r>
      <w:r w:rsidR="009D7A7D">
        <w:rPr>
          <w:rFonts w:ascii="Times New Roman" w:eastAsia="Times New Roman" w:hAnsi="Times New Roman" w:cs="Times New Roman"/>
          <w:lang w:bidi="es-ES"/>
        </w:rPr>
        <w:t xml:space="preserve">, </w:t>
      </w:r>
      <w:r w:rsidR="009D7A7D">
        <w:rPr>
          <w:rFonts w:ascii="Times New Roman" w:hAnsi="Times New Roman" w:cs="Times New Roman"/>
          <w:lang w:bidi="es-ES"/>
        </w:rPr>
        <w:t>en la medida en que la normativa cambiaria lo permita</w:t>
      </w:r>
      <w:r w:rsidR="00CB159C">
        <w:rPr>
          <w:rFonts w:ascii="Times New Roman" w:hAnsi="Times New Roman" w:cs="Times New Roman"/>
          <w:lang w:bidi="es-ES"/>
        </w:rPr>
        <w:t>,</w:t>
      </w:r>
      <w:r w:rsidR="008F1C81" w:rsidRPr="008F1C81">
        <w:rPr>
          <w:rFonts w:ascii="Times New Roman" w:eastAsia="Times New Roman" w:hAnsi="Times New Roman" w:cs="Times New Roman"/>
          <w:lang w:bidi="es-ES"/>
        </w:rPr>
        <w:t xml:space="preserve"> acumulable a las Fechas de Amortización </w:t>
      </w:r>
      <w:r w:rsidR="007A745E">
        <w:rPr>
          <w:rFonts w:ascii="Times New Roman" w:eastAsia="Times New Roman" w:hAnsi="Times New Roman" w:cs="Times New Roman"/>
          <w:lang w:bidi="es-ES"/>
        </w:rPr>
        <w:t xml:space="preserve">por Ingreso de Caja MPN </w:t>
      </w:r>
      <w:r w:rsidR="008F1C81" w:rsidRPr="008F1C81">
        <w:rPr>
          <w:rFonts w:ascii="Times New Roman" w:eastAsia="Times New Roman" w:hAnsi="Times New Roman" w:cs="Times New Roman"/>
          <w:lang w:bidi="es-ES"/>
        </w:rPr>
        <w:t xml:space="preserve">siguientes y tomado para cada una de esas Fechas de Amortización como porcentaje máximo de capital establecido para esa Fecha de Amortización </w:t>
      </w:r>
      <w:r w:rsidR="007A745E">
        <w:rPr>
          <w:rFonts w:ascii="Times New Roman" w:eastAsia="Times New Roman" w:hAnsi="Times New Roman" w:cs="Times New Roman"/>
          <w:lang w:bidi="es-ES"/>
        </w:rPr>
        <w:t xml:space="preserve">por Ingreso de Caja MPN </w:t>
      </w:r>
      <w:r w:rsidR="008F1C81" w:rsidRPr="008F1C81">
        <w:rPr>
          <w:rFonts w:ascii="Times New Roman" w:eastAsia="Times New Roman" w:hAnsi="Times New Roman" w:cs="Times New Roman"/>
          <w:lang w:bidi="es-ES"/>
        </w:rPr>
        <w:t xml:space="preserve">el originalmente previsto </w:t>
      </w:r>
      <w:r w:rsidR="007A745E" w:rsidRPr="008F1C81">
        <w:rPr>
          <w:rFonts w:ascii="Times New Roman" w:eastAsia="Times New Roman" w:hAnsi="Times New Roman" w:cs="Times New Roman"/>
          <w:lang w:bidi="es-ES"/>
        </w:rPr>
        <w:t>más</w:t>
      </w:r>
      <w:r w:rsidR="008F1C81" w:rsidRPr="008F1C81">
        <w:rPr>
          <w:rFonts w:ascii="Times New Roman" w:eastAsia="Times New Roman" w:hAnsi="Times New Roman" w:cs="Times New Roman"/>
          <w:lang w:bidi="es-ES"/>
        </w:rPr>
        <w:t xml:space="preserve"> la diferencia en menos acumulada, hasta su concur</w:t>
      </w:r>
      <w:r w:rsidR="008F1C81">
        <w:rPr>
          <w:rFonts w:ascii="Times New Roman" w:eastAsia="Times New Roman" w:hAnsi="Times New Roman" w:cs="Times New Roman"/>
          <w:lang w:bidi="es-ES"/>
        </w:rPr>
        <w:t>r</w:t>
      </w:r>
      <w:r w:rsidR="008F1C81" w:rsidRPr="008F1C81">
        <w:rPr>
          <w:rFonts w:ascii="Times New Roman" w:eastAsia="Times New Roman" w:hAnsi="Times New Roman" w:cs="Times New Roman"/>
          <w:lang w:bidi="es-ES"/>
        </w:rPr>
        <w:t>encia</w:t>
      </w:r>
      <w:r w:rsidR="00726644" w:rsidRPr="0032028C">
        <w:rPr>
          <w:rFonts w:ascii="Times New Roman" w:eastAsia="Times New Roman" w:hAnsi="Times New Roman" w:cs="Times New Roman"/>
          <w:lang w:bidi="es-ES"/>
        </w:rPr>
        <w:t>;</w:t>
      </w:r>
      <w:r w:rsidR="00566749">
        <w:rPr>
          <w:rFonts w:ascii="Times New Roman" w:eastAsia="Times New Roman" w:hAnsi="Times New Roman" w:cs="Times New Roman"/>
          <w:lang w:bidi="es-ES"/>
        </w:rPr>
        <w:t xml:space="preserve"> </w:t>
      </w:r>
    </w:p>
    <w:p w14:paraId="1DC9C784" w14:textId="7091F656" w:rsidR="00726644" w:rsidRDefault="00726644" w:rsidP="008E7217">
      <w:pPr>
        <w:pStyle w:val="Prrafodelista"/>
        <w:ind w:left="0" w:hanging="2"/>
        <w:rPr>
          <w:rFonts w:ascii="Times New Roman" w:eastAsia="Times New Roman" w:hAnsi="Times New Roman" w:cs="Times New Roman"/>
          <w:lang w:val="es-AR" w:bidi="es-ES"/>
        </w:rPr>
      </w:pPr>
    </w:p>
    <w:p w14:paraId="2AA437EE" w14:textId="4287ED77" w:rsidR="00BF5190" w:rsidRDefault="00BF5190" w:rsidP="00BF5190">
      <w:pPr>
        <w:pStyle w:val="Prrafodelista"/>
        <w:ind w:leftChars="0" w:left="1285" w:firstLineChars="0" w:firstLine="0"/>
        <w:rPr>
          <w:rFonts w:ascii="Times New Roman" w:eastAsia="Times New Roman" w:hAnsi="Times New Roman" w:cs="Times New Roman"/>
          <w:lang w:val="es-AR" w:bidi="es-ES"/>
        </w:rPr>
      </w:pPr>
      <w:r w:rsidRPr="0032028C">
        <w:rPr>
          <w:rFonts w:ascii="Times New Roman" w:eastAsia="Times New Roman" w:hAnsi="Times New Roman" w:cs="Times New Roman"/>
          <w:lang w:val="es-AR" w:bidi="es-ES"/>
        </w:rPr>
        <w:t>(</w:t>
      </w:r>
      <w:r>
        <w:rPr>
          <w:rFonts w:ascii="Times New Roman" w:eastAsia="Times New Roman" w:hAnsi="Times New Roman" w:cs="Times New Roman"/>
          <w:lang w:val="es-AR" w:bidi="es-ES"/>
        </w:rPr>
        <w:t>i</w:t>
      </w:r>
      <w:r w:rsidRPr="0032028C">
        <w:rPr>
          <w:rFonts w:ascii="Times New Roman" w:eastAsia="Times New Roman" w:hAnsi="Times New Roman" w:cs="Times New Roman"/>
          <w:lang w:val="es-AR" w:bidi="es-ES"/>
        </w:rPr>
        <w:t>i) con fecha 11 de febrero de 2026, la Sociedad abonará el 34</w:t>
      </w:r>
      <w:r w:rsidR="0082456F">
        <w:rPr>
          <w:rFonts w:ascii="Times New Roman" w:eastAsia="Times New Roman" w:hAnsi="Times New Roman" w:cs="Times New Roman"/>
          <w:lang w:val="es-AR" w:bidi="es-ES"/>
        </w:rPr>
        <w:t>,00</w:t>
      </w:r>
      <w:r w:rsidRPr="0032028C">
        <w:rPr>
          <w:rFonts w:ascii="Times New Roman" w:eastAsia="Times New Roman" w:hAnsi="Times New Roman" w:cs="Times New Roman"/>
          <w:lang w:val="es-AR" w:bidi="es-ES"/>
        </w:rPr>
        <w:t xml:space="preserve">% del monto de capital </w:t>
      </w:r>
      <w:r w:rsidR="00061A4B">
        <w:rPr>
          <w:rFonts w:ascii="Times New Roman" w:eastAsia="Times New Roman" w:hAnsi="Times New Roman" w:cs="Times New Roman"/>
          <w:lang w:val="es-AR" w:bidi="es-ES"/>
        </w:rPr>
        <w:t xml:space="preserve">de las Obligaciones Negociables </w:t>
      </w:r>
      <w:r w:rsidRPr="0032028C">
        <w:rPr>
          <w:rFonts w:ascii="Times New Roman" w:eastAsia="Times New Roman" w:hAnsi="Times New Roman" w:cs="Times New Roman"/>
          <w:lang w:val="es-AR" w:bidi="es-ES"/>
        </w:rPr>
        <w:t>en circulación adeudado a esa fecha;</w:t>
      </w:r>
      <w:r>
        <w:rPr>
          <w:rFonts w:ascii="Times New Roman" w:eastAsia="Times New Roman" w:hAnsi="Times New Roman" w:cs="Times New Roman"/>
          <w:lang w:val="es-AR" w:bidi="es-ES"/>
        </w:rPr>
        <w:t xml:space="preserve"> y</w:t>
      </w:r>
    </w:p>
    <w:p w14:paraId="543D82B9" w14:textId="77777777" w:rsidR="00BF5190" w:rsidRPr="0032028C" w:rsidRDefault="00BF5190" w:rsidP="008A6104">
      <w:pPr>
        <w:pStyle w:val="Prrafodelista"/>
        <w:ind w:leftChars="0" w:left="1285" w:firstLineChars="0" w:firstLine="0"/>
        <w:rPr>
          <w:rFonts w:ascii="Times New Roman" w:eastAsia="Times New Roman" w:hAnsi="Times New Roman" w:cs="Times New Roman"/>
          <w:lang w:val="es-AR" w:bidi="es-ES"/>
        </w:rPr>
      </w:pPr>
    </w:p>
    <w:p w14:paraId="5C277ADC" w14:textId="0F10A7CD" w:rsidR="00726644" w:rsidRPr="0032028C" w:rsidRDefault="00195F2C" w:rsidP="008E7217">
      <w:pPr>
        <w:pStyle w:val="Prrafodelista"/>
        <w:spacing w:after="0" w:line="240" w:lineRule="auto"/>
        <w:ind w:leftChars="0" w:left="1285" w:firstLineChars="0" w:firstLine="0"/>
        <w:jc w:val="both"/>
        <w:rPr>
          <w:rFonts w:ascii="Times New Roman" w:eastAsia="Times New Roman" w:hAnsi="Times New Roman" w:cs="Times New Roman"/>
          <w:lang w:val="es-AR" w:bidi="es-ES"/>
        </w:rPr>
      </w:pPr>
      <w:r w:rsidRPr="0032028C">
        <w:rPr>
          <w:rFonts w:ascii="Times New Roman" w:eastAsia="Times New Roman" w:hAnsi="Times New Roman" w:cs="Times New Roman"/>
          <w:lang w:val="es-AR" w:bidi="es-ES"/>
        </w:rPr>
        <w:t>(ii</w:t>
      </w:r>
      <w:r w:rsidR="00726644" w:rsidRPr="0032028C">
        <w:rPr>
          <w:rFonts w:ascii="Times New Roman" w:eastAsia="Times New Roman" w:hAnsi="Times New Roman" w:cs="Times New Roman"/>
          <w:lang w:val="es-AR" w:bidi="es-ES"/>
        </w:rPr>
        <w:t>i</w:t>
      </w:r>
      <w:r w:rsidRPr="0032028C">
        <w:rPr>
          <w:rFonts w:ascii="Times New Roman" w:eastAsia="Times New Roman" w:hAnsi="Times New Roman" w:cs="Times New Roman"/>
          <w:lang w:val="es-AR" w:bidi="es-ES"/>
        </w:rPr>
        <w:t>) en la Fecha de Vencimiento</w:t>
      </w:r>
      <w:r w:rsidR="00990005" w:rsidRPr="00990005">
        <w:rPr>
          <w:rFonts w:ascii="Times New Roman" w:eastAsia="Times New Roman" w:hAnsi="Times New Roman" w:cs="Times New Roman"/>
          <w:lang w:bidi="es-ES"/>
        </w:rPr>
        <w:t xml:space="preserve"> </w:t>
      </w:r>
      <w:r w:rsidR="00990005" w:rsidRPr="0085786F">
        <w:rPr>
          <w:rFonts w:ascii="Times New Roman" w:eastAsia="Times New Roman" w:hAnsi="Times New Roman" w:cs="Times New Roman"/>
          <w:lang w:bidi="es-ES"/>
        </w:rPr>
        <w:t xml:space="preserve">en los T&amp;C Aplicables en Caso de No Acuerdo con </w:t>
      </w:r>
      <w:proofErr w:type="spellStart"/>
      <w:r w:rsidR="00990005" w:rsidRPr="0085786F">
        <w:rPr>
          <w:rFonts w:ascii="Times New Roman" w:eastAsia="Times New Roman" w:hAnsi="Times New Roman" w:cs="Times New Roman"/>
          <w:lang w:bidi="es-ES"/>
        </w:rPr>
        <w:t>Itaú</w:t>
      </w:r>
      <w:proofErr w:type="spellEnd"/>
      <w:r w:rsidR="00990005" w:rsidRPr="0085786F">
        <w:rPr>
          <w:rFonts w:ascii="Times New Roman" w:eastAsia="Times New Roman" w:hAnsi="Times New Roman" w:cs="Times New Roman"/>
          <w:lang w:bidi="es-ES"/>
        </w:rPr>
        <w:t xml:space="preserve"> sobre la Participación en Catalinas</w:t>
      </w:r>
      <w:r w:rsidRPr="0032028C">
        <w:rPr>
          <w:rFonts w:ascii="Times New Roman" w:eastAsia="Times New Roman" w:hAnsi="Times New Roman" w:cs="Times New Roman"/>
          <w:lang w:val="es-AR" w:bidi="es-ES"/>
        </w:rPr>
        <w:t>, la Sociedad abonará el saldo de capital remanente</w:t>
      </w:r>
      <w:r w:rsidR="0030475A" w:rsidRPr="0032028C">
        <w:rPr>
          <w:rFonts w:ascii="Times New Roman" w:eastAsia="Times New Roman" w:hAnsi="Times New Roman" w:cs="Times New Roman"/>
          <w:lang w:val="es-AR" w:bidi="es-ES"/>
        </w:rPr>
        <w:t xml:space="preserve">. </w:t>
      </w:r>
    </w:p>
    <w:p w14:paraId="51441AB7" w14:textId="77777777" w:rsidR="00726644" w:rsidRPr="0032028C" w:rsidRDefault="00726644" w:rsidP="008E7217">
      <w:pPr>
        <w:pStyle w:val="Prrafodelista"/>
        <w:spacing w:after="0" w:line="240" w:lineRule="auto"/>
        <w:ind w:leftChars="0" w:left="1285" w:firstLineChars="0" w:firstLine="0"/>
        <w:jc w:val="both"/>
        <w:rPr>
          <w:rFonts w:ascii="Times New Roman" w:eastAsia="Times New Roman" w:hAnsi="Times New Roman" w:cs="Times New Roman"/>
          <w:lang w:val="es-AR" w:bidi="es-ES"/>
        </w:rPr>
      </w:pPr>
    </w:p>
    <w:p w14:paraId="1543AAFF" w14:textId="2D3341E3" w:rsidR="008E7217" w:rsidRPr="008433DA" w:rsidRDefault="000B037A" w:rsidP="008E7217">
      <w:pPr>
        <w:pStyle w:val="Prrafodelista"/>
        <w:spacing w:after="0" w:line="240" w:lineRule="auto"/>
        <w:ind w:leftChars="0" w:left="1285" w:firstLineChars="0" w:firstLine="0"/>
        <w:jc w:val="both"/>
        <w:rPr>
          <w:rFonts w:ascii="Times New Roman" w:eastAsia="Times New Roman" w:hAnsi="Times New Roman" w:cs="Times New Roman"/>
          <w:lang w:val="es-AR" w:bidi="es-ES"/>
        </w:rPr>
      </w:pPr>
      <w:r>
        <w:rPr>
          <w:rFonts w:ascii="Times New Roman" w:eastAsia="Times New Roman" w:hAnsi="Times New Roman" w:cs="Times New Roman"/>
          <w:lang w:val="es-AR" w:bidi="es-ES"/>
        </w:rPr>
        <w:t>E</w:t>
      </w:r>
      <w:r w:rsidRPr="00A91463">
        <w:rPr>
          <w:rFonts w:ascii="Times New Roman" w:eastAsia="Times New Roman" w:hAnsi="Times New Roman" w:cs="Times New Roman"/>
          <w:lang w:val="es-AR" w:bidi="es-ES"/>
        </w:rPr>
        <w:t>n relaci</w:t>
      </w:r>
      <w:r w:rsidRPr="009A46DE">
        <w:rPr>
          <w:rFonts w:ascii="Times New Roman" w:eastAsia="Times New Roman" w:hAnsi="Times New Roman" w:cs="Times New Roman"/>
          <w:lang w:val="es-AR" w:bidi="es-ES"/>
        </w:rPr>
        <w:t>ón a cada fecha de pago</w:t>
      </w:r>
      <w:r w:rsidRPr="0048599A">
        <w:rPr>
          <w:rFonts w:ascii="Times New Roman" w:eastAsia="Times New Roman" w:hAnsi="Times New Roman" w:cs="Times New Roman"/>
          <w:lang w:val="es-AR" w:bidi="es-ES"/>
        </w:rPr>
        <w:t xml:space="preserve"> de amortización de capital</w:t>
      </w:r>
      <w:r>
        <w:rPr>
          <w:rFonts w:ascii="Times New Roman" w:eastAsia="Times New Roman" w:hAnsi="Times New Roman" w:cs="Times New Roman"/>
          <w:lang w:val="es-AR" w:bidi="es-ES"/>
        </w:rPr>
        <w:t xml:space="preserve"> de las Obligaciones Negociables</w:t>
      </w:r>
      <w:r w:rsidR="0030475A" w:rsidRPr="0032028C">
        <w:rPr>
          <w:rFonts w:ascii="Times New Roman" w:eastAsia="Times New Roman" w:hAnsi="Times New Roman" w:cs="Times New Roman"/>
          <w:lang w:val="es-AR" w:bidi="es-ES"/>
        </w:rPr>
        <w:t xml:space="preserve">, en los avisos </w:t>
      </w:r>
      <w:r w:rsidR="009573B9">
        <w:rPr>
          <w:rFonts w:ascii="Times New Roman" w:eastAsia="Times New Roman" w:hAnsi="Times New Roman" w:cs="Times New Roman"/>
          <w:lang w:val="es-AR" w:bidi="es-ES"/>
        </w:rPr>
        <w:t xml:space="preserve">de pago que </w:t>
      </w:r>
      <w:r w:rsidR="0030475A" w:rsidRPr="009573B9">
        <w:rPr>
          <w:rFonts w:ascii="Times New Roman" w:eastAsia="Times New Roman" w:hAnsi="Times New Roman" w:cs="Times New Roman"/>
          <w:lang w:val="es-AR" w:bidi="es-ES"/>
        </w:rPr>
        <w:t xml:space="preserve">la Sociedad </w:t>
      </w:r>
      <w:r>
        <w:rPr>
          <w:rFonts w:ascii="Times New Roman" w:eastAsia="Times New Roman" w:hAnsi="Times New Roman" w:cs="Times New Roman"/>
          <w:lang w:val="es-AR" w:bidi="es-ES"/>
        </w:rPr>
        <w:t xml:space="preserve">publicará </w:t>
      </w:r>
      <w:r w:rsidR="0030475A" w:rsidRPr="009573B9">
        <w:rPr>
          <w:rFonts w:ascii="Times New Roman" w:eastAsia="Times New Roman" w:hAnsi="Times New Roman" w:cs="Times New Roman"/>
          <w:lang w:val="es-AR" w:bidi="es-ES"/>
        </w:rPr>
        <w:t xml:space="preserve">en la AIF de la </w:t>
      </w:r>
      <w:r w:rsidR="0030475A" w:rsidRPr="00A91463">
        <w:rPr>
          <w:rFonts w:ascii="Times New Roman" w:eastAsia="Times New Roman" w:hAnsi="Times New Roman" w:cs="Times New Roman"/>
          <w:lang w:val="es-AR" w:bidi="es-ES"/>
        </w:rPr>
        <w:t xml:space="preserve">CNV </w:t>
      </w:r>
      <w:r w:rsidR="0030475A" w:rsidRPr="008433DA">
        <w:rPr>
          <w:rFonts w:ascii="Times New Roman" w:eastAsia="Times New Roman" w:hAnsi="Times New Roman" w:cs="Times New Roman"/>
          <w:lang w:val="es-AR" w:bidi="es-ES"/>
        </w:rPr>
        <w:t>se informará el capital residual de las Obligaciones Negociables</w:t>
      </w:r>
      <w:r w:rsidR="008E7217" w:rsidRPr="008433DA">
        <w:rPr>
          <w:rFonts w:ascii="Times New Roman" w:eastAsia="Times New Roman" w:hAnsi="Times New Roman" w:cs="Times New Roman"/>
          <w:lang w:val="es-AR" w:bidi="es-ES"/>
        </w:rPr>
        <w:t>.</w:t>
      </w:r>
    </w:p>
    <w:p w14:paraId="07986A17" w14:textId="77777777" w:rsidR="008E7217" w:rsidRPr="008433DA" w:rsidRDefault="008E7217" w:rsidP="008E7217">
      <w:pPr>
        <w:pStyle w:val="Prrafodelista"/>
        <w:spacing w:after="0" w:line="240" w:lineRule="auto"/>
        <w:ind w:leftChars="0" w:left="1285" w:firstLineChars="0" w:firstLine="0"/>
        <w:jc w:val="both"/>
        <w:rPr>
          <w:rFonts w:ascii="Times New Roman" w:eastAsia="Times New Roman" w:hAnsi="Times New Roman" w:cs="Times New Roman"/>
          <w:lang w:val="es-AR" w:bidi="es-ES"/>
        </w:rPr>
      </w:pPr>
    </w:p>
    <w:p w14:paraId="7757FC6D" w14:textId="5939C90A" w:rsidR="008E7217" w:rsidRPr="004E7C62" w:rsidRDefault="008E7217" w:rsidP="008E7217">
      <w:pPr>
        <w:pStyle w:val="Prrafodelista"/>
        <w:spacing w:after="0" w:line="240" w:lineRule="auto"/>
        <w:ind w:leftChars="0" w:left="1285" w:firstLineChars="0" w:firstLine="0"/>
        <w:jc w:val="both"/>
        <w:rPr>
          <w:rFonts w:ascii="Times New Roman" w:eastAsia="Times New Roman" w:hAnsi="Times New Roman" w:cs="Times New Roman"/>
          <w:lang w:bidi="es-ES"/>
        </w:rPr>
      </w:pPr>
      <w:r w:rsidRPr="003E13B9">
        <w:rPr>
          <w:rFonts w:ascii="Times New Roman" w:eastAsia="Times New Roman" w:hAnsi="Times New Roman" w:cs="Times New Roman"/>
          <w:lang w:bidi="es-ES"/>
        </w:rPr>
        <w:lastRenderedPageBreak/>
        <w:t>Se detallan a continuación las fechas de pago de capital</w:t>
      </w:r>
      <w:r w:rsidR="000B037A">
        <w:rPr>
          <w:rFonts w:ascii="Times New Roman" w:eastAsia="Times New Roman" w:hAnsi="Times New Roman" w:cs="Times New Roman"/>
          <w:lang w:bidi="es-ES"/>
        </w:rPr>
        <w:t xml:space="preserve"> de las Obligaciones Negociables</w:t>
      </w:r>
      <w:r w:rsidRPr="003E13B9">
        <w:rPr>
          <w:rFonts w:ascii="Times New Roman" w:eastAsia="Times New Roman" w:hAnsi="Times New Roman" w:cs="Times New Roman"/>
          <w:lang w:bidi="es-ES"/>
        </w:rPr>
        <w:t xml:space="preserve"> mencionadas anteriormente en los puntos (i), (ii)</w:t>
      </w:r>
      <w:r w:rsidR="00994739" w:rsidRPr="003E13B9">
        <w:rPr>
          <w:rFonts w:ascii="Times New Roman" w:eastAsia="Times New Roman" w:hAnsi="Times New Roman" w:cs="Times New Roman"/>
          <w:lang w:bidi="es-ES"/>
        </w:rPr>
        <w:t>,</w:t>
      </w:r>
      <w:r w:rsidRPr="004E7C62">
        <w:rPr>
          <w:rFonts w:ascii="Times New Roman" w:eastAsia="Times New Roman" w:hAnsi="Times New Roman" w:cs="Times New Roman"/>
          <w:lang w:bidi="es-ES"/>
        </w:rPr>
        <w:t xml:space="preserve"> (iii)</w:t>
      </w:r>
      <w:r w:rsidR="00994739" w:rsidRPr="004E7C62">
        <w:rPr>
          <w:rFonts w:ascii="Times New Roman" w:eastAsia="Times New Roman" w:hAnsi="Times New Roman" w:cs="Times New Roman"/>
          <w:lang w:bidi="es-ES"/>
        </w:rPr>
        <w:t xml:space="preserve"> y (iv)</w:t>
      </w:r>
      <w:r w:rsidRPr="004E7C62">
        <w:rPr>
          <w:rFonts w:ascii="Times New Roman" w:eastAsia="Times New Roman" w:hAnsi="Times New Roman" w:cs="Times New Roman"/>
          <w:lang w:bidi="es-ES"/>
        </w:rPr>
        <w:t>:</w:t>
      </w:r>
    </w:p>
    <w:p w14:paraId="79704B39" w14:textId="77777777" w:rsidR="008E7217" w:rsidRPr="00262E03" w:rsidRDefault="008E7217" w:rsidP="008E7217">
      <w:pPr>
        <w:pStyle w:val="Prrafodelista"/>
        <w:spacing w:after="0" w:line="240" w:lineRule="auto"/>
        <w:ind w:leftChars="0" w:left="1285" w:firstLineChars="0" w:firstLine="0"/>
        <w:jc w:val="both"/>
        <w:rPr>
          <w:rFonts w:ascii="Times New Roman" w:eastAsia="Times New Roman" w:hAnsi="Times New Roman" w:cs="Times New Roman"/>
          <w:lang w:bidi="es-ES"/>
        </w:rPr>
      </w:pPr>
    </w:p>
    <w:tbl>
      <w:tblPr>
        <w:tblStyle w:val="Tablaconcuadrcula"/>
        <w:tblW w:w="7247" w:type="dxa"/>
        <w:jc w:val="right"/>
        <w:tblLook w:val="04A0" w:firstRow="1" w:lastRow="0" w:firstColumn="1" w:lastColumn="0" w:noHBand="0" w:noVBand="1"/>
      </w:tblPr>
      <w:tblGrid>
        <w:gridCol w:w="2590"/>
        <w:gridCol w:w="4657"/>
      </w:tblGrid>
      <w:tr w:rsidR="008E7217" w:rsidRPr="0032028C" w14:paraId="52EEF331" w14:textId="77777777" w:rsidTr="00F93ED5">
        <w:trPr>
          <w:trHeight w:val="675"/>
          <w:jc w:val="right"/>
        </w:trPr>
        <w:tc>
          <w:tcPr>
            <w:tcW w:w="2590" w:type="dxa"/>
            <w:shd w:val="clear" w:color="auto" w:fill="FFFFFF" w:themeFill="background1"/>
            <w:vAlign w:val="center"/>
          </w:tcPr>
          <w:p w14:paraId="0D85AB48" w14:textId="7D072A53" w:rsidR="008E7217" w:rsidRPr="003922CD" w:rsidRDefault="00BD059A" w:rsidP="00BD059A">
            <w:pPr>
              <w:pStyle w:val="Prrafodelista"/>
              <w:ind w:leftChars="0" w:left="0" w:firstLineChars="0" w:firstLine="0"/>
              <w:jc w:val="center"/>
              <w:rPr>
                <w:rFonts w:ascii="Times New Roman" w:eastAsia="Times New Roman" w:hAnsi="Times New Roman" w:cs="Times New Roman"/>
                <w:b/>
                <w:sz w:val="20"/>
                <w:szCs w:val="20"/>
                <w:lang w:bidi="es-ES"/>
              </w:rPr>
            </w:pPr>
            <w:r w:rsidRPr="003922CD">
              <w:rPr>
                <w:rFonts w:ascii="Times New Roman" w:eastAsia="Times New Roman" w:hAnsi="Times New Roman" w:cs="Times New Roman"/>
                <w:b/>
                <w:sz w:val="20"/>
                <w:szCs w:val="20"/>
                <w:lang w:bidi="es-ES"/>
              </w:rPr>
              <w:t>Fecha</w:t>
            </w:r>
          </w:p>
        </w:tc>
        <w:tc>
          <w:tcPr>
            <w:tcW w:w="4657" w:type="dxa"/>
            <w:shd w:val="clear" w:color="auto" w:fill="FFFFFF" w:themeFill="background1"/>
            <w:vAlign w:val="center"/>
          </w:tcPr>
          <w:p w14:paraId="5C08A6AC" w14:textId="06660A1E" w:rsidR="008E7217" w:rsidRPr="003922CD" w:rsidRDefault="00BD059A" w:rsidP="00B92425">
            <w:pPr>
              <w:pStyle w:val="Prrafodelista"/>
              <w:ind w:leftChars="0" w:left="2" w:firstLineChars="0" w:firstLine="0"/>
              <w:jc w:val="both"/>
              <w:rPr>
                <w:rFonts w:ascii="Times New Roman" w:eastAsia="Times New Roman" w:hAnsi="Times New Roman" w:cs="Times New Roman"/>
                <w:b/>
                <w:sz w:val="20"/>
                <w:szCs w:val="20"/>
                <w:lang w:bidi="es-ES"/>
              </w:rPr>
            </w:pPr>
            <w:r w:rsidRPr="003922CD">
              <w:rPr>
                <w:rFonts w:ascii="Times New Roman" w:eastAsia="Times New Roman" w:hAnsi="Times New Roman" w:cs="Times New Roman"/>
                <w:b/>
                <w:sz w:val="20"/>
                <w:szCs w:val="20"/>
                <w:lang w:bidi="es-ES"/>
              </w:rPr>
              <w:t xml:space="preserve">Porcentaje de capital pagadero en cada fecha de pago de amortización considerando el capital adeudado al 11 de agosto de 2022 </w:t>
            </w:r>
          </w:p>
        </w:tc>
      </w:tr>
      <w:tr w:rsidR="008E7217" w:rsidRPr="0032028C" w14:paraId="1C2F8865" w14:textId="77777777" w:rsidTr="00B92425">
        <w:trPr>
          <w:trHeight w:val="229"/>
          <w:jc w:val="right"/>
        </w:trPr>
        <w:tc>
          <w:tcPr>
            <w:tcW w:w="2590" w:type="dxa"/>
            <w:vAlign w:val="center"/>
          </w:tcPr>
          <w:p w14:paraId="61FEF471" w14:textId="77777777" w:rsidR="008E7217" w:rsidRPr="00214269" w:rsidRDefault="008E7217" w:rsidP="00B92425">
            <w:pPr>
              <w:pStyle w:val="Prrafodelista"/>
              <w:ind w:leftChars="0" w:left="2" w:firstLineChars="0" w:firstLine="0"/>
              <w:jc w:val="center"/>
              <w:rPr>
                <w:rFonts w:ascii="Times New Roman" w:eastAsia="Times New Roman" w:hAnsi="Times New Roman" w:cs="Times New Roman"/>
                <w:lang w:bidi="es-ES"/>
              </w:rPr>
            </w:pPr>
            <w:r w:rsidRPr="00214269">
              <w:rPr>
                <w:rFonts w:ascii="Times New Roman" w:eastAsia="Times New Roman" w:hAnsi="Times New Roman" w:cs="Times New Roman"/>
                <w:lang w:bidi="es-ES"/>
              </w:rPr>
              <w:t>11/05/2023</w:t>
            </w:r>
          </w:p>
        </w:tc>
        <w:tc>
          <w:tcPr>
            <w:tcW w:w="4657" w:type="dxa"/>
            <w:vAlign w:val="center"/>
          </w:tcPr>
          <w:p w14:paraId="0CF488C4" w14:textId="59FF1271" w:rsidR="008E7217" w:rsidRPr="0062702E" w:rsidRDefault="000B037A" w:rsidP="00B92425">
            <w:pPr>
              <w:pStyle w:val="Prrafodelista"/>
              <w:ind w:leftChars="0" w:left="2" w:firstLineChars="0" w:firstLine="0"/>
              <w:jc w:val="center"/>
              <w:rPr>
                <w:rFonts w:ascii="Times New Roman" w:eastAsia="Times New Roman" w:hAnsi="Times New Roman" w:cs="Times New Roman"/>
                <w:lang w:bidi="es-ES"/>
              </w:rPr>
            </w:pPr>
            <w:r>
              <w:rPr>
                <w:rFonts w:ascii="Times New Roman" w:eastAsia="Times New Roman" w:hAnsi="Times New Roman" w:cs="Times New Roman"/>
                <w:lang w:bidi="es-ES"/>
              </w:rPr>
              <w:t xml:space="preserve">Hasta el </w:t>
            </w:r>
            <w:r w:rsidR="008E7217" w:rsidRPr="0062702E">
              <w:rPr>
                <w:rFonts w:ascii="Times New Roman" w:eastAsia="Times New Roman" w:hAnsi="Times New Roman" w:cs="Times New Roman"/>
                <w:lang w:bidi="es-ES"/>
              </w:rPr>
              <w:t>6</w:t>
            </w:r>
            <w:r>
              <w:rPr>
                <w:rFonts w:ascii="Times New Roman" w:eastAsia="Times New Roman" w:hAnsi="Times New Roman" w:cs="Times New Roman"/>
                <w:lang w:bidi="es-ES"/>
              </w:rPr>
              <w:t>,00</w:t>
            </w:r>
            <w:r w:rsidR="008E7217" w:rsidRPr="0062702E">
              <w:rPr>
                <w:rFonts w:ascii="Times New Roman" w:eastAsia="Times New Roman" w:hAnsi="Times New Roman" w:cs="Times New Roman"/>
                <w:lang w:bidi="es-ES"/>
              </w:rPr>
              <w:t>%</w:t>
            </w:r>
            <w:r w:rsidR="003F685D">
              <w:rPr>
                <w:rFonts w:ascii="Times New Roman" w:eastAsia="Times New Roman" w:hAnsi="Times New Roman" w:cs="Times New Roman"/>
                <w:lang w:bidi="es-ES"/>
              </w:rPr>
              <w:t>*</w:t>
            </w:r>
          </w:p>
        </w:tc>
      </w:tr>
      <w:tr w:rsidR="008E7217" w:rsidRPr="0032028C" w14:paraId="1BE9E61B" w14:textId="77777777" w:rsidTr="00B92425">
        <w:trPr>
          <w:trHeight w:val="229"/>
          <w:jc w:val="right"/>
        </w:trPr>
        <w:tc>
          <w:tcPr>
            <w:tcW w:w="2590" w:type="dxa"/>
            <w:vAlign w:val="center"/>
          </w:tcPr>
          <w:p w14:paraId="66903F37" w14:textId="77777777" w:rsidR="008E7217" w:rsidRPr="00214269" w:rsidRDefault="008E7217" w:rsidP="00B92425">
            <w:pPr>
              <w:pStyle w:val="Prrafodelista"/>
              <w:ind w:leftChars="0" w:left="2" w:firstLineChars="0" w:firstLine="0"/>
              <w:jc w:val="center"/>
              <w:rPr>
                <w:rFonts w:ascii="Times New Roman" w:eastAsia="Times New Roman" w:hAnsi="Times New Roman" w:cs="Times New Roman"/>
                <w:lang w:bidi="es-ES"/>
              </w:rPr>
            </w:pPr>
            <w:r w:rsidRPr="00214269">
              <w:rPr>
                <w:rFonts w:ascii="Times New Roman" w:eastAsia="Times New Roman" w:hAnsi="Times New Roman" w:cs="Times New Roman"/>
                <w:lang w:bidi="es-ES"/>
              </w:rPr>
              <w:t>11/08/2023</w:t>
            </w:r>
          </w:p>
        </w:tc>
        <w:tc>
          <w:tcPr>
            <w:tcW w:w="4657" w:type="dxa"/>
            <w:vAlign w:val="center"/>
          </w:tcPr>
          <w:p w14:paraId="46D6077B" w14:textId="29735716" w:rsidR="008E7217" w:rsidRPr="0062702E" w:rsidRDefault="000B037A" w:rsidP="00B92425">
            <w:pPr>
              <w:pStyle w:val="Prrafodelista"/>
              <w:ind w:leftChars="0" w:left="2" w:firstLineChars="0" w:firstLine="0"/>
              <w:jc w:val="center"/>
              <w:rPr>
                <w:rFonts w:ascii="Times New Roman" w:eastAsia="Times New Roman" w:hAnsi="Times New Roman" w:cs="Times New Roman"/>
                <w:lang w:bidi="es-ES"/>
              </w:rPr>
            </w:pPr>
            <w:r>
              <w:rPr>
                <w:rFonts w:ascii="Times New Roman" w:eastAsia="Times New Roman" w:hAnsi="Times New Roman" w:cs="Times New Roman"/>
                <w:lang w:bidi="es-ES"/>
              </w:rPr>
              <w:t xml:space="preserve">Hasta el </w:t>
            </w:r>
            <w:r w:rsidR="008E7217" w:rsidRPr="0062702E">
              <w:rPr>
                <w:rFonts w:ascii="Times New Roman" w:eastAsia="Times New Roman" w:hAnsi="Times New Roman" w:cs="Times New Roman"/>
                <w:lang w:bidi="es-ES"/>
              </w:rPr>
              <w:t>6</w:t>
            </w:r>
            <w:r>
              <w:rPr>
                <w:rFonts w:ascii="Times New Roman" w:eastAsia="Times New Roman" w:hAnsi="Times New Roman" w:cs="Times New Roman"/>
                <w:lang w:bidi="es-ES"/>
              </w:rPr>
              <w:t>,00</w:t>
            </w:r>
            <w:r w:rsidR="008E7217" w:rsidRPr="0062702E">
              <w:rPr>
                <w:rFonts w:ascii="Times New Roman" w:eastAsia="Times New Roman" w:hAnsi="Times New Roman" w:cs="Times New Roman"/>
                <w:lang w:bidi="es-ES"/>
              </w:rPr>
              <w:t>%</w:t>
            </w:r>
            <w:r w:rsidR="003F685D">
              <w:rPr>
                <w:rFonts w:ascii="Times New Roman" w:eastAsia="Times New Roman" w:hAnsi="Times New Roman" w:cs="Times New Roman"/>
                <w:lang w:bidi="es-ES"/>
              </w:rPr>
              <w:t>*</w:t>
            </w:r>
          </w:p>
        </w:tc>
      </w:tr>
      <w:tr w:rsidR="008E7217" w:rsidRPr="0032028C" w14:paraId="605EBF94" w14:textId="77777777" w:rsidTr="00B92425">
        <w:trPr>
          <w:trHeight w:val="216"/>
          <w:jc w:val="right"/>
        </w:trPr>
        <w:tc>
          <w:tcPr>
            <w:tcW w:w="2590" w:type="dxa"/>
            <w:vAlign w:val="center"/>
          </w:tcPr>
          <w:p w14:paraId="772D6D47" w14:textId="77777777" w:rsidR="008E7217" w:rsidRPr="00214269" w:rsidRDefault="008E7217" w:rsidP="00B92425">
            <w:pPr>
              <w:pStyle w:val="Prrafodelista"/>
              <w:ind w:leftChars="0" w:left="2" w:firstLineChars="0" w:firstLine="0"/>
              <w:jc w:val="center"/>
              <w:rPr>
                <w:rFonts w:ascii="Times New Roman" w:eastAsia="Times New Roman" w:hAnsi="Times New Roman" w:cs="Times New Roman"/>
                <w:lang w:bidi="es-ES"/>
              </w:rPr>
            </w:pPr>
            <w:r w:rsidRPr="00214269">
              <w:rPr>
                <w:rFonts w:ascii="Times New Roman" w:eastAsia="Times New Roman" w:hAnsi="Times New Roman" w:cs="Times New Roman"/>
                <w:lang w:bidi="es-ES"/>
              </w:rPr>
              <w:t>11/11/2023</w:t>
            </w:r>
          </w:p>
        </w:tc>
        <w:tc>
          <w:tcPr>
            <w:tcW w:w="4657" w:type="dxa"/>
            <w:vAlign w:val="center"/>
          </w:tcPr>
          <w:p w14:paraId="24C623F9" w14:textId="48E0BF42" w:rsidR="008E7217" w:rsidRPr="0062702E" w:rsidRDefault="000B037A" w:rsidP="00B92425">
            <w:pPr>
              <w:pStyle w:val="Prrafodelista"/>
              <w:ind w:leftChars="0" w:left="2" w:firstLineChars="0" w:firstLine="0"/>
              <w:jc w:val="center"/>
              <w:rPr>
                <w:rFonts w:ascii="Times New Roman" w:eastAsia="Times New Roman" w:hAnsi="Times New Roman" w:cs="Times New Roman"/>
                <w:lang w:bidi="es-ES"/>
              </w:rPr>
            </w:pPr>
            <w:r>
              <w:rPr>
                <w:rFonts w:ascii="Times New Roman" w:eastAsia="Times New Roman" w:hAnsi="Times New Roman" w:cs="Times New Roman"/>
                <w:lang w:bidi="es-ES"/>
              </w:rPr>
              <w:t xml:space="preserve">Hasta el </w:t>
            </w:r>
            <w:r w:rsidR="008E7217" w:rsidRPr="0062702E">
              <w:rPr>
                <w:rFonts w:ascii="Times New Roman" w:eastAsia="Times New Roman" w:hAnsi="Times New Roman" w:cs="Times New Roman"/>
                <w:lang w:bidi="es-ES"/>
              </w:rPr>
              <w:t>6</w:t>
            </w:r>
            <w:r>
              <w:rPr>
                <w:rFonts w:ascii="Times New Roman" w:eastAsia="Times New Roman" w:hAnsi="Times New Roman" w:cs="Times New Roman"/>
                <w:lang w:bidi="es-ES"/>
              </w:rPr>
              <w:t>,00</w:t>
            </w:r>
            <w:r w:rsidR="008E7217" w:rsidRPr="0062702E">
              <w:rPr>
                <w:rFonts w:ascii="Times New Roman" w:eastAsia="Times New Roman" w:hAnsi="Times New Roman" w:cs="Times New Roman"/>
                <w:lang w:bidi="es-ES"/>
              </w:rPr>
              <w:t>%</w:t>
            </w:r>
            <w:r w:rsidR="003F685D">
              <w:rPr>
                <w:rFonts w:ascii="Times New Roman" w:eastAsia="Times New Roman" w:hAnsi="Times New Roman" w:cs="Times New Roman"/>
                <w:lang w:bidi="es-ES"/>
              </w:rPr>
              <w:t>*</w:t>
            </w:r>
          </w:p>
        </w:tc>
      </w:tr>
      <w:tr w:rsidR="008E7217" w:rsidRPr="0032028C" w14:paraId="4D8A06D7" w14:textId="77777777" w:rsidTr="00B92425">
        <w:trPr>
          <w:trHeight w:val="216"/>
          <w:jc w:val="right"/>
        </w:trPr>
        <w:tc>
          <w:tcPr>
            <w:tcW w:w="2590" w:type="dxa"/>
            <w:vAlign w:val="center"/>
          </w:tcPr>
          <w:p w14:paraId="2DE86C7B" w14:textId="77777777" w:rsidR="008E7217" w:rsidRPr="00214269" w:rsidRDefault="008E7217" w:rsidP="00B92425">
            <w:pPr>
              <w:pStyle w:val="Prrafodelista"/>
              <w:ind w:leftChars="0" w:left="2" w:firstLineChars="0" w:firstLine="0"/>
              <w:jc w:val="center"/>
              <w:rPr>
                <w:rFonts w:ascii="Times New Roman" w:eastAsia="Times New Roman" w:hAnsi="Times New Roman" w:cs="Times New Roman"/>
                <w:lang w:bidi="es-ES"/>
              </w:rPr>
            </w:pPr>
            <w:r w:rsidRPr="00214269">
              <w:rPr>
                <w:rFonts w:ascii="Times New Roman" w:eastAsia="Times New Roman" w:hAnsi="Times New Roman" w:cs="Times New Roman"/>
                <w:lang w:bidi="es-ES"/>
              </w:rPr>
              <w:t>11/02/2024</w:t>
            </w:r>
          </w:p>
        </w:tc>
        <w:tc>
          <w:tcPr>
            <w:tcW w:w="4657" w:type="dxa"/>
            <w:vAlign w:val="center"/>
          </w:tcPr>
          <w:p w14:paraId="48966ABF" w14:textId="71161FC4" w:rsidR="008E7217" w:rsidRPr="0062702E" w:rsidRDefault="000B037A" w:rsidP="00B92425">
            <w:pPr>
              <w:pStyle w:val="Prrafodelista"/>
              <w:ind w:leftChars="0" w:left="2" w:firstLineChars="0" w:firstLine="0"/>
              <w:jc w:val="center"/>
              <w:rPr>
                <w:rFonts w:ascii="Times New Roman" w:eastAsia="Times New Roman" w:hAnsi="Times New Roman" w:cs="Times New Roman"/>
                <w:lang w:bidi="es-ES"/>
              </w:rPr>
            </w:pPr>
            <w:r>
              <w:rPr>
                <w:rFonts w:ascii="Times New Roman" w:eastAsia="Times New Roman" w:hAnsi="Times New Roman" w:cs="Times New Roman"/>
                <w:lang w:bidi="es-ES"/>
              </w:rPr>
              <w:t xml:space="preserve">Hasta el </w:t>
            </w:r>
            <w:r w:rsidR="008E7217" w:rsidRPr="0062702E">
              <w:rPr>
                <w:rFonts w:ascii="Times New Roman" w:eastAsia="Times New Roman" w:hAnsi="Times New Roman" w:cs="Times New Roman"/>
                <w:lang w:bidi="es-ES"/>
              </w:rPr>
              <w:t>6</w:t>
            </w:r>
            <w:r>
              <w:rPr>
                <w:rFonts w:ascii="Times New Roman" w:eastAsia="Times New Roman" w:hAnsi="Times New Roman" w:cs="Times New Roman"/>
                <w:lang w:bidi="es-ES"/>
              </w:rPr>
              <w:t>,00</w:t>
            </w:r>
            <w:r w:rsidR="008E7217" w:rsidRPr="0062702E">
              <w:rPr>
                <w:rFonts w:ascii="Times New Roman" w:eastAsia="Times New Roman" w:hAnsi="Times New Roman" w:cs="Times New Roman"/>
                <w:lang w:bidi="es-ES"/>
              </w:rPr>
              <w:t>%</w:t>
            </w:r>
            <w:r w:rsidR="003F685D">
              <w:rPr>
                <w:rFonts w:ascii="Times New Roman" w:eastAsia="Times New Roman" w:hAnsi="Times New Roman" w:cs="Times New Roman"/>
                <w:lang w:bidi="es-ES"/>
              </w:rPr>
              <w:t>*</w:t>
            </w:r>
          </w:p>
        </w:tc>
      </w:tr>
      <w:tr w:rsidR="008E7217" w:rsidRPr="0032028C" w14:paraId="6E270329" w14:textId="77777777" w:rsidTr="00B92425">
        <w:trPr>
          <w:trHeight w:val="216"/>
          <w:jc w:val="right"/>
        </w:trPr>
        <w:tc>
          <w:tcPr>
            <w:tcW w:w="2590" w:type="dxa"/>
            <w:vAlign w:val="center"/>
          </w:tcPr>
          <w:p w14:paraId="43353DB2" w14:textId="77777777" w:rsidR="008E7217" w:rsidRPr="00214269" w:rsidRDefault="008E7217" w:rsidP="00B92425">
            <w:pPr>
              <w:pStyle w:val="Prrafodelista"/>
              <w:ind w:leftChars="0" w:left="2" w:firstLineChars="0" w:firstLine="0"/>
              <w:jc w:val="center"/>
              <w:rPr>
                <w:rFonts w:ascii="Times New Roman" w:eastAsia="Times New Roman" w:hAnsi="Times New Roman" w:cs="Times New Roman"/>
                <w:lang w:bidi="es-ES"/>
              </w:rPr>
            </w:pPr>
            <w:r w:rsidRPr="00214269">
              <w:rPr>
                <w:rFonts w:ascii="Times New Roman" w:eastAsia="Times New Roman" w:hAnsi="Times New Roman" w:cs="Times New Roman"/>
                <w:lang w:bidi="es-ES"/>
              </w:rPr>
              <w:t>11/02/2026</w:t>
            </w:r>
          </w:p>
        </w:tc>
        <w:tc>
          <w:tcPr>
            <w:tcW w:w="4657" w:type="dxa"/>
            <w:vAlign w:val="center"/>
          </w:tcPr>
          <w:p w14:paraId="6C8CBC77" w14:textId="300F676A" w:rsidR="008E7217" w:rsidRPr="0062702E" w:rsidRDefault="008E7217" w:rsidP="00B92425">
            <w:pPr>
              <w:pStyle w:val="Prrafodelista"/>
              <w:ind w:leftChars="0" w:left="2" w:firstLineChars="0" w:firstLine="0"/>
              <w:jc w:val="center"/>
              <w:rPr>
                <w:rFonts w:ascii="Times New Roman" w:eastAsia="Times New Roman" w:hAnsi="Times New Roman" w:cs="Times New Roman"/>
                <w:lang w:bidi="es-ES"/>
              </w:rPr>
            </w:pPr>
            <w:r w:rsidRPr="0062702E">
              <w:rPr>
                <w:rFonts w:ascii="Times New Roman" w:eastAsia="Times New Roman" w:hAnsi="Times New Roman" w:cs="Times New Roman"/>
                <w:lang w:bidi="es-ES"/>
              </w:rPr>
              <w:t>34</w:t>
            </w:r>
            <w:r w:rsidR="000B037A">
              <w:rPr>
                <w:rFonts w:ascii="Times New Roman" w:eastAsia="Times New Roman" w:hAnsi="Times New Roman" w:cs="Times New Roman"/>
                <w:lang w:bidi="es-ES"/>
              </w:rPr>
              <w:t>,00</w:t>
            </w:r>
            <w:r w:rsidRPr="0062702E">
              <w:rPr>
                <w:rFonts w:ascii="Times New Roman" w:eastAsia="Times New Roman" w:hAnsi="Times New Roman" w:cs="Times New Roman"/>
                <w:lang w:bidi="es-ES"/>
              </w:rPr>
              <w:t>%</w:t>
            </w:r>
          </w:p>
        </w:tc>
      </w:tr>
      <w:tr w:rsidR="008E7217" w:rsidRPr="0032028C" w14:paraId="0B67529E" w14:textId="77777777" w:rsidTr="00B92425">
        <w:trPr>
          <w:trHeight w:val="216"/>
          <w:jc w:val="right"/>
        </w:trPr>
        <w:tc>
          <w:tcPr>
            <w:tcW w:w="2590" w:type="dxa"/>
            <w:vAlign w:val="center"/>
          </w:tcPr>
          <w:p w14:paraId="69B12551" w14:textId="77777777" w:rsidR="008E7217" w:rsidRPr="00214269" w:rsidRDefault="008E7217" w:rsidP="00B92425">
            <w:pPr>
              <w:pStyle w:val="Prrafodelista"/>
              <w:ind w:leftChars="0" w:left="2" w:firstLineChars="0" w:firstLine="0"/>
              <w:jc w:val="center"/>
              <w:rPr>
                <w:rFonts w:ascii="Times New Roman" w:eastAsia="Times New Roman" w:hAnsi="Times New Roman" w:cs="Times New Roman"/>
                <w:lang w:bidi="es-ES"/>
              </w:rPr>
            </w:pPr>
            <w:r w:rsidRPr="00214269">
              <w:rPr>
                <w:rFonts w:ascii="Times New Roman" w:eastAsia="Times New Roman" w:hAnsi="Times New Roman" w:cs="Times New Roman"/>
                <w:lang w:bidi="es-ES"/>
              </w:rPr>
              <w:t>11/02/2027</w:t>
            </w:r>
          </w:p>
        </w:tc>
        <w:tc>
          <w:tcPr>
            <w:tcW w:w="4657" w:type="dxa"/>
            <w:vAlign w:val="center"/>
          </w:tcPr>
          <w:p w14:paraId="4BF18425" w14:textId="2273686D" w:rsidR="008E7217" w:rsidRPr="0062702E" w:rsidRDefault="00990005" w:rsidP="00B92425">
            <w:pPr>
              <w:pStyle w:val="Prrafodelista"/>
              <w:ind w:leftChars="0" w:left="2" w:firstLineChars="0" w:firstLine="0"/>
              <w:jc w:val="center"/>
              <w:rPr>
                <w:rFonts w:ascii="Times New Roman" w:eastAsia="Times New Roman" w:hAnsi="Times New Roman" w:cs="Times New Roman"/>
                <w:lang w:bidi="es-ES"/>
              </w:rPr>
            </w:pPr>
            <w:r>
              <w:rPr>
                <w:rFonts w:ascii="Times New Roman" w:eastAsia="Times New Roman" w:hAnsi="Times New Roman" w:cs="Times New Roman"/>
                <w:lang w:bidi="es-ES"/>
              </w:rPr>
              <w:t>Porcentaje</w:t>
            </w:r>
            <w:r w:rsidR="008E7217" w:rsidRPr="0062702E">
              <w:rPr>
                <w:rFonts w:ascii="Times New Roman" w:eastAsia="Times New Roman" w:hAnsi="Times New Roman" w:cs="Times New Roman"/>
                <w:lang w:bidi="es-ES"/>
              </w:rPr>
              <w:t xml:space="preserve"> de capital remanente</w:t>
            </w:r>
          </w:p>
        </w:tc>
      </w:tr>
    </w:tbl>
    <w:p w14:paraId="48D69581" w14:textId="0FE0259B" w:rsidR="003F685D" w:rsidRPr="00405148" w:rsidRDefault="003F685D" w:rsidP="003F685D">
      <w:pPr>
        <w:pStyle w:val="Prrafodelista"/>
        <w:spacing w:after="0" w:line="240" w:lineRule="auto"/>
        <w:ind w:leftChars="0" w:left="1560" w:right="282" w:firstLineChars="0" w:firstLine="0"/>
        <w:jc w:val="both"/>
        <w:rPr>
          <w:rFonts w:ascii="Times New Roman" w:eastAsia="Times New Roman" w:hAnsi="Times New Roman" w:cs="Times New Roman"/>
          <w:lang w:bidi="es-ES"/>
        </w:rPr>
      </w:pPr>
      <w:r w:rsidRPr="00405148">
        <w:rPr>
          <w:rFonts w:ascii="Times New Roman" w:eastAsia="Times New Roman" w:hAnsi="Times New Roman" w:cs="Times New Roman"/>
          <w:sz w:val="18"/>
          <w:szCs w:val="18"/>
          <w:lang w:val="es-AR" w:bidi="es-ES"/>
        </w:rPr>
        <w:t xml:space="preserve">*Pagadero </w:t>
      </w:r>
      <w:r>
        <w:rPr>
          <w:rFonts w:ascii="Times New Roman" w:eastAsia="Times New Roman" w:hAnsi="Times New Roman" w:cs="Times New Roman"/>
          <w:sz w:val="18"/>
          <w:szCs w:val="18"/>
          <w:lang w:val="es-AR" w:bidi="es-ES"/>
        </w:rPr>
        <w:t>únicamente</w:t>
      </w:r>
      <w:r w:rsidRPr="00405148">
        <w:rPr>
          <w:rFonts w:ascii="Times New Roman" w:eastAsia="Times New Roman" w:hAnsi="Times New Roman" w:cs="Times New Roman"/>
          <w:sz w:val="18"/>
          <w:szCs w:val="18"/>
          <w:lang w:val="es-AR" w:bidi="es-ES"/>
        </w:rPr>
        <w:t xml:space="preserve"> en los casos en que exista </w:t>
      </w:r>
      <w:r w:rsidR="00625B49">
        <w:rPr>
          <w:rFonts w:ascii="Times New Roman" w:eastAsia="Times New Roman" w:hAnsi="Times New Roman" w:cs="Times New Roman"/>
          <w:sz w:val="18"/>
          <w:szCs w:val="18"/>
          <w:lang w:bidi="es-ES"/>
        </w:rPr>
        <w:t>Ingreso de Caja MPN</w:t>
      </w:r>
      <w:r w:rsidRPr="00405148">
        <w:rPr>
          <w:rFonts w:ascii="Times New Roman" w:eastAsia="Times New Roman" w:hAnsi="Times New Roman" w:cs="Times New Roman"/>
          <w:sz w:val="18"/>
          <w:szCs w:val="18"/>
          <w:lang w:bidi="es-ES"/>
        </w:rPr>
        <w:t xml:space="preserve"> en la correspondiente Fecha de Amortización por </w:t>
      </w:r>
      <w:r w:rsidR="00625B49">
        <w:rPr>
          <w:rFonts w:ascii="Times New Roman" w:eastAsia="Times New Roman" w:hAnsi="Times New Roman" w:cs="Times New Roman"/>
          <w:sz w:val="18"/>
          <w:szCs w:val="18"/>
          <w:lang w:bidi="es-ES"/>
        </w:rPr>
        <w:t>Ingreso de Caja MPN</w:t>
      </w:r>
      <w:r w:rsidRPr="00405148">
        <w:rPr>
          <w:rFonts w:ascii="Times New Roman" w:eastAsia="Times New Roman" w:hAnsi="Times New Roman" w:cs="Times New Roman"/>
          <w:sz w:val="18"/>
          <w:szCs w:val="18"/>
          <w:lang w:bidi="es-ES"/>
        </w:rPr>
        <w:t xml:space="preserve"> conforme se detalla anteriormente.</w:t>
      </w:r>
    </w:p>
    <w:p w14:paraId="06B2AA10" w14:textId="1F980075" w:rsidR="00195F2C" w:rsidRPr="00214269" w:rsidRDefault="00195F2C" w:rsidP="008E7217">
      <w:pPr>
        <w:pStyle w:val="Prrafodelista"/>
        <w:spacing w:after="0" w:line="240" w:lineRule="auto"/>
        <w:ind w:leftChars="0" w:left="1285" w:firstLineChars="0" w:firstLine="0"/>
        <w:jc w:val="both"/>
        <w:rPr>
          <w:rFonts w:ascii="Times New Roman" w:eastAsia="Times New Roman" w:hAnsi="Times New Roman" w:cs="Times New Roman"/>
          <w:lang w:val="es-AR" w:bidi="es-ES"/>
        </w:rPr>
      </w:pPr>
    </w:p>
    <w:p w14:paraId="0F32ED0D" w14:textId="77777777" w:rsidR="00195F2C" w:rsidRPr="0062702E" w:rsidRDefault="00195F2C">
      <w:pPr>
        <w:pStyle w:val="Prrafodelista"/>
        <w:spacing w:after="0" w:line="240" w:lineRule="auto"/>
        <w:ind w:leftChars="0" w:left="1285" w:firstLineChars="0" w:firstLine="0"/>
        <w:jc w:val="both"/>
        <w:rPr>
          <w:rFonts w:ascii="Times New Roman" w:eastAsia="Times New Roman" w:hAnsi="Times New Roman" w:cs="Times New Roman"/>
          <w:lang w:bidi="es-ES"/>
        </w:rPr>
      </w:pPr>
    </w:p>
    <w:p w14:paraId="5273C6A9" w14:textId="5C8630B3" w:rsidR="00195F2C" w:rsidRPr="00740007" w:rsidRDefault="00195F2C">
      <w:pPr>
        <w:pStyle w:val="Prrafodelista"/>
        <w:numPr>
          <w:ilvl w:val="0"/>
          <w:numId w:val="5"/>
        </w:numPr>
        <w:spacing w:after="0" w:line="240" w:lineRule="auto"/>
        <w:ind w:leftChars="0" w:firstLineChars="0"/>
        <w:jc w:val="both"/>
        <w:rPr>
          <w:rFonts w:ascii="Times New Roman" w:eastAsia="Times New Roman" w:hAnsi="Times New Roman" w:cs="Times New Roman"/>
          <w:lang w:bidi="es-ES"/>
        </w:rPr>
      </w:pPr>
      <w:r w:rsidRPr="00310976">
        <w:rPr>
          <w:rFonts w:ascii="Times New Roman" w:eastAsia="Times New Roman" w:hAnsi="Times New Roman" w:cs="Times New Roman"/>
          <w:lang w:bidi="es-ES"/>
        </w:rPr>
        <w:t>Las Fechas de Pago de Intereses, serán las siguientes: 11 de noviembre de 2021, 11 de febrero de 2022, 11 de mayo de 2022, 11 de agosto de 2022, 11 de noviembre de 2022, 11 de febrero de 2023, 11 de mayo de 2023, 11 de agosto de 2023, 11 de noviembre de 2023, 11 de febrero de 2024, 11 de mayo de 2024, 11 de agosto de 2024, 11 de noviembre de 2024, 11 de febrero de 2025, 11 de mayo de</w:t>
      </w:r>
      <w:r w:rsidRPr="00740007">
        <w:rPr>
          <w:rFonts w:ascii="Times New Roman" w:eastAsia="Times New Roman" w:hAnsi="Times New Roman" w:cs="Times New Roman"/>
          <w:lang w:bidi="es-ES"/>
        </w:rPr>
        <w:t xml:space="preserve"> 2025, 11 de agosto de 2025, 11 de noviembre de 2025, 11 de febrero de 2026, 11 de mayo de 2026, 11 de agosto de 2026, 11 de noviembre de 2026 y en la Fecha de Vencimiento</w:t>
      </w:r>
      <w:r w:rsidR="00990005">
        <w:rPr>
          <w:rFonts w:ascii="Times New Roman" w:eastAsia="Times New Roman" w:hAnsi="Times New Roman" w:cs="Times New Roman"/>
          <w:lang w:bidi="es-ES"/>
        </w:rPr>
        <w:t xml:space="preserve"> </w:t>
      </w:r>
      <w:r w:rsidR="00990005" w:rsidRPr="00D06052">
        <w:rPr>
          <w:rFonts w:ascii="Times New Roman" w:eastAsia="Times New Roman" w:hAnsi="Times New Roman" w:cs="Times New Roman"/>
          <w:lang w:bidi="es-ES"/>
        </w:rPr>
        <w:t xml:space="preserve">en los T&amp;C Aplicables en Caso de No Acuerdo con </w:t>
      </w:r>
      <w:proofErr w:type="spellStart"/>
      <w:r w:rsidR="00990005" w:rsidRPr="00D06052">
        <w:rPr>
          <w:rFonts w:ascii="Times New Roman" w:eastAsia="Times New Roman" w:hAnsi="Times New Roman" w:cs="Times New Roman"/>
          <w:lang w:bidi="es-ES"/>
        </w:rPr>
        <w:t>Itaú</w:t>
      </w:r>
      <w:proofErr w:type="spellEnd"/>
      <w:r w:rsidR="00990005" w:rsidRPr="00D06052">
        <w:rPr>
          <w:rFonts w:ascii="Times New Roman" w:eastAsia="Times New Roman" w:hAnsi="Times New Roman" w:cs="Times New Roman"/>
          <w:lang w:bidi="es-ES"/>
        </w:rPr>
        <w:t xml:space="preserve"> sobre la Participación en Catalinas</w:t>
      </w:r>
      <w:r w:rsidRPr="00740007">
        <w:rPr>
          <w:rFonts w:ascii="Times New Roman" w:eastAsia="Times New Roman" w:hAnsi="Times New Roman" w:cs="Times New Roman"/>
          <w:lang w:bidi="es-ES"/>
        </w:rPr>
        <w:t>, es decir, el 11 de febrero de 2027;</w:t>
      </w:r>
    </w:p>
    <w:p w14:paraId="3E991A1C" w14:textId="77777777" w:rsidR="00195F2C" w:rsidRPr="0055089D" w:rsidRDefault="00195F2C">
      <w:pPr>
        <w:pStyle w:val="Prrafodelista"/>
        <w:spacing w:after="0" w:line="240" w:lineRule="auto"/>
        <w:ind w:leftChars="0" w:left="1285" w:firstLineChars="0" w:firstLine="0"/>
        <w:jc w:val="both"/>
        <w:rPr>
          <w:rFonts w:ascii="Times New Roman" w:eastAsia="Times New Roman" w:hAnsi="Times New Roman" w:cs="Times New Roman"/>
          <w:lang w:bidi="es-ES"/>
        </w:rPr>
      </w:pPr>
    </w:p>
    <w:p w14:paraId="128B8069" w14:textId="139ED3B4" w:rsidR="00195F2C" w:rsidRPr="00214269" w:rsidRDefault="00195F2C" w:rsidP="008C39F0">
      <w:pPr>
        <w:pStyle w:val="Prrafodelista"/>
        <w:numPr>
          <w:ilvl w:val="0"/>
          <w:numId w:val="5"/>
        </w:numPr>
        <w:spacing w:after="0" w:line="240" w:lineRule="auto"/>
        <w:ind w:leftChars="0" w:firstLineChars="0"/>
        <w:jc w:val="both"/>
        <w:rPr>
          <w:rFonts w:ascii="Times New Roman" w:eastAsia="Times New Roman" w:hAnsi="Times New Roman" w:cs="Times New Roman"/>
          <w:lang w:bidi="es-ES"/>
        </w:rPr>
      </w:pPr>
      <w:r w:rsidRPr="00626DBF">
        <w:rPr>
          <w:rFonts w:ascii="Times New Roman" w:eastAsia="Times New Roman" w:hAnsi="Times New Roman" w:cs="Times New Roman"/>
          <w:lang w:bidi="es-ES"/>
        </w:rPr>
        <w:t xml:space="preserve">Las Obligaciones Negociables devengarán intereses sobre el monto de capital </w:t>
      </w:r>
      <w:r w:rsidR="00785973" w:rsidRPr="00626DBF">
        <w:rPr>
          <w:rFonts w:ascii="Times New Roman" w:eastAsia="Times New Roman" w:hAnsi="Times New Roman" w:cs="Times New Roman"/>
          <w:lang w:bidi="es-ES"/>
        </w:rPr>
        <w:t xml:space="preserve">en circulación </w:t>
      </w:r>
      <w:r w:rsidRPr="00C54836">
        <w:rPr>
          <w:rFonts w:ascii="Times New Roman" w:eastAsia="Times New Roman" w:hAnsi="Times New Roman" w:cs="Times New Roman"/>
          <w:lang w:bidi="es-ES"/>
        </w:rPr>
        <w:t>impago: (i) para los Períodos de Intereses que devenguen entre la Fecha de Pago de Intereses del 11 de noviembre de 2021 (inclusive) y la Fecha de Pago de Intereses del 11 de febrero de 2023 (</w:t>
      </w:r>
      <w:r w:rsidR="009E1FAA">
        <w:rPr>
          <w:rFonts w:ascii="Times New Roman" w:eastAsia="Times New Roman" w:hAnsi="Times New Roman" w:cs="Times New Roman"/>
          <w:lang w:bidi="es-ES"/>
        </w:rPr>
        <w:t>ex</w:t>
      </w:r>
      <w:r w:rsidRPr="00C54836">
        <w:rPr>
          <w:rFonts w:ascii="Times New Roman" w:eastAsia="Times New Roman" w:hAnsi="Times New Roman" w:cs="Times New Roman"/>
          <w:lang w:bidi="es-ES"/>
        </w:rPr>
        <w:t>clusive), a un</w:t>
      </w:r>
      <w:r w:rsidRPr="00F43580">
        <w:rPr>
          <w:rFonts w:ascii="Times New Roman" w:eastAsia="Times New Roman" w:hAnsi="Times New Roman" w:cs="Times New Roman"/>
          <w:lang w:bidi="es-ES"/>
        </w:rPr>
        <w:t>a tasa de interés fija del 3,50% nominal anual</w:t>
      </w:r>
      <w:r w:rsidR="003F685D" w:rsidRPr="00405148">
        <w:rPr>
          <w:rFonts w:ascii="Times New Roman" w:eastAsia="Times New Roman" w:hAnsi="Times New Roman" w:cs="Times New Roman"/>
          <w:lang w:bidi="es-ES"/>
        </w:rPr>
        <w:t>, esta tasa de interés también será aplicable a los intereses correspondientes al Período de Intereses cuya Fecha de Pago de Intereses venció el 11 de agosto de 2021 siendo el capital actualizado</w:t>
      </w:r>
      <w:r w:rsidR="000B037A">
        <w:rPr>
          <w:rFonts w:ascii="Times New Roman" w:eastAsia="Times New Roman" w:hAnsi="Times New Roman" w:cs="Times New Roman"/>
          <w:lang w:bidi="es-ES"/>
        </w:rPr>
        <w:t xml:space="preserve"> de las Obligaciones Negociables</w:t>
      </w:r>
      <w:r w:rsidR="003F685D" w:rsidRPr="00405148">
        <w:rPr>
          <w:rFonts w:ascii="Times New Roman" w:eastAsia="Times New Roman" w:hAnsi="Times New Roman" w:cs="Times New Roman"/>
          <w:lang w:bidi="es-ES"/>
        </w:rPr>
        <w:t xml:space="preserve"> a la fecha de la presente Solicitud de Consentimiento  de US$20.484.229,92</w:t>
      </w:r>
      <w:r w:rsidRPr="00F43580">
        <w:rPr>
          <w:rFonts w:ascii="Times New Roman" w:eastAsia="Times New Roman" w:hAnsi="Times New Roman" w:cs="Times New Roman"/>
          <w:lang w:bidi="es-ES"/>
        </w:rPr>
        <w:t xml:space="preserve">; (ii) para los Períodos de Intereses que devenguen entre la Fecha de Pago de Intereses del 11 de </w:t>
      </w:r>
      <w:r w:rsidR="009E1FAA">
        <w:rPr>
          <w:rFonts w:ascii="Times New Roman" w:eastAsia="Times New Roman" w:hAnsi="Times New Roman" w:cs="Times New Roman"/>
          <w:lang w:bidi="es-ES"/>
        </w:rPr>
        <w:t>febrero</w:t>
      </w:r>
      <w:r w:rsidRPr="00F43580">
        <w:rPr>
          <w:rFonts w:ascii="Times New Roman" w:eastAsia="Times New Roman" w:hAnsi="Times New Roman" w:cs="Times New Roman"/>
          <w:lang w:bidi="es-ES"/>
        </w:rPr>
        <w:t xml:space="preserve"> de 2023 (inclusive) y la Fecha de Pago de Intereses del 11 de febrero de 2024 (</w:t>
      </w:r>
      <w:r w:rsidR="009E1FAA">
        <w:rPr>
          <w:rFonts w:ascii="Times New Roman" w:eastAsia="Times New Roman" w:hAnsi="Times New Roman" w:cs="Times New Roman"/>
          <w:lang w:bidi="es-ES"/>
        </w:rPr>
        <w:t>ex</w:t>
      </w:r>
      <w:r w:rsidRPr="00F43580">
        <w:rPr>
          <w:rFonts w:ascii="Times New Roman" w:eastAsia="Times New Roman" w:hAnsi="Times New Roman" w:cs="Times New Roman"/>
          <w:lang w:bidi="es-ES"/>
        </w:rPr>
        <w:t>clusive), a una tasa de interés fija del 4,50% nominal anual; (iii) para los Períodos de Intereses que devenguen</w:t>
      </w:r>
      <w:r w:rsidRPr="00F43580" w:rsidDel="007A2267">
        <w:rPr>
          <w:rFonts w:ascii="Times New Roman" w:eastAsia="Times New Roman" w:hAnsi="Times New Roman" w:cs="Times New Roman"/>
          <w:lang w:bidi="es-ES"/>
        </w:rPr>
        <w:t xml:space="preserve"> </w:t>
      </w:r>
      <w:r w:rsidRPr="00EF6EEA">
        <w:rPr>
          <w:rFonts w:ascii="Times New Roman" w:eastAsia="Times New Roman" w:hAnsi="Times New Roman" w:cs="Times New Roman"/>
          <w:lang w:bidi="es-ES"/>
        </w:rPr>
        <w:t xml:space="preserve"> entre la Fecha de Pago de Intereses del 11 de </w:t>
      </w:r>
      <w:r w:rsidR="009E1FAA">
        <w:rPr>
          <w:rFonts w:ascii="Times New Roman" w:eastAsia="Times New Roman" w:hAnsi="Times New Roman" w:cs="Times New Roman"/>
          <w:lang w:bidi="es-ES"/>
        </w:rPr>
        <w:t>febrero</w:t>
      </w:r>
      <w:r w:rsidR="009E1FAA" w:rsidRPr="00EF6EEA">
        <w:rPr>
          <w:rFonts w:ascii="Times New Roman" w:eastAsia="Times New Roman" w:hAnsi="Times New Roman" w:cs="Times New Roman"/>
          <w:lang w:bidi="es-ES"/>
        </w:rPr>
        <w:t xml:space="preserve"> </w:t>
      </w:r>
      <w:r w:rsidRPr="00EF6EEA">
        <w:rPr>
          <w:rFonts w:ascii="Times New Roman" w:eastAsia="Times New Roman" w:hAnsi="Times New Roman" w:cs="Times New Roman"/>
          <w:lang w:bidi="es-ES"/>
        </w:rPr>
        <w:t>de 2024 (inclusive) y la Fecha de Pago de Intereses del 11 de febrero de 2025 (</w:t>
      </w:r>
      <w:r w:rsidR="00D72FF1">
        <w:rPr>
          <w:rFonts w:ascii="Times New Roman" w:eastAsia="Times New Roman" w:hAnsi="Times New Roman" w:cs="Times New Roman"/>
          <w:lang w:bidi="es-ES"/>
        </w:rPr>
        <w:t>ex</w:t>
      </w:r>
      <w:r w:rsidRPr="00EF6EEA">
        <w:rPr>
          <w:rFonts w:ascii="Times New Roman" w:eastAsia="Times New Roman" w:hAnsi="Times New Roman" w:cs="Times New Roman"/>
          <w:lang w:bidi="es-ES"/>
        </w:rPr>
        <w:t>clusive), a una tasa de interés fija del 5,50% nominal anual; (iv) para los Períodos de Intereses que devenguen entre la Fe</w:t>
      </w:r>
      <w:r w:rsidRPr="00DF7A87">
        <w:rPr>
          <w:rFonts w:ascii="Times New Roman" w:eastAsia="Times New Roman" w:hAnsi="Times New Roman" w:cs="Times New Roman"/>
          <w:lang w:bidi="es-ES"/>
        </w:rPr>
        <w:t xml:space="preserve">cha de Pago de Intereses del 11 de </w:t>
      </w:r>
      <w:r w:rsidR="00D72FF1">
        <w:rPr>
          <w:rFonts w:ascii="Times New Roman" w:eastAsia="Times New Roman" w:hAnsi="Times New Roman" w:cs="Times New Roman"/>
          <w:lang w:bidi="es-ES"/>
        </w:rPr>
        <w:t>febrero</w:t>
      </w:r>
      <w:r w:rsidR="00D72FF1" w:rsidRPr="00DF7A87">
        <w:rPr>
          <w:rFonts w:ascii="Times New Roman" w:eastAsia="Times New Roman" w:hAnsi="Times New Roman" w:cs="Times New Roman"/>
          <w:lang w:bidi="es-ES"/>
        </w:rPr>
        <w:t xml:space="preserve"> </w:t>
      </w:r>
      <w:r w:rsidRPr="00DF7A87">
        <w:rPr>
          <w:rFonts w:ascii="Times New Roman" w:eastAsia="Times New Roman" w:hAnsi="Times New Roman" w:cs="Times New Roman"/>
          <w:lang w:bidi="es-ES"/>
        </w:rPr>
        <w:t>de 2025 (inclusive) y la Fecha de Pago de Intereses del 11 de febrero de 2026 (</w:t>
      </w:r>
      <w:r w:rsidR="00D72FF1">
        <w:rPr>
          <w:rFonts w:ascii="Times New Roman" w:eastAsia="Times New Roman" w:hAnsi="Times New Roman" w:cs="Times New Roman"/>
          <w:lang w:bidi="es-ES"/>
        </w:rPr>
        <w:t>ex</w:t>
      </w:r>
      <w:r w:rsidRPr="00DF7A87">
        <w:rPr>
          <w:rFonts w:ascii="Times New Roman" w:eastAsia="Times New Roman" w:hAnsi="Times New Roman" w:cs="Times New Roman"/>
          <w:lang w:bidi="es-ES"/>
        </w:rPr>
        <w:t>clusive), a una tasa de interés fija del 6,50% nominal anual; y (v) para los Períodos de Intereses que devenguen entre la Fecha de Pago</w:t>
      </w:r>
      <w:r w:rsidRPr="009573B9">
        <w:rPr>
          <w:rFonts w:ascii="Times New Roman" w:eastAsia="Times New Roman" w:hAnsi="Times New Roman" w:cs="Times New Roman"/>
          <w:lang w:bidi="es-ES"/>
        </w:rPr>
        <w:t xml:space="preserve"> de Intereses del 11 de </w:t>
      </w:r>
      <w:r w:rsidR="00D72FF1">
        <w:rPr>
          <w:rFonts w:ascii="Times New Roman" w:eastAsia="Times New Roman" w:hAnsi="Times New Roman" w:cs="Times New Roman"/>
          <w:lang w:bidi="es-ES"/>
        </w:rPr>
        <w:t>febrero</w:t>
      </w:r>
      <w:r w:rsidR="00D72FF1" w:rsidRPr="009573B9">
        <w:rPr>
          <w:rFonts w:ascii="Times New Roman" w:eastAsia="Times New Roman" w:hAnsi="Times New Roman" w:cs="Times New Roman"/>
          <w:lang w:bidi="es-ES"/>
        </w:rPr>
        <w:t xml:space="preserve"> </w:t>
      </w:r>
      <w:r w:rsidRPr="009573B9">
        <w:rPr>
          <w:rFonts w:ascii="Times New Roman" w:eastAsia="Times New Roman" w:hAnsi="Times New Roman" w:cs="Times New Roman"/>
          <w:lang w:bidi="es-ES"/>
        </w:rPr>
        <w:t>de 2026 (inclusive) y hasta la Fecha de Vencimiento, a una tasa de interés fija del 7,50% nominal anual.</w:t>
      </w:r>
      <w:r w:rsidR="008C39F0">
        <w:rPr>
          <w:rFonts w:ascii="Times New Roman" w:eastAsia="Times New Roman" w:hAnsi="Times New Roman" w:cs="Times New Roman"/>
          <w:lang w:bidi="es-ES"/>
        </w:rPr>
        <w:t xml:space="preserve"> </w:t>
      </w:r>
    </w:p>
    <w:p w14:paraId="0CCA06A0" w14:textId="77777777" w:rsidR="00195F2C" w:rsidRPr="0062702E" w:rsidRDefault="00195F2C">
      <w:pPr>
        <w:pStyle w:val="Prrafodelista"/>
        <w:spacing w:after="0" w:line="240" w:lineRule="auto"/>
        <w:ind w:leftChars="0" w:left="1285" w:firstLineChars="0" w:firstLine="0"/>
        <w:jc w:val="both"/>
        <w:rPr>
          <w:rFonts w:ascii="Times New Roman" w:eastAsia="Times New Roman" w:hAnsi="Times New Roman" w:cs="Times New Roman"/>
          <w:lang w:bidi="es-ES"/>
        </w:rPr>
      </w:pPr>
    </w:p>
    <w:p w14:paraId="3D6CF0BB" w14:textId="44EEA107" w:rsidR="00195F2C" w:rsidRPr="00214269" w:rsidRDefault="00195F2C" w:rsidP="000D01F5">
      <w:pPr>
        <w:pStyle w:val="Prrafodelista"/>
        <w:numPr>
          <w:ilvl w:val="0"/>
          <w:numId w:val="5"/>
        </w:numPr>
        <w:spacing w:after="0" w:line="240" w:lineRule="auto"/>
        <w:ind w:leftChars="0" w:firstLineChars="0"/>
        <w:jc w:val="both"/>
        <w:rPr>
          <w:rFonts w:ascii="Times New Roman" w:eastAsia="Times New Roman" w:hAnsi="Times New Roman" w:cs="Times New Roman"/>
          <w:lang w:bidi="es-ES"/>
        </w:rPr>
      </w:pPr>
      <w:r w:rsidRPr="00310976">
        <w:rPr>
          <w:rFonts w:ascii="Times New Roman" w:eastAsia="Times New Roman" w:hAnsi="Times New Roman" w:cs="Times New Roman"/>
          <w:lang w:bidi="es-ES"/>
        </w:rPr>
        <w:t xml:space="preserve">No obstante ello, </w:t>
      </w:r>
      <w:r w:rsidR="00990005">
        <w:rPr>
          <w:rFonts w:ascii="Times New Roman" w:eastAsia="Times New Roman" w:hAnsi="Times New Roman" w:cs="Times New Roman"/>
          <w:lang w:bidi="es-ES"/>
        </w:rPr>
        <w:t xml:space="preserve"> </w:t>
      </w:r>
      <w:r w:rsidR="00990005" w:rsidRPr="00D06052">
        <w:rPr>
          <w:rFonts w:ascii="Times New Roman" w:eastAsia="Times New Roman" w:hAnsi="Times New Roman" w:cs="Times New Roman"/>
          <w:lang w:bidi="es-ES"/>
        </w:rPr>
        <w:t xml:space="preserve">en los T&amp;C Aplicables en Caso de No Acuerdo con </w:t>
      </w:r>
      <w:proofErr w:type="spellStart"/>
      <w:r w:rsidR="00990005" w:rsidRPr="00D06052">
        <w:rPr>
          <w:rFonts w:ascii="Times New Roman" w:eastAsia="Times New Roman" w:hAnsi="Times New Roman" w:cs="Times New Roman"/>
          <w:lang w:bidi="es-ES"/>
        </w:rPr>
        <w:t>Itaú</w:t>
      </w:r>
      <w:proofErr w:type="spellEnd"/>
      <w:r w:rsidR="00990005" w:rsidRPr="00D06052">
        <w:rPr>
          <w:rFonts w:ascii="Times New Roman" w:eastAsia="Times New Roman" w:hAnsi="Times New Roman" w:cs="Times New Roman"/>
          <w:lang w:bidi="es-ES"/>
        </w:rPr>
        <w:t xml:space="preserve"> sobre la Participación en Catalinas</w:t>
      </w:r>
      <w:r w:rsidR="00990005" w:rsidRPr="00310976">
        <w:rPr>
          <w:rFonts w:ascii="Times New Roman" w:eastAsia="Times New Roman" w:hAnsi="Times New Roman" w:cs="Times New Roman"/>
          <w:lang w:val="es-AR" w:bidi="es-ES"/>
        </w:rPr>
        <w:t xml:space="preserve"> </w:t>
      </w:r>
      <w:r w:rsidRPr="00310976">
        <w:rPr>
          <w:rFonts w:ascii="Times New Roman" w:eastAsia="Times New Roman" w:hAnsi="Times New Roman" w:cs="Times New Roman"/>
          <w:lang w:val="es-AR" w:bidi="es-ES"/>
        </w:rPr>
        <w:t xml:space="preserve">en caso en que </w:t>
      </w:r>
      <w:r w:rsidRPr="00740007">
        <w:rPr>
          <w:rFonts w:ascii="Times New Roman" w:eastAsia="Times New Roman" w:hAnsi="Times New Roman" w:cs="Times New Roman"/>
          <w:lang w:bidi="es-ES"/>
        </w:rPr>
        <w:t xml:space="preserve">la Sociedad cumpla </w:t>
      </w:r>
      <w:r w:rsidR="000D01F5" w:rsidRPr="000D01F5">
        <w:rPr>
          <w:rFonts w:ascii="Times New Roman" w:eastAsia="Times New Roman" w:hAnsi="Times New Roman" w:cs="Times New Roman"/>
          <w:lang w:bidi="es-ES"/>
        </w:rPr>
        <w:t>con el pago de</w:t>
      </w:r>
      <w:r w:rsidR="007A745E">
        <w:rPr>
          <w:rFonts w:ascii="Times New Roman" w:eastAsia="Times New Roman" w:hAnsi="Times New Roman" w:cs="Times New Roman"/>
          <w:lang w:bidi="es-ES"/>
        </w:rPr>
        <w:t xml:space="preserve"> E</w:t>
      </w:r>
      <w:r w:rsidR="000D01F5" w:rsidRPr="000D01F5">
        <w:rPr>
          <w:rFonts w:ascii="Times New Roman" w:eastAsia="Times New Roman" w:hAnsi="Times New Roman" w:cs="Times New Roman"/>
          <w:lang w:bidi="es-ES"/>
        </w:rPr>
        <w:t xml:space="preserve">l Porcentaje Máximo de la </w:t>
      </w:r>
      <w:r w:rsidRPr="00740007">
        <w:rPr>
          <w:rFonts w:ascii="Times New Roman" w:eastAsia="Times New Roman" w:hAnsi="Times New Roman" w:cs="Times New Roman"/>
          <w:lang w:bidi="es-ES"/>
        </w:rPr>
        <w:t xml:space="preserve"> Cuota de Amortización por </w:t>
      </w:r>
      <w:r w:rsidR="00625B49">
        <w:rPr>
          <w:rFonts w:ascii="Times New Roman" w:eastAsia="Times New Roman" w:hAnsi="Times New Roman" w:cs="Times New Roman"/>
          <w:lang w:bidi="es-ES"/>
        </w:rPr>
        <w:t>Ingreso de Caja MPN</w:t>
      </w:r>
      <w:r w:rsidRPr="00740007">
        <w:rPr>
          <w:rFonts w:ascii="Times New Roman" w:eastAsia="Times New Roman" w:hAnsi="Times New Roman" w:cs="Times New Roman"/>
          <w:lang w:bidi="es-ES"/>
        </w:rPr>
        <w:t xml:space="preserve"> en cada Fecha de Amortización por </w:t>
      </w:r>
      <w:r w:rsidR="00625B49">
        <w:rPr>
          <w:rFonts w:ascii="Times New Roman" w:eastAsia="Times New Roman" w:hAnsi="Times New Roman" w:cs="Times New Roman"/>
          <w:lang w:bidi="es-ES"/>
        </w:rPr>
        <w:t>Ingreso de Caja MPN</w:t>
      </w:r>
      <w:r w:rsidRPr="00740007">
        <w:rPr>
          <w:rFonts w:ascii="Times New Roman" w:eastAsia="Times New Roman" w:hAnsi="Times New Roman" w:cs="Times New Roman"/>
          <w:lang w:bidi="es-ES"/>
        </w:rPr>
        <w:t xml:space="preserve">, la tasa de los intereses a devengarse sobre el capital </w:t>
      </w:r>
      <w:r w:rsidR="00785973" w:rsidRPr="00740007">
        <w:rPr>
          <w:rFonts w:ascii="Times New Roman" w:eastAsia="Times New Roman" w:hAnsi="Times New Roman" w:cs="Times New Roman"/>
          <w:lang w:bidi="es-ES"/>
        </w:rPr>
        <w:t xml:space="preserve">en circulación </w:t>
      </w:r>
      <w:r w:rsidRPr="00740007">
        <w:rPr>
          <w:rFonts w:ascii="Times New Roman" w:eastAsia="Times New Roman" w:hAnsi="Times New Roman" w:cs="Times New Roman"/>
          <w:lang w:bidi="es-ES"/>
        </w:rPr>
        <w:t xml:space="preserve">impago de las Obligaciones Negociables para los Períodos de Intereses que devenguen entre la Fecha de Pago de Intereses del 11 de </w:t>
      </w:r>
      <w:r w:rsidR="00D72FF1">
        <w:rPr>
          <w:rFonts w:ascii="Times New Roman" w:eastAsia="Times New Roman" w:hAnsi="Times New Roman" w:cs="Times New Roman"/>
          <w:lang w:bidi="es-ES"/>
        </w:rPr>
        <w:t xml:space="preserve">febrero </w:t>
      </w:r>
      <w:r w:rsidR="00D72FF1" w:rsidRPr="00740007">
        <w:rPr>
          <w:rFonts w:ascii="Times New Roman" w:eastAsia="Times New Roman" w:hAnsi="Times New Roman" w:cs="Times New Roman"/>
          <w:lang w:bidi="es-ES"/>
        </w:rPr>
        <w:t xml:space="preserve"> </w:t>
      </w:r>
      <w:r w:rsidRPr="00740007">
        <w:rPr>
          <w:rFonts w:ascii="Times New Roman" w:eastAsia="Times New Roman" w:hAnsi="Times New Roman" w:cs="Times New Roman"/>
          <w:lang w:bidi="es-ES"/>
        </w:rPr>
        <w:t>de 2024</w:t>
      </w:r>
      <w:r w:rsidR="00D72FF1">
        <w:rPr>
          <w:rFonts w:ascii="Times New Roman" w:eastAsia="Times New Roman" w:hAnsi="Times New Roman" w:cs="Times New Roman"/>
          <w:lang w:bidi="es-ES"/>
        </w:rPr>
        <w:t xml:space="preserve"> (inclusive)</w:t>
      </w:r>
      <w:r w:rsidRPr="00740007">
        <w:rPr>
          <w:rFonts w:ascii="Times New Roman" w:eastAsia="Times New Roman" w:hAnsi="Times New Roman" w:cs="Times New Roman"/>
          <w:lang w:bidi="es-ES"/>
        </w:rPr>
        <w:t xml:space="preserve"> y la Fecha de Vencimiento, se reducirán en un 0,5</w:t>
      </w:r>
      <w:r w:rsidR="000B037A">
        <w:rPr>
          <w:rFonts w:ascii="Times New Roman" w:eastAsia="Times New Roman" w:hAnsi="Times New Roman" w:cs="Times New Roman"/>
          <w:lang w:bidi="es-ES"/>
        </w:rPr>
        <w:t>0</w:t>
      </w:r>
      <w:r w:rsidRPr="00740007">
        <w:rPr>
          <w:rFonts w:ascii="Times New Roman" w:eastAsia="Times New Roman" w:hAnsi="Times New Roman" w:cs="Times New Roman"/>
          <w:lang w:bidi="es-ES"/>
        </w:rPr>
        <w:t xml:space="preserve">% nominal anual, quedando establecido en ese caso el siguiente esquema </w:t>
      </w:r>
      <w:r w:rsidRPr="00740007">
        <w:rPr>
          <w:rFonts w:ascii="Times New Roman" w:eastAsia="Times New Roman" w:hAnsi="Times New Roman" w:cs="Times New Roman"/>
          <w:lang w:bidi="es-ES"/>
        </w:rPr>
        <w:lastRenderedPageBreak/>
        <w:t>de intereses: (i) para los Períodos de Interese</w:t>
      </w:r>
      <w:r w:rsidRPr="00F66991">
        <w:rPr>
          <w:rFonts w:ascii="Times New Roman" w:eastAsia="Times New Roman" w:hAnsi="Times New Roman" w:cs="Times New Roman"/>
          <w:lang w:bidi="es-ES"/>
        </w:rPr>
        <w:t xml:space="preserve">s que devenguen entre la Fecha de Pago de Intereses del 11 de </w:t>
      </w:r>
      <w:r w:rsidR="00D72FF1">
        <w:rPr>
          <w:rFonts w:ascii="Times New Roman" w:eastAsia="Times New Roman" w:hAnsi="Times New Roman" w:cs="Times New Roman"/>
          <w:lang w:bidi="es-ES"/>
        </w:rPr>
        <w:t>febrero</w:t>
      </w:r>
      <w:r w:rsidR="00D72FF1" w:rsidRPr="00F66991">
        <w:rPr>
          <w:rFonts w:ascii="Times New Roman" w:eastAsia="Times New Roman" w:hAnsi="Times New Roman" w:cs="Times New Roman"/>
          <w:lang w:bidi="es-ES"/>
        </w:rPr>
        <w:t xml:space="preserve"> </w:t>
      </w:r>
      <w:r w:rsidRPr="00F66991">
        <w:rPr>
          <w:rFonts w:ascii="Times New Roman" w:eastAsia="Times New Roman" w:hAnsi="Times New Roman" w:cs="Times New Roman"/>
          <w:lang w:bidi="es-ES"/>
        </w:rPr>
        <w:t>de 2024 (inclusive) y la Fecha de Pago de Intereses del 11 de febrero de 2025 (</w:t>
      </w:r>
      <w:r w:rsidR="00D72FF1">
        <w:rPr>
          <w:rFonts w:ascii="Times New Roman" w:eastAsia="Times New Roman" w:hAnsi="Times New Roman" w:cs="Times New Roman"/>
          <w:lang w:bidi="es-ES"/>
        </w:rPr>
        <w:t>ex</w:t>
      </w:r>
      <w:r w:rsidRPr="00F66991">
        <w:rPr>
          <w:rFonts w:ascii="Times New Roman" w:eastAsia="Times New Roman" w:hAnsi="Times New Roman" w:cs="Times New Roman"/>
          <w:lang w:bidi="es-ES"/>
        </w:rPr>
        <w:t>clusive), a una tasa de interés fija del 5</w:t>
      </w:r>
      <w:r w:rsidR="000B037A">
        <w:rPr>
          <w:rFonts w:ascii="Times New Roman" w:eastAsia="Times New Roman" w:hAnsi="Times New Roman" w:cs="Times New Roman"/>
          <w:lang w:bidi="es-ES"/>
        </w:rPr>
        <w:t>,00</w:t>
      </w:r>
      <w:r w:rsidRPr="00F66991">
        <w:rPr>
          <w:rFonts w:ascii="Times New Roman" w:eastAsia="Times New Roman" w:hAnsi="Times New Roman" w:cs="Times New Roman"/>
          <w:lang w:bidi="es-ES"/>
        </w:rPr>
        <w:t xml:space="preserve">% nominal anual; (ii) para los Períodos de Intereses que devenguen entre la Fecha de Pago de Intereses del 11 de </w:t>
      </w:r>
      <w:r w:rsidR="00D72FF1">
        <w:rPr>
          <w:rFonts w:ascii="Times New Roman" w:eastAsia="Times New Roman" w:hAnsi="Times New Roman" w:cs="Times New Roman"/>
          <w:lang w:bidi="es-ES"/>
        </w:rPr>
        <w:t>febrero</w:t>
      </w:r>
      <w:r w:rsidR="00D72FF1" w:rsidRPr="00F66991">
        <w:rPr>
          <w:rFonts w:ascii="Times New Roman" w:eastAsia="Times New Roman" w:hAnsi="Times New Roman" w:cs="Times New Roman"/>
          <w:lang w:bidi="es-ES"/>
        </w:rPr>
        <w:t xml:space="preserve"> </w:t>
      </w:r>
      <w:r w:rsidRPr="00F66991">
        <w:rPr>
          <w:rFonts w:ascii="Times New Roman" w:eastAsia="Times New Roman" w:hAnsi="Times New Roman" w:cs="Times New Roman"/>
          <w:lang w:bidi="es-ES"/>
        </w:rPr>
        <w:t>de 2025 (inclusive) y la Fecha de Pago de Intereses del 11 de febrero de 2026 (</w:t>
      </w:r>
      <w:r w:rsidR="00D72FF1">
        <w:rPr>
          <w:rFonts w:ascii="Times New Roman" w:eastAsia="Times New Roman" w:hAnsi="Times New Roman" w:cs="Times New Roman"/>
          <w:lang w:bidi="es-ES"/>
        </w:rPr>
        <w:t>ex</w:t>
      </w:r>
      <w:r w:rsidRPr="00F66991">
        <w:rPr>
          <w:rFonts w:ascii="Times New Roman" w:eastAsia="Times New Roman" w:hAnsi="Times New Roman" w:cs="Times New Roman"/>
          <w:lang w:bidi="es-ES"/>
        </w:rPr>
        <w:t>clusive), a una tasa de interés fija del 6</w:t>
      </w:r>
      <w:r w:rsidR="000B037A">
        <w:rPr>
          <w:rFonts w:ascii="Times New Roman" w:eastAsia="Times New Roman" w:hAnsi="Times New Roman" w:cs="Times New Roman"/>
          <w:lang w:bidi="es-ES"/>
        </w:rPr>
        <w:t>,00</w:t>
      </w:r>
      <w:r w:rsidRPr="00F66991">
        <w:rPr>
          <w:rFonts w:ascii="Times New Roman" w:eastAsia="Times New Roman" w:hAnsi="Times New Roman" w:cs="Times New Roman"/>
          <w:lang w:bidi="es-ES"/>
        </w:rPr>
        <w:t>% nominal anual; y (iii) para los Períodos de Intereses que devenguen entre la Fe</w:t>
      </w:r>
      <w:r w:rsidRPr="00EB3FA3">
        <w:rPr>
          <w:rFonts w:ascii="Times New Roman" w:eastAsia="Times New Roman" w:hAnsi="Times New Roman" w:cs="Times New Roman"/>
          <w:lang w:bidi="es-ES"/>
        </w:rPr>
        <w:t xml:space="preserve">cha de Pago de Intereses del 11 de </w:t>
      </w:r>
      <w:r w:rsidR="00D72FF1">
        <w:rPr>
          <w:rFonts w:ascii="Times New Roman" w:eastAsia="Times New Roman" w:hAnsi="Times New Roman" w:cs="Times New Roman"/>
          <w:lang w:bidi="es-ES"/>
        </w:rPr>
        <w:t>febrero</w:t>
      </w:r>
      <w:r w:rsidR="00D72FF1" w:rsidRPr="00EB3FA3">
        <w:rPr>
          <w:rFonts w:ascii="Times New Roman" w:eastAsia="Times New Roman" w:hAnsi="Times New Roman" w:cs="Times New Roman"/>
          <w:lang w:bidi="es-ES"/>
        </w:rPr>
        <w:t xml:space="preserve"> </w:t>
      </w:r>
      <w:r w:rsidRPr="00EB3FA3">
        <w:rPr>
          <w:rFonts w:ascii="Times New Roman" w:eastAsia="Times New Roman" w:hAnsi="Times New Roman" w:cs="Times New Roman"/>
          <w:lang w:bidi="es-ES"/>
        </w:rPr>
        <w:t>de 2026 (inclusive) y hasta la Fecha de Vencimiento</w:t>
      </w:r>
      <w:r w:rsidR="000C698A">
        <w:rPr>
          <w:rFonts w:ascii="Times New Roman" w:eastAsia="Times New Roman" w:hAnsi="Times New Roman" w:cs="Times New Roman"/>
          <w:lang w:bidi="es-ES"/>
        </w:rPr>
        <w:t xml:space="preserve"> </w:t>
      </w:r>
      <w:r w:rsidR="000C698A" w:rsidRPr="00D06052">
        <w:rPr>
          <w:rFonts w:ascii="Times New Roman" w:eastAsia="Times New Roman" w:hAnsi="Times New Roman" w:cs="Times New Roman"/>
          <w:lang w:bidi="es-ES"/>
        </w:rPr>
        <w:t xml:space="preserve">en los T&amp;C Aplicables en Caso de No Acuerdo con </w:t>
      </w:r>
      <w:proofErr w:type="spellStart"/>
      <w:r w:rsidR="000C698A" w:rsidRPr="00D06052">
        <w:rPr>
          <w:rFonts w:ascii="Times New Roman" w:eastAsia="Times New Roman" w:hAnsi="Times New Roman" w:cs="Times New Roman"/>
          <w:lang w:bidi="es-ES"/>
        </w:rPr>
        <w:t>Itaú</w:t>
      </w:r>
      <w:proofErr w:type="spellEnd"/>
      <w:r w:rsidR="000C698A" w:rsidRPr="00D06052">
        <w:rPr>
          <w:rFonts w:ascii="Times New Roman" w:eastAsia="Times New Roman" w:hAnsi="Times New Roman" w:cs="Times New Roman"/>
          <w:lang w:bidi="es-ES"/>
        </w:rPr>
        <w:t xml:space="preserve"> sobre la Participación en Catalinas</w:t>
      </w:r>
      <w:r w:rsidRPr="00EB3FA3">
        <w:rPr>
          <w:rFonts w:ascii="Times New Roman" w:eastAsia="Times New Roman" w:hAnsi="Times New Roman" w:cs="Times New Roman"/>
          <w:lang w:bidi="es-ES"/>
        </w:rPr>
        <w:t>, a una tasa de interés fija del 7</w:t>
      </w:r>
      <w:r w:rsidR="000B037A">
        <w:rPr>
          <w:rFonts w:ascii="Times New Roman" w:eastAsia="Times New Roman" w:hAnsi="Times New Roman" w:cs="Times New Roman"/>
          <w:lang w:bidi="es-ES"/>
        </w:rPr>
        <w:t>,00</w:t>
      </w:r>
      <w:r w:rsidRPr="00EB3FA3">
        <w:rPr>
          <w:rFonts w:ascii="Times New Roman" w:eastAsia="Times New Roman" w:hAnsi="Times New Roman" w:cs="Times New Roman"/>
          <w:lang w:bidi="es-ES"/>
        </w:rPr>
        <w:t>% nominal anual</w:t>
      </w:r>
      <w:r w:rsidRPr="00214269">
        <w:rPr>
          <w:rFonts w:ascii="Times New Roman" w:eastAsia="Times New Roman" w:hAnsi="Times New Roman" w:cs="Times New Roman"/>
          <w:lang w:bidi="es-ES"/>
        </w:rPr>
        <w:t>;</w:t>
      </w:r>
    </w:p>
    <w:p w14:paraId="175C1026" w14:textId="77777777" w:rsidR="00195F2C" w:rsidRPr="0062702E" w:rsidRDefault="00195F2C" w:rsidP="00C13AAC">
      <w:pPr>
        <w:pStyle w:val="Prrafodelista"/>
        <w:spacing w:after="0" w:line="240" w:lineRule="auto"/>
        <w:ind w:left="0" w:hanging="2"/>
        <w:rPr>
          <w:rFonts w:ascii="Times New Roman" w:eastAsia="Times New Roman" w:hAnsi="Times New Roman" w:cs="Times New Roman"/>
          <w:lang w:bidi="es-ES"/>
        </w:rPr>
      </w:pPr>
    </w:p>
    <w:p w14:paraId="41E44FF5" w14:textId="4A6C5B22" w:rsidR="00195F2C" w:rsidRPr="00214269" w:rsidRDefault="00195F2C">
      <w:pPr>
        <w:pStyle w:val="Prrafodelista"/>
        <w:numPr>
          <w:ilvl w:val="0"/>
          <w:numId w:val="5"/>
        </w:numPr>
        <w:spacing w:after="0" w:line="240" w:lineRule="auto"/>
        <w:ind w:leftChars="0" w:firstLineChars="0"/>
        <w:jc w:val="both"/>
        <w:rPr>
          <w:rFonts w:ascii="Times New Roman" w:eastAsia="Times New Roman" w:hAnsi="Times New Roman" w:cs="Times New Roman"/>
          <w:lang w:bidi="es-ES"/>
        </w:rPr>
      </w:pPr>
      <w:r w:rsidRPr="00310976">
        <w:rPr>
          <w:rFonts w:ascii="Times New Roman" w:eastAsia="Times New Roman" w:hAnsi="Times New Roman" w:cs="Times New Roman"/>
          <w:lang w:bidi="es-ES"/>
        </w:rPr>
        <w:t>Los intereses pagaderos en las Fechas de Pago de Intereses del</w:t>
      </w:r>
      <w:r w:rsidR="002D0F76" w:rsidRPr="00310976">
        <w:rPr>
          <w:rFonts w:ascii="Times New Roman" w:eastAsia="Times New Roman" w:hAnsi="Times New Roman" w:cs="Times New Roman"/>
          <w:lang w:bidi="es-ES"/>
        </w:rPr>
        <w:t xml:space="preserve"> </w:t>
      </w:r>
      <w:r w:rsidR="002D0F76" w:rsidRPr="00740007">
        <w:rPr>
          <w:rFonts w:ascii="Times New Roman" w:eastAsia="Times New Roman" w:hAnsi="Times New Roman" w:cs="Times New Roman"/>
          <w:lang w:bidi="es-ES"/>
        </w:rPr>
        <w:t>11 de noviembre de 2021,</w:t>
      </w:r>
      <w:r w:rsidRPr="00740007">
        <w:rPr>
          <w:rFonts w:ascii="Times New Roman" w:eastAsia="Times New Roman" w:hAnsi="Times New Roman" w:cs="Times New Roman"/>
          <w:lang w:bidi="es-ES"/>
        </w:rPr>
        <w:t xml:space="preserve"> 11 de febrero de 2022, 11 de mayo de 2022, 11 de agosto de 2022, 11 de noviembre de 2022 y 11 de febrero de 2023 serán automáticamente capitalizados en cada una de esas respectivas Fechas de Pago de Intereses, debiendo la Sociedad </w:t>
      </w:r>
      <w:r w:rsidR="000B2806" w:rsidRPr="00F66991">
        <w:rPr>
          <w:rFonts w:ascii="Times New Roman" w:eastAsia="Times New Roman" w:hAnsi="Times New Roman" w:cs="Times New Roman"/>
          <w:lang w:val="es-AR" w:bidi="es-ES"/>
        </w:rPr>
        <w:t xml:space="preserve">publicar los avisos </w:t>
      </w:r>
      <w:r w:rsidR="000B2806" w:rsidRPr="00EB3FA3">
        <w:rPr>
          <w:rFonts w:ascii="Times New Roman" w:eastAsia="Times New Roman" w:hAnsi="Times New Roman" w:cs="Times New Roman"/>
          <w:lang w:val="es-AR" w:bidi="es-ES"/>
        </w:rPr>
        <w:t xml:space="preserve">de pago correspondientes a cada Fecha de Pago de Interés </w:t>
      </w:r>
      <w:r w:rsidR="000B2806" w:rsidRPr="00F11A08">
        <w:rPr>
          <w:rFonts w:ascii="Times New Roman" w:eastAsia="Times New Roman" w:hAnsi="Times New Roman" w:cs="Times New Roman"/>
          <w:lang w:val="es-AR" w:bidi="es-ES"/>
        </w:rPr>
        <w:t xml:space="preserve">en la </w:t>
      </w:r>
      <w:r w:rsidR="000B2806" w:rsidRPr="0038723F">
        <w:rPr>
          <w:rFonts w:ascii="Times New Roman" w:eastAsia="Times New Roman" w:hAnsi="Times New Roman" w:cs="Times New Roman"/>
          <w:lang w:val="es-AR" w:bidi="es-ES"/>
        </w:rPr>
        <w:t>AIF</w:t>
      </w:r>
      <w:r w:rsidR="000B2806" w:rsidRPr="00FE4D11">
        <w:rPr>
          <w:rFonts w:ascii="Times New Roman" w:eastAsia="Times New Roman" w:hAnsi="Times New Roman" w:cs="Times New Roman"/>
          <w:lang w:val="es-AR" w:bidi="es-ES"/>
        </w:rPr>
        <w:t xml:space="preserve"> de la </w:t>
      </w:r>
      <w:r w:rsidR="000B2806" w:rsidRPr="00E02C4A">
        <w:rPr>
          <w:rFonts w:ascii="Times New Roman" w:eastAsia="Times New Roman" w:hAnsi="Times New Roman" w:cs="Times New Roman"/>
          <w:lang w:val="es-AR" w:bidi="es-ES"/>
        </w:rPr>
        <w:t>CNV</w:t>
      </w:r>
      <w:r w:rsidR="000B2806" w:rsidRPr="0055089D">
        <w:rPr>
          <w:rFonts w:ascii="Times New Roman" w:eastAsia="Times New Roman" w:hAnsi="Times New Roman" w:cs="Times New Roman"/>
          <w:lang w:val="es-AR" w:bidi="es-ES"/>
        </w:rPr>
        <w:t xml:space="preserve"> informando el capital residual de las Obligaciones Negociables</w:t>
      </w:r>
      <w:r w:rsidRPr="00214269">
        <w:rPr>
          <w:rFonts w:ascii="Times New Roman" w:eastAsia="Times New Roman" w:hAnsi="Times New Roman" w:cs="Times New Roman"/>
          <w:lang w:bidi="es-ES"/>
        </w:rPr>
        <w:t>;</w:t>
      </w:r>
    </w:p>
    <w:p w14:paraId="6EDC2EC9" w14:textId="77777777" w:rsidR="00195F2C" w:rsidRPr="0062702E" w:rsidRDefault="00195F2C">
      <w:pPr>
        <w:spacing w:after="0" w:line="240" w:lineRule="auto"/>
        <w:ind w:leftChars="0" w:left="0" w:firstLineChars="0" w:firstLine="0"/>
        <w:jc w:val="both"/>
        <w:rPr>
          <w:rFonts w:ascii="Times New Roman" w:eastAsia="Times New Roman" w:hAnsi="Times New Roman" w:cs="Times New Roman"/>
          <w:lang w:bidi="es-ES"/>
        </w:rPr>
      </w:pPr>
    </w:p>
    <w:p w14:paraId="01C225B7" w14:textId="62DD9F2F" w:rsidR="00195F2C" w:rsidRPr="00A91463" w:rsidRDefault="00195F2C" w:rsidP="00C13AAC">
      <w:pPr>
        <w:pStyle w:val="Prrafodelista"/>
        <w:numPr>
          <w:ilvl w:val="0"/>
          <w:numId w:val="5"/>
        </w:numPr>
        <w:spacing w:after="0" w:line="240" w:lineRule="auto"/>
        <w:ind w:leftChars="0" w:firstLineChars="0"/>
        <w:jc w:val="both"/>
        <w:rPr>
          <w:rFonts w:ascii="Times New Roman" w:eastAsia="Times New Roman" w:hAnsi="Times New Roman" w:cs="Times New Roman"/>
          <w:lang w:bidi="es-ES"/>
        </w:rPr>
      </w:pPr>
      <w:r w:rsidRPr="00F43580">
        <w:rPr>
          <w:rFonts w:ascii="Times New Roman" w:eastAsia="Times New Roman" w:hAnsi="Times New Roman" w:cs="Times New Roman"/>
          <w:lang w:bidi="es-ES"/>
        </w:rPr>
        <w:t>Serán de aplicación los Nuevos Supuestos de Incumplimiento</w:t>
      </w:r>
      <w:r w:rsidR="00785973" w:rsidRPr="00F43580">
        <w:rPr>
          <w:rFonts w:ascii="Times New Roman" w:eastAsia="Times New Roman" w:hAnsi="Times New Roman" w:cs="Times New Roman"/>
          <w:lang w:bidi="es-ES"/>
        </w:rPr>
        <w:t xml:space="preserve"> de las Obligaciones Negociables. </w:t>
      </w:r>
      <w:r w:rsidR="00785973" w:rsidRPr="00F43580">
        <w:rPr>
          <w:rFonts w:ascii="Times New Roman" w:eastAsia="Times New Roman" w:hAnsi="Times New Roman" w:cs="Times New Roman"/>
          <w:lang w:val="es-MX" w:bidi="es-ES"/>
        </w:rPr>
        <w:t>Para más información</w:t>
      </w:r>
      <w:r w:rsidR="001F651A">
        <w:rPr>
          <w:rFonts w:ascii="Times New Roman" w:eastAsia="Times New Roman" w:hAnsi="Times New Roman" w:cs="Times New Roman"/>
          <w:lang w:val="es-MX" w:bidi="es-ES"/>
        </w:rPr>
        <w:t>,</w:t>
      </w:r>
      <w:r w:rsidR="00785973" w:rsidRPr="00F43580">
        <w:rPr>
          <w:rFonts w:ascii="Times New Roman" w:eastAsia="Times New Roman" w:hAnsi="Times New Roman" w:cs="Times New Roman"/>
          <w:lang w:val="es-MX" w:bidi="es-ES"/>
        </w:rPr>
        <w:t xml:space="preserve"> véase el apartado “</w:t>
      </w:r>
      <w:r w:rsidR="00785973" w:rsidRPr="00EF6EEA">
        <w:rPr>
          <w:rFonts w:ascii="Times New Roman" w:eastAsia="Times New Roman" w:hAnsi="Times New Roman" w:cs="Times New Roman"/>
          <w:i/>
          <w:lang w:bidi="es-ES"/>
        </w:rPr>
        <w:t>Nuevos Supuestos de Incumplimiento de las Obligaciones Negociables</w:t>
      </w:r>
      <w:r w:rsidR="00785973" w:rsidRPr="00DF7A87">
        <w:rPr>
          <w:rFonts w:ascii="Times New Roman" w:eastAsia="Times New Roman" w:hAnsi="Times New Roman" w:cs="Times New Roman"/>
          <w:lang w:val="es-MX" w:bidi="es-ES"/>
        </w:rPr>
        <w:t>” de la presente Solicitud</w:t>
      </w:r>
      <w:r w:rsidR="00785973" w:rsidRPr="009573B9">
        <w:rPr>
          <w:rFonts w:ascii="Times New Roman" w:eastAsia="Times New Roman" w:hAnsi="Times New Roman" w:cs="Times New Roman"/>
          <w:lang w:val="es-MX" w:bidi="es-ES"/>
        </w:rPr>
        <w:t xml:space="preserve"> de Consentimiento</w:t>
      </w:r>
      <w:r w:rsidRPr="00A91463">
        <w:rPr>
          <w:rFonts w:ascii="Times New Roman" w:eastAsia="Times New Roman" w:hAnsi="Times New Roman" w:cs="Times New Roman"/>
          <w:lang w:bidi="es-ES"/>
        </w:rPr>
        <w:t xml:space="preserve">;  </w:t>
      </w:r>
    </w:p>
    <w:p w14:paraId="102D9D3F" w14:textId="77777777" w:rsidR="00195F2C" w:rsidRPr="008433DA" w:rsidRDefault="00195F2C" w:rsidP="00C13AAC">
      <w:pPr>
        <w:pStyle w:val="Prrafodelista"/>
        <w:spacing w:after="0" w:line="240" w:lineRule="auto"/>
        <w:ind w:left="0" w:hanging="2"/>
        <w:rPr>
          <w:rFonts w:ascii="Times New Roman" w:eastAsia="Times New Roman" w:hAnsi="Times New Roman" w:cs="Times New Roman"/>
          <w:lang w:bidi="es-ES"/>
        </w:rPr>
      </w:pPr>
    </w:p>
    <w:p w14:paraId="40F64378" w14:textId="6B30C92E" w:rsidR="00195F2C" w:rsidRPr="004E7C62" w:rsidRDefault="00195F2C" w:rsidP="00C13AAC">
      <w:pPr>
        <w:pStyle w:val="Prrafodelista"/>
        <w:numPr>
          <w:ilvl w:val="0"/>
          <w:numId w:val="5"/>
        </w:numPr>
        <w:spacing w:after="0" w:line="240" w:lineRule="auto"/>
        <w:ind w:leftChars="0" w:firstLineChars="0"/>
        <w:jc w:val="both"/>
        <w:rPr>
          <w:rFonts w:ascii="Times New Roman" w:eastAsia="Times New Roman" w:hAnsi="Times New Roman" w:cs="Times New Roman"/>
          <w:lang w:bidi="es-ES"/>
        </w:rPr>
      </w:pPr>
      <w:r w:rsidRPr="003E13B9">
        <w:rPr>
          <w:rFonts w:ascii="Times New Roman" w:eastAsia="Times New Roman" w:hAnsi="Times New Roman" w:cs="Times New Roman"/>
          <w:lang w:bidi="es-ES"/>
        </w:rPr>
        <w:t>Serán de aplicación los Nuevos Compromisos de las Obligaciones Negociables</w:t>
      </w:r>
      <w:r w:rsidR="00785973" w:rsidRPr="004E7C62">
        <w:rPr>
          <w:rFonts w:ascii="Times New Roman" w:eastAsia="Times New Roman" w:hAnsi="Times New Roman" w:cs="Times New Roman"/>
          <w:lang w:bidi="es-ES"/>
        </w:rPr>
        <w:t xml:space="preserve">. </w:t>
      </w:r>
      <w:r w:rsidR="00785973" w:rsidRPr="004E7C62">
        <w:rPr>
          <w:rFonts w:ascii="Times New Roman" w:eastAsia="Times New Roman" w:hAnsi="Times New Roman" w:cs="Times New Roman"/>
          <w:lang w:val="es-MX" w:bidi="es-ES"/>
        </w:rPr>
        <w:t>Para más información</w:t>
      </w:r>
      <w:r w:rsidR="001F651A">
        <w:rPr>
          <w:rFonts w:ascii="Times New Roman" w:eastAsia="Times New Roman" w:hAnsi="Times New Roman" w:cs="Times New Roman"/>
          <w:lang w:val="es-MX" w:bidi="es-ES"/>
        </w:rPr>
        <w:t>,</w:t>
      </w:r>
      <w:r w:rsidR="00785973" w:rsidRPr="004E7C62">
        <w:rPr>
          <w:rFonts w:ascii="Times New Roman" w:eastAsia="Times New Roman" w:hAnsi="Times New Roman" w:cs="Times New Roman"/>
          <w:lang w:val="es-MX" w:bidi="es-ES"/>
        </w:rPr>
        <w:t xml:space="preserve"> véase el apartado “</w:t>
      </w:r>
      <w:r w:rsidR="00785973" w:rsidRPr="004E7C62">
        <w:rPr>
          <w:rFonts w:ascii="Times New Roman" w:eastAsia="Times New Roman" w:hAnsi="Times New Roman" w:cs="Times New Roman"/>
          <w:i/>
          <w:lang w:bidi="es-ES"/>
        </w:rPr>
        <w:t>Nuevos Compromisos de las Obligaciones Negociables</w:t>
      </w:r>
      <w:r w:rsidR="00785973" w:rsidRPr="004E7C62">
        <w:rPr>
          <w:rFonts w:ascii="Times New Roman" w:eastAsia="Times New Roman" w:hAnsi="Times New Roman" w:cs="Times New Roman"/>
          <w:lang w:val="es-MX" w:bidi="es-ES"/>
        </w:rPr>
        <w:t>” de la presente Solicitud de Consentimiento</w:t>
      </w:r>
      <w:r w:rsidRPr="004E7C62">
        <w:rPr>
          <w:rFonts w:ascii="Times New Roman" w:eastAsia="Times New Roman" w:hAnsi="Times New Roman" w:cs="Times New Roman"/>
          <w:lang w:bidi="es-ES"/>
        </w:rPr>
        <w:t>; y</w:t>
      </w:r>
    </w:p>
    <w:p w14:paraId="42872B4F" w14:textId="77777777" w:rsidR="00195F2C" w:rsidRPr="00262E03" w:rsidRDefault="00195F2C" w:rsidP="00C13AAC">
      <w:pPr>
        <w:pStyle w:val="Prrafodelista"/>
        <w:spacing w:after="0" w:line="240" w:lineRule="auto"/>
        <w:ind w:left="0" w:hanging="2"/>
        <w:rPr>
          <w:rFonts w:ascii="Times New Roman" w:eastAsia="Times New Roman" w:hAnsi="Times New Roman" w:cs="Times New Roman"/>
          <w:lang w:bidi="es-ES"/>
        </w:rPr>
      </w:pPr>
    </w:p>
    <w:p w14:paraId="2849A326" w14:textId="77777777" w:rsidR="00233BC8" w:rsidRDefault="00195F2C" w:rsidP="00C13AAC">
      <w:pPr>
        <w:pStyle w:val="Prrafodelista"/>
        <w:numPr>
          <w:ilvl w:val="0"/>
          <w:numId w:val="5"/>
        </w:numPr>
        <w:spacing w:after="0" w:line="240" w:lineRule="auto"/>
        <w:ind w:leftChars="0" w:firstLineChars="0"/>
        <w:jc w:val="both"/>
        <w:rPr>
          <w:rFonts w:ascii="Times New Roman" w:eastAsia="Times New Roman" w:hAnsi="Times New Roman" w:cs="Times New Roman"/>
          <w:lang w:bidi="es-ES"/>
        </w:rPr>
      </w:pPr>
      <w:r w:rsidRPr="00262E03">
        <w:rPr>
          <w:rFonts w:ascii="Times New Roman" w:eastAsia="Times New Roman" w:hAnsi="Times New Roman" w:cs="Times New Roman"/>
          <w:lang w:bidi="es-ES"/>
        </w:rPr>
        <w:t xml:space="preserve">Serán de aplicación los </w:t>
      </w:r>
      <w:r w:rsidRPr="00262E03">
        <w:rPr>
          <w:rFonts w:ascii="Times New Roman" w:eastAsia="Times New Roman" w:hAnsi="Times New Roman" w:cs="Times New Roman"/>
          <w:lang w:val="es-AR" w:bidi="es-ES"/>
        </w:rPr>
        <w:t>Nuevos Requisitos Para la Modificación a los T</w:t>
      </w:r>
      <w:r w:rsidRPr="008C39F0">
        <w:rPr>
          <w:rFonts w:ascii="Times New Roman" w:eastAsia="Times New Roman" w:hAnsi="Times New Roman" w:cs="Times New Roman"/>
          <w:lang w:val="es-AR" w:bidi="es-ES"/>
        </w:rPr>
        <w:t>érminos y Condiciones Esenciales de las Obligaciones Negociable</w:t>
      </w:r>
      <w:r w:rsidR="00785973" w:rsidRPr="008C39F0">
        <w:rPr>
          <w:rFonts w:ascii="Times New Roman" w:eastAsia="Times New Roman" w:hAnsi="Times New Roman" w:cs="Times New Roman"/>
          <w:lang w:val="es-AR" w:bidi="es-ES"/>
        </w:rPr>
        <w:t xml:space="preserve">s. </w:t>
      </w:r>
      <w:r w:rsidR="00785973" w:rsidRPr="008C39F0">
        <w:rPr>
          <w:rFonts w:ascii="Times New Roman" w:eastAsia="Times New Roman" w:hAnsi="Times New Roman" w:cs="Times New Roman"/>
          <w:lang w:bidi="es-ES"/>
        </w:rPr>
        <w:t>Para más información</w:t>
      </w:r>
      <w:r w:rsidR="001F651A">
        <w:rPr>
          <w:rFonts w:ascii="Times New Roman" w:eastAsia="Times New Roman" w:hAnsi="Times New Roman" w:cs="Times New Roman"/>
          <w:lang w:bidi="es-ES"/>
        </w:rPr>
        <w:t>,</w:t>
      </w:r>
    </w:p>
    <w:p w14:paraId="569551EF" w14:textId="2C04B023" w:rsidR="00195F2C" w:rsidRPr="008C39F0" w:rsidRDefault="00785973" w:rsidP="00C13AAC">
      <w:pPr>
        <w:pStyle w:val="Prrafodelista"/>
        <w:numPr>
          <w:ilvl w:val="0"/>
          <w:numId w:val="5"/>
        </w:numPr>
        <w:spacing w:after="0" w:line="240" w:lineRule="auto"/>
        <w:ind w:leftChars="0" w:firstLineChars="0"/>
        <w:jc w:val="both"/>
        <w:rPr>
          <w:rFonts w:ascii="Times New Roman" w:eastAsia="Times New Roman" w:hAnsi="Times New Roman" w:cs="Times New Roman"/>
          <w:lang w:bidi="es-ES"/>
        </w:rPr>
      </w:pPr>
      <w:r w:rsidRPr="008C39F0">
        <w:rPr>
          <w:rFonts w:ascii="Times New Roman" w:eastAsia="Times New Roman" w:hAnsi="Times New Roman" w:cs="Times New Roman"/>
          <w:lang w:bidi="es-ES"/>
        </w:rPr>
        <w:t xml:space="preserve"> véase el apartado “</w:t>
      </w:r>
      <w:r w:rsidRPr="008C39F0">
        <w:rPr>
          <w:rFonts w:ascii="Times New Roman" w:eastAsia="Times New Roman" w:hAnsi="Times New Roman" w:cs="Times New Roman"/>
          <w:i/>
          <w:lang w:bidi="es-ES"/>
        </w:rPr>
        <w:t>Nuevos Requisitos para la Modificación a los Términos y Condiciones Esenciales de las Obligaciones Negociables</w:t>
      </w:r>
      <w:r w:rsidRPr="008C39F0">
        <w:rPr>
          <w:rFonts w:ascii="Times New Roman" w:eastAsia="Times New Roman" w:hAnsi="Times New Roman" w:cs="Times New Roman"/>
          <w:lang w:bidi="es-ES"/>
        </w:rPr>
        <w:t>” de la presente Solicitud de Consentimiento</w:t>
      </w:r>
      <w:r w:rsidR="00195F2C" w:rsidRPr="008C39F0">
        <w:rPr>
          <w:rFonts w:ascii="Times New Roman" w:eastAsia="Times New Roman" w:hAnsi="Times New Roman" w:cs="Times New Roman"/>
          <w:lang w:val="es-AR" w:bidi="es-ES"/>
        </w:rPr>
        <w:t>.</w:t>
      </w:r>
    </w:p>
    <w:p w14:paraId="4930EAC3" w14:textId="77777777" w:rsidR="00195F2C" w:rsidRPr="008C39F0" w:rsidRDefault="00195F2C">
      <w:pPr>
        <w:pStyle w:val="Prrafodelista"/>
        <w:spacing w:after="0" w:line="240" w:lineRule="auto"/>
        <w:ind w:leftChars="0" w:left="925" w:firstLineChars="0" w:firstLine="0"/>
        <w:jc w:val="both"/>
        <w:rPr>
          <w:rFonts w:ascii="Times New Roman" w:eastAsia="Times New Roman" w:hAnsi="Times New Roman" w:cs="Times New Roman"/>
          <w:lang w:bidi="es-ES"/>
        </w:rPr>
      </w:pPr>
    </w:p>
    <w:p w14:paraId="09486045" w14:textId="737A733B" w:rsidR="00003E01" w:rsidRPr="008C39F0" w:rsidRDefault="00003E01">
      <w:pPr>
        <w:pStyle w:val="Prrafodelista"/>
        <w:spacing w:after="0" w:line="240" w:lineRule="auto"/>
        <w:ind w:leftChars="0" w:left="925" w:firstLineChars="0" w:firstLine="0"/>
        <w:jc w:val="both"/>
        <w:rPr>
          <w:rFonts w:ascii="Times New Roman" w:eastAsia="Times New Roman" w:hAnsi="Times New Roman" w:cs="Times New Roman"/>
          <w:lang w:bidi="es-ES"/>
        </w:rPr>
      </w:pPr>
      <w:r w:rsidRPr="008C39F0">
        <w:rPr>
          <w:rFonts w:ascii="Times New Roman" w:eastAsia="Times New Roman" w:hAnsi="Times New Roman" w:cs="Times New Roman"/>
          <w:lang w:bidi="es-ES"/>
        </w:rPr>
        <w:t xml:space="preserve">En caso de que ocurra la Condición en Caso de No Acuerdo con </w:t>
      </w:r>
      <w:proofErr w:type="spellStart"/>
      <w:r w:rsidRPr="008C39F0">
        <w:rPr>
          <w:rFonts w:ascii="Times New Roman" w:eastAsia="Times New Roman" w:hAnsi="Times New Roman" w:cs="Times New Roman"/>
          <w:lang w:bidi="es-ES"/>
        </w:rPr>
        <w:t>Itaú</w:t>
      </w:r>
      <w:proofErr w:type="spellEnd"/>
      <w:r w:rsidRPr="008C39F0">
        <w:rPr>
          <w:rFonts w:ascii="Times New Roman" w:eastAsia="Times New Roman" w:hAnsi="Times New Roman" w:cs="Times New Roman"/>
          <w:lang w:bidi="es-ES"/>
        </w:rPr>
        <w:t xml:space="preserve"> sobre la Participación en Catalinas sin que se haya producido la Cancelación del 33</w:t>
      </w:r>
      <w:r w:rsidR="00EE6EE1">
        <w:rPr>
          <w:rFonts w:ascii="Times New Roman" w:eastAsia="Times New Roman" w:hAnsi="Times New Roman" w:cs="Times New Roman"/>
          <w:lang w:bidi="es-ES"/>
        </w:rPr>
        <w:t>,33</w:t>
      </w:r>
      <w:r w:rsidRPr="008C39F0">
        <w:rPr>
          <w:rFonts w:ascii="Times New Roman" w:eastAsia="Times New Roman" w:hAnsi="Times New Roman" w:cs="Times New Roman"/>
          <w:lang w:bidi="es-ES"/>
        </w:rPr>
        <w:t xml:space="preserve">% del Capital de Obligaciones Negociables, la Sociedad deberá informarlo a través de la </w:t>
      </w:r>
      <w:r w:rsidR="00C84C18" w:rsidRPr="008C39F0">
        <w:rPr>
          <w:rFonts w:ascii="Times New Roman" w:eastAsia="Times New Roman" w:hAnsi="Times New Roman" w:cs="Times New Roman"/>
          <w:lang w:bidi="es-ES"/>
        </w:rPr>
        <w:t>AIF</w:t>
      </w:r>
      <w:r w:rsidRPr="008C39F0">
        <w:rPr>
          <w:rFonts w:ascii="Times New Roman" w:eastAsia="Times New Roman" w:hAnsi="Times New Roman" w:cs="Times New Roman"/>
          <w:lang w:bidi="es-ES"/>
        </w:rPr>
        <w:t xml:space="preserve"> de la CNV</w:t>
      </w:r>
      <w:r w:rsidR="00C84C18" w:rsidRPr="008C39F0">
        <w:rPr>
          <w:rFonts w:ascii="Times New Roman" w:eastAsia="Times New Roman" w:hAnsi="Times New Roman" w:cs="Times New Roman"/>
          <w:lang w:bidi="es-ES"/>
        </w:rPr>
        <w:t xml:space="preserve">, la </w:t>
      </w:r>
      <w:proofErr w:type="spellStart"/>
      <w:r w:rsidR="00C84C18" w:rsidRPr="008C39F0">
        <w:rPr>
          <w:rFonts w:ascii="Times New Roman" w:eastAsia="Times New Roman" w:hAnsi="Times New Roman" w:cs="Times New Roman"/>
          <w:lang w:bidi="es-ES"/>
        </w:rPr>
        <w:t>website</w:t>
      </w:r>
      <w:proofErr w:type="spellEnd"/>
      <w:r w:rsidR="00C84C18" w:rsidRPr="008C39F0">
        <w:rPr>
          <w:rFonts w:ascii="Times New Roman" w:eastAsia="Times New Roman" w:hAnsi="Times New Roman" w:cs="Times New Roman"/>
          <w:lang w:bidi="es-ES"/>
        </w:rPr>
        <w:t xml:space="preserve"> de BYMA, y </w:t>
      </w:r>
      <w:r w:rsidR="00082FA3">
        <w:rPr>
          <w:rFonts w:ascii="Times New Roman" w:eastAsia="Times New Roman" w:hAnsi="Times New Roman" w:cs="Times New Roman"/>
          <w:lang w:bidi="es-ES"/>
        </w:rPr>
        <w:t xml:space="preserve">en </w:t>
      </w:r>
      <w:r w:rsidR="000B037A">
        <w:rPr>
          <w:rFonts w:ascii="Times New Roman" w:eastAsia="Times New Roman" w:hAnsi="Times New Roman" w:cs="Times New Roman"/>
          <w:lang w:bidi="es-ES"/>
        </w:rPr>
        <w:t>el boletín electrónico</w:t>
      </w:r>
      <w:r w:rsidR="00C84C18" w:rsidRPr="008C39F0">
        <w:rPr>
          <w:rFonts w:ascii="Times New Roman" w:eastAsia="Times New Roman" w:hAnsi="Times New Roman" w:cs="Times New Roman"/>
          <w:lang w:bidi="es-ES"/>
        </w:rPr>
        <w:t xml:space="preserve"> de</w:t>
      </w:r>
      <w:r w:rsidR="000B037A">
        <w:rPr>
          <w:rFonts w:ascii="Times New Roman" w:eastAsia="Times New Roman" w:hAnsi="Times New Roman" w:cs="Times New Roman"/>
          <w:lang w:bidi="es-ES"/>
        </w:rPr>
        <w:t>l</w:t>
      </w:r>
      <w:r w:rsidR="00C84C18" w:rsidRPr="008C39F0">
        <w:rPr>
          <w:rFonts w:ascii="Times New Roman" w:eastAsia="Times New Roman" w:hAnsi="Times New Roman" w:cs="Times New Roman"/>
          <w:lang w:bidi="es-ES"/>
        </w:rPr>
        <w:t xml:space="preserve"> MAE, </w:t>
      </w:r>
      <w:r w:rsidRPr="008C39F0">
        <w:rPr>
          <w:rFonts w:ascii="Times New Roman" w:eastAsia="Times New Roman" w:hAnsi="Times New Roman" w:cs="Times New Roman"/>
          <w:lang w:bidi="es-ES"/>
        </w:rPr>
        <w:t>y automáticamente serán de aplicación a las Obligaciones Negociables los T&amp;C Aplicables en Caso de No Acuerdo sobre la Participación en Catalinas.</w:t>
      </w:r>
    </w:p>
    <w:p w14:paraId="38A1FB7A" w14:textId="3BA38FA7" w:rsidR="00003E01" w:rsidRPr="008C39F0" w:rsidRDefault="00003E01">
      <w:pPr>
        <w:pStyle w:val="Prrafodelista"/>
        <w:spacing w:after="0" w:line="240" w:lineRule="auto"/>
        <w:ind w:leftChars="0" w:left="925" w:firstLineChars="0" w:firstLine="0"/>
        <w:jc w:val="both"/>
        <w:rPr>
          <w:rFonts w:ascii="Times New Roman" w:eastAsia="Times New Roman" w:hAnsi="Times New Roman" w:cs="Times New Roman"/>
          <w:lang w:bidi="es-ES"/>
        </w:rPr>
      </w:pPr>
    </w:p>
    <w:p w14:paraId="74AB1CD8" w14:textId="3B5E0D25" w:rsidR="00195F2C" w:rsidRPr="00626DBF" w:rsidRDefault="0072782B" w:rsidP="00F93ED5">
      <w:pPr>
        <w:pStyle w:val="Prrafodelista"/>
        <w:numPr>
          <w:ilvl w:val="0"/>
          <w:numId w:val="18"/>
        </w:numPr>
        <w:spacing w:after="0" w:line="240" w:lineRule="auto"/>
        <w:ind w:leftChars="0" w:left="993" w:firstLineChars="0" w:hanging="567"/>
        <w:jc w:val="both"/>
        <w:rPr>
          <w:rFonts w:ascii="Times New Roman" w:eastAsia="Times New Roman" w:hAnsi="Times New Roman" w:cs="Times New Roman"/>
          <w:u w:val="single"/>
          <w:lang w:bidi="es-ES"/>
        </w:rPr>
      </w:pPr>
      <w:r w:rsidRPr="00626DBF">
        <w:rPr>
          <w:rFonts w:ascii="Times New Roman" w:eastAsia="Times New Roman" w:hAnsi="Times New Roman" w:cs="Times New Roman"/>
          <w:i/>
          <w:u w:val="single"/>
          <w:lang w:bidi="es-ES"/>
        </w:rPr>
        <w:t xml:space="preserve">Derecho de la Sociedad de liberar de la Garantía </w:t>
      </w:r>
      <w:r w:rsidR="00E0702A" w:rsidRPr="00626DBF">
        <w:rPr>
          <w:rFonts w:ascii="Times New Roman" w:eastAsia="Times New Roman" w:hAnsi="Times New Roman" w:cs="Times New Roman"/>
          <w:i/>
          <w:u w:val="single"/>
          <w:lang w:bidi="es-ES"/>
        </w:rPr>
        <w:t xml:space="preserve">a </w:t>
      </w:r>
      <w:r w:rsidRPr="00626DBF">
        <w:rPr>
          <w:rFonts w:ascii="Times New Roman" w:eastAsia="Times New Roman" w:hAnsi="Times New Roman" w:cs="Times New Roman"/>
          <w:i/>
          <w:u w:val="single"/>
          <w:lang w:bidi="es-ES"/>
        </w:rPr>
        <w:t>la Prenda</w:t>
      </w:r>
    </w:p>
    <w:p w14:paraId="637E7AC9" w14:textId="77777777" w:rsidR="00195F2C" w:rsidRPr="00F43580" w:rsidRDefault="00195F2C">
      <w:pPr>
        <w:pStyle w:val="Prrafodelista"/>
        <w:spacing w:after="0" w:line="240" w:lineRule="auto"/>
        <w:ind w:leftChars="0" w:left="925" w:firstLineChars="0" w:firstLine="0"/>
        <w:jc w:val="both"/>
        <w:rPr>
          <w:rFonts w:ascii="Times New Roman" w:eastAsia="Times New Roman" w:hAnsi="Times New Roman" w:cs="Times New Roman"/>
          <w:lang w:bidi="es-ES"/>
        </w:rPr>
      </w:pPr>
    </w:p>
    <w:p w14:paraId="74AC3D2E" w14:textId="692C87CA" w:rsidR="00131ACF" w:rsidRPr="00092991" w:rsidRDefault="00785973" w:rsidP="007C3157">
      <w:pPr>
        <w:spacing w:after="0" w:line="240" w:lineRule="auto"/>
        <w:ind w:leftChars="451" w:left="992" w:firstLineChars="0" w:firstLine="2"/>
        <w:jc w:val="both"/>
        <w:rPr>
          <w:rFonts w:ascii="Times New Roman" w:hAnsi="Times New Roman" w:cs="Times New Roman"/>
          <w:lang w:bidi="es-ES"/>
        </w:rPr>
      </w:pPr>
      <w:r w:rsidRPr="00F43580">
        <w:rPr>
          <w:rFonts w:ascii="Times New Roman" w:eastAsia="Times New Roman" w:hAnsi="Times New Roman" w:cs="Times New Roman"/>
          <w:lang w:bidi="es-ES"/>
        </w:rPr>
        <w:t xml:space="preserve">En caso de que la Sociedad </w:t>
      </w:r>
      <w:r w:rsidRPr="00EF6EEA">
        <w:rPr>
          <w:rFonts w:ascii="Times New Roman" w:eastAsia="Times New Roman" w:hAnsi="Times New Roman" w:cs="Times New Roman"/>
        </w:rPr>
        <w:t>obtenga el consentimiento de las Mayoría Necesaria</w:t>
      </w:r>
      <w:r w:rsidR="000C698A">
        <w:rPr>
          <w:rFonts w:ascii="Times New Roman" w:eastAsia="Times New Roman" w:hAnsi="Times New Roman" w:cs="Times New Roman"/>
        </w:rPr>
        <w:t xml:space="preserve"> (conforme dicho término se define más adelante)</w:t>
      </w:r>
      <w:r w:rsidRPr="00EF6EEA">
        <w:rPr>
          <w:rFonts w:ascii="Times New Roman" w:eastAsia="Times New Roman" w:hAnsi="Times New Roman" w:cs="Times New Roman"/>
        </w:rPr>
        <w:t xml:space="preserve"> para </w:t>
      </w:r>
      <w:r w:rsidRPr="00DF7A87">
        <w:rPr>
          <w:rFonts w:ascii="Times New Roman" w:eastAsia="Times New Roman" w:hAnsi="Times New Roman" w:cs="Times New Roman"/>
          <w:lang w:bidi="es-ES"/>
        </w:rPr>
        <w:t xml:space="preserve">la Modificación Propuesta, la Sociedad tendrá el </w:t>
      </w:r>
      <w:r w:rsidR="00D70C80" w:rsidRPr="009573B9">
        <w:rPr>
          <w:rFonts w:ascii="Times New Roman" w:hAnsi="Times New Roman" w:cs="Times New Roman"/>
          <w:lang w:bidi="es-ES"/>
        </w:rPr>
        <w:t>derecho</w:t>
      </w:r>
      <w:r w:rsidR="00D86336" w:rsidRPr="00A91463">
        <w:rPr>
          <w:rFonts w:ascii="Times New Roman" w:hAnsi="Times New Roman" w:cs="Times New Roman"/>
          <w:lang w:bidi="es-ES"/>
        </w:rPr>
        <w:t xml:space="preserve"> </w:t>
      </w:r>
      <w:r w:rsidR="00D70C80" w:rsidRPr="0048599A">
        <w:rPr>
          <w:rFonts w:ascii="Times New Roman" w:hAnsi="Times New Roman" w:cs="Times New Roman"/>
          <w:lang w:bidi="es-ES"/>
        </w:rPr>
        <w:t xml:space="preserve">de liberar de la Garantía </w:t>
      </w:r>
      <w:r w:rsidR="00E0702A" w:rsidRPr="008433DA">
        <w:rPr>
          <w:rFonts w:ascii="Times New Roman" w:hAnsi="Times New Roman" w:cs="Times New Roman"/>
          <w:lang w:bidi="es-ES"/>
        </w:rPr>
        <w:t xml:space="preserve">a </w:t>
      </w:r>
      <w:r w:rsidR="00D70C80" w:rsidRPr="008433DA">
        <w:rPr>
          <w:rFonts w:ascii="Times New Roman" w:hAnsi="Times New Roman" w:cs="Times New Roman"/>
          <w:lang w:bidi="es-ES"/>
        </w:rPr>
        <w:t>la Prenda</w:t>
      </w:r>
      <w:r w:rsidR="006D5769" w:rsidRPr="008433DA">
        <w:rPr>
          <w:rFonts w:ascii="Times New Roman" w:hAnsi="Times New Roman" w:cs="Times New Roman"/>
          <w:lang w:bidi="es-ES"/>
        </w:rPr>
        <w:t xml:space="preserve"> (conforme se define más adelante)</w:t>
      </w:r>
      <w:r w:rsidR="00D70C80" w:rsidRPr="008433DA">
        <w:rPr>
          <w:rFonts w:ascii="Times New Roman" w:hAnsi="Times New Roman" w:cs="Times New Roman"/>
          <w:lang w:bidi="es-ES"/>
        </w:rPr>
        <w:t xml:space="preserve"> sin necesidad de consentimiento </w:t>
      </w:r>
      <w:r w:rsidR="00622E59" w:rsidRPr="008433DA">
        <w:rPr>
          <w:rFonts w:ascii="Times New Roman" w:eastAsia="Times New Roman" w:hAnsi="Times New Roman" w:cs="Times New Roman"/>
          <w:lang w:bidi="es-ES"/>
        </w:rPr>
        <w:t>adicional al expresado en la Manifestación de Consentimiento</w:t>
      </w:r>
      <w:r w:rsidR="00622E59" w:rsidRPr="008433DA">
        <w:rPr>
          <w:rFonts w:ascii="Times New Roman" w:hAnsi="Times New Roman" w:cs="Times New Roman"/>
          <w:lang w:bidi="es-ES"/>
        </w:rPr>
        <w:t xml:space="preserve"> </w:t>
      </w:r>
      <w:r w:rsidR="00D70C80" w:rsidRPr="003E13B9">
        <w:rPr>
          <w:rFonts w:ascii="Times New Roman" w:hAnsi="Times New Roman" w:cs="Times New Roman"/>
          <w:lang w:bidi="es-ES"/>
        </w:rPr>
        <w:t>por parte de</w:t>
      </w:r>
      <w:r w:rsidR="000C698A">
        <w:rPr>
          <w:rFonts w:ascii="Times New Roman" w:hAnsi="Times New Roman" w:cs="Times New Roman"/>
          <w:lang w:bidi="es-ES"/>
        </w:rPr>
        <w:t xml:space="preserve"> la Mayoría Necesaria </w:t>
      </w:r>
      <w:r w:rsidR="000C698A">
        <w:rPr>
          <w:rFonts w:ascii="Times New Roman" w:eastAsia="Times New Roman" w:hAnsi="Times New Roman" w:cs="Times New Roman"/>
        </w:rPr>
        <w:t>(conforme dicho término se define más adelante) de</w:t>
      </w:r>
      <w:r w:rsidR="00D70C80" w:rsidRPr="003E13B9">
        <w:rPr>
          <w:rFonts w:ascii="Times New Roman" w:hAnsi="Times New Roman" w:cs="Times New Roman"/>
          <w:lang w:bidi="es-ES"/>
        </w:rPr>
        <w:t xml:space="preserve"> los Tenedores</w:t>
      </w:r>
      <w:r w:rsidR="00622E59" w:rsidRPr="003E13B9">
        <w:rPr>
          <w:rFonts w:ascii="Times New Roman" w:hAnsi="Times New Roman" w:cs="Times New Roman"/>
          <w:lang w:bidi="es-ES"/>
        </w:rPr>
        <w:t xml:space="preserve"> </w:t>
      </w:r>
      <w:r w:rsidR="00906D63" w:rsidRPr="004E7C62">
        <w:rPr>
          <w:rFonts w:ascii="Times New Roman" w:hAnsi="Times New Roman" w:cs="Times New Roman"/>
          <w:lang w:val="es-MX" w:bidi="es-ES"/>
        </w:rPr>
        <w:t xml:space="preserve">antes del </w:t>
      </w:r>
      <w:r w:rsidR="00D70C80" w:rsidRPr="004E7C62">
        <w:rPr>
          <w:rFonts w:ascii="Times New Roman" w:hAnsi="Times New Roman" w:cs="Times New Roman"/>
          <w:lang w:val="es-MX" w:bidi="es-ES"/>
        </w:rPr>
        <w:t>1</w:t>
      </w:r>
      <w:r w:rsidRPr="004E7C62">
        <w:rPr>
          <w:rFonts w:ascii="Times New Roman" w:hAnsi="Times New Roman" w:cs="Times New Roman"/>
          <w:lang w:val="es-MX" w:bidi="es-ES"/>
        </w:rPr>
        <w:t>°</w:t>
      </w:r>
      <w:r w:rsidR="00D70C80" w:rsidRPr="004E7C62">
        <w:rPr>
          <w:rFonts w:ascii="Times New Roman" w:hAnsi="Times New Roman" w:cs="Times New Roman"/>
          <w:lang w:val="es-MX" w:bidi="es-ES"/>
        </w:rPr>
        <w:t xml:space="preserve"> de </w:t>
      </w:r>
      <w:r w:rsidR="00906D63" w:rsidRPr="00262E03">
        <w:rPr>
          <w:rFonts w:ascii="Times New Roman" w:hAnsi="Times New Roman" w:cs="Times New Roman"/>
          <w:lang w:val="es-MX" w:bidi="es-ES"/>
        </w:rPr>
        <w:t>agosto</w:t>
      </w:r>
      <w:r w:rsidR="00D70C80" w:rsidRPr="00262E03">
        <w:rPr>
          <w:rFonts w:ascii="Times New Roman" w:hAnsi="Times New Roman" w:cs="Times New Roman"/>
          <w:lang w:val="es-MX" w:bidi="es-ES"/>
        </w:rPr>
        <w:t xml:space="preserve"> de 2022, </w:t>
      </w:r>
      <w:r w:rsidR="00BD3F7E" w:rsidRPr="00262E03">
        <w:rPr>
          <w:rFonts w:ascii="Times New Roman" w:hAnsi="Times New Roman" w:cs="Times New Roman"/>
          <w:lang w:val="es-MX" w:bidi="es-ES"/>
        </w:rPr>
        <w:t xml:space="preserve">en caso en que </w:t>
      </w:r>
      <w:r w:rsidR="00D70C80" w:rsidRPr="00262E03">
        <w:rPr>
          <w:rFonts w:ascii="Times New Roman" w:hAnsi="Times New Roman" w:cs="Times New Roman"/>
          <w:lang w:val="es-MX" w:bidi="es-ES"/>
        </w:rPr>
        <w:t xml:space="preserve">la Sociedad </w:t>
      </w:r>
      <w:r w:rsidR="00D70C80" w:rsidRPr="00262E03">
        <w:rPr>
          <w:rFonts w:ascii="Times New Roman" w:hAnsi="Times New Roman" w:cs="Times New Roman"/>
          <w:lang w:bidi="es-ES"/>
        </w:rPr>
        <w:t xml:space="preserve">hubiere </w:t>
      </w:r>
      <w:r w:rsidR="00227445" w:rsidRPr="00262E03">
        <w:rPr>
          <w:rFonts w:ascii="Times New Roman" w:hAnsi="Times New Roman" w:cs="Times New Roman"/>
          <w:lang w:bidi="es-ES"/>
        </w:rPr>
        <w:t>concretado</w:t>
      </w:r>
      <w:r w:rsidR="00131ACF" w:rsidRPr="008C39F0">
        <w:rPr>
          <w:rFonts w:ascii="Times New Roman" w:hAnsi="Times New Roman" w:cs="Times New Roman"/>
          <w:lang w:bidi="es-ES"/>
        </w:rPr>
        <w:t xml:space="preserve"> (i)</w:t>
      </w:r>
      <w:r w:rsidR="00227445" w:rsidRPr="008C39F0">
        <w:rPr>
          <w:rFonts w:ascii="Times New Roman" w:hAnsi="Times New Roman" w:cs="Times New Roman"/>
          <w:lang w:bidi="es-ES"/>
        </w:rPr>
        <w:t xml:space="preserve"> un acuerdo con</w:t>
      </w:r>
      <w:r w:rsidR="00D70C80" w:rsidRPr="008C39F0">
        <w:rPr>
          <w:rFonts w:ascii="Times New Roman" w:hAnsi="Times New Roman" w:cs="Times New Roman"/>
          <w:lang w:bidi="es-ES"/>
        </w:rPr>
        <w:t xml:space="preserve"> Banco </w:t>
      </w:r>
      <w:proofErr w:type="spellStart"/>
      <w:r w:rsidR="00D70C80" w:rsidRPr="008C39F0">
        <w:rPr>
          <w:rFonts w:ascii="Times New Roman" w:hAnsi="Times New Roman" w:cs="Times New Roman"/>
          <w:lang w:bidi="es-ES"/>
        </w:rPr>
        <w:t>Itaú</w:t>
      </w:r>
      <w:proofErr w:type="spellEnd"/>
      <w:r w:rsidR="00131ACF" w:rsidRPr="008C39F0">
        <w:rPr>
          <w:rFonts w:ascii="Times New Roman" w:hAnsi="Times New Roman" w:cs="Times New Roman"/>
          <w:lang w:bidi="es-ES"/>
        </w:rPr>
        <w:t>;</w:t>
      </w:r>
      <w:r w:rsidR="002939BE" w:rsidRPr="008C39F0">
        <w:rPr>
          <w:rFonts w:ascii="Times New Roman" w:hAnsi="Times New Roman" w:cs="Times New Roman"/>
          <w:lang w:bidi="es-ES"/>
        </w:rPr>
        <w:t xml:space="preserve"> o </w:t>
      </w:r>
      <w:r w:rsidR="00131ACF" w:rsidRPr="008C39F0">
        <w:rPr>
          <w:rFonts w:ascii="Times New Roman" w:hAnsi="Times New Roman" w:cs="Times New Roman"/>
          <w:lang w:bidi="es-ES"/>
        </w:rPr>
        <w:t xml:space="preserve">(ii) </w:t>
      </w:r>
      <w:r w:rsidR="002939BE" w:rsidRPr="008C39F0">
        <w:rPr>
          <w:rFonts w:ascii="Times New Roman" w:hAnsi="Times New Roman" w:cs="Times New Roman"/>
          <w:lang w:bidi="es-ES"/>
        </w:rPr>
        <w:t xml:space="preserve">un </w:t>
      </w:r>
      <w:r w:rsidR="00131ACF" w:rsidRPr="008C39F0">
        <w:rPr>
          <w:rFonts w:ascii="Times New Roman" w:hAnsi="Times New Roman" w:cs="Times New Roman"/>
          <w:lang w:bidi="es-ES"/>
        </w:rPr>
        <w:t xml:space="preserve">acuerdo con un </w:t>
      </w:r>
      <w:r w:rsidR="002939BE" w:rsidRPr="008C39F0">
        <w:rPr>
          <w:rFonts w:ascii="Times New Roman" w:hAnsi="Times New Roman" w:cs="Times New Roman"/>
          <w:lang w:bidi="es-ES"/>
        </w:rPr>
        <w:t xml:space="preserve">tercero financiado por Banco </w:t>
      </w:r>
      <w:proofErr w:type="spellStart"/>
      <w:r w:rsidR="002939BE" w:rsidRPr="008C39F0">
        <w:rPr>
          <w:rFonts w:ascii="Times New Roman" w:hAnsi="Times New Roman" w:cs="Times New Roman"/>
          <w:lang w:bidi="es-ES"/>
        </w:rPr>
        <w:t>Itaú</w:t>
      </w:r>
      <w:proofErr w:type="spellEnd"/>
      <w:r w:rsidR="00227445" w:rsidRPr="008C39F0">
        <w:rPr>
          <w:rFonts w:ascii="Times New Roman" w:hAnsi="Times New Roman" w:cs="Times New Roman"/>
          <w:lang w:bidi="es-ES"/>
        </w:rPr>
        <w:t>,</w:t>
      </w:r>
      <w:r w:rsidR="00D70C80" w:rsidRPr="008C39F0">
        <w:rPr>
          <w:rFonts w:ascii="Times New Roman" w:hAnsi="Times New Roman" w:cs="Times New Roman"/>
          <w:lang w:bidi="es-ES"/>
        </w:rPr>
        <w:t xml:space="preserve"> </w:t>
      </w:r>
      <w:r w:rsidR="00227445" w:rsidRPr="008C39F0">
        <w:rPr>
          <w:rFonts w:ascii="Times New Roman" w:hAnsi="Times New Roman" w:cs="Times New Roman"/>
          <w:lang w:val="es-AR" w:bidi="es-ES"/>
        </w:rPr>
        <w:t>por medio d</w:t>
      </w:r>
      <w:r w:rsidR="00D70C80" w:rsidRPr="008C39F0">
        <w:rPr>
          <w:rFonts w:ascii="Times New Roman" w:hAnsi="Times New Roman" w:cs="Times New Roman"/>
          <w:lang w:val="es-AR" w:bidi="es-ES"/>
        </w:rPr>
        <w:t xml:space="preserve">el cual Banco </w:t>
      </w:r>
      <w:proofErr w:type="spellStart"/>
      <w:r w:rsidR="00D70C80" w:rsidRPr="008C39F0">
        <w:rPr>
          <w:rFonts w:ascii="Times New Roman" w:hAnsi="Times New Roman" w:cs="Times New Roman"/>
          <w:lang w:val="es-AR" w:bidi="es-ES"/>
        </w:rPr>
        <w:t>Itaú</w:t>
      </w:r>
      <w:proofErr w:type="spellEnd"/>
      <w:r w:rsidR="00D70C80" w:rsidRPr="008C39F0">
        <w:rPr>
          <w:rFonts w:ascii="Times New Roman" w:hAnsi="Times New Roman" w:cs="Times New Roman"/>
          <w:lang w:val="es-AR" w:bidi="es-ES"/>
        </w:rPr>
        <w:t xml:space="preserve"> </w:t>
      </w:r>
      <w:r w:rsidR="002939BE" w:rsidRPr="00993D29">
        <w:rPr>
          <w:rFonts w:ascii="Times New Roman" w:hAnsi="Times New Roman" w:cs="Times New Roman"/>
          <w:lang w:val="es-AR" w:bidi="es-ES"/>
        </w:rPr>
        <w:t xml:space="preserve">o dicho tercero </w:t>
      </w:r>
      <w:r w:rsidR="00D70C80" w:rsidRPr="00523952">
        <w:rPr>
          <w:rFonts w:ascii="Times New Roman" w:hAnsi="Times New Roman" w:cs="Times New Roman"/>
          <w:lang w:val="es-AR" w:bidi="es-ES"/>
        </w:rPr>
        <w:t xml:space="preserve">haya aceptado adquirir de la Sociedad </w:t>
      </w:r>
      <w:r w:rsidR="00114551" w:rsidRPr="00523952">
        <w:rPr>
          <w:rFonts w:ascii="Times New Roman" w:hAnsi="Times New Roman" w:cs="Times New Roman"/>
          <w:lang w:val="es-AR" w:bidi="es-ES"/>
        </w:rPr>
        <w:t>l</w:t>
      </w:r>
      <w:r w:rsidR="005A50EA">
        <w:rPr>
          <w:rFonts w:ascii="Times New Roman" w:hAnsi="Times New Roman" w:cs="Times New Roman"/>
          <w:lang w:val="es-AR" w:bidi="es-ES"/>
        </w:rPr>
        <w:t>a Participación en Catalinas</w:t>
      </w:r>
      <w:r w:rsidR="0013656A" w:rsidRPr="00F93ED5">
        <w:rPr>
          <w:rFonts w:ascii="Times New Roman" w:hAnsi="Times New Roman"/>
          <w:lang w:val="es-MX"/>
        </w:rPr>
        <w:t xml:space="preserve"> </w:t>
      </w:r>
      <w:r w:rsidR="00227445" w:rsidRPr="00092991">
        <w:rPr>
          <w:rFonts w:ascii="Times New Roman" w:hAnsi="Times New Roman" w:cs="Times New Roman"/>
          <w:lang w:bidi="es-ES"/>
        </w:rPr>
        <w:t xml:space="preserve">y como consecuencia de </w:t>
      </w:r>
      <w:r w:rsidR="00131ACF" w:rsidRPr="00092991">
        <w:rPr>
          <w:rFonts w:ascii="Times New Roman" w:hAnsi="Times New Roman" w:cs="Times New Roman"/>
          <w:lang w:bidi="es-ES"/>
        </w:rPr>
        <w:t>dicho</w:t>
      </w:r>
      <w:r w:rsidR="00227445" w:rsidRPr="00092991">
        <w:rPr>
          <w:rFonts w:ascii="Times New Roman" w:hAnsi="Times New Roman" w:cs="Times New Roman"/>
          <w:lang w:bidi="es-ES"/>
        </w:rPr>
        <w:t xml:space="preserve"> acuerdo </w:t>
      </w:r>
      <w:r w:rsidR="00227445" w:rsidRPr="00092991">
        <w:rPr>
          <w:rFonts w:ascii="Times New Roman" w:hAnsi="Times New Roman" w:cs="Times New Roman"/>
          <w:lang w:val="es-MX" w:bidi="es-ES"/>
        </w:rPr>
        <w:t>se den conjuntamente las siguientes condiciones</w:t>
      </w:r>
      <w:r w:rsidR="00227445" w:rsidRPr="00092991">
        <w:rPr>
          <w:rFonts w:ascii="Times New Roman" w:hAnsi="Times New Roman" w:cs="Times New Roman"/>
          <w:lang w:bidi="es-ES"/>
        </w:rPr>
        <w:t>:</w:t>
      </w:r>
      <w:r w:rsidR="00227445" w:rsidRPr="00092991">
        <w:rPr>
          <w:rFonts w:ascii="Times New Roman" w:hAnsi="Times New Roman" w:cs="Times New Roman"/>
          <w:b/>
          <w:lang w:bidi="es-ES"/>
        </w:rPr>
        <w:t xml:space="preserve"> </w:t>
      </w:r>
    </w:p>
    <w:p w14:paraId="2A0E3835" w14:textId="77777777" w:rsidR="00131ACF" w:rsidRPr="0032028C" w:rsidRDefault="00131ACF" w:rsidP="00C13AAC">
      <w:pPr>
        <w:pStyle w:val="Prrafodelista"/>
        <w:spacing w:after="0" w:line="240" w:lineRule="auto"/>
        <w:ind w:leftChars="385" w:left="847" w:firstLineChars="0" w:firstLine="0"/>
        <w:jc w:val="both"/>
        <w:rPr>
          <w:rFonts w:ascii="Times New Roman" w:hAnsi="Times New Roman" w:cs="Times New Roman"/>
          <w:lang w:bidi="es-ES"/>
        </w:rPr>
      </w:pPr>
    </w:p>
    <w:p w14:paraId="7E8F1B86" w14:textId="29E85989" w:rsidR="00131ACF" w:rsidRPr="00214269" w:rsidRDefault="00D70C80" w:rsidP="00C13AAC">
      <w:pPr>
        <w:pStyle w:val="Prrafodelista"/>
        <w:spacing w:after="0" w:line="240" w:lineRule="auto"/>
        <w:ind w:leftChars="0" w:left="1440" w:firstLineChars="0" w:firstLine="0"/>
        <w:jc w:val="both"/>
        <w:rPr>
          <w:rFonts w:ascii="Times New Roman" w:hAnsi="Times New Roman" w:cs="Times New Roman"/>
          <w:lang w:val="es-AR" w:bidi="es-ES"/>
        </w:rPr>
      </w:pPr>
      <w:r w:rsidRPr="0032028C">
        <w:rPr>
          <w:rFonts w:ascii="Times New Roman" w:hAnsi="Times New Roman" w:cs="Times New Roman"/>
          <w:b/>
          <w:lang w:bidi="es-ES"/>
        </w:rPr>
        <w:t>(</w:t>
      </w:r>
      <w:r w:rsidR="00BD3F7E" w:rsidRPr="0032028C">
        <w:rPr>
          <w:rFonts w:ascii="Times New Roman" w:hAnsi="Times New Roman" w:cs="Times New Roman"/>
          <w:b/>
          <w:lang w:bidi="es-ES"/>
        </w:rPr>
        <w:t>A</w:t>
      </w:r>
      <w:r w:rsidRPr="0032028C">
        <w:rPr>
          <w:rFonts w:ascii="Times New Roman" w:hAnsi="Times New Roman" w:cs="Times New Roman"/>
          <w:b/>
          <w:lang w:bidi="es-ES"/>
        </w:rPr>
        <w:t>)</w:t>
      </w:r>
      <w:r w:rsidRPr="0032028C">
        <w:rPr>
          <w:rFonts w:ascii="Times New Roman" w:hAnsi="Times New Roman" w:cs="Times New Roman"/>
          <w:lang w:bidi="es-ES"/>
        </w:rPr>
        <w:t xml:space="preserve"> al menos el 80</w:t>
      </w:r>
      <w:r w:rsidR="006A7198">
        <w:rPr>
          <w:rFonts w:ascii="Times New Roman" w:hAnsi="Times New Roman" w:cs="Times New Roman"/>
          <w:lang w:bidi="es-ES"/>
        </w:rPr>
        <w:t>,00</w:t>
      </w:r>
      <w:r w:rsidRPr="0032028C">
        <w:rPr>
          <w:rFonts w:ascii="Times New Roman" w:hAnsi="Times New Roman" w:cs="Times New Roman"/>
          <w:lang w:bidi="es-ES"/>
        </w:rPr>
        <w:t xml:space="preserve">% de </w:t>
      </w:r>
      <w:r w:rsidRPr="0032028C">
        <w:rPr>
          <w:rFonts w:ascii="Times New Roman" w:hAnsi="Times New Roman" w:cs="Times New Roman"/>
          <w:lang w:val="es-AR" w:bidi="es-ES"/>
        </w:rPr>
        <w:t xml:space="preserve">las obligaciones financieras </w:t>
      </w:r>
      <w:r w:rsidR="002939BE" w:rsidRPr="0032028C">
        <w:rPr>
          <w:rFonts w:ascii="Times New Roman" w:hAnsi="Times New Roman" w:cs="Times New Roman"/>
          <w:lang w:val="es-AR" w:bidi="es-ES"/>
        </w:rPr>
        <w:t>en concepto de capital e intereses devengados</w:t>
      </w:r>
      <w:r w:rsidR="002939BE" w:rsidRPr="00214269">
        <w:rPr>
          <w:rFonts w:ascii="Times New Roman" w:hAnsi="Times New Roman" w:cs="Times New Roman"/>
          <w:lang w:val="es-AR" w:bidi="es-ES"/>
        </w:rPr>
        <w:t xml:space="preserve"> </w:t>
      </w:r>
      <w:r w:rsidRPr="00214269">
        <w:rPr>
          <w:rFonts w:ascii="Times New Roman" w:hAnsi="Times New Roman" w:cs="Times New Roman"/>
          <w:lang w:val="es-AR" w:bidi="es-ES"/>
        </w:rPr>
        <w:t xml:space="preserve">de la Sociedad con: (i) Banco </w:t>
      </w:r>
      <w:proofErr w:type="spellStart"/>
      <w:r w:rsidRPr="00214269">
        <w:rPr>
          <w:rFonts w:ascii="Times New Roman" w:hAnsi="Times New Roman" w:cs="Times New Roman"/>
          <w:lang w:val="es-AR" w:bidi="es-ES"/>
        </w:rPr>
        <w:t>Itaú</w:t>
      </w:r>
      <w:proofErr w:type="spellEnd"/>
      <w:r w:rsidRPr="00214269">
        <w:rPr>
          <w:rFonts w:ascii="Times New Roman" w:hAnsi="Times New Roman" w:cs="Times New Roman"/>
          <w:lang w:val="es-AR" w:bidi="es-ES"/>
        </w:rPr>
        <w:t xml:space="preserve"> bajo el contrato de línea </w:t>
      </w:r>
      <w:r w:rsidRPr="00214269">
        <w:rPr>
          <w:rFonts w:ascii="Times New Roman" w:hAnsi="Times New Roman" w:cs="Times New Roman"/>
          <w:lang w:val="es-AR" w:bidi="es-ES"/>
        </w:rPr>
        <w:lastRenderedPageBreak/>
        <w:t xml:space="preserve">de crédito de fecha 10 de diciembre de 2019 (conforme fueran refinanciadas mediante la enmienda del 30 de marzo de 2021), y (ii) </w:t>
      </w:r>
      <w:proofErr w:type="spellStart"/>
      <w:r w:rsidRPr="00214269">
        <w:rPr>
          <w:rFonts w:ascii="Times New Roman" w:hAnsi="Times New Roman" w:cs="Times New Roman"/>
          <w:lang w:bidi="es-ES"/>
        </w:rPr>
        <w:t>Argentum</w:t>
      </w:r>
      <w:proofErr w:type="spellEnd"/>
      <w:r w:rsidRPr="00214269">
        <w:rPr>
          <w:rFonts w:ascii="Times New Roman" w:hAnsi="Times New Roman" w:cs="Times New Roman"/>
          <w:lang w:bidi="es-ES"/>
        </w:rPr>
        <w:t xml:space="preserve"> </w:t>
      </w:r>
      <w:proofErr w:type="spellStart"/>
      <w:r w:rsidRPr="00214269">
        <w:rPr>
          <w:rFonts w:ascii="Times New Roman" w:hAnsi="Times New Roman" w:cs="Times New Roman"/>
          <w:lang w:bidi="es-ES"/>
        </w:rPr>
        <w:t>Investments</w:t>
      </w:r>
      <w:proofErr w:type="spellEnd"/>
      <w:r w:rsidRPr="00214269">
        <w:rPr>
          <w:rFonts w:ascii="Times New Roman" w:hAnsi="Times New Roman" w:cs="Times New Roman"/>
          <w:lang w:bidi="es-ES"/>
        </w:rPr>
        <w:t xml:space="preserve"> V LLC bajo la obligación negociable privada suscripta </w:t>
      </w:r>
      <w:r w:rsidRPr="00214269">
        <w:rPr>
          <w:rFonts w:ascii="Times New Roman" w:hAnsi="Times New Roman" w:cs="Times New Roman"/>
          <w:lang w:val="es-AR" w:bidi="es-ES"/>
        </w:rPr>
        <w:t>por un monto de US$6.000.000</w:t>
      </w:r>
      <w:r w:rsidR="00227445" w:rsidRPr="00214269">
        <w:rPr>
          <w:rFonts w:ascii="Times New Roman" w:hAnsi="Times New Roman" w:cs="Times New Roman"/>
          <w:lang w:val="es-AR" w:bidi="es-ES"/>
        </w:rPr>
        <w:t>;</w:t>
      </w:r>
      <w:r w:rsidR="0013656A" w:rsidRPr="00214269">
        <w:rPr>
          <w:rFonts w:ascii="Times New Roman" w:hAnsi="Times New Roman" w:cs="Times New Roman"/>
          <w:lang w:val="es-AR" w:bidi="es-ES"/>
        </w:rPr>
        <w:t xml:space="preserve"> </w:t>
      </w:r>
      <w:r w:rsidRPr="00214269">
        <w:rPr>
          <w:rFonts w:ascii="Times New Roman" w:hAnsi="Times New Roman" w:cs="Times New Roman"/>
          <w:lang w:val="es-AR" w:bidi="es-ES"/>
        </w:rPr>
        <w:t>fueran canceladas;</w:t>
      </w:r>
    </w:p>
    <w:p w14:paraId="06400BD7" w14:textId="77777777" w:rsidR="00131ACF" w:rsidRPr="0062702E" w:rsidRDefault="00131ACF" w:rsidP="00C13AAC">
      <w:pPr>
        <w:pStyle w:val="Prrafodelista"/>
        <w:spacing w:after="0" w:line="240" w:lineRule="auto"/>
        <w:ind w:leftChars="0" w:left="1440" w:firstLineChars="0" w:firstLine="0"/>
        <w:jc w:val="both"/>
        <w:rPr>
          <w:rFonts w:ascii="Times New Roman" w:hAnsi="Times New Roman" w:cs="Times New Roman"/>
          <w:lang w:val="es-AR" w:bidi="es-ES"/>
        </w:rPr>
      </w:pPr>
    </w:p>
    <w:p w14:paraId="0A200EEB" w14:textId="7F3DA437" w:rsidR="00131ACF" w:rsidRPr="0062702E" w:rsidRDefault="00D70C80" w:rsidP="00C13AAC">
      <w:pPr>
        <w:pStyle w:val="Prrafodelista"/>
        <w:spacing w:after="0" w:line="240" w:lineRule="auto"/>
        <w:ind w:leftChars="0" w:left="1440" w:firstLineChars="0" w:firstLine="0"/>
        <w:jc w:val="both"/>
        <w:rPr>
          <w:rFonts w:ascii="Times New Roman" w:hAnsi="Times New Roman" w:cs="Times New Roman"/>
          <w:lang w:val="es-AR" w:bidi="es-ES"/>
        </w:rPr>
      </w:pPr>
      <w:r w:rsidRPr="0062702E">
        <w:rPr>
          <w:rFonts w:ascii="Times New Roman" w:hAnsi="Times New Roman" w:cs="Times New Roman"/>
          <w:b/>
          <w:lang w:val="es-AR" w:bidi="es-ES"/>
        </w:rPr>
        <w:t>(</w:t>
      </w:r>
      <w:r w:rsidR="00BD3F7E" w:rsidRPr="0062702E">
        <w:rPr>
          <w:rFonts w:ascii="Times New Roman" w:hAnsi="Times New Roman" w:cs="Times New Roman"/>
          <w:b/>
          <w:lang w:val="es-AR" w:bidi="es-ES"/>
        </w:rPr>
        <w:t>B</w:t>
      </w:r>
      <w:r w:rsidRPr="0062702E">
        <w:rPr>
          <w:rFonts w:ascii="Times New Roman" w:hAnsi="Times New Roman" w:cs="Times New Roman"/>
          <w:b/>
          <w:lang w:val="es-AR" w:bidi="es-ES"/>
        </w:rPr>
        <w:t>)</w:t>
      </w:r>
      <w:r w:rsidRPr="0062702E">
        <w:rPr>
          <w:rFonts w:ascii="Times New Roman" w:hAnsi="Times New Roman" w:cs="Times New Roman"/>
          <w:lang w:val="es-AR" w:bidi="es-ES"/>
        </w:rPr>
        <w:t xml:space="preserve"> se liberen todas las garantías</w:t>
      </w:r>
      <w:r w:rsidR="002939BE" w:rsidRPr="0062702E">
        <w:rPr>
          <w:rFonts w:ascii="Times New Roman" w:hAnsi="Times New Roman" w:cs="Times New Roman"/>
          <w:lang w:val="es-AR" w:bidi="es-ES"/>
        </w:rPr>
        <w:t xml:space="preserve"> reales</w:t>
      </w:r>
      <w:r w:rsidRPr="0062702E">
        <w:rPr>
          <w:rFonts w:ascii="Times New Roman" w:hAnsi="Times New Roman" w:cs="Times New Roman"/>
          <w:lang w:val="es-AR" w:bidi="es-ES"/>
        </w:rPr>
        <w:t xml:space="preserve"> otorgadas bajo las obligaciones financieras de la Sociedad con Banco </w:t>
      </w:r>
      <w:proofErr w:type="spellStart"/>
      <w:r w:rsidRPr="0062702E">
        <w:rPr>
          <w:rFonts w:ascii="Times New Roman" w:hAnsi="Times New Roman" w:cs="Times New Roman"/>
          <w:lang w:val="es-AR" w:bidi="es-ES"/>
        </w:rPr>
        <w:t>Itaú</w:t>
      </w:r>
      <w:proofErr w:type="spellEnd"/>
      <w:r w:rsidR="00A53F48" w:rsidRPr="0062702E">
        <w:rPr>
          <w:rFonts w:ascii="Times New Roman" w:hAnsi="Times New Roman" w:cs="Times New Roman"/>
          <w:lang w:val="es-AR" w:bidi="es-ES"/>
        </w:rPr>
        <w:t xml:space="preserve">, salvo aquellas garantías </w:t>
      </w:r>
      <w:r w:rsidR="006955FC" w:rsidRPr="0062702E">
        <w:rPr>
          <w:rFonts w:ascii="Times New Roman" w:hAnsi="Times New Roman" w:cs="Times New Roman"/>
          <w:lang w:val="es-AR" w:bidi="es-ES"/>
        </w:rPr>
        <w:t xml:space="preserve">que </w:t>
      </w:r>
      <w:r w:rsidR="004D20A7">
        <w:rPr>
          <w:rFonts w:ascii="Times New Roman" w:hAnsi="Times New Roman" w:cs="Times New Roman"/>
          <w:lang w:val="es-AR" w:bidi="es-ES"/>
        </w:rPr>
        <w:t>garanticen</w:t>
      </w:r>
      <w:r w:rsidR="006955FC" w:rsidRPr="0062702E">
        <w:rPr>
          <w:rFonts w:ascii="Times New Roman" w:hAnsi="Times New Roman" w:cs="Times New Roman"/>
          <w:lang w:val="es-AR" w:bidi="es-ES"/>
        </w:rPr>
        <w:t xml:space="preserve"> </w:t>
      </w:r>
      <w:r w:rsidR="00106090" w:rsidRPr="0062702E">
        <w:rPr>
          <w:rFonts w:ascii="Times New Roman" w:hAnsi="Times New Roman" w:cs="Times New Roman"/>
          <w:lang w:val="es-AR" w:bidi="es-ES"/>
        </w:rPr>
        <w:t xml:space="preserve">sobre el saldo remanente de las obligaciones financieras de la Sociedad con Banco </w:t>
      </w:r>
      <w:proofErr w:type="spellStart"/>
      <w:r w:rsidR="00106090" w:rsidRPr="0062702E">
        <w:rPr>
          <w:rFonts w:ascii="Times New Roman" w:hAnsi="Times New Roman" w:cs="Times New Roman"/>
          <w:lang w:val="es-AR" w:bidi="es-ES"/>
        </w:rPr>
        <w:t>Itaú</w:t>
      </w:r>
      <w:proofErr w:type="spellEnd"/>
      <w:r w:rsidR="00106090" w:rsidRPr="0062702E">
        <w:rPr>
          <w:rFonts w:ascii="Times New Roman" w:hAnsi="Times New Roman" w:cs="Times New Roman"/>
          <w:lang w:val="es-AR" w:bidi="es-ES"/>
        </w:rPr>
        <w:t xml:space="preserve"> y </w:t>
      </w:r>
      <w:r w:rsidR="00A53F48" w:rsidRPr="0062702E">
        <w:rPr>
          <w:rFonts w:ascii="Times New Roman" w:hAnsi="Times New Roman" w:cs="Times New Roman"/>
          <w:lang w:val="es-AR" w:bidi="es-ES"/>
        </w:rPr>
        <w:t>que</w:t>
      </w:r>
      <w:r w:rsidR="006E59B1">
        <w:rPr>
          <w:rFonts w:ascii="Times New Roman" w:hAnsi="Times New Roman" w:cs="Times New Roman"/>
          <w:lang w:val="es-AR" w:bidi="es-ES"/>
        </w:rPr>
        <w:t xml:space="preserve"> le </w:t>
      </w:r>
      <w:r w:rsidR="00A53F48" w:rsidRPr="0062702E">
        <w:rPr>
          <w:rFonts w:ascii="Times New Roman" w:hAnsi="Times New Roman" w:cs="Times New Roman"/>
          <w:lang w:val="es-AR" w:bidi="es-ES"/>
        </w:rPr>
        <w:t>otorguen un</w:t>
      </w:r>
      <w:r w:rsidR="006E59B1">
        <w:rPr>
          <w:rFonts w:ascii="Times New Roman" w:hAnsi="Times New Roman" w:cs="Times New Roman"/>
          <w:lang w:val="es-AR" w:bidi="es-ES"/>
        </w:rPr>
        <w:t xml:space="preserve"> ratio de</w:t>
      </w:r>
      <w:r w:rsidR="00A53F48" w:rsidRPr="0062702E">
        <w:rPr>
          <w:rFonts w:ascii="Times New Roman" w:hAnsi="Times New Roman" w:cs="Times New Roman"/>
          <w:lang w:val="es-AR" w:bidi="es-ES"/>
        </w:rPr>
        <w:t xml:space="preserve"> cobertura </w:t>
      </w:r>
      <w:r w:rsidR="00527ACA">
        <w:rPr>
          <w:rFonts w:ascii="Times New Roman" w:hAnsi="Times New Roman" w:cs="Times New Roman"/>
          <w:lang w:val="es-AR" w:bidi="es-ES"/>
        </w:rPr>
        <w:t xml:space="preserve">menor o </w:t>
      </w:r>
      <w:r w:rsidR="006E59B1">
        <w:rPr>
          <w:rFonts w:ascii="Times New Roman" w:hAnsi="Times New Roman" w:cs="Times New Roman"/>
          <w:lang w:val="es-AR" w:bidi="es-ES"/>
        </w:rPr>
        <w:t>igual a 1.00x</w:t>
      </w:r>
      <w:r w:rsidR="00A53F48" w:rsidRPr="0062702E">
        <w:rPr>
          <w:rFonts w:ascii="Times New Roman" w:hAnsi="Times New Roman" w:cs="Times New Roman"/>
          <w:lang w:val="es-AR" w:bidi="es-ES"/>
        </w:rPr>
        <w:t xml:space="preserve"> sobre </w:t>
      </w:r>
      <w:r w:rsidR="00D64CD3">
        <w:rPr>
          <w:rFonts w:ascii="Times New Roman" w:hAnsi="Times New Roman" w:cs="Times New Roman"/>
          <w:lang w:val="es-AR" w:bidi="es-ES"/>
        </w:rPr>
        <w:t>el</w:t>
      </w:r>
      <w:r w:rsidR="00247246">
        <w:rPr>
          <w:rFonts w:ascii="Times New Roman" w:hAnsi="Times New Roman" w:cs="Times New Roman"/>
          <w:lang w:val="es-AR" w:bidi="es-ES"/>
        </w:rPr>
        <w:t xml:space="preserve"> </w:t>
      </w:r>
      <w:r w:rsidR="00A53F48" w:rsidRPr="0062702E">
        <w:rPr>
          <w:rFonts w:ascii="Times New Roman" w:hAnsi="Times New Roman" w:cs="Times New Roman"/>
          <w:lang w:val="es-AR" w:bidi="es-ES"/>
        </w:rPr>
        <w:t xml:space="preserve">monto de capital </w:t>
      </w:r>
      <w:r w:rsidR="006E59B1">
        <w:rPr>
          <w:rFonts w:ascii="Times New Roman" w:hAnsi="Times New Roman" w:cs="Times New Roman"/>
          <w:lang w:val="es-AR" w:bidi="es-ES"/>
        </w:rPr>
        <w:t>remanente</w:t>
      </w:r>
      <w:r w:rsidR="003B3425">
        <w:rPr>
          <w:rFonts w:ascii="Times New Roman" w:hAnsi="Times New Roman" w:cs="Times New Roman"/>
          <w:lang w:val="es-AR" w:bidi="es-ES"/>
        </w:rPr>
        <w:t xml:space="preserve"> pendiente de pago a Banco </w:t>
      </w:r>
      <w:proofErr w:type="spellStart"/>
      <w:r w:rsidR="003B3425">
        <w:rPr>
          <w:rFonts w:ascii="Times New Roman" w:hAnsi="Times New Roman" w:cs="Times New Roman"/>
          <w:lang w:val="es-AR" w:bidi="es-ES"/>
        </w:rPr>
        <w:t>Itaú</w:t>
      </w:r>
      <w:proofErr w:type="spellEnd"/>
      <w:r w:rsidRPr="0062702E">
        <w:rPr>
          <w:rFonts w:ascii="Times New Roman" w:hAnsi="Times New Roman" w:cs="Times New Roman"/>
          <w:lang w:val="es-AR" w:bidi="es-ES"/>
        </w:rPr>
        <w:t xml:space="preserve">; </w:t>
      </w:r>
    </w:p>
    <w:p w14:paraId="2739FD5C" w14:textId="77777777" w:rsidR="00131ACF" w:rsidRPr="0062702E" w:rsidRDefault="00131ACF" w:rsidP="00C13AAC">
      <w:pPr>
        <w:pStyle w:val="Prrafodelista"/>
        <w:spacing w:after="0" w:line="240" w:lineRule="auto"/>
        <w:ind w:leftChars="0" w:left="1440" w:firstLineChars="0" w:firstLine="0"/>
        <w:jc w:val="both"/>
        <w:rPr>
          <w:rFonts w:ascii="Times New Roman" w:hAnsi="Times New Roman" w:cs="Times New Roman"/>
          <w:b/>
          <w:lang w:val="es-AR" w:bidi="es-ES"/>
        </w:rPr>
      </w:pPr>
    </w:p>
    <w:p w14:paraId="459B2AE8" w14:textId="51BF9809" w:rsidR="00131ACF" w:rsidRPr="00EB3FA3" w:rsidRDefault="00D70C80" w:rsidP="00C13AAC">
      <w:pPr>
        <w:pStyle w:val="Prrafodelista"/>
        <w:spacing w:after="0" w:line="240" w:lineRule="auto"/>
        <w:ind w:leftChars="0" w:left="1440" w:firstLineChars="0" w:firstLine="0"/>
        <w:jc w:val="both"/>
        <w:rPr>
          <w:rFonts w:ascii="Times New Roman" w:hAnsi="Times New Roman" w:cs="Times New Roman"/>
          <w:lang w:val="es-AR" w:bidi="es-ES"/>
        </w:rPr>
      </w:pPr>
      <w:r w:rsidRPr="00310976">
        <w:rPr>
          <w:rFonts w:ascii="Times New Roman" w:hAnsi="Times New Roman" w:cs="Times New Roman"/>
          <w:b/>
          <w:lang w:val="es-AR" w:bidi="es-ES"/>
        </w:rPr>
        <w:t>(</w:t>
      </w:r>
      <w:r w:rsidR="00BD3F7E" w:rsidRPr="00310976">
        <w:rPr>
          <w:rFonts w:ascii="Times New Roman" w:hAnsi="Times New Roman" w:cs="Times New Roman"/>
          <w:b/>
          <w:lang w:val="es-AR" w:bidi="es-ES"/>
        </w:rPr>
        <w:t>C</w:t>
      </w:r>
      <w:r w:rsidRPr="007A7475">
        <w:rPr>
          <w:rFonts w:ascii="Times New Roman" w:hAnsi="Times New Roman" w:cs="Times New Roman"/>
          <w:b/>
          <w:lang w:val="es-AR" w:bidi="es-ES"/>
        </w:rPr>
        <w:t>)</w:t>
      </w:r>
      <w:r w:rsidR="00F460A5" w:rsidRPr="00740007">
        <w:rPr>
          <w:rFonts w:ascii="Times New Roman" w:hAnsi="Times New Roman" w:cs="Times New Roman"/>
          <w:lang w:val="es-AR" w:bidi="es-ES"/>
        </w:rPr>
        <w:t xml:space="preserve"> en caso </w:t>
      </w:r>
      <w:r w:rsidR="00511850">
        <w:rPr>
          <w:rFonts w:ascii="Times New Roman" w:hAnsi="Times New Roman" w:cs="Times New Roman"/>
          <w:lang w:val="es-AR" w:bidi="es-ES"/>
        </w:rPr>
        <w:t xml:space="preserve">de </w:t>
      </w:r>
      <w:r w:rsidR="00F460A5" w:rsidRPr="00740007">
        <w:rPr>
          <w:rFonts w:ascii="Times New Roman" w:hAnsi="Times New Roman" w:cs="Times New Roman"/>
          <w:lang w:val="es-AR" w:bidi="es-ES"/>
        </w:rPr>
        <w:t xml:space="preserve">que el adquirente de la Participación en Catalinas </w:t>
      </w:r>
      <w:r w:rsidRPr="00740007">
        <w:rPr>
          <w:rFonts w:ascii="Times New Roman" w:hAnsi="Times New Roman" w:cs="Times New Roman"/>
          <w:lang w:val="es-AR" w:bidi="es-ES"/>
        </w:rPr>
        <w:t xml:space="preserve">sea un tercero, Banco </w:t>
      </w:r>
      <w:proofErr w:type="spellStart"/>
      <w:r w:rsidRPr="00740007">
        <w:rPr>
          <w:rFonts w:ascii="Times New Roman" w:hAnsi="Times New Roman" w:cs="Times New Roman"/>
          <w:lang w:val="es-AR" w:bidi="es-ES"/>
        </w:rPr>
        <w:t>Itaú</w:t>
      </w:r>
      <w:proofErr w:type="spellEnd"/>
      <w:r w:rsidRPr="00740007">
        <w:rPr>
          <w:rFonts w:ascii="Times New Roman" w:hAnsi="Times New Roman" w:cs="Times New Roman"/>
          <w:lang w:val="es-AR" w:bidi="es-ES"/>
        </w:rPr>
        <w:t xml:space="preserve"> financie al menos el 50</w:t>
      </w:r>
      <w:r w:rsidR="006A7198">
        <w:rPr>
          <w:rFonts w:ascii="Times New Roman" w:hAnsi="Times New Roman" w:cs="Times New Roman"/>
          <w:lang w:val="es-AR" w:bidi="es-ES"/>
        </w:rPr>
        <w:t>,00</w:t>
      </w:r>
      <w:r w:rsidRPr="00740007">
        <w:rPr>
          <w:rFonts w:ascii="Times New Roman" w:hAnsi="Times New Roman" w:cs="Times New Roman"/>
          <w:lang w:val="es-AR" w:bidi="es-ES"/>
        </w:rPr>
        <w:t>% del total de</w:t>
      </w:r>
      <w:r w:rsidR="002939BE" w:rsidRPr="00740007">
        <w:rPr>
          <w:rFonts w:ascii="Times New Roman" w:hAnsi="Times New Roman" w:cs="Times New Roman"/>
          <w:lang w:val="es-AR" w:bidi="es-ES"/>
        </w:rPr>
        <w:t>l precio de</w:t>
      </w:r>
      <w:r w:rsidRPr="00740007">
        <w:rPr>
          <w:rFonts w:ascii="Times New Roman" w:hAnsi="Times New Roman" w:cs="Times New Roman"/>
          <w:lang w:val="es-AR" w:bidi="es-ES"/>
        </w:rPr>
        <w:t xml:space="preserve"> compra de</w:t>
      </w:r>
      <w:r w:rsidR="00F460A5" w:rsidRPr="00740007">
        <w:rPr>
          <w:rFonts w:ascii="Times New Roman" w:hAnsi="Times New Roman" w:cs="Times New Roman"/>
          <w:lang w:val="es-AR" w:bidi="es-ES"/>
        </w:rPr>
        <w:t xml:space="preserve"> la Participación en Catalinas</w:t>
      </w:r>
      <w:r w:rsidRPr="00F66991">
        <w:rPr>
          <w:rFonts w:ascii="Times New Roman" w:hAnsi="Times New Roman" w:cs="Times New Roman"/>
          <w:lang w:val="es-AR" w:bidi="es-ES"/>
        </w:rPr>
        <w:t xml:space="preserve">; </w:t>
      </w:r>
    </w:p>
    <w:p w14:paraId="18CA29E0" w14:textId="77777777" w:rsidR="00131ACF" w:rsidRPr="0055089D" w:rsidRDefault="00131ACF" w:rsidP="00C13AAC">
      <w:pPr>
        <w:pStyle w:val="Prrafodelista"/>
        <w:spacing w:after="0" w:line="240" w:lineRule="auto"/>
        <w:ind w:leftChars="0" w:left="1440" w:firstLineChars="0" w:firstLine="0"/>
        <w:jc w:val="both"/>
        <w:rPr>
          <w:rFonts w:ascii="Times New Roman" w:hAnsi="Times New Roman" w:cs="Times New Roman"/>
          <w:b/>
          <w:lang w:val="es-AR" w:bidi="es-ES"/>
        </w:rPr>
      </w:pPr>
    </w:p>
    <w:p w14:paraId="1EB52F3F" w14:textId="7AD1DB9F" w:rsidR="00131ACF" w:rsidRPr="008433DA" w:rsidRDefault="00D70C80" w:rsidP="00C13AAC">
      <w:pPr>
        <w:pStyle w:val="Prrafodelista"/>
        <w:spacing w:after="0" w:line="240" w:lineRule="auto"/>
        <w:ind w:leftChars="0" w:left="1440" w:firstLineChars="0" w:firstLine="0"/>
        <w:jc w:val="both"/>
        <w:rPr>
          <w:rFonts w:ascii="Times New Roman" w:hAnsi="Times New Roman" w:cs="Times New Roman"/>
          <w:lang w:val="es-AR" w:bidi="es-ES"/>
        </w:rPr>
      </w:pPr>
      <w:r w:rsidRPr="00626DBF">
        <w:rPr>
          <w:rFonts w:ascii="Times New Roman" w:hAnsi="Times New Roman" w:cs="Times New Roman"/>
          <w:b/>
          <w:lang w:val="es-AR" w:bidi="es-ES"/>
        </w:rPr>
        <w:t>(</w:t>
      </w:r>
      <w:r w:rsidR="00BD3F7E" w:rsidRPr="00626DBF">
        <w:rPr>
          <w:rFonts w:ascii="Times New Roman" w:hAnsi="Times New Roman" w:cs="Times New Roman"/>
          <w:b/>
          <w:lang w:val="es-AR" w:bidi="es-ES"/>
        </w:rPr>
        <w:t>D</w:t>
      </w:r>
      <w:r w:rsidRPr="00626DBF">
        <w:rPr>
          <w:rFonts w:ascii="Times New Roman" w:hAnsi="Times New Roman" w:cs="Times New Roman"/>
          <w:b/>
          <w:lang w:val="es-AR" w:bidi="es-ES"/>
        </w:rPr>
        <w:t>)</w:t>
      </w:r>
      <w:r w:rsidRPr="00AC013A">
        <w:rPr>
          <w:rFonts w:ascii="Times New Roman" w:hAnsi="Times New Roman" w:cs="Times New Roman"/>
          <w:lang w:val="es-AR" w:bidi="es-ES"/>
        </w:rPr>
        <w:t xml:space="preserve"> que </w:t>
      </w:r>
      <w:r w:rsidR="009763C9" w:rsidRPr="00C54836">
        <w:rPr>
          <w:rFonts w:ascii="Times New Roman" w:hAnsi="Times New Roman" w:cs="Times New Roman"/>
          <w:lang w:val="es-AR" w:bidi="es-ES"/>
        </w:rPr>
        <w:t xml:space="preserve">el Fideicomiso Catalinas </w:t>
      </w:r>
      <w:r w:rsidR="003F685D">
        <w:rPr>
          <w:rFonts w:ascii="Times New Roman" w:hAnsi="Times New Roman" w:cs="Times New Roman"/>
          <w:lang w:val="es-AR" w:bidi="es-ES"/>
        </w:rPr>
        <w:t>le haya otorgado a la Sociedad el desempeño en</w:t>
      </w:r>
      <w:r w:rsidR="007A47A8">
        <w:rPr>
          <w:rFonts w:ascii="Times New Roman" w:hAnsi="Times New Roman" w:cs="Times New Roman"/>
          <w:lang w:val="es-AR" w:bidi="es-ES"/>
        </w:rPr>
        <w:t xml:space="preserve"> </w:t>
      </w:r>
      <w:r w:rsidR="009763C9" w:rsidRPr="00C54836">
        <w:rPr>
          <w:rFonts w:ascii="Times New Roman" w:hAnsi="Times New Roman" w:cs="Times New Roman"/>
          <w:lang w:val="es-AR" w:bidi="es-ES"/>
        </w:rPr>
        <w:t>el rol de (i) desarrollador del proyecto a realizar por el Fideicomiso Catalinas; y (ii) con</w:t>
      </w:r>
      <w:r w:rsidR="009763C9" w:rsidRPr="00F43580">
        <w:rPr>
          <w:rFonts w:ascii="Times New Roman" w:hAnsi="Times New Roman" w:cs="Times New Roman"/>
          <w:lang w:val="es-AR" w:bidi="es-ES"/>
        </w:rPr>
        <w:t>tratista principal de las obras a ejecutar por el Fideicomiso Catalinas, rol que al menos deberá contemplar la ejecución por la Sociedad de las obras civiles y servicios básicos; así como el gerenciamiento, coordinación e integración de los contratos secundarios y restantes tareas necesarias para la ejecución de dichas obras</w:t>
      </w:r>
      <w:r w:rsidRPr="008433DA">
        <w:rPr>
          <w:rFonts w:ascii="Times New Roman" w:hAnsi="Times New Roman" w:cs="Times New Roman"/>
          <w:lang w:val="es-AR" w:bidi="es-ES"/>
        </w:rPr>
        <w:t xml:space="preserve">; y </w:t>
      </w:r>
    </w:p>
    <w:p w14:paraId="316C232B" w14:textId="77777777" w:rsidR="00131ACF" w:rsidRPr="003E13B9" w:rsidRDefault="00131ACF" w:rsidP="00C13AAC">
      <w:pPr>
        <w:pStyle w:val="Prrafodelista"/>
        <w:spacing w:after="0" w:line="240" w:lineRule="auto"/>
        <w:ind w:leftChars="0" w:left="1440" w:firstLineChars="0" w:firstLine="0"/>
        <w:jc w:val="both"/>
        <w:rPr>
          <w:rFonts w:ascii="Times New Roman" w:hAnsi="Times New Roman" w:cs="Times New Roman"/>
          <w:b/>
          <w:lang w:val="es-AR" w:bidi="es-ES"/>
        </w:rPr>
      </w:pPr>
    </w:p>
    <w:p w14:paraId="3939453E" w14:textId="673E143F" w:rsidR="00056B1C" w:rsidRPr="005B76C0" w:rsidRDefault="00D70C80" w:rsidP="00595499">
      <w:pPr>
        <w:pStyle w:val="Prrafodelista"/>
        <w:spacing w:after="0" w:line="240" w:lineRule="auto"/>
        <w:ind w:leftChars="0" w:left="1440" w:firstLineChars="0" w:firstLine="0"/>
        <w:jc w:val="both"/>
        <w:rPr>
          <w:rFonts w:ascii="Times New Roman" w:hAnsi="Times New Roman" w:cs="Times New Roman"/>
          <w:lang w:bidi="es-ES"/>
        </w:rPr>
      </w:pPr>
      <w:r w:rsidRPr="00262E03">
        <w:rPr>
          <w:rFonts w:ascii="Times New Roman" w:hAnsi="Times New Roman" w:cs="Times New Roman"/>
          <w:b/>
          <w:lang w:val="es-AR" w:bidi="es-ES"/>
        </w:rPr>
        <w:t>(</w:t>
      </w:r>
      <w:r w:rsidR="00BD3F7E" w:rsidRPr="00262E03">
        <w:rPr>
          <w:rFonts w:ascii="Times New Roman" w:hAnsi="Times New Roman" w:cs="Times New Roman"/>
          <w:b/>
          <w:lang w:val="es-AR" w:bidi="es-ES"/>
        </w:rPr>
        <w:t>E</w:t>
      </w:r>
      <w:r w:rsidRPr="00262E03">
        <w:rPr>
          <w:rFonts w:ascii="Times New Roman" w:hAnsi="Times New Roman" w:cs="Times New Roman"/>
          <w:b/>
          <w:lang w:val="es-AR" w:bidi="es-ES"/>
        </w:rPr>
        <w:t>)</w:t>
      </w:r>
      <w:r w:rsidR="008E78A0" w:rsidRPr="008C39F0">
        <w:rPr>
          <w:rFonts w:ascii="Times New Roman" w:hAnsi="Times New Roman" w:cs="Times New Roman"/>
          <w:lang w:val="es-MX" w:bidi="es-ES"/>
        </w:rPr>
        <w:t xml:space="preserve"> que</w:t>
      </w:r>
      <w:r w:rsidR="009D681F">
        <w:rPr>
          <w:rFonts w:ascii="Times New Roman" w:hAnsi="Times New Roman" w:cs="Times New Roman"/>
          <w:lang w:val="es-MX" w:bidi="es-ES"/>
        </w:rPr>
        <w:t>,</w:t>
      </w:r>
      <w:r w:rsidR="00FE1617">
        <w:rPr>
          <w:rFonts w:ascii="Times New Roman" w:hAnsi="Times New Roman" w:cs="Times New Roman"/>
          <w:lang w:val="es-MX" w:bidi="es-ES"/>
        </w:rPr>
        <w:t xml:space="preserve"> simultáneamente</w:t>
      </w:r>
      <w:r w:rsidR="008E78A0" w:rsidRPr="008C39F0">
        <w:rPr>
          <w:rFonts w:ascii="Times New Roman" w:hAnsi="Times New Roman" w:cs="Times New Roman"/>
          <w:lang w:val="es-MX" w:bidi="es-ES"/>
        </w:rPr>
        <w:t xml:space="preserve"> </w:t>
      </w:r>
      <w:r w:rsidR="00FE1617">
        <w:rPr>
          <w:rFonts w:ascii="Times New Roman" w:hAnsi="Times New Roman" w:cs="Times New Roman"/>
          <w:lang w:val="es-MX" w:bidi="es-ES"/>
        </w:rPr>
        <w:t xml:space="preserve">con </w:t>
      </w:r>
      <w:r w:rsidRPr="008C39F0">
        <w:rPr>
          <w:rFonts w:ascii="Times New Roman" w:hAnsi="Times New Roman" w:cs="Times New Roman"/>
          <w:lang w:val="es-MX" w:bidi="es-ES"/>
        </w:rPr>
        <w:t xml:space="preserve">la liberación de la Prenda, se constituya en favor de los Tenedores de las Obligaciones Negociables </w:t>
      </w:r>
      <w:r w:rsidR="00F52C8C" w:rsidRPr="008C39F0">
        <w:rPr>
          <w:rFonts w:ascii="Times New Roman" w:hAnsi="Times New Roman" w:cs="Times New Roman"/>
          <w:lang w:val="es-MX" w:bidi="es-ES"/>
        </w:rPr>
        <w:t>y por declaración unilateral de la Sociedad</w:t>
      </w:r>
      <w:r w:rsidR="00FA3C80">
        <w:rPr>
          <w:rFonts w:ascii="Times New Roman" w:hAnsi="Times New Roman" w:cs="Times New Roman"/>
          <w:lang w:val="es-MX" w:bidi="es-ES"/>
        </w:rPr>
        <w:t xml:space="preserve">, consentida expresamente por Banco </w:t>
      </w:r>
      <w:proofErr w:type="spellStart"/>
      <w:r w:rsidR="00FA3C80">
        <w:rPr>
          <w:rFonts w:ascii="Times New Roman" w:hAnsi="Times New Roman" w:cs="Times New Roman"/>
          <w:lang w:val="es-MX" w:bidi="es-ES"/>
        </w:rPr>
        <w:t>Itaú</w:t>
      </w:r>
      <w:proofErr w:type="spellEnd"/>
      <w:r w:rsidR="00FA3C80">
        <w:rPr>
          <w:rFonts w:ascii="Times New Roman" w:hAnsi="Times New Roman" w:cs="Times New Roman"/>
          <w:lang w:val="es-MX" w:bidi="es-ES"/>
        </w:rPr>
        <w:t xml:space="preserve"> y todo otro acreedor </w:t>
      </w:r>
      <w:r w:rsidR="009D681F">
        <w:rPr>
          <w:rFonts w:ascii="Times New Roman" w:hAnsi="Times New Roman" w:cs="Times New Roman"/>
          <w:lang w:val="es-MX" w:bidi="es-ES"/>
        </w:rPr>
        <w:t xml:space="preserve">si su crédito estuviera </w:t>
      </w:r>
      <w:r w:rsidR="00FA3C80">
        <w:rPr>
          <w:rFonts w:ascii="Times New Roman" w:hAnsi="Times New Roman" w:cs="Times New Roman"/>
          <w:lang w:val="es-MX" w:bidi="es-ES"/>
        </w:rPr>
        <w:t xml:space="preserve">garantizado por </w:t>
      </w:r>
      <w:r w:rsidR="009D681F">
        <w:rPr>
          <w:rFonts w:ascii="Times New Roman" w:hAnsi="Times New Roman" w:cs="Times New Roman"/>
          <w:lang w:val="es-MX" w:bidi="es-ES"/>
        </w:rPr>
        <w:t xml:space="preserve">una hipoteca u otro derecho real de garantía sobre </w:t>
      </w:r>
      <w:r w:rsidR="00FA3C80">
        <w:rPr>
          <w:rFonts w:ascii="Times New Roman" w:hAnsi="Times New Roman" w:cs="Times New Roman"/>
          <w:lang w:val="es-MX" w:bidi="es-ES"/>
        </w:rPr>
        <w:t xml:space="preserve">el Inmueble Hudson (conforme dicho término se define más adelante), </w:t>
      </w:r>
      <w:r w:rsidRPr="008C39F0">
        <w:rPr>
          <w:rFonts w:ascii="Times New Roman" w:hAnsi="Times New Roman" w:cs="Times New Roman"/>
          <w:lang w:val="es-MX" w:bidi="es-ES"/>
        </w:rPr>
        <w:t xml:space="preserve">una hipoteca en primer grado de privilegio sobre (i) el inmueble registrado como Circunscripción VI, Sección E, Fracción VI, Parcela 1 Partida 115.015; y (ii) el inmueble registrado como Circunscripción VI, Sección E, Fracción VI, Parcela 1G Partida 55.490; ambos sitos en la localidad de Hudson, Municipio de Berazategui, Provincia de Buenos Aires, de propiedad de La </w:t>
      </w:r>
      <w:proofErr w:type="spellStart"/>
      <w:r w:rsidRPr="008C39F0">
        <w:rPr>
          <w:rFonts w:ascii="Times New Roman" w:hAnsi="Times New Roman" w:cs="Times New Roman"/>
          <w:lang w:val="es-MX" w:bidi="es-ES"/>
        </w:rPr>
        <w:t>Maltería</w:t>
      </w:r>
      <w:proofErr w:type="spellEnd"/>
      <w:r w:rsidRPr="008C39F0">
        <w:rPr>
          <w:rFonts w:ascii="Times New Roman" w:hAnsi="Times New Roman" w:cs="Times New Roman"/>
          <w:lang w:val="es-MX" w:bidi="es-ES"/>
        </w:rPr>
        <w:t xml:space="preserve"> S.A. (el “</w:t>
      </w:r>
      <w:r w:rsidRPr="008C39F0">
        <w:rPr>
          <w:rFonts w:ascii="Times New Roman" w:hAnsi="Times New Roman" w:cs="Times New Roman"/>
          <w:u w:val="single"/>
          <w:lang w:val="es-MX" w:bidi="es-ES"/>
        </w:rPr>
        <w:t>Inmueble Hudson</w:t>
      </w:r>
      <w:r w:rsidR="006D5769" w:rsidRPr="008C39F0">
        <w:rPr>
          <w:rFonts w:ascii="Times New Roman" w:hAnsi="Times New Roman" w:cs="Times New Roman"/>
          <w:lang w:val="es-MX" w:bidi="es-ES"/>
        </w:rPr>
        <w:t>”)</w:t>
      </w:r>
      <w:r w:rsidR="00E97AEA" w:rsidRPr="00E97AEA">
        <w:rPr>
          <w:rFonts w:ascii="Times New Roman" w:eastAsia="Times New Roman" w:hAnsi="Times New Roman" w:cs="Times New Roman"/>
          <w:lang w:val="es-MX" w:bidi="es-ES"/>
        </w:rPr>
        <w:t xml:space="preserve"> </w:t>
      </w:r>
      <w:r w:rsidR="006D5769" w:rsidRPr="008C39F0">
        <w:rPr>
          <w:rFonts w:ascii="Times New Roman" w:hAnsi="Times New Roman" w:cs="Times New Roman"/>
          <w:lang w:val="es-MX" w:bidi="es-ES"/>
        </w:rPr>
        <w:t>(</w:t>
      </w:r>
      <w:r w:rsidR="00BD3F7E" w:rsidRPr="008C39F0">
        <w:rPr>
          <w:rFonts w:ascii="Times New Roman" w:hAnsi="Times New Roman" w:cs="Times New Roman"/>
          <w:lang w:val="es-MX" w:bidi="es-ES"/>
        </w:rPr>
        <w:t xml:space="preserve">el </w:t>
      </w:r>
      <w:r w:rsidR="006D5769" w:rsidRPr="008C39F0">
        <w:rPr>
          <w:rFonts w:ascii="Times New Roman" w:hAnsi="Times New Roman" w:cs="Times New Roman"/>
          <w:lang w:val="es-MX" w:bidi="es-ES"/>
        </w:rPr>
        <w:t>acuerdo</w:t>
      </w:r>
      <w:r w:rsidR="00BD3F7E" w:rsidRPr="00993D29">
        <w:rPr>
          <w:rFonts w:ascii="Times New Roman" w:hAnsi="Times New Roman" w:cs="Times New Roman"/>
          <w:lang w:val="es-MX" w:bidi="es-ES"/>
        </w:rPr>
        <w:t xml:space="preserve"> con Banco </w:t>
      </w:r>
      <w:proofErr w:type="spellStart"/>
      <w:r w:rsidR="00BD3F7E" w:rsidRPr="00993D29">
        <w:rPr>
          <w:rFonts w:ascii="Times New Roman" w:hAnsi="Times New Roman" w:cs="Times New Roman"/>
          <w:lang w:val="es-MX" w:bidi="es-ES"/>
        </w:rPr>
        <w:t>Itaú</w:t>
      </w:r>
      <w:proofErr w:type="spellEnd"/>
      <w:r w:rsidR="00BD3F7E" w:rsidRPr="00993D29">
        <w:rPr>
          <w:rFonts w:ascii="Times New Roman" w:hAnsi="Times New Roman" w:cs="Times New Roman"/>
          <w:lang w:val="es-MX" w:bidi="es-ES"/>
        </w:rPr>
        <w:t xml:space="preserve"> incluyendo todas las condiciones enumeradas en el presente</w:t>
      </w:r>
      <w:r w:rsidR="00131ACF" w:rsidRPr="00523952">
        <w:rPr>
          <w:rFonts w:ascii="Times New Roman" w:hAnsi="Times New Roman" w:cs="Times New Roman"/>
          <w:lang w:val="es-MX" w:bidi="es-ES"/>
        </w:rPr>
        <w:t xml:space="preserve"> apartado</w:t>
      </w:r>
      <w:r w:rsidR="006D5769" w:rsidRPr="00523952">
        <w:rPr>
          <w:rFonts w:ascii="Times New Roman" w:hAnsi="Times New Roman" w:cs="Times New Roman"/>
          <w:lang w:val="es-MX" w:bidi="es-ES"/>
        </w:rPr>
        <w:t>, el</w:t>
      </w:r>
      <w:r w:rsidRPr="00523952">
        <w:rPr>
          <w:rFonts w:ascii="Times New Roman" w:hAnsi="Times New Roman" w:cs="Times New Roman"/>
          <w:lang w:val="es-MX" w:bidi="es-ES"/>
        </w:rPr>
        <w:t xml:space="preserve"> “</w:t>
      </w:r>
      <w:r w:rsidR="0013656A" w:rsidRPr="00D3494C">
        <w:rPr>
          <w:rFonts w:ascii="Times New Roman" w:hAnsi="Times New Roman" w:cs="Times New Roman"/>
          <w:u w:val="single"/>
          <w:lang w:val="es-MX" w:bidi="es-ES"/>
        </w:rPr>
        <w:t xml:space="preserve">Acuerdo con </w:t>
      </w:r>
      <w:proofErr w:type="spellStart"/>
      <w:r w:rsidR="0013656A" w:rsidRPr="00D3494C">
        <w:rPr>
          <w:rFonts w:ascii="Times New Roman" w:hAnsi="Times New Roman" w:cs="Times New Roman"/>
          <w:u w:val="single"/>
          <w:lang w:val="es-MX" w:bidi="es-ES"/>
        </w:rPr>
        <w:t>Itaú</w:t>
      </w:r>
      <w:proofErr w:type="spellEnd"/>
      <w:r w:rsidR="0013656A" w:rsidRPr="00D3494C">
        <w:rPr>
          <w:rFonts w:ascii="Times New Roman" w:hAnsi="Times New Roman" w:cs="Times New Roman"/>
          <w:u w:val="single"/>
          <w:lang w:val="es-MX" w:bidi="es-ES"/>
        </w:rPr>
        <w:t xml:space="preserve"> sobre la Participación en Catalinas</w:t>
      </w:r>
      <w:r w:rsidRPr="00D3494C">
        <w:rPr>
          <w:rFonts w:ascii="Times New Roman" w:hAnsi="Times New Roman" w:cs="Times New Roman"/>
          <w:lang w:val="es-MX" w:bidi="es-ES"/>
        </w:rPr>
        <w:t>”)</w:t>
      </w:r>
      <w:r w:rsidR="00B24B6C" w:rsidRPr="00D3494C">
        <w:rPr>
          <w:rFonts w:ascii="Times New Roman" w:hAnsi="Times New Roman" w:cs="Times New Roman"/>
          <w:lang w:val="es-MX" w:bidi="es-ES"/>
        </w:rPr>
        <w:t>.</w:t>
      </w:r>
      <w:r w:rsidR="00C0249C" w:rsidRPr="00D3494C">
        <w:rPr>
          <w:rFonts w:ascii="Times New Roman" w:hAnsi="Times New Roman" w:cs="Times New Roman"/>
          <w:lang w:val="es-MX" w:bidi="es-ES"/>
        </w:rPr>
        <w:t xml:space="preserve"> </w:t>
      </w:r>
    </w:p>
    <w:p w14:paraId="1E40C100" w14:textId="77777777" w:rsidR="00446963" w:rsidRPr="005B76C0" w:rsidRDefault="00446963" w:rsidP="00C13AAC">
      <w:pPr>
        <w:spacing w:after="0" w:line="240" w:lineRule="auto"/>
        <w:ind w:leftChars="0" w:left="993" w:firstLineChars="0" w:firstLine="0"/>
        <w:jc w:val="both"/>
        <w:rPr>
          <w:rFonts w:ascii="Times New Roman" w:eastAsia="Times New Roman" w:hAnsi="Times New Roman" w:cs="Times New Roman"/>
          <w:lang w:val="es-MX" w:bidi="es-ES"/>
        </w:rPr>
      </w:pPr>
    </w:p>
    <w:p w14:paraId="7E03AEB6" w14:textId="479E1C25" w:rsidR="008A2A62" w:rsidRPr="00D60D4C" w:rsidRDefault="008A2A62" w:rsidP="00F93ED5">
      <w:pPr>
        <w:pStyle w:val="Prrafodelista"/>
        <w:numPr>
          <w:ilvl w:val="0"/>
          <w:numId w:val="18"/>
        </w:numPr>
        <w:spacing w:after="0" w:line="240" w:lineRule="auto"/>
        <w:ind w:leftChars="0" w:left="993" w:firstLineChars="0" w:hanging="567"/>
        <w:jc w:val="both"/>
        <w:rPr>
          <w:rFonts w:ascii="Times New Roman" w:eastAsia="Times New Roman" w:hAnsi="Times New Roman" w:cs="Times New Roman"/>
          <w:i/>
          <w:u w:val="single"/>
          <w:lang w:bidi="es-ES"/>
        </w:rPr>
      </w:pPr>
      <w:r w:rsidRPr="00D60D4C">
        <w:rPr>
          <w:rFonts w:ascii="Times New Roman" w:eastAsia="Times New Roman" w:hAnsi="Times New Roman" w:cs="Times New Roman"/>
          <w:i/>
          <w:u w:val="single"/>
          <w:lang w:bidi="es-ES"/>
        </w:rPr>
        <w:t>Derecho de la Sociedad de vender la Participación en Catalinas</w:t>
      </w:r>
    </w:p>
    <w:p w14:paraId="325FD9E1" w14:textId="77777777" w:rsidR="008A2A62" w:rsidRPr="005B76C0" w:rsidRDefault="008A2A62" w:rsidP="008A2A62">
      <w:pPr>
        <w:spacing w:after="0" w:line="240" w:lineRule="auto"/>
        <w:ind w:leftChars="0" w:left="993" w:firstLineChars="0" w:firstLine="0"/>
        <w:jc w:val="both"/>
        <w:rPr>
          <w:rFonts w:ascii="Times New Roman" w:eastAsia="Times New Roman" w:hAnsi="Times New Roman" w:cs="Times New Roman"/>
          <w:lang w:val="es-MX" w:bidi="es-ES"/>
        </w:rPr>
      </w:pPr>
    </w:p>
    <w:p w14:paraId="5776A592" w14:textId="5D60EB6D" w:rsidR="003F38A7" w:rsidRPr="003F110E" w:rsidRDefault="008A2A62" w:rsidP="003F110E">
      <w:pPr>
        <w:ind w:leftChars="450" w:left="992" w:hanging="2"/>
        <w:jc w:val="both"/>
        <w:rPr>
          <w:rFonts w:ascii="Times New Roman" w:hAnsi="Times New Roman" w:cs="Times New Roman"/>
          <w:lang w:val="es-MX" w:bidi="es-ES"/>
        </w:rPr>
      </w:pPr>
      <w:r w:rsidRPr="003F110E">
        <w:rPr>
          <w:rFonts w:ascii="Times New Roman" w:hAnsi="Times New Roman" w:cs="Times New Roman"/>
          <w:lang w:val="es-MX" w:bidi="es-ES"/>
        </w:rPr>
        <w:t>En caso de que la Sociedad obtenga el consentimiento de las Mayoría Necesaria</w:t>
      </w:r>
      <w:r w:rsidR="000C698A" w:rsidRPr="003F110E">
        <w:rPr>
          <w:rFonts w:ascii="Times New Roman" w:hAnsi="Times New Roman" w:cs="Times New Roman"/>
          <w:lang w:val="es-MX" w:bidi="es-ES"/>
        </w:rPr>
        <w:t xml:space="preserve"> (conforme dicho término se define más adelante</w:t>
      </w:r>
      <w:r w:rsidR="003F685D" w:rsidRPr="003F110E">
        <w:rPr>
          <w:rFonts w:ascii="Times New Roman" w:hAnsi="Times New Roman" w:cs="Times New Roman"/>
          <w:lang w:val="es-MX" w:bidi="es-ES"/>
        </w:rPr>
        <w:t xml:space="preserve"> </w:t>
      </w:r>
      <w:r w:rsidRPr="003F110E">
        <w:rPr>
          <w:rFonts w:ascii="Times New Roman" w:hAnsi="Times New Roman" w:cs="Times New Roman"/>
          <w:lang w:val="es-MX" w:bidi="es-ES"/>
        </w:rPr>
        <w:t xml:space="preserve">para la Modificación Propuesta, la Sociedad tendrá </w:t>
      </w:r>
      <w:r w:rsidR="00F61563" w:rsidRPr="003F110E">
        <w:rPr>
          <w:rFonts w:ascii="Times New Roman" w:hAnsi="Times New Roman" w:cs="Times New Roman"/>
          <w:lang w:val="es-MX" w:bidi="es-ES"/>
        </w:rPr>
        <w:t>el derecho, siempr</w:t>
      </w:r>
      <w:r w:rsidR="001A35E9" w:rsidRPr="003F110E">
        <w:rPr>
          <w:rFonts w:ascii="Times New Roman" w:hAnsi="Times New Roman" w:cs="Times New Roman"/>
          <w:lang w:val="es-MX" w:bidi="es-ES"/>
        </w:rPr>
        <w:t xml:space="preserve">e que no se hubiera </w:t>
      </w:r>
      <w:r w:rsidR="000C698A" w:rsidRPr="003F110E">
        <w:rPr>
          <w:rFonts w:ascii="Times New Roman" w:hAnsi="Times New Roman" w:cs="Times New Roman"/>
          <w:lang w:val="es-MX" w:bidi="es-ES"/>
        </w:rPr>
        <w:t>concretado</w:t>
      </w:r>
      <w:r w:rsidR="001A35E9" w:rsidRPr="003F110E">
        <w:rPr>
          <w:rFonts w:ascii="Times New Roman" w:hAnsi="Times New Roman" w:cs="Times New Roman"/>
          <w:lang w:val="es-MX" w:bidi="es-ES"/>
        </w:rPr>
        <w:t xml:space="preserve"> el Acuerdo con </w:t>
      </w:r>
      <w:proofErr w:type="spellStart"/>
      <w:r w:rsidR="001A35E9" w:rsidRPr="003F110E">
        <w:rPr>
          <w:rFonts w:ascii="Times New Roman" w:hAnsi="Times New Roman" w:cs="Times New Roman"/>
          <w:lang w:val="es-MX" w:bidi="es-ES"/>
        </w:rPr>
        <w:t>Itaú</w:t>
      </w:r>
      <w:proofErr w:type="spellEnd"/>
      <w:r w:rsidR="001A35E9" w:rsidRPr="003F110E">
        <w:rPr>
          <w:rFonts w:ascii="Times New Roman" w:hAnsi="Times New Roman" w:cs="Times New Roman"/>
          <w:lang w:val="es-MX" w:bidi="es-ES"/>
        </w:rPr>
        <w:t xml:space="preserve"> sobre la Participación en Catalinas</w:t>
      </w:r>
      <w:r w:rsidR="00DF15ED" w:rsidRPr="003F110E">
        <w:rPr>
          <w:rFonts w:ascii="Times New Roman" w:hAnsi="Times New Roman" w:cs="Times New Roman"/>
          <w:lang w:val="es-MX" w:bidi="es-ES"/>
        </w:rPr>
        <w:t xml:space="preserve"> y antes del 1º de agosto de 2022</w:t>
      </w:r>
      <w:r w:rsidR="00F61563" w:rsidRPr="003F110E">
        <w:rPr>
          <w:rFonts w:ascii="Times New Roman" w:hAnsi="Times New Roman" w:cs="Times New Roman"/>
          <w:lang w:val="es-MX" w:bidi="es-ES"/>
        </w:rPr>
        <w:t xml:space="preserve">, de </w:t>
      </w:r>
      <w:r w:rsidR="00E15449" w:rsidRPr="003F110E">
        <w:rPr>
          <w:rFonts w:ascii="Times New Roman" w:hAnsi="Times New Roman" w:cs="Times New Roman"/>
          <w:lang w:val="es-MX" w:bidi="es-ES"/>
        </w:rPr>
        <w:t xml:space="preserve">(i) </w:t>
      </w:r>
      <w:r w:rsidR="00F61563" w:rsidRPr="003F110E">
        <w:rPr>
          <w:rFonts w:ascii="Times New Roman" w:hAnsi="Times New Roman" w:cs="Times New Roman"/>
          <w:lang w:val="es-MX" w:bidi="es-ES"/>
        </w:rPr>
        <w:t xml:space="preserve">vender </w:t>
      </w:r>
      <w:r w:rsidR="001A35E9" w:rsidRPr="003F110E">
        <w:rPr>
          <w:rFonts w:ascii="Times New Roman" w:hAnsi="Times New Roman" w:cs="Times New Roman"/>
          <w:lang w:val="es-MX" w:bidi="es-ES"/>
        </w:rPr>
        <w:t>la Participación en Catalinas</w:t>
      </w:r>
      <w:r w:rsidR="00F61563" w:rsidRPr="003F110E">
        <w:rPr>
          <w:rFonts w:ascii="Times New Roman" w:hAnsi="Times New Roman" w:cs="Times New Roman"/>
          <w:lang w:val="es-MX" w:bidi="es-ES"/>
        </w:rPr>
        <w:t xml:space="preserve"> a un tercero que no tenga vinculación con Banco </w:t>
      </w:r>
      <w:proofErr w:type="spellStart"/>
      <w:r w:rsidR="00F61563" w:rsidRPr="003F110E">
        <w:rPr>
          <w:rFonts w:ascii="Times New Roman" w:hAnsi="Times New Roman" w:cs="Times New Roman"/>
          <w:lang w:val="es-MX" w:bidi="es-ES"/>
        </w:rPr>
        <w:t>Itaú</w:t>
      </w:r>
      <w:proofErr w:type="spellEnd"/>
      <w:r w:rsidR="00397A0F" w:rsidRPr="003F110E">
        <w:rPr>
          <w:rFonts w:ascii="Times New Roman" w:hAnsi="Times New Roman" w:cs="Times New Roman"/>
          <w:lang w:val="es-MX" w:bidi="es-ES"/>
        </w:rPr>
        <w:t xml:space="preserve"> ni esté financiado por Banco </w:t>
      </w:r>
      <w:proofErr w:type="spellStart"/>
      <w:r w:rsidR="00397A0F" w:rsidRPr="003F110E">
        <w:rPr>
          <w:rFonts w:ascii="Times New Roman" w:hAnsi="Times New Roman" w:cs="Times New Roman"/>
          <w:lang w:val="es-MX" w:bidi="es-ES"/>
        </w:rPr>
        <w:t>Itaú</w:t>
      </w:r>
      <w:proofErr w:type="spellEnd"/>
      <w:r w:rsidR="00397A0F" w:rsidRPr="003F110E">
        <w:rPr>
          <w:rFonts w:ascii="Times New Roman" w:hAnsi="Times New Roman" w:cs="Times New Roman"/>
          <w:lang w:val="es-MX" w:bidi="es-ES"/>
        </w:rPr>
        <w:t xml:space="preserve"> </w:t>
      </w:r>
      <w:r w:rsidR="00F61563" w:rsidRPr="003F110E">
        <w:rPr>
          <w:rFonts w:ascii="Times New Roman" w:hAnsi="Times New Roman" w:cs="Times New Roman"/>
          <w:lang w:val="es-MX" w:bidi="es-ES"/>
        </w:rPr>
        <w:t>(</w:t>
      </w:r>
      <w:r w:rsidR="00274451" w:rsidRPr="003F110E">
        <w:rPr>
          <w:rFonts w:ascii="Times New Roman" w:hAnsi="Times New Roman" w:cs="Times New Roman"/>
          <w:lang w:val="es-MX" w:bidi="es-ES"/>
        </w:rPr>
        <w:t xml:space="preserve">esa venta, </w:t>
      </w:r>
      <w:r w:rsidR="00F61563" w:rsidRPr="003F110E">
        <w:rPr>
          <w:rFonts w:ascii="Times New Roman" w:hAnsi="Times New Roman" w:cs="Times New Roman"/>
          <w:lang w:val="es-MX" w:bidi="es-ES"/>
        </w:rPr>
        <w:t>la “</w:t>
      </w:r>
      <w:r w:rsidR="00274451" w:rsidRPr="003F110E">
        <w:rPr>
          <w:rFonts w:ascii="Times New Roman" w:hAnsi="Times New Roman" w:cs="Times New Roman"/>
          <w:lang w:val="es-MX" w:bidi="es-ES"/>
        </w:rPr>
        <w:t>Venta de la Participación en Catalinas a</w:t>
      </w:r>
      <w:r w:rsidR="00F61563" w:rsidRPr="003F110E">
        <w:rPr>
          <w:rFonts w:ascii="Times New Roman" w:hAnsi="Times New Roman" w:cs="Times New Roman"/>
          <w:lang w:val="es-MX" w:bidi="es-ES"/>
        </w:rPr>
        <w:t xml:space="preserve"> un Tercero”)</w:t>
      </w:r>
      <w:r w:rsidR="00E15449" w:rsidRPr="003F110E">
        <w:rPr>
          <w:rFonts w:ascii="Times New Roman" w:hAnsi="Times New Roman" w:cs="Times New Roman"/>
          <w:lang w:val="es-MX" w:bidi="es-ES"/>
        </w:rPr>
        <w:t>;</w:t>
      </w:r>
      <w:r w:rsidR="00397A0F" w:rsidRPr="003F110E">
        <w:rPr>
          <w:rFonts w:ascii="Times New Roman" w:hAnsi="Times New Roman" w:cs="Times New Roman"/>
          <w:lang w:val="es-MX" w:bidi="es-ES"/>
        </w:rPr>
        <w:t xml:space="preserve"> y </w:t>
      </w:r>
      <w:r w:rsidR="00E15449" w:rsidRPr="003F110E">
        <w:rPr>
          <w:rFonts w:ascii="Times New Roman" w:hAnsi="Times New Roman" w:cs="Times New Roman"/>
          <w:lang w:val="es-MX" w:bidi="es-ES"/>
        </w:rPr>
        <w:t xml:space="preserve">(ii) </w:t>
      </w:r>
      <w:r w:rsidR="00397A0F" w:rsidRPr="003F110E">
        <w:rPr>
          <w:rFonts w:ascii="Times New Roman" w:hAnsi="Times New Roman" w:cs="Times New Roman"/>
          <w:lang w:val="es-MX" w:bidi="es-ES"/>
        </w:rPr>
        <w:t>liberar</w:t>
      </w:r>
      <w:r w:rsidR="00975718" w:rsidRPr="003F110E">
        <w:rPr>
          <w:rFonts w:ascii="Times New Roman" w:hAnsi="Times New Roman" w:cs="Times New Roman"/>
          <w:lang w:val="es-MX" w:bidi="es-ES"/>
        </w:rPr>
        <w:t xml:space="preserve"> </w:t>
      </w:r>
      <w:r w:rsidR="00397A0F" w:rsidRPr="003F110E">
        <w:rPr>
          <w:rFonts w:ascii="Times New Roman" w:hAnsi="Times New Roman" w:cs="Times New Roman"/>
          <w:lang w:val="es-MX" w:bidi="es-ES"/>
        </w:rPr>
        <w:t>de la Garantía la Prenda</w:t>
      </w:r>
      <w:r w:rsidR="00975718" w:rsidRPr="003F110E">
        <w:rPr>
          <w:rFonts w:ascii="Times New Roman" w:hAnsi="Times New Roman" w:cs="Times New Roman"/>
          <w:lang w:val="es-MX" w:bidi="es-ES"/>
        </w:rPr>
        <w:t xml:space="preserve"> previo cumplimiento de lo establecido en el final de este párrafo pero</w:t>
      </w:r>
      <w:r w:rsidR="00397A0F" w:rsidRPr="003F110E">
        <w:rPr>
          <w:rFonts w:ascii="Times New Roman" w:hAnsi="Times New Roman" w:cs="Times New Roman"/>
          <w:lang w:val="es-MX" w:bidi="es-ES"/>
        </w:rPr>
        <w:t xml:space="preserve"> sin necesidad de consentimiento</w:t>
      </w:r>
      <w:r w:rsidR="00160E40" w:rsidRPr="003F110E">
        <w:rPr>
          <w:rFonts w:ascii="Times New Roman" w:hAnsi="Times New Roman" w:cs="Times New Roman"/>
          <w:lang w:val="es-MX" w:bidi="es-ES"/>
        </w:rPr>
        <w:t xml:space="preserve"> adicional al expresado en la Manifestación de Consentimiento</w:t>
      </w:r>
      <w:r w:rsidR="00397A0F" w:rsidRPr="003F110E">
        <w:rPr>
          <w:rFonts w:ascii="Times New Roman" w:hAnsi="Times New Roman" w:cs="Times New Roman"/>
          <w:lang w:val="es-MX" w:bidi="es-ES"/>
        </w:rPr>
        <w:t xml:space="preserve"> por parte de</w:t>
      </w:r>
      <w:r w:rsidR="000C698A" w:rsidRPr="003F110E">
        <w:rPr>
          <w:rFonts w:ascii="Times New Roman" w:hAnsi="Times New Roman" w:cs="Times New Roman"/>
          <w:lang w:val="es-MX" w:bidi="es-ES"/>
        </w:rPr>
        <w:t xml:space="preserve"> la Mayoría Necesaria (conforme dicho término se define más adelante)  de</w:t>
      </w:r>
      <w:r w:rsidR="00397A0F" w:rsidRPr="003F110E">
        <w:rPr>
          <w:rFonts w:ascii="Times New Roman" w:hAnsi="Times New Roman" w:cs="Times New Roman"/>
          <w:lang w:val="es-MX" w:bidi="es-ES"/>
        </w:rPr>
        <w:t xml:space="preserve"> los Tenedores antes del 1</w:t>
      </w:r>
      <w:r w:rsidR="00E15449" w:rsidRPr="003F110E">
        <w:rPr>
          <w:rFonts w:ascii="Times New Roman" w:hAnsi="Times New Roman" w:cs="Times New Roman"/>
          <w:lang w:val="es-MX" w:bidi="es-ES"/>
        </w:rPr>
        <w:t>°</w:t>
      </w:r>
      <w:r w:rsidR="00397A0F" w:rsidRPr="003F110E">
        <w:rPr>
          <w:rFonts w:ascii="Times New Roman" w:hAnsi="Times New Roman" w:cs="Times New Roman"/>
          <w:lang w:val="es-MX" w:bidi="es-ES"/>
        </w:rPr>
        <w:t xml:space="preserve"> de agosto de 2022 si ocurre esa Venta de la Participación en Catalinas a un Tercero</w:t>
      </w:r>
      <w:r w:rsidR="00E15449" w:rsidRPr="003F110E">
        <w:rPr>
          <w:rFonts w:ascii="Times New Roman" w:hAnsi="Times New Roman" w:cs="Times New Roman"/>
          <w:lang w:val="es-MX" w:bidi="es-ES"/>
        </w:rPr>
        <w:t>.</w:t>
      </w:r>
      <w:r w:rsidR="00FF2A4E" w:rsidRPr="003F110E">
        <w:rPr>
          <w:rFonts w:ascii="Times New Roman" w:hAnsi="Times New Roman" w:cs="Times New Roman"/>
          <w:lang w:val="es-MX" w:bidi="es-ES"/>
        </w:rPr>
        <w:t xml:space="preserve"> En este supuesto, serán de aplicación para las Obligaciones Negociables, los T&amp;C Básicos definidos en el punto (</w:t>
      </w:r>
      <w:r w:rsidR="00C21064" w:rsidRPr="003F110E">
        <w:rPr>
          <w:rFonts w:ascii="Times New Roman" w:hAnsi="Times New Roman" w:cs="Times New Roman"/>
          <w:lang w:val="es-MX" w:bidi="es-ES"/>
        </w:rPr>
        <w:t>II</w:t>
      </w:r>
      <w:r w:rsidR="00FF2A4E" w:rsidRPr="003F110E">
        <w:rPr>
          <w:rFonts w:ascii="Times New Roman" w:hAnsi="Times New Roman" w:cs="Times New Roman"/>
          <w:lang w:val="es-MX" w:bidi="es-ES"/>
        </w:rPr>
        <w:t>).</w:t>
      </w:r>
      <w:r w:rsidR="00BE2ABC" w:rsidRPr="003F110E">
        <w:rPr>
          <w:rFonts w:ascii="Times New Roman" w:hAnsi="Times New Roman" w:cs="Times New Roman"/>
          <w:lang w:val="es-MX" w:bidi="es-ES"/>
        </w:rPr>
        <w:t xml:space="preserve"> En este caso</w:t>
      </w:r>
      <w:r w:rsidR="00975718" w:rsidRPr="003F110E">
        <w:rPr>
          <w:rFonts w:ascii="Times New Roman" w:hAnsi="Times New Roman" w:cs="Times New Roman"/>
          <w:lang w:val="es-MX" w:bidi="es-ES"/>
        </w:rPr>
        <w:t xml:space="preserve"> además</w:t>
      </w:r>
      <w:r w:rsidR="003F38A7" w:rsidRPr="003F110E">
        <w:rPr>
          <w:rFonts w:ascii="Times New Roman" w:hAnsi="Times New Roman" w:cs="Times New Roman"/>
          <w:lang w:val="es-MX" w:bidi="es-ES"/>
        </w:rPr>
        <w:t>,</w:t>
      </w:r>
      <w:r w:rsidR="00BE2ABC" w:rsidRPr="003F110E">
        <w:rPr>
          <w:rFonts w:ascii="Times New Roman" w:hAnsi="Times New Roman" w:cs="Times New Roman"/>
          <w:lang w:val="es-MX" w:bidi="es-ES"/>
        </w:rPr>
        <w:t xml:space="preserve"> simultáneamente con la venta de la Participación en Catalinas</w:t>
      </w:r>
      <w:r w:rsidR="001760E8" w:rsidRPr="003F110E">
        <w:rPr>
          <w:rFonts w:ascii="Times New Roman" w:hAnsi="Times New Roman" w:cs="Times New Roman"/>
          <w:lang w:val="es-MX" w:bidi="es-ES"/>
        </w:rPr>
        <w:t xml:space="preserve"> y con la liberación de la Prenda</w:t>
      </w:r>
      <w:r w:rsidR="00BE2ABC" w:rsidRPr="003F110E">
        <w:rPr>
          <w:rFonts w:ascii="Times New Roman" w:hAnsi="Times New Roman" w:cs="Times New Roman"/>
          <w:lang w:val="es-MX" w:bidi="es-ES"/>
        </w:rPr>
        <w:t>, la Sociedad deberá</w:t>
      </w:r>
      <w:r w:rsidR="003F38A7" w:rsidRPr="003F110E">
        <w:rPr>
          <w:rFonts w:ascii="Times New Roman" w:hAnsi="Times New Roman" w:cs="Times New Roman"/>
          <w:lang w:val="es-MX" w:bidi="es-ES"/>
        </w:rPr>
        <w:t xml:space="preserve"> </w:t>
      </w:r>
      <w:r w:rsidR="003F38A7" w:rsidRPr="003F110E">
        <w:rPr>
          <w:rFonts w:ascii="Times New Roman" w:hAnsi="Times New Roman" w:cs="Times New Roman"/>
          <w:lang w:val="es-MX" w:bidi="es-ES"/>
        </w:rPr>
        <w:lastRenderedPageBreak/>
        <w:t>constituir en favor de los Tenedores y en garantía de las cuotas de amortización a vencer hasta la cancelación total de las Obligaciones Negociables en las fechas previstas en los T&amp;C Básicos, un depósito de garantía o fideicomiso de dinero u obtener una fianza bancaria a primera demanda o una carta de crédito stand-</w:t>
      </w:r>
      <w:proofErr w:type="spellStart"/>
      <w:r w:rsidR="003F38A7" w:rsidRPr="003F110E">
        <w:rPr>
          <w:rFonts w:ascii="Times New Roman" w:hAnsi="Times New Roman" w:cs="Times New Roman"/>
          <w:lang w:val="es-MX" w:bidi="es-ES"/>
        </w:rPr>
        <w:t>by</w:t>
      </w:r>
      <w:proofErr w:type="spellEnd"/>
      <w:r w:rsidR="003F38A7" w:rsidRPr="003F110E">
        <w:rPr>
          <w:rFonts w:ascii="Times New Roman" w:hAnsi="Times New Roman" w:cs="Times New Roman"/>
          <w:lang w:val="es-MX" w:bidi="es-ES"/>
        </w:rPr>
        <w:t xml:space="preserve"> de un banco de primera línea por un importe suficiente para efectuar el pago de esas amortizaciones. Este depósito de garantía, fideicomiso de dinero, fianza bancaria a primera demanda o carta de crédito stand-</w:t>
      </w:r>
      <w:proofErr w:type="spellStart"/>
      <w:r w:rsidR="003F38A7" w:rsidRPr="003F110E">
        <w:rPr>
          <w:rFonts w:ascii="Times New Roman" w:hAnsi="Times New Roman" w:cs="Times New Roman"/>
          <w:lang w:val="es-MX" w:bidi="es-ES"/>
        </w:rPr>
        <w:t>by</w:t>
      </w:r>
      <w:proofErr w:type="spellEnd"/>
      <w:r w:rsidR="003F38A7" w:rsidRPr="003F110E">
        <w:rPr>
          <w:rFonts w:ascii="Times New Roman" w:hAnsi="Times New Roman" w:cs="Times New Roman"/>
          <w:lang w:val="es-MX" w:bidi="es-ES"/>
        </w:rPr>
        <w:t xml:space="preserve"> de un banco de primera línea, podrá estar constituido o pactado para ser pagado, según corresponda, fuera de la República en dólares estadounidenses o dentro de la República en pesos, pero en este último caso, solo se considerará importe suficiente, al monto nominal adeudado multiplicado por un coeficiente de 1,30</w:t>
      </w:r>
      <w:r w:rsidR="00281618" w:rsidRPr="003F110E">
        <w:rPr>
          <w:rFonts w:ascii="Times New Roman" w:hAnsi="Times New Roman" w:cs="Times New Roman"/>
          <w:lang w:val="es-MX" w:bidi="es-ES"/>
        </w:rPr>
        <w:t xml:space="preserve"> o si se tratare de instrumentos dólar </w:t>
      </w:r>
      <w:proofErr w:type="spellStart"/>
      <w:r w:rsidR="00281618" w:rsidRPr="003F110E">
        <w:rPr>
          <w:rFonts w:ascii="Times New Roman" w:hAnsi="Times New Roman" w:cs="Times New Roman"/>
          <w:lang w:val="es-MX" w:bidi="es-ES"/>
        </w:rPr>
        <w:t>linked</w:t>
      </w:r>
      <w:proofErr w:type="spellEnd"/>
      <w:r w:rsidR="00281618" w:rsidRPr="003F110E">
        <w:rPr>
          <w:rFonts w:ascii="Times New Roman" w:hAnsi="Times New Roman" w:cs="Times New Roman"/>
          <w:lang w:val="es-MX" w:bidi="es-ES"/>
        </w:rPr>
        <w:t xml:space="preserve"> el coeficiente será de 1,10</w:t>
      </w:r>
      <w:r w:rsidR="003F38A7" w:rsidRPr="003F110E">
        <w:rPr>
          <w:rFonts w:ascii="Times New Roman" w:hAnsi="Times New Roman" w:cs="Times New Roman"/>
          <w:lang w:val="es-MX" w:bidi="es-ES"/>
        </w:rPr>
        <w:t>.</w:t>
      </w:r>
    </w:p>
    <w:p w14:paraId="561DBEA6" w14:textId="26DC0BB1" w:rsidR="006D64AD" w:rsidRPr="0032028C" w:rsidRDefault="006D64AD" w:rsidP="00BE0494">
      <w:pPr>
        <w:spacing w:after="0" w:line="240" w:lineRule="auto"/>
        <w:ind w:leftChars="0" w:left="0" w:firstLineChars="0" w:firstLine="0"/>
        <w:jc w:val="both"/>
        <w:rPr>
          <w:rFonts w:ascii="Times New Roman" w:eastAsia="Times New Roman" w:hAnsi="Times New Roman" w:cs="Times New Roman"/>
          <w:lang w:val="es-MX" w:bidi="es-ES"/>
        </w:rPr>
      </w:pPr>
    </w:p>
    <w:p w14:paraId="68870024" w14:textId="7E571836" w:rsidR="006D64AD" w:rsidRPr="00D60D4C" w:rsidRDefault="006D64AD" w:rsidP="00F93ED5">
      <w:pPr>
        <w:pStyle w:val="Prrafodelista"/>
        <w:numPr>
          <w:ilvl w:val="0"/>
          <w:numId w:val="18"/>
        </w:numPr>
        <w:spacing w:after="0" w:line="240" w:lineRule="auto"/>
        <w:ind w:leftChars="0" w:left="1134" w:firstLineChars="0" w:hanging="708"/>
        <w:jc w:val="both"/>
        <w:rPr>
          <w:rFonts w:ascii="Times New Roman" w:eastAsia="Times New Roman" w:hAnsi="Times New Roman" w:cs="Times New Roman"/>
          <w:i/>
          <w:u w:val="single"/>
          <w:lang w:bidi="es-ES"/>
        </w:rPr>
      </w:pPr>
      <w:r w:rsidRPr="00D60D4C">
        <w:rPr>
          <w:rFonts w:ascii="Times New Roman" w:eastAsia="Times New Roman" w:hAnsi="Times New Roman" w:cs="Times New Roman"/>
          <w:i/>
          <w:u w:val="single"/>
          <w:lang w:bidi="es-ES"/>
        </w:rPr>
        <w:t>Nuevos Supuestos de Incumplimiento de las Obligaciones Negociables</w:t>
      </w:r>
    </w:p>
    <w:p w14:paraId="40E48E4D" w14:textId="77777777" w:rsidR="006D64AD" w:rsidRPr="0032028C" w:rsidRDefault="006D64AD" w:rsidP="00C13AAC">
      <w:pPr>
        <w:spacing w:after="0" w:line="240" w:lineRule="auto"/>
        <w:ind w:leftChars="0" w:left="993" w:firstLineChars="0" w:firstLine="0"/>
        <w:jc w:val="both"/>
        <w:rPr>
          <w:rFonts w:ascii="Times New Roman" w:eastAsia="Times New Roman" w:hAnsi="Times New Roman" w:cs="Times New Roman"/>
          <w:i/>
          <w:u w:val="single"/>
          <w:lang w:bidi="es-ES"/>
        </w:rPr>
      </w:pPr>
    </w:p>
    <w:p w14:paraId="7A50AFF6" w14:textId="3868EA2A" w:rsidR="00881E29" w:rsidRPr="0032028C" w:rsidRDefault="006D64AD" w:rsidP="00C13AAC">
      <w:pPr>
        <w:tabs>
          <w:tab w:val="left" w:pos="568"/>
        </w:tabs>
        <w:spacing w:after="0" w:line="240" w:lineRule="auto"/>
        <w:ind w:leftChars="0" w:left="993" w:firstLineChars="0" w:firstLine="0"/>
        <w:jc w:val="both"/>
        <w:rPr>
          <w:rFonts w:ascii="Times New Roman" w:eastAsia="Times New Roman" w:hAnsi="Times New Roman" w:cs="Times New Roman"/>
          <w:lang w:val="es-MX" w:bidi="es-ES"/>
        </w:rPr>
      </w:pPr>
      <w:r w:rsidRPr="0032028C">
        <w:rPr>
          <w:rFonts w:ascii="Times New Roman" w:eastAsia="Times New Roman" w:hAnsi="Times New Roman" w:cs="Times New Roman"/>
          <w:lang w:bidi="es-ES"/>
        </w:rPr>
        <w:t xml:space="preserve">En caso de que la Sociedad </w:t>
      </w:r>
      <w:r w:rsidRPr="0032028C">
        <w:rPr>
          <w:rFonts w:ascii="Times New Roman" w:eastAsia="Times New Roman" w:hAnsi="Times New Roman" w:cs="Times New Roman"/>
        </w:rPr>
        <w:t>obtenga el consentimiento de las Mayoría Necesaria</w:t>
      </w:r>
      <w:r w:rsidR="000C698A">
        <w:rPr>
          <w:rFonts w:ascii="Times New Roman" w:eastAsia="Times New Roman" w:hAnsi="Times New Roman" w:cs="Times New Roman"/>
        </w:rPr>
        <w:t xml:space="preserve"> (conforme dicho término se define más adelante)</w:t>
      </w:r>
      <w:r w:rsidR="000C698A">
        <w:rPr>
          <w:rFonts w:ascii="Times New Roman" w:eastAsia="Times New Roman" w:hAnsi="Times New Roman" w:cs="Times New Roman"/>
          <w:lang w:bidi="es-ES"/>
        </w:rPr>
        <w:t xml:space="preserve"> de</w:t>
      </w:r>
      <w:r w:rsidRPr="0032028C">
        <w:rPr>
          <w:rFonts w:ascii="Times New Roman" w:eastAsia="Times New Roman" w:hAnsi="Times New Roman" w:cs="Times New Roman"/>
        </w:rPr>
        <w:t xml:space="preserve"> para </w:t>
      </w:r>
      <w:r w:rsidRPr="0032028C">
        <w:rPr>
          <w:rFonts w:ascii="Times New Roman" w:eastAsia="Times New Roman" w:hAnsi="Times New Roman" w:cs="Times New Roman"/>
          <w:lang w:bidi="es-ES"/>
        </w:rPr>
        <w:t>la Modificación Propuesta,</w:t>
      </w:r>
      <w:r w:rsidR="00CD5386" w:rsidRPr="0032028C">
        <w:rPr>
          <w:rFonts w:ascii="Times New Roman" w:eastAsia="Times New Roman" w:hAnsi="Times New Roman" w:cs="Times New Roman"/>
          <w:lang w:val="es-MX" w:bidi="es-ES"/>
        </w:rPr>
        <w:t xml:space="preserve"> </w:t>
      </w:r>
      <w:r w:rsidRPr="0032028C">
        <w:rPr>
          <w:rFonts w:ascii="Times New Roman" w:eastAsia="Times New Roman" w:hAnsi="Times New Roman" w:cs="Times New Roman"/>
          <w:lang w:val="es-MX" w:bidi="es-ES"/>
        </w:rPr>
        <w:t xml:space="preserve">se incorporarán </w:t>
      </w:r>
      <w:r w:rsidR="00881E29" w:rsidRPr="0032028C">
        <w:rPr>
          <w:rFonts w:ascii="Times New Roman" w:eastAsia="Times New Roman" w:hAnsi="Times New Roman" w:cs="Times New Roman"/>
          <w:lang w:val="es-MX" w:bidi="es-ES"/>
        </w:rPr>
        <w:t xml:space="preserve">los siguientes </w:t>
      </w:r>
      <w:r w:rsidR="00246754" w:rsidRPr="0032028C">
        <w:rPr>
          <w:rFonts w:ascii="Times New Roman" w:eastAsia="Times New Roman" w:hAnsi="Times New Roman" w:cs="Times New Roman"/>
          <w:lang w:val="es-MX" w:bidi="es-ES"/>
        </w:rPr>
        <w:t xml:space="preserve">supuestos </w:t>
      </w:r>
      <w:r w:rsidR="006A2346" w:rsidRPr="0032028C">
        <w:rPr>
          <w:rFonts w:ascii="Times New Roman" w:eastAsia="Times New Roman" w:hAnsi="Times New Roman" w:cs="Times New Roman"/>
          <w:lang w:val="es-MX" w:bidi="es-ES"/>
        </w:rPr>
        <w:t xml:space="preserve">de incumplimiento </w:t>
      </w:r>
      <w:r w:rsidR="00246754" w:rsidRPr="0032028C">
        <w:rPr>
          <w:rFonts w:ascii="Times New Roman" w:eastAsia="Times New Roman" w:hAnsi="Times New Roman" w:cs="Times New Roman"/>
          <w:lang w:val="es-MX" w:bidi="es-ES"/>
        </w:rPr>
        <w:t>como Supuestos de Incumplimiento bajo las Obligaciones Negociables (los “</w:t>
      </w:r>
      <w:r w:rsidR="00246754" w:rsidRPr="0032028C">
        <w:rPr>
          <w:rFonts w:ascii="Times New Roman" w:eastAsia="Times New Roman" w:hAnsi="Times New Roman" w:cs="Times New Roman"/>
          <w:u w:val="single"/>
          <w:lang w:val="es-MX" w:bidi="es-ES"/>
        </w:rPr>
        <w:t>Nuevos Supuestos de Incumplimiento</w:t>
      </w:r>
      <w:r w:rsidR="00246754" w:rsidRPr="0032028C">
        <w:rPr>
          <w:rFonts w:ascii="Times New Roman" w:eastAsia="Times New Roman" w:hAnsi="Times New Roman" w:cs="Times New Roman"/>
          <w:lang w:val="es-MX" w:bidi="es-ES"/>
        </w:rPr>
        <w:t>”):</w:t>
      </w:r>
    </w:p>
    <w:p w14:paraId="0F4C9AC5" w14:textId="77777777" w:rsidR="00881E29" w:rsidRPr="0032028C" w:rsidRDefault="00881E29">
      <w:pPr>
        <w:tabs>
          <w:tab w:val="left" w:pos="568"/>
        </w:tabs>
        <w:spacing w:after="0" w:line="240" w:lineRule="auto"/>
        <w:ind w:leftChars="258" w:left="852" w:firstLineChars="0" w:hanging="284"/>
        <w:jc w:val="both"/>
        <w:rPr>
          <w:rFonts w:ascii="Times New Roman" w:eastAsia="Times New Roman" w:hAnsi="Times New Roman" w:cs="Times New Roman"/>
          <w:lang w:val="es-MX" w:bidi="es-ES"/>
        </w:rPr>
      </w:pPr>
    </w:p>
    <w:p w14:paraId="216F8439" w14:textId="523C2874" w:rsidR="00F2078F" w:rsidRPr="00ED25E9" w:rsidRDefault="001062EF" w:rsidP="003922CD">
      <w:pPr>
        <w:pStyle w:val="Prrafodelista"/>
        <w:numPr>
          <w:ilvl w:val="0"/>
          <w:numId w:val="15"/>
        </w:numPr>
        <w:tabs>
          <w:tab w:val="left" w:pos="568"/>
        </w:tabs>
        <w:spacing w:after="0" w:line="240" w:lineRule="auto"/>
        <w:ind w:leftChars="0" w:firstLineChars="0" w:hanging="499"/>
        <w:jc w:val="both"/>
        <w:rPr>
          <w:rFonts w:ascii="Times New Roman" w:eastAsia="Times New Roman" w:hAnsi="Times New Roman" w:cs="Times New Roman"/>
          <w:lang w:val="es-MX" w:bidi="es-ES"/>
        </w:rPr>
      </w:pPr>
      <w:r w:rsidRPr="0032028C">
        <w:rPr>
          <w:rFonts w:ascii="Times New Roman" w:eastAsia="Times New Roman" w:hAnsi="Times New Roman" w:cs="Times New Roman"/>
          <w:lang w:val="es-MX" w:bidi="es-ES"/>
        </w:rPr>
        <w:t>la</w:t>
      </w:r>
      <w:r w:rsidR="00CD5386" w:rsidRPr="0032028C">
        <w:rPr>
          <w:rFonts w:ascii="Times New Roman" w:eastAsia="Times New Roman" w:hAnsi="Times New Roman" w:cs="Times New Roman"/>
          <w:lang w:val="es-MX" w:bidi="es-ES"/>
        </w:rPr>
        <w:t xml:space="preserve"> falta de </w:t>
      </w:r>
      <w:r w:rsidR="00C21064">
        <w:rPr>
          <w:rFonts w:ascii="Times New Roman" w:eastAsia="Times New Roman" w:hAnsi="Times New Roman" w:cs="Times New Roman"/>
          <w:lang w:val="es-MX" w:bidi="es-ES"/>
        </w:rPr>
        <w:t>entrada en vigencia</w:t>
      </w:r>
      <w:r w:rsidR="00CD5386" w:rsidRPr="0032028C">
        <w:rPr>
          <w:rFonts w:ascii="Times New Roman" w:eastAsia="Times New Roman" w:hAnsi="Times New Roman" w:cs="Times New Roman"/>
          <w:lang w:val="es-MX" w:bidi="es-ES"/>
        </w:rPr>
        <w:t xml:space="preserve"> del Fideicomiso MPN</w:t>
      </w:r>
      <w:r w:rsidR="004056CC">
        <w:rPr>
          <w:rFonts w:ascii="Times New Roman" w:eastAsia="Times New Roman" w:hAnsi="Times New Roman" w:cs="Times New Roman"/>
          <w:lang w:val="es-MX" w:bidi="es-ES"/>
        </w:rPr>
        <w:t xml:space="preserve">, de las cesiones de derechos que se prevén en el </w:t>
      </w:r>
      <w:r w:rsidR="00996F33">
        <w:rPr>
          <w:rFonts w:ascii="Times New Roman" w:eastAsia="Times New Roman" w:hAnsi="Times New Roman" w:cs="Times New Roman"/>
          <w:lang w:val="es-MX" w:bidi="es-ES"/>
        </w:rPr>
        <w:t>apartado</w:t>
      </w:r>
      <w:r w:rsidR="004056CC">
        <w:rPr>
          <w:rFonts w:ascii="Times New Roman" w:eastAsia="Times New Roman" w:hAnsi="Times New Roman" w:cs="Times New Roman"/>
          <w:i/>
          <w:lang w:val="es-MX" w:bidi="es-ES"/>
        </w:rPr>
        <w:t xml:space="preserve"> </w:t>
      </w:r>
      <w:r w:rsidR="00996F33">
        <w:rPr>
          <w:rFonts w:ascii="Times New Roman" w:eastAsia="Times New Roman" w:hAnsi="Times New Roman" w:cs="Times New Roman"/>
          <w:i/>
          <w:lang w:val="es-MX" w:bidi="es-ES"/>
        </w:rPr>
        <w:t>“</w:t>
      </w:r>
      <w:r w:rsidR="00F61F68">
        <w:rPr>
          <w:rFonts w:ascii="Times New Roman" w:eastAsia="Times New Roman" w:hAnsi="Times New Roman" w:cs="Times New Roman"/>
          <w:i/>
          <w:lang w:val="es-MX" w:bidi="es-ES"/>
        </w:rPr>
        <w:t>Ampliación</w:t>
      </w:r>
      <w:r w:rsidR="004056CC">
        <w:rPr>
          <w:rFonts w:ascii="Times New Roman" w:eastAsia="Times New Roman" w:hAnsi="Times New Roman" w:cs="Times New Roman"/>
          <w:i/>
          <w:lang w:val="es-MX" w:bidi="es-ES"/>
        </w:rPr>
        <w:t xml:space="preserve"> y modificación de las Garantías de las Obligaciones Negociables</w:t>
      </w:r>
      <w:r w:rsidR="00F61F68">
        <w:rPr>
          <w:rFonts w:ascii="Times New Roman" w:eastAsia="Times New Roman" w:hAnsi="Times New Roman" w:cs="Times New Roman"/>
          <w:i/>
          <w:lang w:val="es-MX" w:bidi="es-ES"/>
        </w:rPr>
        <w:t>”</w:t>
      </w:r>
      <w:r w:rsidR="004056CC">
        <w:rPr>
          <w:rFonts w:ascii="Times New Roman" w:eastAsia="Times New Roman" w:hAnsi="Times New Roman" w:cs="Times New Roman"/>
          <w:i/>
          <w:lang w:val="es-MX" w:bidi="es-ES"/>
        </w:rPr>
        <w:t xml:space="preserve"> </w:t>
      </w:r>
      <w:r w:rsidR="007A745E" w:rsidRPr="003922CD">
        <w:rPr>
          <w:rFonts w:ascii="Times New Roman" w:eastAsia="Times New Roman" w:hAnsi="Times New Roman" w:cs="Times New Roman"/>
          <w:lang w:val="es-MX" w:bidi="es-ES"/>
        </w:rPr>
        <w:t>de la presente Solicitud de Consentimiento</w:t>
      </w:r>
      <w:r w:rsidR="007A745E">
        <w:rPr>
          <w:rFonts w:ascii="Times New Roman" w:eastAsia="Times New Roman" w:hAnsi="Times New Roman" w:cs="Times New Roman"/>
          <w:i/>
          <w:lang w:val="es-MX" w:bidi="es-ES"/>
        </w:rPr>
        <w:t xml:space="preserve"> </w:t>
      </w:r>
      <w:r w:rsidR="00F61F68">
        <w:rPr>
          <w:rFonts w:ascii="Times New Roman" w:eastAsia="Times New Roman" w:hAnsi="Times New Roman" w:cs="Times New Roman"/>
          <w:lang w:val="es-MX" w:bidi="es-ES"/>
        </w:rPr>
        <w:t>y de la Prenda</w:t>
      </w:r>
      <w:r w:rsidR="00246754" w:rsidRPr="0032028C">
        <w:rPr>
          <w:rFonts w:ascii="Times New Roman" w:eastAsia="Times New Roman" w:hAnsi="Times New Roman" w:cs="Times New Roman"/>
          <w:lang w:val="es-MX" w:bidi="es-ES"/>
        </w:rPr>
        <w:t xml:space="preserve"> </w:t>
      </w:r>
      <w:r w:rsidR="00CD5386" w:rsidRPr="0032028C">
        <w:rPr>
          <w:rFonts w:ascii="Times New Roman" w:eastAsia="Times New Roman" w:hAnsi="Times New Roman" w:cs="Times New Roman"/>
          <w:lang w:val="es-MX" w:bidi="es-ES"/>
        </w:rPr>
        <w:t xml:space="preserve">en un plazo </w:t>
      </w:r>
      <w:r w:rsidR="00ED4FA1" w:rsidRPr="0032028C">
        <w:rPr>
          <w:rFonts w:ascii="Times New Roman" w:eastAsia="Times New Roman" w:hAnsi="Times New Roman" w:cs="Times New Roman"/>
          <w:lang w:val="es-MX" w:bidi="es-ES"/>
        </w:rPr>
        <w:t>máximo de</w:t>
      </w:r>
      <w:r w:rsidR="00CD5386" w:rsidRPr="0032028C">
        <w:rPr>
          <w:rFonts w:ascii="Times New Roman" w:eastAsia="Times New Roman" w:hAnsi="Times New Roman" w:cs="Times New Roman"/>
          <w:lang w:val="es-MX" w:bidi="es-ES"/>
        </w:rPr>
        <w:t xml:space="preserve"> los sesenta </w:t>
      </w:r>
      <w:r w:rsidR="00ED4FA1" w:rsidRPr="0032028C">
        <w:rPr>
          <w:rFonts w:ascii="Times New Roman" w:eastAsia="Times New Roman" w:hAnsi="Times New Roman" w:cs="Times New Roman"/>
          <w:lang w:val="es-MX" w:bidi="es-ES"/>
        </w:rPr>
        <w:t xml:space="preserve">(60) </w:t>
      </w:r>
      <w:r w:rsidR="00CD5386" w:rsidRPr="0032028C">
        <w:rPr>
          <w:rFonts w:ascii="Times New Roman" w:eastAsia="Times New Roman" w:hAnsi="Times New Roman" w:cs="Times New Roman"/>
          <w:lang w:val="es-MX" w:bidi="es-ES"/>
        </w:rPr>
        <w:t xml:space="preserve">días hábiles contados </w:t>
      </w:r>
      <w:r w:rsidRPr="0032028C">
        <w:rPr>
          <w:rFonts w:ascii="Times New Roman" w:eastAsia="Times New Roman" w:hAnsi="Times New Roman" w:cs="Times New Roman"/>
          <w:lang w:val="es-MX" w:bidi="es-ES"/>
        </w:rPr>
        <w:t xml:space="preserve">a partir de </w:t>
      </w:r>
      <w:r w:rsidR="00CD5386" w:rsidRPr="0032028C">
        <w:rPr>
          <w:rFonts w:ascii="Times New Roman" w:eastAsia="Times New Roman" w:hAnsi="Times New Roman" w:cs="Times New Roman"/>
          <w:lang w:val="es-MX" w:bidi="es-ES"/>
        </w:rPr>
        <w:t>la Fecha Límite</w:t>
      </w:r>
      <w:r w:rsidR="00ED25E9">
        <w:rPr>
          <w:rFonts w:ascii="Times New Roman" w:eastAsia="Times New Roman" w:hAnsi="Times New Roman" w:cs="Times New Roman"/>
          <w:lang w:val="es-MX" w:bidi="es-ES"/>
        </w:rPr>
        <w:t xml:space="preserve"> (conforme dicho término se define más adelante)</w:t>
      </w:r>
      <w:r w:rsidR="00CD5386" w:rsidRPr="00ED25E9">
        <w:rPr>
          <w:rFonts w:ascii="Times New Roman" w:eastAsia="Times New Roman" w:hAnsi="Times New Roman" w:cs="Times New Roman"/>
          <w:lang w:val="es-MX" w:bidi="es-ES"/>
        </w:rPr>
        <w:t>;</w:t>
      </w:r>
    </w:p>
    <w:p w14:paraId="3573F194" w14:textId="0A0ACDEA" w:rsidR="00246754" w:rsidRPr="00310976" w:rsidRDefault="00246754">
      <w:pPr>
        <w:pStyle w:val="Prrafodelista"/>
        <w:tabs>
          <w:tab w:val="left" w:pos="568"/>
        </w:tabs>
        <w:spacing w:after="0" w:line="240" w:lineRule="auto"/>
        <w:ind w:leftChars="0" w:left="1288" w:firstLineChars="0" w:firstLine="0"/>
        <w:jc w:val="both"/>
        <w:rPr>
          <w:rFonts w:ascii="Times New Roman" w:eastAsia="Times New Roman" w:hAnsi="Times New Roman" w:cs="Times New Roman"/>
          <w:lang w:val="es-MX" w:bidi="es-ES"/>
        </w:rPr>
      </w:pPr>
      <w:r w:rsidRPr="00310976">
        <w:rPr>
          <w:rFonts w:ascii="Times New Roman" w:eastAsia="Times New Roman" w:hAnsi="Times New Roman" w:cs="Times New Roman"/>
          <w:lang w:val="es-MX" w:bidi="es-ES"/>
        </w:rPr>
        <w:t xml:space="preserve"> </w:t>
      </w:r>
    </w:p>
    <w:p w14:paraId="282AAD8A" w14:textId="3813327B" w:rsidR="006A7198" w:rsidRPr="003922CD" w:rsidRDefault="00ED4FA1" w:rsidP="003922CD">
      <w:pPr>
        <w:pStyle w:val="Prrafodelista"/>
        <w:numPr>
          <w:ilvl w:val="0"/>
          <w:numId w:val="15"/>
        </w:numPr>
        <w:tabs>
          <w:tab w:val="left" w:pos="568"/>
        </w:tabs>
        <w:spacing w:after="0" w:line="240" w:lineRule="auto"/>
        <w:ind w:leftChars="0" w:firstLineChars="0" w:hanging="499"/>
        <w:jc w:val="both"/>
        <w:rPr>
          <w:rFonts w:ascii="Times New Roman" w:eastAsia="Times New Roman" w:hAnsi="Times New Roman" w:cs="Times New Roman"/>
          <w:lang w:val="es-MX" w:bidi="es-ES"/>
        </w:rPr>
      </w:pPr>
      <w:r w:rsidRPr="00740007">
        <w:rPr>
          <w:rFonts w:ascii="Times New Roman" w:hAnsi="Times New Roman" w:cs="Times New Roman"/>
          <w:color w:val="000000"/>
        </w:rPr>
        <w:t>s</w:t>
      </w:r>
      <w:r w:rsidR="00246754" w:rsidRPr="00740007">
        <w:rPr>
          <w:rFonts w:ascii="Times New Roman" w:hAnsi="Times New Roman" w:cs="Times New Roman"/>
          <w:color w:val="000000"/>
        </w:rPr>
        <w:t>i la Sociedad no cumpliere en tiempo y forma con cualquier obligación de pago (distinta de las asumidas bajo las Obligaciones Negociables</w:t>
      </w:r>
      <w:r w:rsidR="00AB5413" w:rsidRPr="00AB5413">
        <w:t xml:space="preserve"> </w:t>
      </w:r>
      <w:r w:rsidR="00AB5413" w:rsidRPr="00AB5413">
        <w:rPr>
          <w:rFonts w:ascii="Times New Roman" w:hAnsi="Times New Roman" w:cs="Times New Roman"/>
          <w:color w:val="000000"/>
        </w:rPr>
        <w:t>e incluyendo, sin</w:t>
      </w:r>
      <w:r w:rsidR="00004FA1">
        <w:rPr>
          <w:rFonts w:ascii="Times New Roman" w:hAnsi="Times New Roman" w:cs="Times New Roman"/>
          <w:color w:val="000000"/>
        </w:rPr>
        <w:t xml:space="preserve"> </w:t>
      </w:r>
      <w:r w:rsidR="00AB5413" w:rsidRPr="003922CD">
        <w:rPr>
          <w:rFonts w:ascii="Times New Roman" w:hAnsi="Times New Roman" w:cs="Times New Roman"/>
          <w:color w:val="000000"/>
        </w:rPr>
        <w:t xml:space="preserve">limitación, incumplimiento de pago bajo cualquier garantía extendida a favor de </w:t>
      </w:r>
      <w:r w:rsidR="007A745E" w:rsidRPr="003922CD">
        <w:rPr>
          <w:rFonts w:ascii="Times New Roman" w:hAnsi="Times New Roman" w:cs="Times New Roman"/>
          <w:color w:val="000000"/>
        </w:rPr>
        <w:t xml:space="preserve">   </w:t>
      </w:r>
      <w:r w:rsidR="00AB5413" w:rsidRPr="003922CD">
        <w:rPr>
          <w:rFonts w:ascii="Times New Roman" w:hAnsi="Times New Roman" w:cs="Times New Roman"/>
          <w:color w:val="000000"/>
        </w:rPr>
        <w:t>terceros</w:t>
      </w:r>
      <w:r w:rsidR="00246754" w:rsidRPr="003922CD">
        <w:rPr>
          <w:rFonts w:ascii="Times New Roman" w:hAnsi="Times New Roman" w:cs="Times New Roman"/>
          <w:color w:val="000000"/>
        </w:rPr>
        <w:t xml:space="preserve">) asumida en virtud de Endeudamiento Financiero cuyo capital pendiente de cancelación en total respecto de dicho Endeudamiento Financiero sea igual o superior a la suma de </w:t>
      </w:r>
      <w:r w:rsidR="00246754" w:rsidRPr="003922CD">
        <w:rPr>
          <w:rFonts w:ascii="Times New Roman" w:hAnsi="Times New Roman" w:cs="Times New Roman"/>
          <w:spacing w:val="-2"/>
        </w:rPr>
        <w:t xml:space="preserve">US$ </w:t>
      </w:r>
      <w:r w:rsidR="00EB3FA3" w:rsidRPr="003922CD">
        <w:rPr>
          <w:rFonts w:ascii="Times New Roman" w:hAnsi="Times New Roman" w:cs="Times New Roman"/>
          <w:spacing w:val="-2"/>
        </w:rPr>
        <w:t>5</w:t>
      </w:r>
      <w:r w:rsidR="00246754" w:rsidRPr="003922CD">
        <w:rPr>
          <w:rFonts w:ascii="Times New Roman" w:hAnsi="Times New Roman" w:cs="Times New Roman"/>
          <w:spacing w:val="-2"/>
        </w:rPr>
        <w:t>.000.000 (</w:t>
      </w:r>
      <w:r w:rsidR="006D64AD" w:rsidRPr="003922CD">
        <w:rPr>
          <w:rFonts w:ascii="Times New Roman" w:hAnsi="Times New Roman" w:cs="Times New Roman"/>
          <w:spacing w:val="-2"/>
        </w:rPr>
        <w:t xml:space="preserve">Dólares Estadounidenses </w:t>
      </w:r>
      <w:r w:rsidR="00EB3FA3" w:rsidRPr="003922CD">
        <w:rPr>
          <w:rFonts w:ascii="Times New Roman" w:hAnsi="Times New Roman" w:cs="Times New Roman"/>
          <w:spacing w:val="-2"/>
        </w:rPr>
        <w:t>cinco</w:t>
      </w:r>
      <w:r w:rsidR="006D64AD" w:rsidRPr="003922CD">
        <w:rPr>
          <w:rFonts w:ascii="Times New Roman" w:hAnsi="Times New Roman" w:cs="Times New Roman"/>
          <w:spacing w:val="-2"/>
        </w:rPr>
        <w:t xml:space="preserve"> millones </w:t>
      </w:r>
      <w:r w:rsidR="00246754" w:rsidRPr="003922CD">
        <w:rPr>
          <w:rFonts w:ascii="Times New Roman" w:hAnsi="Times New Roman" w:cs="Times New Roman"/>
          <w:spacing w:val="-2"/>
        </w:rPr>
        <w:t>o su equivalente en Pesos)</w:t>
      </w:r>
      <w:r w:rsidR="00246754" w:rsidRPr="003922CD">
        <w:rPr>
          <w:rFonts w:ascii="Times New Roman" w:hAnsi="Times New Roman" w:cs="Times New Roman"/>
          <w:color w:val="000000"/>
        </w:rPr>
        <w:t xml:space="preserve">; siempre que dicho incumplimiento </w:t>
      </w:r>
      <w:r w:rsidRPr="003922CD">
        <w:rPr>
          <w:rFonts w:ascii="Times New Roman" w:hAnsi="Times New Roman" w:cs="Times New Roman"/>
          <w:color w:val="000000"/>
        </w:rPr>
        <w:t>ocasionare efectivamente</w:t>
      </w:r>
      <w:r w:rsidR="00246754" w:rsidRPr="003922CD">
        <w:rPr>
          <w:rFonts w:ascii="Times New Roman" w:hAnsi="Times New Roman" w:cs="Times New Roman"/>
          <w:color w:val="000000"/>
        </w:rPr>
        <w:t xml:space="preserve"> la aceleración o la caducidad de plazos de esos Endeudamientos Financieros, y siempre que tal incumplimiento no hubiere sido subsanado en los plazos legales y/o contractuales que fueren aplicables</w:t>
      </w:r>
      <w:r w:rsidR="007E3B1D" w:rsidRPr="003922CD">
        <w:rPr>
          <w:rFonts w:ascii="Times New Roman" w:hAnsi="Times New Roman" w:cs="Times New Roman"/>
          <w:color w:val="000000"/>
        </w:rPr>
        <w:t>;</w:t>
      </w:r>
      <w:r w:rsidR="002027D9" w:rsidRPr="003922CD">
        <w:rPr>
          <w:rFonts w:ascii="Times New Roman" w:hAnsi="Times New Roman" w:cs="Times New Roman"/>
          <w:color w:val="000000"/>
        </w:rPr>
        <w:t xml:space="preserve"> </w:t>
      </w:r>
    </w:p>
    <w:p w14:paraId="334F1DE3" w14:textId="392ECD40" w:rsidR="00994847" w:rsidRPr="00BE0494" w:rsidRDefault="00994847" w:rsidP="00BE0494">
      <w:pPr>
        <w:tabs>
          <w:tab w:val="left" w:pos="568"/>
        </w:tabs>
        <w:spacing w:after="0" w:line="240" w:lineRule="auto"/>
        <w:ind w:leftChars="0" w:left="0" w:firstLineChars="0" w:firstLine="0"/>
        <w:jc w:val="both"/>
        <w:rPr>
          <w:lang w:val="es-MX" w:bidi="es-ES"/>
        </w:rPr>
      </w:pPr>
    </w:p>
    <w:p w14:paraId="64FA21A8" w14:textId="408B4343" w:rsidR="00994847" w:rsidRDefault="00595499" w:rsidP="003922CD">
      <w:pPr>
        <w:pStyle w:val="Prrafodelista"/>
        <w:numPr>
          <w:ilvl w:val="0"/>
          <w:numId w:val="15"/>
        </w:numPr>
        <w:tabs>
          <w:tab w:val="left" w:pos="568"/>
        </w:tabs>
        <w:spacing w:after="0" w:line="240" w:lineRule="auto"/>
        <w:ind w:leftChars="0" w:firstLineChars="0" w:hanging="499"/>
        <w:jc w:val="both"/>
        <w:rPr>
          <w:rFonts w:ascii="Times New Roman" w:hAnsi="Times New Roman" w:cs="Times New Roman"/>
          <w:lang w:val="es-MX" w:bidi="es-ES"/>
        </w:rPr>
      </w:pPr>
      <w:r>
        <w:rPr>
          <w:rFonts w:ascii="Times New Roman" w:hAnsi="Times New Roman" w:cs="Times New Roman"/>
          <w:lang w:val="es-MX" w:bidi="es-ES"/>
        </w:rPr>
        <w:t>e</w:t>
      </w:r>
      <w:r w:rsidR="00D57421">
        <w:rPr>
          <w:rFonts w:ascii="Times New Roman" w:hAnsi="Times New Roman" w:cs="Times New Roman"/>
          <w:lang w:val="es-MX" w:bidi="es-ES"/>
        </w:rPr>
        <w:t xml:space="preserve">l incumplimiento </w:t>
      </w:r>
      <w:r w:rsidR="000C698A">
        <w:rPr>
          <w:rFonts w:ascii="Times New Roman" w:hAnsi="Times New Roman" w:cs="Times New Roman"/>
          <w:lang w:val="es-MX" w:bidi="es-ES"/>
        </w:rPr>
        <w:t>de</w:t>
      </w:r>
      <w:r w:rsidR="00D57421">
        <w:rPr>
          <w:rFonts w:ascii="Times New Roman" w:hAnsi="Times New Roman" w:cs="Times New Roman"/>
          <w:lang w:val="es-MX" w:bidi="es-ES"/>
        </w:rPr>
        <w:t xml:space="preserve"> cualquier obligación de pago </w:t>
      </w:r>
      <w:r w:rsidR="00950469">
        <w:rPr>
          <w:rFonts w:ascii="Times New Roman" w:hAnsi="Times New Roman" w:cs="Times New Roman"/>
          <w:lang w:val="es-MX" w:bidi="es-ES"/>
        </w:rPr>
        <w:t xml:space="preserve">bajo las Obligaciones Negociables, en la fecha en que </w:t>
      </w:r>
      <w:r w:rsidR="00950469" w:rsidRPr="00950469">
        <w:rPr>
          <w:rFonts w:ascii="Times New Roman" w:hAnsi="Times New Roman" w:cs="Times New Roman"/>
          <w:lang w:val="es-MX" w:bidi="es-ES"/>
        </w:rPr>
        <w:t xml:space="preserve">estos </w:t>
      </w:r>
      <w:r w:rsidR="00950469">
        <w:rPr>
          <w:rFonts w:ascii="Times New Roman" w:hAnsi="Times New Roman" w:cs="Times New Roman"/>
          <w:lang w:val="es-MX" w:bidi="es-ES"/>
        </w:rPr>
        <w:t xml:space="preserve">pagos </w:t>
      </w:r>
      <w:r w:rsidR="00950469" w:rsidRPr="00950469">
        <w:rPr>
          <w:rFonts w:ascii="Times New Roman" w:hAnsi="Times New Roman" w:cs="Times New Roman"/>
          <w:lang w:val="es-MX" w:bidi="es-ES"/>
        </w:rPr>
        <w:t xml:space="preserve">resulten exigibles y pagaderos, ya sea a su vencimiento, por declaración </w:t>
      </w:r>
      <w:r>
        <w:rPr>
          <w:rFonts w:ascii="Times New Roman" w:hAnsi="Times New Roman" w:cs="Times New Roman"/>
          <w:lang w:val="es-MX" w:bidi="es-ES"/>
        </w:rPr>
        <w:t xml:space="preserve">de aceleración </w:t>
      </w:r>
      <w:r w:rsidR="00950469" w:rsidRPr="00950469">
        <w:rPr>
          <w:rFonts w:ascii="Times New Roman" w:hAnsi="Times New Roman" w:cs="Times New Roman"/>
          <w:lang w:val="es-MX" w:bidi="es-ES"/>
        </w:rPr>
        <w:t>o de alguna otra forma</w:t>
      </w:r>
      <w:r>
        <w:rPr>
          <w:rFonts w:ascii="Times New Roman" w:hAnsi="Times New Roman" w:cs="Times New Roman"/>
          <w:lang w:val="es-MX" w:bidi="es-ES"/>
        </w:rPr>
        <w:t xml:space="preserve"> conforme lo previsto en los términos y condiciones de las Obligaciones Negociables</w:t>
      </w:r>
      <w:r w:rsidR="00950469">
        <w:rPr>
          <w:rFonts w:ascii="Times New Roman" w:hAnsi="Times New Roman" w:cs="Times New Roman"/>
          <w:lang w:val="es-MX" w:bidi="es-ES"/>
        </w:rPr>
        <w:t>,</w:t>
      </w:r>
      <w:r w:rsidR="00950469" w:rsidRPr="00950469">
        <w:rPr>
          <w:rFonts w:ascii="Times New Roman" w:hAnsi="Times New Roman" w:cs="Times New Roman"/>
          <w:lang w:val="es-MX" w:bidi="es-ES"/>
        </w:rPr>
        <w:t xml:space="preserve"> </w:t>
      </w:r>
      <w:r w:rsidR="00D57421" w:rsidRPr="00950469">
        <w:rPr>
          <w:rFonts w:ascii="Times New Roman" w:hAnsi="Times New Roman" w:cs="Times New Roman"/>
          <w:lang w:val="es-MX" w:bidi="es-ES"/>
        </w:rPr>
        <w:t xml:space="preserve">y siempre que dicho incumplimiento no sea </w:t>
      </w:r>
      <w:r w:rsidR="000C698A">
        <w:rPr>
          <w:rFonts w:ascii="Times New Roman" w:hAnsi="Times New Roman" w:cs="Times New Roman"/>
          <w:lang w:val="es-MX" w:bidi="es-ES"/>
        </w:rPr>
        <w:t>remediado</w:t>
      </w:r>
      <w:r w:rsidR="000C698A" w:rsidRPr="00950469">
        <w:rPr>
          <w:rFonts w:ascii="Times New Roman" w:hAnsi="Times New Roman" w:cs="Times New Roman"/>
          <w:lang w:val="es-MX" w:bidi="es-ES"/>
        </w:rPr>
        <w:t xml:space="preserve"> </w:t>
      </w:r>
      <w:r w:rsidR="00D57421" w:rsidRPr="00950469">
        <w:rPr>
          <w:rFonts w:ascii="Times New Roman" w:hAnsi="Times New Roman" w:cs="Times New Roman"/>
          <w:lang w:val="es-MX" w:bidi="es-ES"/>
        </w:rPr>
        <w:t>dentro de los quince (15) días hábiles siguientes al vencimiento pactado</w:t>
      </w:r>
      <w:r w:rsidR="00950469">
        <w:rPr>
          <w:rFonts w:ascii="Times New Roman" w:hAnsi="Times New Roman" w:cs="Times New Roman"/>
          <w:lang w:val="es-MX" w:bidi="es-ES"/>
        </w:rPr>
        <w:t>;</w:t>
      </w:r>
    </w:p>
    <w:p w14:paraId="6776AB3A" w14:textId="77777777" w:rsidR="00950469" w:rsidRPr="00A9688B" w:rsidRDefault="00950469" w:rsidP="00A9688B">
      <w:pPr>
        <w:pStyle w:val="Prrafodelista"/>
        <w:ind w:left="0" w:hanging="2"/>
        <w:rPr>
          <w:rFonts w:ascii="Times New Roman" w:hAnsi="Times New Roman" w:cs="Times New Roman"/>
          <w:lang w:val="es-MX" w:bidi="es-ES"/>
        </w:rPr>
      </w:pPr>
    </w:p>
    <w:p w14:paraId="201BD993" w14:textId="39A0259A" w:rsidR="00950469" w:rsidRDefault="00595499" w:rsidP="003922CD">
      <w:pPr>
        <w:pStyle w:val="Prrafodelista"/>
        <w:numPr>
          <w:ilvl w:val="0"/>
          <w:numId w:val="15"/>
        </w:numPr>
        <w:tabs>
          <w:tab w:val="left" w:pos="568"/>
        </w:tabs>
        <w:spacing w:after="0" w:line="240" w:lineRule="auto"/>
        <w:ind w:leftChars="0" w:firstLineChars="0" w:hanging="499"/>
        <w:jc w:val="both"/>
        <w:rPr>
          <w:rFonts w:ascii="Times New Roman" w:hAnsi="Times New Roman" w:cs="Times New Roman"/>
          <w:lang w:val="es-MX" w:bidi="es-ES"/>
        </w:rPr>
      </w:pPr>
      <w:r>
        <w:rPr>
          <w:rFonts w:ascii="Times New Roman" w:hAnsi="Times New Roman" w:cs="Times New Roman"/>
          <w:lang w:val="es-MX" w:bidi="es-ES"/>
        </w:rPr>
        <w:t>e</w:t>
      </w:r>
      <w:r w:rsidR="00950469">
        <w:rPr>
          <w:rFonts w:ascii="Times New Roman" w:hAnsi="Times New Roman" w:cs="Times New Roman"/>
          <w:lang w:val="es-MX" w:bidi="es-ES"/>
        </w:rPr>
        <w:t>l incumplimiento de</w:t>
      </w:r>
      <w:r w:rsidR="00950469" w:rsidRPr="00950469">
        <w:rPr>
          <w:rFonts w:ascii="Times New Roman" w:hAnsi="Times New Roman" w:cs="Times New Roman"/>
          <w:lang w:val="es-MX" w:bidi="es-ES"/>
        </w:rPr>
        <w:t xml:space="preserve"> </w:t>
      </w:r>
      <w:r w:rsidR="00950469">
        <w:rPr>
          <w:rFonts w:ascii="Times New Roman" w:hAnsi="Times New Roman" w:cs="Times New Roman"/>
          <w:lang w:val="es-MX" w:bidi="es-ES"/>
        </w:rPr>
        <w:t>cualquier</w:t>
      </w:r>
      <w:r w:rsidR="00950469" w:rsidRPr="00950469">
        <w:rPr>
          <w:rFonts w:ascii="Times New Roman" w:hAnsi="Times New Roman" w:cs="Times New Roman"/>
          <w:lang w:val="es-MX" w:bidi="es-ES"/>
        </w:rPr>
        <w:t xml:space="preserve"> </w:t>
      </w:r>
      <w:r w:rsidR="000C698A">
        <w:rPr>
          <w:rFonts w:ascii="Times New Roman" w:hAnsi="Times New Roman" w:cs="Times New Roman"/>
          <w:lang w:val="es-MX" w:bidi="es-ES"/>
        </w:rPr>
        <w:t xml:space="preserve">Nuevo </w:t>
      </w:r>
      <w:r w:rsidR="00950469" w:rsidRPr="00950469">
        <w:rPr>
          <w:rFonts w:ascii="Times New Roman" w:hAnsi="Times New Roman" w:cs="Times New Roman"/>
          <w:lang w:val="es-MX" w:bidi="es-ES"/>
        </w:rPr>
        <w:t xml:space="preserve">Compromiso </w:t>
      </w:r>
      <w:r w:rsidR="000C698A">
        <w:rPr>
          <w:rFonts w:ascii="Times New Roman" w:hAnsi="Times New Roman" w:cs="Times New Roman"/>
          <w:lang w:val="es-MX" w:bidi="es-ES"/>
        </w:rPr>
        <w:t>de</w:t>
      </w:r>
      <w:r w:rsidR="00950469">
        <w:rPr>
          <w:rFonts w:ascii="Times New Roman" w:hAnsi="Times New Roman" w:cs="Times New Roman"/>
          <w:lang w:val="es-MX" w:bidi="es-ES"/>
        </w:rPr>
        <w:t xml:space="preserve"> las Obligaciones N</w:t>
      </w:r>
      <w:r w:rsidR="00950469" w:rsidRPr="00950469">
        <w:rPr>
          <w:rFonts w:ascii="Times New Roman" w:hAnsi="Times New Roman" w:cs="Times New Roman"/>
          <w:lang w:val="es-MX" w:bidi="es-ES"/>
        </w:rPr>
        <w:t>egociables</w:t>
      </w:r>
      <w:r w:rsidR="000C698A">
        <w:rPr>
          <w:rFonts w:ascii="Times New Roman" w:hAnsi="Times New Roman" w:cs="Times New Roman"/>
          <w:lang w:val="es-MX" w:bidi="es-ES"/>
        </w:rPr>
        <w:t xml:space="preserve"> </w:t>
      </w:r>
      <w:r w:rsidR="000C698A">
        <w:rPr>
          <w:rFonts w:ascii="Times New Roman" w:eastAsia="Times New Roman" w:hAnsi="Times New Roman" w:cs="Times New Roman"/>
        </w:rPr>
        <w:t>(conforme dicho término se define más adelante)</w:t>
      </w:r>
      <w:r w:rsidR="00950469" w:rsidRPr="00950469">
        <w:rPr>
          <w:rFonts w:ascii="Times New Roman" w:hAnsi="Times New Roman" w:cs="Times New Roman"/>
          <w:lang w:val="es-MX" w:bidi="es-ES"/>
        </w:rPr>
        <w:t xml:space="preserve"> y siempre que dicho incumplimiento no fuera remediado dentro de los quince (15) días </w:t>
      </w:r>
      <w:r w:rsidR="000C698A">
        <w:rPr>
          <w:rFonts w:ascii="Times New Roman" w:hAnsi="Times New Roman" w:cs="Times New Roman"/>
          <w:lang w:val="es-MX" w:bidi="es-ES"/>
        </w:rPr>
        <w:t xml:space="preserve">hábiles </w:t>
      </w:r>
      <w:r w:rsidR="00950469" w:rsidRPr="00950469">
        <w:rPr>
          <w:rFonts w:ascii="Times New Roman" w:hAnsi="Times New Roman" w:cs="Times New Roman"/>
          <w:lang w:val="es-MX" w:bidi="es-ES"/>
        </w:rPr>
        <w:t xml:space="preserve">de </w:t>
      </w:r>
      <w:r w:rsidR="00DF6DED">
        <w:rPr>
          <w:rFonts w:ascii="Times New Roman" w:hAnsi="Times New Roman" w:cs="Times New Roman"/>
          <w:lang w:val="es-MX" w:bidi="es-ES"/>
        </w:rPr>
        <w:t>notificada</w:t>
      </w:r>
      <w:r>
        <w:rPr>
          <w:rFonts w:ascii="Times New Roman" w:hAnsi="Times New Roman" w:cs="Times New Roman"/>
          <w:lang w:val="es-MX" w:bidi="es-ES"/>
        </w:rPr>
        <w:t xml:space="preserve"> a</w:t>
      </w:r>
      <w:r w:rsidR="00DF6DED">
        <w:rPr>
          <w:rFonts w:ascii="Times New Roman" w:hAnsi="Times New Roman" w:cs="Times New Roman"/>
          <w:lang w:val="es-MX" w:bidi="es-ES"/>
        </w:rPr>
        <w:t xml:space="preserve"> la Sociedad </w:t>
      </w:r>
      <w:r>
        <w:rPr>
          <w:rFonts w:ascii="Times New Roman" w:hAnsi="Times New Roman" w:cs="Times New Roman"/>
          <w:lang w:val="es-MX" w:bidi="es-ES"/>
        </w:rPr>
        <w:t xml:space="preserve">por parte de algún Tenedor </w:t>
      </w:r>
      <w:r w:rsidR="00DF6DED">
        <w:rPr>
          <w:rFonts w:ascii="Times New Roman" w:hAnsi="Times New Roman" w:cs="Times New Roman"/>
          <w:lang w:val="es-MX" w:bidi="es-ES"/>
        </w:rPr>
        <w:t>de dicho incumplimiento;</w:t>
      </w:r>
      <w:r>
        <w:rPr>
          <w:rFonts w:ascii="Times New Roman" w:hAnsi="Times New Roman" w:cs="Times New Roman"/>
          <w:lang w:val="es-MX" w:bidi="es-ES"/>
        </w:rPr>
        <w:t xml:space="preserve"> o</w:t>
      </w:r>
    </w:p>
    <w:p w14:paraId="44E78D84" w14:textId="77777777" w:rsidR="00DF6DED" w:rsidRPr="00A9688B" w:rsidRDefault="00DF6DED" w:rsidP="00A9688B">
      <w:pPr>
        <w:pStyle w:val="Prrafodelista"/>
        <w:ind w:left="0" w:hanging="2"/>
        <w:rPr>
          <w:rFonts w:ascii="Times New Roman" w:hAnsi="Times New Roman" w:cs="Times New Roman"/>
          <w:lang w:val="es-MX" w:bidi="es-ES"/>
        </w:rPr>
      </w:pPr>
    </w:p>
    <w:p w14:paraId="20A068F7" w14:textId="62E7AF6E" w:rsidR="00DF6DED" w:rsidRPr="00D85461" w:rsidRDefault="00595499" w:rsidP="003922CD">
      <w:pPr>
        <w:pStyle w:val="Prrafodelista"/>
        <w:numPr>
          <w:ilvl w:val="0"/>
          <w:numId w:val="15"/>
        </w:numPr>
        <w:tabs>
          <w:tab w:val="left" w:pos="568"/>
        </w:tabs>
        <w:spacing w:after="0" w:line="240" w:lineRule="auto"/>
        <w:ind w:leftChars="0" w:firstLineChars="0" w:hanging="499"/>
        <w:jc w:val="both"/>
        <w:rPr>
          <w:rFonts w:ascii="Times New Roman" w:hAnsi="Times New Roman" w:cs="Times New Roman"/>
          <w:lang w:val="es-MX" w:bidi="es-ES"/>
        </w:rPr>
      </w:pPr>
      <w:r>
        <w:rPr>
          <w:rFonts w:ascii="Times New Roman" w:eastAsia="Times New Roman" w:hAnsi="Times New Roman" w:cs="Times New Roman"/>
          <w:lang w:val="es-MX" w:bidi="es-ES"/>
        </w:rPr>
        <w:t>l</w:t>
      </w:r>
      <w:r w:rsidR="00EA193D">
        <w:rPr>
          <w:rFonts w:ascii="Times New Roman" w:eastAsia="Times New Roman" w:hAnsi="Times New Roman" w:cs="Times New Roman"/>
          <w:lang w:val="es-MX" w:bidi="es-ES"/>
        </w:rPr>
        <w:t xml:space="preserve">a </w:t>
      </w:r>
      <w:r w:rsidR="00EA193D" w:rsidRPr="00EA193D">
        <w:rPr>
          <w:rFonts w:ascii="Times New Roman" w:eastAsia="Times New Roman" w:hAnsi="Times New Roman" w:cs="Times New Roman"/>
          <w:lang w:val="es-MX" w:bidi="es-ES"/>
        </w:rPr>
        <w:t xml:space="preserve">invalidez </w:t>
      </w:r>
      <w:r w:rsidR="00EA193D">
        <w:rPr>
          <w:rFonts w:ascii="Times New Roman" w:eastAsia="Times New Roman" w:hAnsi="Times New Roman" w:cs="Times New Roman"/>
          <w:lang w:val="es-MX" w:bidi="es-ES"/>
        </w:rPr>
        <w:t xml:space="preserve">sobreviniente de alguna de las Garantías de las Obligaciones Negociables conferidas a los Tenedores o la realización por parte de la Sociedad </w:t>
      </w:r>
      <w:r w:rsidR="00EA193D">
        <w:rPr>
          <w:rFonts w:ascii="Times New Roman" w:eastAsia="Times New Roman" w:hAnsi="Times New Roman" w:cs="Times New Roman"/>
          <w:lang w:val="es-MX" w:bidi="es-ES"/>
        </w:rPr>
        <w:lastRenderedPageBreak/>
        <w:t>de</w:t>
      </w:r>
      <w:r w:rsidR="00EA193D" w:rsidRPr="00EA193D">
        <w:rPr>
          <w:rFonts w:ascii="Times New Roman" w:eastAsia="Times New Roman" w:hAnsi="Times New Roman" w:cs="Times New Roman"/>
          <w:lang w:val="es-MX" w:bidi="es-ES"/>
        </w:rPr>
        <w:t xml:space="preserve"> actos</w:t>
      </w:r>
      <w:r w:rsidR="00523125">
        <w:rPr>
          <w:rFonts w:ascii="Times New Roman" w:eastAsia="Times New Roman" w:hAnsi="Times New Roman" w:cs="Times New Roman"/>
          <w:lang w:val="es-MX" w:bidi="es-ES"/>
        </w:rPr>
        <w:t xml:space="preserve"> </w:t>
      </w:r>
      <w:r>
        <w:rPr>
          <w:rFonts w:ascii="Times New Roman" w:eastAsia="Times New Roman" w:hAnsi="Times New Roman" w:cs="Times New Roman"/>
          <w:lang w:val="es-MX" w:bidi="es-ES"/>
        </w:rPr>
        <w:t xml:space="preserve">jurídicamente </w:t>
      </w:r>
      <w:r w:rsidR="00523125">
        <w:rPr>
          <w:rFonts w:ascii="Times New Roman" w:eastAsia="Times New Roman" w:hAnsi="Times New Roman" w:cs="Times New Roman"/>
          <w:lang w:val="es-MX" w:bidi="es-ES"/>
        </w:rPr>
        <w:t xml:space="preserve">imputables a ella </w:t>
      </w:r>
      <w:r w:rsidR="00D23AC5">
        <w:rPr>
          <w:rFonts w:ascii="Times New Roman" w:eastAsia="Times New Roman" w:hAnsi="Times New Roman" w:cs="Times New Roman"/>
          <w:lang w:val="es-MX" w:bidi="es-ES"/>
        </w:rPr>
        <w:t xml:space="preserve">o “actos del príncipe” </w:t>
      </w:r>
      <w:r w:rsidR="00B429A1">
        <w:rPr>
          <w:rFonts w:ascii="Times New Roman" w:eastAsia="Times New Roman" w:hAnsi="Times New Roman" w:cs="Times New Roman"/>
          <w:lang w:val="es-MX" w:bidi="es-ES"/>
        </w:rPr>
        <w:t>que tenga</w:t>
      </w:r>
      <w:r>
        <w:rPr>
          <w:rFonts w:ascii="Times New Roman" w:eastAsia="Times New Roman" w:hAnsi="Times New Roman" w:cs="Times New Roman"/>
          <w:lang w:val="es-MX" w:bidi="es-ES"/>
        </w:rPr>
        <w:t>n</w:t>
      </w:r>
      <w:r w:rsidR="00B429A1">
        <w:rPr>
          <w:rFonts w:ascii="Times New Roman" w:eastAsia="Times New Roman" w:hAnsi="Times New Roman" w:cs="Times New Roman"/>
          <w:lang w:val="es-MX" w:bidi="es-ES"/>
        </w:rPr>
        <w:t xml:space="preserve"> como resultado una</w:t>
      </w:r>
      <w:r w:rsidR="00EA193D" w:rsidRPr="00EA193D">
        <w:rPr>
          <w:rFonts w:ascii="Times New Roman" w:eastAsia="Times New Roman" w:hAnsi="Times New Roman" w:cs="Times New Roman"/>
          <w:lang w:val="es-MX" w:bidi="es-ES"/>
        </w:rPr>
        <w:t xml:space="preserve"> dismin</w:t>
      </w:r>
      <w:r w:rsidR="00B429A1">
        <w:rPr>
          <w:rFonts w:ascii="Times New Roman" w:eastAsia="Times New Roman" w:hAnsi="Times New Roman" w:cs="Times New Roman"/>
          <w:lang w:val="es-MX" w:bidi="es-ES"/>
        </w:rPr>
        <w:t>ución</w:t>
      </w:r>
      <w:r w:rsidR="00EA193D" w:rsidRPr="00EA193D">
        <w:rPr>
          <w:rFonts w:ascii="Times New Roman" w:eastAsia="Times New Roman" w:hAnsi="Times New Roman" w:cs="Times New Roman"/>
          <w:lang w:val="es-MX" w:bidi="es-ES"/>
        </w:rPr>
        <w:t xml:space="preserve"> </w:t>
      </w:r>
      <w:r w:rsidR="00EA193D">
        <w:rPr>
          <w:rFonts w:ascii="Times New Roman" w:eastAsia="Times New Roman" w:hAnsi="Times New Roman" w:cs="Times New Roman"/>
          <w:lang w:val="es-MX" w:bidi="es-ES"/>
        </w:rPr>
        <w:t>sustancial</w:t>
      </w:r>
      <w:r w:rsidR="00B429A1">
        <w:rPr>
          <w:rFonts w:ascii="Times New Roman" w:eastAsia="Times New Roman" w:hAnsi="Times New Roman" w:cs="Times New Roman"/>
          <w:lang w:val="es-MX" w:bidi="es-ES"/>
        </w:rPr>
        <w:t xml:space="preserve"> d</w:t>
      </w:r>
      <w:r w:rsidR="00EA193D">
        <w:rPr>
          <w:rFonts w:ascii="Times New Roman" w:eastAsia="Times New Roman" w:hAnsi="Times New Roman" w:cs="Times New Roman"/>
          <w:lang w:val="es-MX" w:bidi="es-ES"/>
        </w:rPr>
        <w:t>el valor de</w:t>
      </w:r>
      <w:r w:rsidR="000C698A">
        <w:rPr>
          <w:rFonts w:ascii="Times New Roman" w:eastAsia="Times New Roman" w:hAnsi="Times New Roman" w:cs="Times New Roman"/>
          <w:lang w:val="es-MX" w:bidi="es-ES"/>
        </w:rPr>
        <w:t xml:space="preserve"> alguna de</w:t>
      </w:r>
      <w:r w:rsidR="00EA193D">
        <w:rPr>
          <w:rFonts w:ascii="Times New Roman" w:eastAsia="Times New Roman" w:hAnsi="Times New Roman" w:cs="Times New Roman"/>
          <w:lang w:val="es-MX" w:bidi="es-ES"/>
        </w:rPr>
        <w:t xml:space="preserve"> la</w:t>
      </w:r>
      <w:r w:rsidR="000C698A">
        <w:rPr>
          <w:rFonts w:ascii="Times New Roman" w:eastAsia="Times New Roman" w:hAnsi="Times New Roman" w:cs="Times New Roman"/>
          <w:lang w:val="es-MX" w:bidi="es-ES"/>
        </w:rPr>
        <w:t>s</w:t>
      </w:r>
      <w:r w:rsidR="00EA193D">
        <w:rPr>
          <w:rFonts w:ascii="Times New Roman" w:eastAsia="Times New Roman" w:hAnsi="Times New Roman" w:cs="Times New Roman"/>
          <w:lang w:val="es-MX" w:bidi="es-ES"/>
        </w:rPr>
        <w:t xml:space="preserve"> G</w:t>
      </w:r>
      <w:r w:rsidR="00EA193D" w:rsidRPr="00EA193D">
        <w:rPr>
          <w:rFonts w:ascii="Times New Roman" w:eastAsia="Times New Roman" w:hAnsi="Times New Roman" w:cs="Times New Roman"/>
          <w:lang w:val="es-MX" w:bidi="es-ES"/>
        </w:rPr>
        <w:t>arantía</w:t>
      </w:r>
      <w:r w:rsidR="000C698A">
        <w:rPr>
          <w:rFonts w:ascii="Times New Roman" w:eastAsia="Times New Roman" w:hAnsi="Times New Roman" w:cs="Times New Roman"/>
          <w:lang w:val="es-MX" w:bidi="es-ES"/>
        </w:rPr>
        <w:t>s de las Obligaciones Negociables</w:t>
      </w:r>
      <w:r w:rsidR="00A9688B">
        <w:rPr>
          <w:rFonts w:ascii="Times New Roman" w:eastAsia="Times New Roman" w:hAnsi="Times New Roman" w:cs="Times New Roman"/>
          <w:lang w:val="es-MX" w:bidi="es-ES"/>
        </w:rPr>
        <w:t xml:space="preserve">, siempre y cuando </w:t>
      </w:r>
      <w:r>
        <w:rPr>
          <w:rFonts w:ascii="Times New Roman" w:eastAsia="Times New Roman" w:hAnsi="Times New Roman" w:cs="Times New Roman"/>
          <w:lang w:val="es-MX" w:bidi="es-ES"/>
        </w:rPr>
        <w:t>los</w:t>
      </w:r>
      <w:r w:rsidR="00A9688B">
        <w:rPr>
          <w:rFonts w:ascii="Times New Roman" w:eastAsia="Times New Roman" w:hAnsi="Times New Roman" w:cs="Times New Roman"/>
          <w:lang w:val="es-MX" w:bidi="es-ES"/>
        </w:rPr>
        <w:t xml:space="preserve"> Tenedores</w:t>
      </w:r>
      <w:r>
        <w:rPr>
          <w:rFonts w:ascii="Times New Roman" w:eastAsia="Times New Roman" w:hAnsi="Times New Roman" w:cs="Times New Roman"/>
          <w:lang w:val="es-MX" w:bidi="es-ES"/>
        </w:rPr>
        <w:t xml:space="preserve"> hubieran notificado a la Sociedad de cualquiera de dichos actos y suministrado a la Sociedad la evidencia correspondiente.</w:t>
      </w:r>
    </w:p>
    <w:p w14:paraId="23B6278A" w14:textId="77777777" w:rsidR="00D85461" w:rsidRPr="00D85461" w:rsidRDefault="00D85461" w:rsidP="00D85461">
      <w:pPr>
        <w:pStyle w:val="Prrafodelista"/>
        <w:ind w:left="0" w:hanging="2"/>
        <w:rPr>
          <w:rFonts w:ascii="Times New Roman" w:hAnsi="Times New Roman" w:cs="Times New Roman"/>
          <w:lang w:val="es-MX" w:bidi="es-ES"/>
        </w:rPr>
      </w:pPr>
    </w:p>
    <w:p w14:paraId="390C30BA" w14:textId="5D9A191A" w:rsidR="00D85461" w:rsidRPr="00B32DAE" w:rsidRDefault="00D85461" w:rsidP="00D60D4C">
      <w:pPr>
        <w:pStyle w:val="Prrafodelista"/>
        <w:tabs>
          <w:tab w:val="left" w:pos="568"/>
        </w:tabs>
        <w:spacing w:after="0" w:line="240" w:lineRule="auto"/>
        <w:ind w:leftChars="0" w:left="1288" w:firstLineChars="0" w:firstLine="0"/>
        <w:jc w:val="both"/>
        <w:rPr>
          <w:rFonts w:ascii="Times New Roman" w:hAnsi="Times New Roman" w:cs="Times New Roman"/>
          <w:lang w:val="es-MX" w:bidi="es-ES"/>
        </w:rPr>
      </w:pPr>
      <w:r>
        <w:rPr>
          <w:rFonts w:ascii="Times New Roman" w:hAnsi="Times New Roman" w:cs="Times New Roman"/>
          <w:lang w:val="es-MX" w:bidi="es-ES"/>
        </w:rPr>
        <w:t xml:space="preserve">En caso de producirse </w:t>
      </w:r>
      <w:r w:rsidR="00B32DAE">
        <w:rPr>
          <w:rFonts w:ascii="Times New Roman" w:hAnsi="Times New Roman" w:cs="Times New Roman"/>
          <w:lang w:val="es-MX" w:bidi="es-ES"/>
        </w:rPr>
        <w:t xml:space="preserve">uno o más Supuestos de Incumplimiento, los </w:t>
      </w:r>
      <w:r w:rsidR="00B32DAE">
        <w:rPr>
          <w:rFonts w:ascii="Times New Roman" w:hAnsi="Times New Roman" w:cs="Times New Roman"/>
          <w:lang w:bidi="es-ES"/>
        </w:rPr>
        <w:t>Tenedores de no menos del 25</w:t>
      </w:r>
      <w:r w:rsidR="00B32DAE" w:rsidRPr="00B32DAE">
        <w:rPr>
          <w:rFonts w:ascii="Times New Roman" w:hAnsi="Times New Roman" w:cs="Times New Roman"/>
          <w:lang w:bidi="es-ES"/>
        </w:rPr>
        <w:t xml:space="preserve">% del monto total de capital </w:t>
      </w:r>
      <w:r w:rsidR="008F416D">
        <w:rPr>
          <w:rFonts w:ascii="Times New Roman" w:hAnsi="Times New Roman" w:cs="Times New Roman"/>
          <w:lang w:bidi="es-ES"/>
        </w:rPr>
        <w:t xml:space="preserve">en circulación </w:t>
      </w:r>
      <w:r w:rsidR="00B32DAE" w:rsidRPr="00B32DAE">
        <w:rPr>
          <w:rFonts w:ascii="Times New Roman" w:hAnsi="Times New Roman" w:cs="Times New Roman"/>
          <w:lang w:bidi="es-ES"/>
        </w:rPr>
        <w:t>de</w:t>
      </w:r>
      <w:r w:rsidR="00B32DAE">
        <w:rPr>
          <w:rFonts w:ascii="Times New Roman" w:hAnsi="Times New Roman" w:cs="Times New Roman"/>
          <w:lang w:bidi="es-ES"/>
        </w:rPr>
        <w:t xml:space="preserve"> las Obligaciones Negociables </w:t>
      </w:r>
      <w:r w:rsidR="00B32DAE" w:rsidRPr="00B32DAE">
        <w:rPr>
          <w:rFonts w:ascii="Times New Roman" w:hAnsi="Times New Roman" w:cs="Times New Roman"/>
          <w:lang w:bidi="es-ES"/>
        </w:rPr>
        <w:t>podrán</w:t>
      </w:r>
      <w:r w:rsidR="00595499">
        <w:rPr>
          <w:rFonts w:ascii="Times New Roman" w:hAnsi="Times New Roman" w:cs="Times New Roman"/>
          <w:lang w:bidi="es-ES"/>
        </w:rPr>
        <w:t>,</w:t>
      </w:r>
      <w:r w:rsidR="00B32DAE" w:rsidRPr="00B32DAE">
        <w:rPr>
          <w:rFonts w:ascii="Times New Roman" w:hAnsi="Times New Roman" w:cs="Times New Roman"/>
          <w:lang w:bidi="es-ES"/>
        </w:rPr>
        <w:t xml:space="preserve"> mediante una notificación escrita cursada a la </w:t>
      </w:r>
      <w:r w:rsidR="00B32DAE">
        <w:rPr>
          <w:rFonts w:ascii="Times New Roman" w:hAnsi="Times New Roman" w:cs="Times New Roman"/>
          <w:lang w:bidi="es-ES"/>
        </w:rPr>
        <w:t>Sociedad</w:t>
      </w:r>
      <w:r w:rsidR="00B32DAE" w:rsidRPr="00B32DAE">
        <w:rPr>
          <w:rFonts w:ascii="Times New Roman" w:hAnsi="Times New Roman" w:cs="Times New Roman"/>
          <w:lang w:bidi="es-ES"/>
        </w:rPr>
        <w:t>, declarar el monto de capital</w:t>
      </w:r>
      <w:r w:rsidR="008F416D">
        <w:rPr>
          <w:rFonts w:ascii="Times New Roman" w:hAnsi="Times New Roman" w:cs="Times New Roman"/>
          <w:lang w:bidi="es-ES"/>
        </w:rPr>
        <w:t xml:space="preserve"> en circulación</w:t>
      </w:r>
      <w:r w:rsidR="00B32DAE" w:rsidRPr="00B32DAE">
        <w:rPr>
          <w:rFonts w:ascii="Times New Roman" w:hAnsi="Times New Roman" w:cs="Times New Roman"/>
          <w:lang w:bidi="es-ES"/>
        </w:rPr>
        <w:t xml:space="preserve"> de las Obligaciones Negociables exigible e inmediatamente pagadero </w:t>
      </w:r>
      <w:r w:rsidR="00595499">
        <w:rPr>
          <w:rFonts w:ascii="Times New Roman" w:hAnsi="Times New Roman" w:cs="Times New Roman"/>
          <w:lang w:bidi="es-ES"/>
        </w:rPr>
        <w:t xml:space="preserve"> y reclamar el pago de </w:t>
      </w:r>
      <w:r w:rsidR="00B32DAE" w:rsidRPr="00B32DAE">
        <w:rPr>
          <w:rFonts w:ascii="Times New Roman" w:hAnsi="Times New Roman" w:cs="Times New Roman"/>
          <w:lang w:bidi="es-ES"/>
        </w:rPr>
        <w:t>todo e</w:t>
      </w:r>
      <w:r w:rsidR="00B32DAE">
        <w:rPr>
          <w:rFonts w:ascii="Times New Roman" w:hAnsi="Times New Roman" w:cs="Times New Roman"/>
          <w:lang w:bidi="es-ES"/>
        </w:rPr>
        <w:t>l monto de capital, intereses, montos a</w:t>
      </w:r>
      <w:r w:rsidR="00B32DAE" w:rsidRPr="00B32DAE">
        <w:rPr>
          <w:rFonts w:ascii="Times New Roman" w:hAnsi="Times New Roman" w:cs="Times New Roman"/>
          <w:lang w:bidi="es-ES"/>
        </w:rPr>
        <w:t>dicionales y demás sumas debidas de las Obligaciones Negociables y</w:t>
      </w:r>
      <w:r w:rsidR="00595499">
        <w:rPr>
          <w:rFonts w:ascii="Times New Roman" w:hAnsi="Times New Roman" w:cs="Times New Roman"/>
          <w:lang w:bidi="es-ES"/>
        </w:rPr>
        <w:t>, a partir de dicha declaración</w:t>
      </w:r>
      <w:r w:rsidR="00B32DAE" w:rsidRPr="00B32DAE">
        <w:rPr>
          <w:rFonts w:ascii="Times New Roman" w:hAnsi="Times New Roman" w:cs="Times New Roman"/>
          <w:lang w:bidi="es-ES"/>
        </w:rPr>
        <w:t xml:space="preserve">, dichos montos serán inmediatamente exigibles y pagaderos </w:t>
      </w:r>
      <w:r w:rsidR="008F416D">
        <w:rPr>
          <w:rFonts w:ascii="Times New Roman" w:hAnsi="Times New Roman" w:cs="Times New Roman"/>
          <w:lang w:bidi="es-ES"/>
        </w:rPr>
        <w:t xml:space="preserve">una vez cumplido, en caso de corresponder, el plazo de gracia establecido en el Supuesto de Incumplimiento notificado, plazo que deberá computarse a partir de </w:t>
      </w:r>
      <w:r w:rsidR="00B32DAE" w:rsidRPr="00B32DAE">
        <w:rPr>
          <w:rFonts w:ascii="Times New Roman" w:hAnsi="Times New Roman" w:cs="Times New Roman"/>
          <w:lang w:bidi="es-ES"/>
        </w:rPr>
        <w:t xml:space="preserve">la fecha en que </w:t>
      </w:r>
      <w:r w:rsidR="008F416D">
        <w:rPr>
          <w:rFonts w:ascii="Times New Roman" w:hAnsi="Times New Roman" w:cs="Times New Roman"/>
          <w:lang w:bidi="es-ES"/>
        </w:rPr>
        <w:t>la</w:t>
      </w:r>
      <w:r w:rsidR="00B32DAE" w:rsidRPr="00B32DAE">
        <w:rPr>
          <w:rFonts w:ascii="Times New Roman" w:hAnsi="Times New Roman" w:cs="Times New Roman"/>
          <w:lang w:bidi="es-ES"/>
        </w:rPr>
        <w:t xml:space="preserve"> notificación escrita </w:t>
      </w:r>
      <w:r w:rsidR="008F416D">
        <w:rPr>
          <w:rFonts w:ascii="Times New Roman" w:hAnsi="Times New Roman" w:cs="Times New Roman"/>
          <w:lang w:bidi="es-ES"/>
        </w:rPr>
        <w:t>por parte de los Tenedores</w:t>
      </w:r>
      <w:r w:rsidR="008F416D" w:rsidRPr="00B32DAE">
        <w:rPr>
          <w:rFonts w:ascii="Times New Roman" w:hAnsi="Times New Roman" w:cs="Times New Roman"/>
          <w:lang w:bidi="es-ES"/>
        </w:rPr>
        <w:t xml:space="preserve"> </w:t>
      </w:r>
      <w:r w:rsidR="00B32DAE" w:rsidRPr="00B32DAE">
        <w:rPr>
          <w:rFonts w:ascii="Times New Roman" w:hAnsi="Times New Roman" w:cs="Times New Roman"/>
          <w:lang w:bidi="es-ES"/>
        </w:rPr>
        <w:t xml:space="preserve">sea recibida por la </w:t>
      </w:r>
      <w:r w:rsidR="00B32DAE">
        <w:rPr>
          <w:rFonts w:ascii="Times New Roman" w:hAnsi="Times New Roman" w:cs="Times New Roman"/>
          <w:lang w:bidi="es-ES"/>
        </w:rPr>
        <w:t>Sociedad.</w:t>
      </w:r>
    </w:p>
    <w:p w14:paraId="3BFFEEEB" w14:textId="77777777" w:rsidR="006D64AD" w:rsidRPr="00626DBF" w:rsidRDefault="006D64AD" w:rsidP="00C13AAC">
      <w:pPr>
        <w:pStyle w:val="Prrafodelista"/>
        <w:spacing w:after="0" w:line="240" w:lineRule="auto"/>
        <w:ind w:left="0" w:hanging="2"/>
        <w:rPr>
          <w:rFonts w:ascii="Times New Roman" w:eastAsia="Times New Roman" w:hAnsi="Times New Roman" w:cs="Times New Roman"/>
          <w:lang w:val="es-MX" w:bidi="es-ES"/>
        </w:rPr>
      </w:pPr>
    </w:p>
    <w:p w14:paraId="1881F0BA" w14:textId="1477B554" w:rsidR="006D64AD" w:rsidRPr="00D60D4C" w:rsidRDefault="006D64AD" w:rsidP="00F93ED5">
      <w:pPr>
        <w:pStyle w:val="Prrafodelista"/>
        <w:numPr>
          <w:ilvl w:val="0"/>
          <w:numId w:val="18"/>
        </w:numPr>
        <w:spacing w:after="0" w:line="240" w:lineRule="auto"/>
        <w:ind w:leftChars="0" w:left="1134" w:firstLineChars="0" w:hanging="708"/>
        <w:jc w:val="both"/>
        <w:rPr>
          <w:rFonts w:ascii="Times New Roman" w:eastAsia="Times New Roman" w:hAnsi="Times New Roman" w:cs="Times New Roman"/>
          <w:i/>
          <w:u w:val="single"/>
          <w:lang w:bidi="es-ES"/>
        </w:rPr>
      </w:pPr>
      <w:r w:rsidRPr="00D60D4C">
        <w:rPr>
          <w:rFonts w:ascii="Times New Roman" w:eastAsia="Times New Roman" w:hAnsi="Times New Roman" w:cs="Times New Roman"/>
          <w:i/>
          <w:u w:val="single"/>
          <w:lang w:bidi="es-ES"/>
        </w:rPr>
        <w:t xml:space="preserve">Nuevos </w:t>
      </w:r>
      <w:r w:rsidR="006A2346" w:rsidRPr="00D60D4C">
        <w:rPr>
          <w:rFonts w:ascii="Times New Roman" w:eastAsia="Times New Roman" w:hAnsi="Times New Roman" w:cs="Times New Roman"/>
          <w:i/>
          <w:u w:val="single"/>
          <w:lang w:bidi="es-ES"/>
        </w:rPr>
        <w:t>Compromisos</w:t>
      </w:r>
      <w:r w:rsidRPr="00D60D4C">
        <w:rPr>
          <w:rFonts w:ascii="Times New Roman" w:eastAsia="Times New Roman" w:hAnsi="Times New Roman" w:cs="Times New Roman"/>
          <w:i/>
          <w:u w:val="single"/>
          <w:lang w:bidi="es-ES"/>
        </w:rPr>
        <w:t xml:space="preserve"> de las Obligaciones Negociables</w:t>
      </w:r>
    </w:p>
    <w:p w14:paraId="4BFCD46E" w14:textId="77777777" w:rsidR="006D64AD" w:rsidRPr="00F43580" w:rsidRDefault="006D64AD">
      <w:pPr>
        <w:spacing w:after="0" w:line="240" w:lineRule="auto"/>
        <w:ind w:leftChars="0" w:left="993" w:firstLineChars="0" w:firstLine="0"/>
        <w:jc w:val="both"/>
        <w:rPr>
          <w:rFonts w:ascii="Times New Roman" w:eastAsia="Times New Roman" w:hAnsi="Times New Roman" w:cs="Times New Roman"/>
          <w:i/>
          <w:u w:val="single"/>
          <w:lang w:bidi="es-ES"/>
        </w:rPr>
      </w:pPr>
    </w:p>
    <w:p w14:paraId="786DF7B9" w14:textId="6C1C0367" w:rsidR="006D64AD" w:rsidRPr="004E7C62" w:rsidRDefault="006D64AD" w:rsidP="00BE0494">
      <w:pPr>
        <w:pStyle w:val="Prrafodelista"/>
        <w:tabs>
          <w:tab w:val="left" w:pos="568"/>
        </w:tabs>
        <w:spacing w:after="0" w:line="240" w:lineRule="auto"/>
        <w:ind w:leftChars="0" w:left="1134" w:firstLineChars="0" w:firstLine="0"/>
        <w:jc w:val="both"/>
        <w:rPr>
          <w:rFonts w:ascii="Times New Roman" w:eastAsia="Times New Roman" w:hAnsi="Times New Roman" w:cs="Times New Roman"/>
          <w:lang w:val="es-MX" w:bidi="es-ES"/>
        </w:rPr>
      </w:pPr>
      <w:r w:rsidRPr="008433DA">
        <w:rPr>
          <w:rFonts w:ascii="Times New Roman" w:eastAsia="Times New Roman" w:hAnsi="Times New Roman" w:cs="Times New Roman"/>
          <w:lang w:bidi="es-ES"/>
        </w:rPr>
        <w:t xml:space="preserve">En caso de que la Sociedad </w:t>
      </w:r>
      <w:r w:rsidRPr="008433DA">
        <w:rPr>
          <w:rFonts w:ascii="Times New Roman" w:eastAsia="Times New Roman" w:hAnsi="Times New Roman" w:cs="Times New Roman"/>
        </w:rPr>
        <w:t>obtenga el consentimiento de la Mayoría Necesaria</w:t>
      </w:r>
      <w:r w:rsidR="008F416D">
        <w:rPr>
          <w:rFonts w:ascii="Times New Roman" w:eastAsia="Times New Roman" w:hAnsi="Times New Roman" w:cs="Times New Roman"/>
        </w:rPr>
        <w:t xml:space="preserve"> (conforme dicho término se define más adelante)</w:t>
      </w:r>
      <w:r w:rsidRPr="008433DA">
        <w:rPr>
          <w:rFonts w:ascii="Times New Roman" w:eastAsia="Times New Roman" w:hAnsi="Times New Roman" w:cs="Times New Roman"/>
        </w:rPr>
        <w:t xml:space="preserve"> para </w:t>
      </w:r>
      <w:r w:rsidRPr="003E13B9">
        <w:rPr>
          <w:rFonts w:ascii="Times New Roman" w:eastAsia="Times New Roman" w:hAnsi="Times New Roman" w:cs="Times New Roman"/>
          <w:lang w:bidi="es-ES"/>
        </w:rPr>
        <w:t>la Modificación Propuesta,</w:t>
      </w:r>
      <w:r w:rsidRPr="003E13B9">
        <w:rPr>
          <w:rFonts w:ascii="Times New Roman" w:eastAsia="Times New Roman" w:hAnsi="Times New Roman" w:cs="Times New Roman"/>
          <w:lang w:val="es-MX" w:bidi="es-ES"/>
        </w:rPr>
        <w:t xml:space="preserve"> se</w:t>
      </w:r>
      <w:r w:rsidR="006A2346" w:rsidRPr="004E7C62">
        <w:rPr>
          <w:rFonts w:ascii="Times New Roman" w:eastAsia="Times New Roman" w:hAnsi="Times New Roman" w:cs="Times New Roman"/>
          <w:lang w:val="es-MX" w:bidi="es-ES"/>
        </w:rPr>
        <w:t xml:space="preserve"> incorporarán los siguientes compromisos a ser cumplidos por la Sociedad mientras las Obligaciones Negociables se encuentren en circulación (los “</w:t>
      </w:r>
      <w:r w:rsidR="006A2346" w:rsidRPr="004E7C62">
        <w:rPr>
          <w:rFonts w:ascii="Times New Roman" w:eastAsia="Times New Roman" w:hAnsi="Times New Roman" w:cs="Times New Roman"/>
          <w:u w:val="single"/>
          <w:lang w:val="es-MX" w:bidi="es-ES"/>
        </w:rPr>
        <w:t>Nuevos Compromisos de las Obligaciones Negociables</w:t>
      </w:r>
      <w:r w:rsidR="006A2346" w:rsidRPr="004E7C62">
        <w:rPr>
          <w:rFonts w:ascii="Times New Roman" w:eastAsia="Times New Roman" w:hAnsi="Times New Roman" w:cs="Times New Roman"/>
          <w:lang w:val="es-MX" w:bidi="es-ES"/>
        </w:rPr>
        <w:t>”):</w:t>
      </w:r>
    </w:p>
    <w:p w14:paraId="0D7DE71F" w14:textId="77777777" w:rsidR="006D3E6B" w:rsidRPr="00262E03" w:rsidRDefault="006D3E6B">
      <w:pPr>
        <w:spacing w:after="0" w:line="240" w:lineRule="auto"/>
        <w:ind w:leftChars="258" w:left="852" w:firstLineChars="0" w:hanging="284"/>
        <w:jc w:val="both"/>
        <w:rPr>
          <w:rFonts w:ascii="Times New Roman" w:eastAsia="Times New Roman" w:hAnsi="Times New Roman" w:cs="Times New Roman"/>
          <w:lang w:val="es-MX" w:bidi="es-ES"/>
        </w:rPr>
      </w:pPr>
    </w:p>
    <w:p w14:paraId="5A2A23F0" w14:textId="19F11333" w:rsidR="000E1F89" w:rsidRPr="008C39F0" w:rsidRDefault="000E1F89" w:rsidP="00C13AAC">
      <w:pPr>
        <w:pStyle w:val="Prrafodelista"/>
        <w:numPr>
          <w:ilvl w:val="0"/>
          <w:numId w:val="9"/>
        </w:numPr>
        <w:spacing w:after="0" w:line="240" w:lineRule="auto"/>
        <w:ind w:leftChars="0" w:left="1418" w:firstLineChars="0" w:hanging="284"/>
        <w:jc w:val="both"/>
        <w:rPr>
          <w:rFonts w:ascii="Times New Roman" w:eastAsia="Times New Roman" w:hAnsi="Times New Roman" w:cs="Times New Roman"/>
          <w:i/>
          <w:lang w:val="es-MX" w:bidi="es-ES"/>
        </w:rPr>
      </w:pPr>
      <w:r w:rsidRPr="00262E03">
        <w:rPr>
          <w:rFonts w:ascii="Times New Roman" w:eastAsia="Times New Roman" w:hAnsi="Times New Roman" w:cs="Times New Roman"/>
          <w:i/>
          <w:lang w:val="es-MX" w:bidi="es-ES"/>
        </w:rPr>
        <w:t xml:space="preserve">Limitación </w:t>
      </w:r>
      <w:r w:rsidR="000F6163" w:rsidRPr="00262E03">
        <w:rPr>
          <w:rFonts w:ascii="Times New Roman" w:eastAsia="Times New Roman" w:hAnsi="Times New Roman" w:cs="Times New Roman"/>
          <w:i/>
          <w:lang w:val="es-MX" w:bidi="es-ES"/>
        </w:rPr>
        <w:t>a incurrir e</w:t>
      </w:r>
      <w:r w:rsidR="000F6163" w:rsidRPr="008C39F0">
        <w:rPr>
          <w:rFonts w:ascii="Times New Roman" w:eastAsia="Times New Roman" w:hAnsi="Times New Roman" w:cs="Times New Roman"/>
          <w:i/>
          <w:lang w:val="es-MX" w:bidi="es-ES"/>
        </w:rPr>
        <w:t>n Endeudamiento Financiero</w:t>
      </w:r>
    </w:p>
    <w:p w14:paraId="1DB18D33" w14:textId="77777777" w:rsidR="000E1F89" w:rsidRPr="008C39F0" w:rsidRDefault="000E1F89" w:rsidP="00C13AAC">
      <w:pPr>
        <w:pStyle w:val="Prrafodelista"/>
        <w:spacing w:after="0" w:line="240" w:lineRule="auto"/>
        <w:ind w:leftChars="0" w:left="1418" w:firstLineChars="0" w:hanging="1006"/>
        <w:jc w:val="both"/>
        <w:rPr>
          <w:rFonts w:ascii="Times New Roman" w:eastAsia="Times New Roman" w:hAnsi="Times New Roman" w:cs="Times New Roman"/>
          <w:lang w:val="es-MX" w:bidi="es-ES"/>
        </w:rPr>
      </w:pPr>
    </w:p>
    <w:p w14:paraId="3F829D4B" w14:textId="78681351" w:rsidR="000E1F89" w:rsidRPr="00214269" w:rsidRDefault="00F83383" w:rsidP="00C13AAC">
      <w:pPr>
        <w:pStyle w:val="Prrafodelista"/>
        <w:numPr>
          <w:ilvl w:val="0"/>
          <w:numId w:val="11"/>
        </w:numPr>
        <w:spacing w:after="0" w:line="240" w:lineRule="auto"/>
        <w:ind w:leftChars="0" w:left="1843" w:firstLineChars="0"/>
        <w:jc w:val="both"/>
        <w:rPr>
          <w:rFonts w:ascii="Times New Roman" w:eastAsia="Times New Roman" w:hAnsi="Times New Roman" w:cs="Times New Roman"/>
          <w:lang w:val="es-MX" w:bidi="es-ES"/>
        </w:rPr>
      </w:pPr>
      <w:r w:rsidRPr="008C39F0">
        <w:rPr>
          <w:rFonts w:ascii="Times New Roman" w:hAnsi="Times New Roman" w:cs="Times New Roman"/>
        </w:rPr>
        <w:t>La Sociedad se compromete a</w:t>
      </w:r>
      <w:r w:rsidR="003507FE" w:rsidRPr="008C39F0">
        <w:rPr>
          <w:rFonts w:ascii="Times New Roman" w:hAnsi="Times New Roman" w:cs="Times New Roman"/>
        </w:rPr>
        <w:t xml:space="preserve"> no incurrir en </w:t>
      </w:r>
      <w:r w:rsidR="000F6163" w:rsidRPr="008C39F0">
        <w:rPr>
          <w:rFonts w:ascii="Times New Roman" w:hAnsi="Times New Roman" w:cs="Times New Roman"/>
        </w:rPr>
        <w:t>Endeudamiento</w:t>
      </w:r>
      <w:r w:rsidR="003507FE" w:rsidRPr="008C39F0">
        <w:rPr>
          <w:rFonts w:ascii="Times New Roman" w:hAnsi="Times New Roman" w:cs="Times New Roman"/>
        </w:rPr>
        <w:t xml:space="preserve"> Financier</w:t>
      </w:r>
      <w:r w:rsidR="000F6163" w:rsidRPr="008C39F0">
        <w:rPr>
          <w:rFonts w:ascii="Times New Roman" w:hAnsi="Times New Roman" w:cs="Times New Roman"/>
        </w:rPr>
        <w:t>o</w:t>
      </w:r>
      <w:r w:rsidR="003507FE" w:rsidRPr="00993D29">
        <w:rPr>
          <w:rFonts w:ascii="Times New Roman" w:hAnsi="Times New Roman" w:cs="Times New Roman"/>
        </w:rPr>
        <w:t xml:space="preserve"> adicional</w:t>
      </w:r>
      <w:r w:rsidR="006E59B1">
        <w:rPr>
          <w:rFonts w:ascii="Times New Roman" w:hAnsi="Times New Roman" w:cs="Times New Roman"/>
        </w:rPr>
        <w:t>, excepto por la Deuda Financiera Permitida,</w:t>
      </w:r>
      <w:r w:rsidR="003507FE" w:rsidRPr="00993D29">
        <w:rPr>
          <w:rFonts w:ascii="Times New Roman" w:hAnsi="Times New Roman" w:cs="Times New Roman"/>
        </w:rPr>
        <w:t xml:space="preserve"> en caso de que</w:t>
      </w:r>
      <w:r w:rsidR="001446E1" w:rsidRPr="00523952">
        <w:rPr>
          <w:rFonts w:ascii="Times New Roman" w:hAnsi="Times New Roman" w:cs="Times New Roman"/>
        </w:rPr>
        <w:t>: (a)</w:t>
      </w:r>
      <w:r w:rsidR="003507FE" w:rsidRPr="00523952">
        <w:rPr>
          <w:rFonts w:ascii="Times New Roman" w:hAnsi="Times New Roman" w:cs="Times New Roman"/>
        </w:rPr>
        <w:t xml:space="preserve"> el</w:t>
      </w:r>
      <w:r w:rsidR="001446E1" w:rsidRPr="00523952">
        <w:rPr>
          <w:rFonts w:ascii="Times New Roman" w:hAnsi="Times New Roman" w:cs="Times New Roman"/>
        </w:rPr>
        <w:t xml:space="preserve"> cociente </w:t>
      </w:r>
      <w:r w:rsidR="003507FE" w:rsidRPr="00D3494C">
        <w:rPr>
          <w:rFonts w:ascii="Times New Roman" w:hAnsi="Times New Roman" w:cs="Times New Roman"/>
        </w:rPr>
        <w:t xml:space="preserve">entre </w:t>
      </w:r>
      <w:r w:rsidR="000F6163" w:rsidRPr="00D3494C">
        <w:rPr>
          <w:rFonts w:ascii="Times New Roman" w:hAnsi="Times New Roman" w:cs="Times New Roman"/>
        </w:rPr>
        <w:t>Endeudamiento</w:t>
      </w:r>
      <w:r w:rsidR="003507FE" w:rsidRPr="00D3494C">
        <w:rPr>
          <w:rFonts w:ascii="Times New Roman" w:hAnsi="Times New Roman" w:cs="Times New Roman"/>
        </w:rPr>
        <w:t xml:space="preserve"> Financier</w:t>
      </w:r>
      <w:r w:rsidR="000F6163" w:rsidRPr="00D3494C">
        <w:rPr>
          <w:rFonts w:ascii="Times New Roman" w:hAnsi="Times New Roman" w:cs="Times New Roman"/>
        </w:rPr>
        <w:t>o</w:t>
      </w:r>
      <w:r w:rsidR="00BA0BE9">
        <w:rPr>
          <w:rFonts w:ascii="Times New Roman" w:hAnsi="Times New Roman" w:cs="Times New Roman"/>
        </w:rPr>
        <w:t xml:space="preserve"> </w:t>
      </w:r>
      <w:r w:rsidR="003507FE" w:rsidRPr="00D3494C">
        <w:rPr>
          <w:rFonts w:ascii="Times New Roman" w:hAnsi="Times New Roman" w:cs="Times New Roman"/>
        </w:rPr>
        <w:t xml:space="preserve">y EBITDA sea </w:t>
      </w:r>
      <w:r w:rsidR="00DA616A">
        <w:rPr>
          <w:rFonts w:ascii="Times New Roman" w:hAnsi="Times New Roman" w:cs="Times New Roman"/>
        </w:rPr>
        <w:t>mayor</w:t>
      </w:r>
      <w:r w:rsidR="003507FE" w:rsidRPr="00D3494C">
        <w:rPr>
          <w:rFonts w:ascii="Times New Roman" w:hAnsi="Times New Roman" w:cs="Times New Roman"/>
        </w:rPr>
        <w:t xml:space="preserve"> o igual </w:t>
      </w:r>
      <w:r w:rsidR="00500746">
        <w:rPr>
          <w:rFonts w:ascii="Times New Roman" w:hAnsi="Times New Roman" w:cs="Times New Roman"/>
        </w:rPr>
        <w:t xml:space="preserve">a </w:t>
      </w:r>
      <w:r w:rsidR="00030E2A">
        <w:rPr>
          <w:rFonts w:ascii="Times New Roman" w:eastAsia="Times New Roman" w:hAnsi="Times New Roman" w:cs="Times New Roman"/>
          <w:lang w:val="es-MX" w:bidi="es-ES"/>
        </w:rPr>
        <w:t>3</w:t>
      </w:r>
      <w:r w:rsidR="001446E1" w:rsidRPr="0038723F">
        <w:rPr>
          <w:rFonts w:ascii="Times New Roman" w:eastAsia="Times New Roman" w:hAnsi="Times New Roman" w:cs="Times New Roman"/>
          <w:lang w:val="es-MX" w:bidi="es-ES"/>
        </w:rPr>
        <w:t>,00</w:t>
      </w:r>
      <w:r w:rsidR="00500746">
        <w:rPr>
          <w:rFonts w:ascii="Times New Roman" w:eastAsia="Times New Roman" w:hAnsi="Times New Roman" w:cs="Times New Roman"/>
          <w:lang w:val="es-MX" w:bidi="es-ES"/>
        </w:rPr>
        <w:t>x</w:t>
      </w:r>
      <w:r w:rsidR="000E1F89" w:rsidRPr="00D65166">
        <w:rPr>
          <w:rFonts w:ascii="Times New Roman" w:eastAsia="Times New Roman" w:hAnsi="Times New Roman" w:cs="Times New Roman"/>
          <w:lang w:val="es-MX" w:bidi="es-ES"/>
        </w:rPr>
        <w:t xml:space="preserve"> durante el </w:t>
      </w:r>
      <w:r w:rsidR="001446E1" w:rsidRPr="00D65166">
        <w:rPr>
          <w:rFonts w:ascii="Times New Roman" w:eastAsia="Times New Roman" w:hAnsi="Times New Roman" w:cs="Times New Roman"/>
          <w:lang w:val="es-MX" w:bidi="es-ES"/>
        </w:rPr>
        <w:t xml:space="preserve">último </w:t>
      </w:r>
      <w:r w:rsidR="000E1F89" w:rsidRPr="00D65166">
        <w:rPr>
          <w:rFonts w:ascii="Times New Roman" w:eastAsia="Times New Roman" w:hAnsi="Times New Roman" w:cs="Times New Roman"/>
          <w:lang w:val="es-MX" w:bidi="es-ES"/>
        </w:rPr>
        <w:t xml:space="preserve">ejercicio </w:t>
      </w:r>
      <w:r w:rsidR="001446E1" w:rsidRPr="00D65166">
        <w:rPr>
          <w:rFonts w:ascii="Times New Roman" w:eastAsia="Times New Roman" w:hAnsi="Times New Roman" w:cs="Times New Roman"/>
          <w:lang w:val="es-MX" w:bidi="es-ES"/>
        </w:rPr>
        <w:t>anual</w:t>
      </w:r>
      <w:r w:rsidR="000E1F89" w:rsidRPr="00D65166">
        <w:rPr>
          <w:rFonts w:ascii="Times New Roman" w:eastAsia="Times New Roman" w:hAnsi="Times New Roman" w:cs="Times New Roman"/>
          <w:lang w:val="es-MX" w:bidi="es-ES"/>
        </w:rPr>
        <w:t xml:space="preserve">, calculado al último día de cada trimestre económico de la </w:t>
      </w:r>
      <w:r w:rsidR="003053A0" w:rsidRPr="00D65166">
        <w:rPr>
          <w:rFonts w:ascii="Times New Roman" w:hAnsi="Times New Roman" w:cs="Times New Roman"/>
        </w:rPr>
        <w:t>Sociedad</w:t>
      </w:r>
      <w:r w:rsidR="008F416D">
        <w:rPr>
          <w:rFonts w:ascii="Times New Roman" w:hAnsi="Times New Roman" w:cs="Times New Roman"/>
        </w:rPr>
        <w:t>,</w:t>
      </w:r>
      <w:r w:rsidR="001446E1" w:rsidRPr="009633E2">
        <w:rPr>
          <w:rFonts w:ascii="Times New Roman" w:eastAsia="Times New Roman" w:hAnsi="Times New Roman" w:cs="Times New Roman"/>
          <w:lang w:val="es-MX" w:bidi="es-ES"/>
        </w:rPr>
        <w:t xml:space="preserve"> y/o </w:t>
      </w:r>
      <w:r w:rsidR="001446E1" w:rsidRPr="009633E2">
        <w:rPr>
          <w:rFonts w:ascii="Times New Roman" w:hAnsi="Times New Roman" w:cs="Times New Roman"/>
        </w:rPr>
        <w:t>(</w:t>
      </w:r>
      <w:r w:rsidR="00246754" w:rsidRPr="009633E2">
        <w:rPr>
          <w:rFonts w:ascii="Times New Roman" w:hAnsi="Times New Roman" w:cs="Times New Roman"/>
        </w:rPr>
        <w:t>b</w:t>
      </w:r>
      <w:r w:rsidR="001446E1" w:rsidRPr="009633E2">
        <w:rPr>
          <w:rFonts w:ascii="Times New Roman" w:hAnsi="Times New Roman" w:cs="Times New Roman"/>
        </w:rPr>
        <w:t xml:space="preserve">) el cociente entre EBITDA e Intereses sea </w:t>
      </w:r>
      <w:r w:rsidR="00DA616A">
        <w:rPr>
          <w:rFonts w:ascii="Times New Roman" w:hAnsi="Times New Roman" w:cs="Times New Roman"/>
        </w:rPr>
        <w:t>menor</w:t>
      </w:r>
      <w:r w:rsidR="001446E1" w:rsidRPr="009633E2">
        <w:rPr>
          <w:rFonts w:ascii="Times New Roman" w:hAnsi="Times New Roman" w:cs="Times New Roman"/>
        </w:rPr>
        <w:t xml:space="preserve"> o igual</w:t>
      </w:r>
      <w:r w:rsidR="00C2054A" w:rsidRPr="009633E2">
        <w:rPr>
          <w:rFonts w:ascii="Times New Roman" w:hAnsi="Times New Roman" w:cs="Times New Roman"/>
        </w:rPr>
        <w:t xml:space="preserve"> a</w:t>
      </w:r>
      <w:r w:rsidR="001446E1" w:rsidRPr="009633E2">
        <w:rPr>
          <w:rFonts w:ascii="Times New Roman" w:hAnsi="Times New Roman" w:cs="Times New Roman"/>
        </w:rPr>
        <w:t xml:space="preserve"> </w:t>
      </w:r>
      <w:r w:rsidR="00030E2A">
        <w:rPr>
          <w:rFonts w:ascii="Times New Roman" w:eastAsia="Times New Roman" w:hAnsi="Times New Roman" w:cs="Times New Roman"/>
          <w:lang w:bidi="es-ES"/>
        </w:rPr>
        <w:t>1.5</w:t>
      </w:r>
      <w:r w:rsidR="00500746">
        <w:rPr>
          <w:rFonts w:ascii="Times New Roman" w:eastAsia="Times New Roman" w:hAnsi="Times New Roman" w:cs="Times New Roman"/>
          <w:lang w:bidi="es-ES"/>
        </w:rPr>
        <w:t>,00x</w:t>
      </w:r>
      <w:r w:rsidR="001446E1" w:rsidRPr="009633E2">
        <w:rPr>
          <w:rFonts w:ascii="Times New Roman" w:eastAsia="Times New Roman" w:hAnsi="Times New Roman" w:cs="Times New Roman"/>
          <w:lang w:val="es-MX" w:bidi="es-ES"/>
        </w:rPr>
        <w:t xml:space="preserve"> </w:t>
      </w:r>
      <w:r w:rsidR="000E1F89" w:rsidRPr="009633E2">
        <w:rPr>
          <w:rFonts w:ascii="Times New Roman" w:eastAsia="Times New Roman" w:hAnsi="Times New Roman" w:cs="Times New Roman"/>
          <w:lang w:val="es-MX" w:bidi="es-ES"/>
        </w:rPr>
        <w:t xml:space="preserve">en cada caso </w:t>
      </w:r>
      <w:r w:rsidR="001446E1" w:rsidRPr="009633E2">
        <w:rPr>
          <w:rFonts w:ascii="Times New Roman" w:eastAsia="Times New Roman" w:hAnsi="Times New Roman" w:cs="Times New Roman"/>
          <w:lang w:val="es-MX" w:bidi="es-ES"/>
        </w:rPr>
        <w:t xml:space="preserve">calculado al último día de cada trimestre económico de la Sociedad y </w:t>
      </w:r>
      <w:r w:rsidR="000E1F89" w:rsidRPr="009633E2">
        <w:rPr>
          <w:rFonts w:ascii="Times New Roman" w:eastAsia="Times New Roman" w:hAnsi="Times New Roman" w:cs="Times New Roman"/>
          <w:lang w:val="es-MX" w:bidi="es-ES"/>
        </w:rPr>
        <w:t>determinado para los últimos cuatro trimestres económicos consecutivos completos para los cuales se hubieran presentado ante la CNV estados contables de la Sociedad</w:t>
      </w:r>
    </w:p>
    <w:p w14:paraId="6A9BFB99" w14:textId="16805989" w:rsidR="001446E1" w:rsidRPr="0062702E" w:rsidRDefault="001446E1" w:rsidP="00C13AAC">
      <w:pPr>
        <w:pStyle w:val="Prrafodelista"/>
        <w:spacing w:after="0" w:line="240" w:lineRule="auto"/>
        <w:ind w:leftChars="0" w:left="1843" w:firstLineChars="0" w:firstLine="0"/>
        <w:jc w:val="both"/>
        <w:rPr>
          <w:rFonts w:ascii="Times New Roman" w:eastAsia="Times New Roman" w:hAnsi="Times New Roman" w:cs="Times New Roman"/>
          <w:lang w:val="es-MX" w:bidi="es-ES"/>
        </w:rPr>
      </w:pPr>
    </w:p>
    <w:p w14:paraId="3AE04358" w14:textId="0744A129" w:rsidR="001446E1" w:rsidRDefault="001446E1" w:rsidP="00C14A55">
      <w:pPr>
        <w:pStyle w:val="Prrafodelista"/>
        <w:numPr>
          <w:ilvl w:val="0"/>
          <w:numId w:val="11"/>
        </w:numPr>
        <w:spacing w:after="0" w:line="240" w:lineRule="auto"/>
        <w:ind w:leftChars="0" w:left="1985" w:firstLineChars="0" w:hanging="567"/>
        <w:jc w:val="both"/>
        <w:rPr>
          <w:rFonts w:ascii="Times New Roman" w:eastAsia="Times New Roman" w:hAnsi="Times New Roman" w:cs="Times New Roman"/>
          <w:lang w:val="es-MX" w:bidi="es-ES"/>
        </w:rPr>
      </w:pPr>
      <w:r w:rsidRPr="006A4775">
        <w:rPr>
          <w:rFonts w:ascii="Times New Roman" w:eastAsia="Times New Roman" w:hAnsi="Times New Roman" w:cs="Times New Roman"/>
          <w:lang w:val="es-MX" w:bidi="es-ES"/>
        </w:rPr>
        <w:t xml:space="preserve">A no incurrir en </w:t>
      </w:r>
      <w:r w:rsidR="000F6163" w:rsidRPr="006A4775">
        <w:rPr>
          <w:rFonts w:ascii="Times New Roman" w:eastAsia="Times New Roman" w:hAnsi="Times New Roman" w:cs="Times New Roman"/>
          <w:lang w:val="es-MX" w:bidi="es-ES"/>
        </w:rPr>
        <w:t xml:space="preserve">Endeudamiento </w:t>
      </w:r>
      <w:r w:rsidRPr="00ED25E9">
        <w:rPr>
          <w:rFonts w:ascii="Times New Roman" w:eastAsia="Times New Roman" w:hAnsi="Times New Roman" w:cs="Times New Roman"/>
          <w:lang w:val="es-MX" w:bidi="es-ES"/>
        </w:rPr>
        <w:t>Financier</w:t>
      </w:r>
      <w:r w:rsidR="000F6163" w:rsidRPr="00ED25E9">
        <w:rPr>
          <w:rFonts w:ascii="Times New Roman" w:eastAsia="Times New Roman" w:hAnsi="Times New Roman" w:cs="Times New Roman"/>
          <w:lang w:val="es-MX" w:bidi="es-ES"/>
        </w:rPr>
        <w:t xml:space="preserve">o por medio del cual </w:t>
      </w:r>
      <w:r w:rsidRPr="00ED25E9">
        <w:rPr>
          <w:rFonts w:ascii="Times New Roman" w:eastAsia="Times New Roman" w:hAnsi="Times New Roman" w:cs="Times New Roman"/>
          <w:lang w:val="es-MX" w:bidi="es-ES"/>
        </w:rPr>
        <w:t>los pagos de las Obligaciones Negociables</w:t>
      </w:r>
      <w:r w:rsidR="00C2054A" w:rsidRPr="00310976">
        <w:rPr>
          <w:rFonts w:ascii="Times New Roman" w:eastAsia="Times New Roman" w:hAnsi="Times New Roman" w:cs="Times New Roman"/>
          <w:lang w:val="es-MX" w:bidi="es-ES"/>
        </w:rPr>
        <w:t xml:space="preserve"> queden subordinados a dicho Endeudamiento Financiero</w:t>
      </w:r>
      <w:r w:rsidR="00BC1554">
        <w:rPr>
          <w:rFonts w:ascii="Times New Roman" w:eastAsia="Times New Roman" w:hAnsi="Times New Roman" w:cs="Times New Roman"/>
          <w:lang w:val="es-MX" w:bidi="es-ES"/>
        </w:rPr>
        <w:t xml:space="preserve"> ni efectuar pagos anticipados de otras </w:t>
      </w:r>
      <w:r w:rsidR="000F77FE">
        <w:rPr>
          <w:rFonts w:ascii="Times New Roman" w:eastAsia="Times New Roman" w:hAnsi="Times New Roman" w:cs="Times New Roman"/>
          <w:lang w:val="es-MX" w:bidi="es-ES"/>
        </w:rPr>
        <w:t>Endeudamiento Financiero</w:t>
      </w:r>
      <w:r w:rsidR="00BC1554">
        <w:rPr>
          <w:rFonts w:ascii="Times New Roman" w:eastAsia="Times New Roman" w:hAnsi="Times New Roman" w:cs="Times New Roman"/>
          <w:lang w:val="es-MX" w:bidi="es-ES"/>
        </w:rPr>
        <w:t xml:space="preserve"> que no sean las de las Obligaciones Negociables </w:t>
      </w:r>
      <w:r w:rsidR="00AD06D5" w:rsidRPr="00AD06D5">
        <w:rPr>
          <w:rFonts w:ascii="Times New Roman" w:eastAsia="Times New Roman" w:hAnsi="Times New Roman" w:cs="Times New Roman"/>
          <w:lang w:val="es-MX" w:bidi="es-ES"/>
        </w:rPr>
        <w:t xml:space="preserve">o aquellos pagos anticipados específicamente previstos en los </w:t>
      </w:r>
      <w:r w:rsidR="00DC1800">
        <w:rPr>
          <w:rFonts w:ascii="Times New Roman" w:eastAsia="Times New Roman" w:hAnsi="Times New Roman" w:cs="Times New Roman"/>
          <w:lang w:val="es-MX" w:bidi="es-ES"/>
        </w:rPr>
        <w:t>t</w:t>
      </w:r>
      <w:r w:rsidR="00AD06D5" w:rsidRPr="00AD06D5">
        <w:rPr>
          <w:rFonts w:ascii="Times New Roman" w:eastAsia="Times New Roman" w:hAnsi="Times New Roman" w:cs="Times New Roman"/>
          <w:lang w:val="es-MX" w:bidi="es-ES"/>
        </w:rPr>
        <w:t xml:space="preserve">érminos y </w:t>
      </w:r>
      <w:r w:rsidR="00DC1800">
        <w:rPr>
          <w:rFonts w:ascii="Times New Roman" w:eastAsia="Times New Roman" w:hAnsi="Times New Roman" w:cs="Times New Roman"/>
          <w:lang w:val="es-MX" w:bidi="es-ES"/>
        </w:rPr>
        <w:t>c</w:t>
      </w:r>
      <w:r w:rsidR="00AD06D5" w:rsidRPr="00AD06D5">
        <w:rPr>
          <w:rFonts w:ascii="Times New Roman" w:eastAsia="Times New Roman" w:hAnsi="Times New Roman" w:cs="Times New Roman"/>
          <w:lang w:val="es-MX" w:bidi="es-ES"/>
        </w:rPr>
        <w:t xml:space="preserve">ondiciones </w:t>
      </w:r>
      <w:r w:rsidR="00DC1800">
        <w:rPr>
          <w:rFonts w:ascii="Times New Roman" w:eastAsia="Times New Roman" w:hAnsi="Times New Roman" w:cs="Times New Roman"/>
          <w:lang w:val="es-MX" w:bidi="es-ES"/>
        </w:rPr>
        <w:t xml:space="preserve">de cada Endeudamiento Financiero en particular </w:t>
      </w:r>
      <w:r w:rsidR="00AD06D5" w:rsidRPr="00AD06D5">
        <w:rPr>
          <w:rFonts w:ascii="Times New Roman" w:eastAsia="Times New Roman" w:hAnsi="Times New Roman" w:cs="Times New Roman"/>
          <w:lang w:val="es-MX" w:bidi="es-ES"/>
        </w:rPr>
        <w:t>aplicables en cada caso</w:t>
      </w:r>
      <w:r w:rsidRPr="00310976">
        <w:rPr>
          <w:rFonts w:ascii="Times New Roman" w:eastAsia="Times New Roman" w:hAnsi="Times New Roman" w:cs="Times New Roman"/>
          <w:lang w:val="es-MX" w:bidi="es-ES"/>
        </w:rPr>
        <w:t>.</w:t>
      </w:r>
    </w:p>
    <w:p w14:paraId="418235E7" w14:textId="77777777" w:rsidR="00A36CA4" w:rsidRPr="00F069B4" w:rsidRDefault="00A36CA4" w:rsidP="00F069B4">
      <w:pPr>
        <w:pStyle w:val="Prrafodelista"/>
        <w:ind w:left="0" w:hanging="2"/>
        <w:rPr>
          <w:rFonts w:ascii="Times New Roman" w:eastAsia="Times New Roman" w:hAnsi="Times New Roman" w:cs="Times New Roman"/>
          <w:lang w:val="es-MX" w:bidi="es-ES"/>
        </w:rPr>
      </w:pPr>
    </w:p>
    <w:p w14:paraId="4C28F780" w14:textId="29FD745D" w:rsidR="00625EC1" w:rsidRDefault="00A36CA4" w:rsidP="00625EC1">
      <w:pPr>
        <w:spacing w:after="0" w:line="240" w:lineRule="auto"/>
        <w:ind w:leftChars="0" w:left="1136" w:firstLineChars="0" w:hanging="2"/>
        <w:jc w:val="both"/>
        <w:rPr>
          <w:rFonts w:ascii="Times New Roman" w:eastAsia="Times New Roman" w:hAnsi="Times New Roman" w:cs="Times New Roman"/>
          <w:i/>
          <w:lang w:val="es-MX" w:bidi="es-ES"/>
        </w:rPr>
      </w:pPr>
      <w:r>
        <w:rPr>
          <w:rFonts w:ascii="Times New Roman" w:eastAsia="Times New Roman" w:hAnsi="Times New Roman" w:cs="Times New Roman"/>
          <w:lang w:val="es-MX" w:bidi="es-ES"/>
        </w:rPr>
        <w:t xml:space="preserve">(ii) </w:t>
      </w:r>
      <w:r w:rsidRPr="00F069B4">
        <w:rPr>
          <w:rFonts w:ascii="Times New Roman" w:eastAsia="Times New Roman" w:hAnsi="Times New Roman" w:cs="Times New Roman"/>
          <w:i/>
          <w:lang w:val="es-MX" w:bidi="es-ES"/>
        </w:rPr>
        <w:t>Limitación al pago de servicios</w:t>
      </w:r>
      <w:r w:rsidR="00500746">
        <w:rPr>
          <w:rFonts w:ascii="Times New Roman" w:eastAsia="Times New Roman" w:hAnsi="Times New Roman" w:cs="Times New Roman"/>
          <w:i/>
          <w:lang w:val="es-MX" w:bidi="es-ES"/>
        </w:rPr>
        <w:t xml:space="preserve"> a sus Controlantes y Subsidiarias</w:t>
      </w:r>
      <w:r w:rsidR="00625EC1">
        <w:rPr>
          <w:rFonts w:ascii="Times New Roman" w:eastAsia="Times New Roman" w:hAnsi="Times New Roman" w:cs="Times New Roman"/>
          <w:i/>
          <w:lang w:val="es-MX" w:bidi="es-ES"/>
        </w:rPr>
        <w:t xml:space="preserve"> o Partes Relacionadas</w:t>
      </w:r>
    </w:p>
    <w:p w14:paraId="780A62EE" w14:textId="08D6C219" w:rsidR="00A36CA4" w:rsidRDefault="00A36CA4" w:rsidP="00F069B4">
      <w:pPr>
        <w:spacing w:after="0" w:line="240" w:lineRule="auto"/>
        <w:ind w:leftChars="0" w:left="1136" w:firstLineChars="0" w:hanging="2"/>
        <w:jc w:val="both"/>
        <w:rPr>
          <w:rFonts w:ascii="Times New Roman" w:eastAsia="Times New Roman" w:hAnsi="Times New Roman" w:cs="Times New Roman"/>
          <w:i/>
          <w:lang w:val="es-MX" w:bidi="es-ES"/>
        </w:rPr>
      </w:pPr>
    </w:p>
    <w:p w14:paraId="5210790D" w14:textId="786C9A6D" w:rsidR="00A36CA4" w:rsidRDefault="00A36CA4" w:rsidP="00F069B4">
      <w:pPr>
        <w:spacing w:after="0" w:line="240" w:lineRule="auto"/>
        <w:ind w:leftChars="0" w:left="1136" w:firstLineChars="0" w:hanging="2"/>
        <w:jc w:val="both"/>
        <w:rPr>
          <w:rFonts w:ascii="Times New Roman" w:eastAsia="Times New Roman" w:hAnsi="Times New Roman" w:cs="Times New Roman"/>
          <w:lang w:val="es-MX" w:bidi="es-ES"/>
        </w:rPr>
      </w:pPr>
    </w:p>
    <w:p w14:paraId="796D2D1F" w14:textId="652C4B93" w:rsidR="00A36CA4" w:rsidRPr="00F069B4" w:rsidRDefault="0055089D" w:rsidP="00741651">
      <w:pPr>
        <w:pStyle w:val="Prrafodelista"/>
        <w:spacing w:after="0" w:line="240" w:lineRule="auto"/>
        <w:ind w:leftChars="0" w:left="1418" w:firstLineChars="0" w:firstLine="0"/>
        <w:jc w:val="both"/>
        <w:rPr>
          <w:rFonts w:ascii="Times New Roman" w:eastAsia="Times New Roman" w:hAnsi="Times New Roman" w:cs="Times New Roman"/>
          <w:lang w:val="es-MX" w:bidi="es-ES"/>
        </w:rPr>
      </w:pPr>
      <w:r>
        <w:rPr>
          <w:rFonts w:ascii="Times New Roman" w:eastAsia="Times New Roman" w:hAnsi="Times New Roman" w:cs="Times New Roman"/>
          <w:lang w:val="es-MX" w:bidi="es-ES"/>
        </w:rPr>
        <w:tab/>
      </w:r>
      <w:r w:rsidRPr="00741651">
        <w:rPr>
          <w:rFonts w:ascii="Times New Roman" w:hAnsi="Times New Roman" w:cs="Times New Roman"/>
        </w:rPr>
        <w:t>La Sociedad se compromete</w:t>
      </w:r>
      <w:r w:rsidR="008663AE" w:rsidRPr="00741651">
        <w:rPr>
          <w:rFonts w:ascii="Times New Roman" w:hAnsi="Times New Roman" w:cs="Times New Roman"/>
        </w:rPr>
        <w:t xml:space="preserve"> </w:t>
      </w:r>
      <w:r w:rsidR="00500746">
        <w:rPr>
          <w:rFonts w:ascii="Times New Roman" w:hAnsi="Times New Roman" w:cs="Times New Roman"/>
        </w:rPr>
        <w:t xml:space="preserve">a no </w:t>
      </w:r>
      <w:r w:rsidR="00500746" w:rsidRPr="00741651">
        <w:rPr>
          <w:rFonts w:ascii="Times New Roman" w:hAnsi="Times New Roman" w:cs="Times New Roman"/>
        </w:rPr>
        <w:t>realizar pagos de</w:t>
      </w:r>
      <w:r w:rsidR="008663AE" w:rsidRPr="00741651">
        <w:rPr>
          <w:rFonts w:ascii="Times New Roman" w:hAnsi="Times New Roman" w:cs="Times New Roman"/>
        </w:rPr>
        <w:t xml:space="preserve"> servicios, </w:t>
      </w:r>
      <w:r w:rsidR="00500746">
        <w:rPr>
          <w:rFonts w:ascii="Times New Roman" w:hAnsi="Times New Roman" w:cs="Times New Roman"/>
        </w:rPr>
        <w:t>incluyendo</w:t>
      </w:r>
      <w:r w:rsidR="008663AE" w:rsidRPr="00741651">
        <w:rPr>
          <w:rFonts w:ascii="Times New Roman" w:hAnsi="Times New Roman" w:cs="Times New Roman"/>
        </w:rPr>
        <w:t xml:space="preserve"> </w:t>
      </w:r>
      <w:r w:rsidR="00500746">
        <w:rPr>
          <w:rFonts w:ascii="Times New Roman" w:hAnsi="Times New Roman" w:cs="Times New Roman"/>
        </w:rPr>
        <w:t>sin limitaciones,</w:t>
      </w:r>
      <w:r w:rsidR="008663AE" w:rsidRPr="00741651">
        <w:rPr>
          <w:rFonts w:ascii="Times New Roman" w:hAnsi="Times New Roman" w:cs="Times New Roman"/>
        </w:rPr>
        <w:t xml:space="preserve"> servicios de gerenciamiento, a sus </w:t>
      </w:r>
      <w:r w:rsidR="00B93BFB">
        <w:rPr>
          <w:rFonts w:ascii="Times New Roman" w:hAnsi="Times New Roman" w:cs="Times New Roman"/>
        </w:rPr>
        <w:t>C</w:t>
      </w:r>
      <w:r w:rsidR="00500746">
        <w:rPr>
          <w:rFonts w:ascii="Times New Roman" w:hAnsi="Times New Roman" w:cs="Times New Roman"/>
        </w:rPr>
        <w:t>ontrolantes</w:t>
      </w:r>
      <w:r w:rsidR="008663AE" w:rsidRPr="00741651">
        <w:rPr>
          <w:rFonts w:ascii="Times New Roman" w:hAnsi="Times New Roman" w:cs="Times New Roman"/>
        </w:rPr>
        <w:t xml:space="preserve"> o </w:t>
      </w:r>
      <w:r w:rsidR="008F416D">
        <w:rPr>
          <w:rFonts w:ascii="Times New Roman" w:hAnsi="Times New Roman" w:cs="Times New Roman"/>
        </w:rPr>
        <w:t xml:space="preserve">a </w:t>
      </w:r>
      <w:r w:rsidR="008663AE" w:rsidRPr="00741651">
        <w:rPr>
          <w:rFonts w:ascii="Times New Roman" w:hAnsi="Times New Roman" w:cs="Times New Roman"/>
        </w:rPr>
        <w:t>cualquiera de sus Subsidiarias</w:t>
      </w:r>
      <w:r w:rsidR="00625EC1">
        <w:rPr>
          <w:rFonts w:ascii="Times New Roman" w:hAnsi="Times New Roman" w:cs="Times New Roman"/>
        </w:rPr>
        <w:t xml:space="preserve"> o Partes Relacionadas</w:t>
      </w:r>
      <w:r w:rsidR="008663AE" w:rsidRPr="00741651">
        <w:rPr>
          <w:rFonts w:ascii="Times New Roman" w:hAnsi="Times New Roman" w:cs="Times New Roman"/>
        </w:rPr>
        <w:t>,</w:t>
      </w:r>
      <w:r w:rsidR="00500746">
        <w:rPr>
          <w:rFonts w:ascii="Times New Roman" w:hAnsi="Times New Roman" w:cs="Times New Roman"/>
        </w:rPr>
        <w:t xml:space="preserve"> que no </w:t>
      </w:r>
      <w:r w:rsidR="00500746" w:rsidRPr="00741651">
        <w:rPr>
          <w:rFonts w:ascii="Times New Roman" w:hAnsi="Times New Roman" w:cs="Times New Roman"/>
        </w:rPr>
        <w:t>sean en condiciones de mercado</w:t>
      </w:r>
      <w:r w:rsidR="008663AE">
        <w:rPr>
          <w:rFonts w:ascii="Times New Roman" w:hAnsi="Times New Roman" w:cs="Times New Roman"/>
        </w:rPr>
        <w:t>.</w:t>
      </w:r>
    </w:p>
    <w:p w14:paraId="6E79D576" w14:textId="77777777" w:rsidR="000F6163" w:rsidRPr="00740007" w:rsidRDefault="000F6163" w:rsidP="00C13AAC">
      <w:pPr>
        <w:pStyle w:val="Prrafodelista"/>
        <w:spacing w:after="0" w:line="240" w:lineRule="auto"/>
        <w:ind w:leftChars="0" w:left="1418" w:firstLineChars="0" w:firstLine="0"/>
        <w:jc w:val="both"/>
        <w:rPr>
          <w:rFonts w:ascii="Times New Roman" w:eastAsia="Times New Roman" w:hAnsi="Times New Roman" w:cs="Times New Roman"/>
          <w:b/>
          <w:i/>
          <w:lang w:val="es-MX" w:bidi="es-ES"/>
        </w:rPr>
      </w:pPr>
    </w:p>
    <w:p w14:paraId="17673C1D" w14:textId="694ED58E" w:rsidR="000F6163" w:rsidRPr="00FB4529" w:rsidRDefault="00A36CA4" w:rsidP="00F069B4">
      <w:pPr>
        <w:spacing w:after="0" w:line="240" w:lineRule="auto"/>
        <w:ind w:leftChars="0" w:left="853" w:firstLineChars="0" w:firstLine="0"/>
        <w:jc w:val="both"/>
        <w:rPr>
          <w:rFonts w:ascii="Times New Roman" w:eastAsia="Times New Roman" w:hAnsi="Times New Roman" w:cs="Times New Roman"/>
          <w:i/>
          <w:lang w:val="es-MX" w:bidi="es-ES"/>
        </w:rPr>
      </w:pPr>
      <w:r>
        <w:rPr>
          <w:rFonts w:ascii="Times New Roman" w:eastAsia="Times New Roman" w:hAnsi="Times New Roman" w:cs="Times New Roman"/>
          <w:lang w:val="es-MX" w:bidi="es-ES"/>
        </w:rPr>
        <w:lastRenderedPageBreak/>
        <w:t xml:space="preserve">     </w:t>
      </w:r>
      <w:r w:rsidRPr="00F069B4">
        <w:rPr>
          <w:rFonts w:ascii="Times New Roman" w:eastAsia="Times New Roman" w:hAnsi="Times New Roman" w:cs="Times New Roman"/>
          <w:lang w:val="es-MX" w:bidi="es-ES"/>
        </w:rPr>
        <w:t>(iii)</w:t>
      </w:r>
      <w:r w:rsidR="00F83383" w:rsidRPr="00FB4529">
        <w:rPr>
          <w:rFonts w:ascii="Times New Roman" w:eastAsia="Times New Roman" w:hAnsi="Times New Roman" w:cs="Times New Roman"/>
          <w:i/>
          <w:lang w:val="es-MX" w:bidi="es-ES"/>
        </w:rPr>
        <w:t xml:space="preserve"> Limitación a realizar Pagos de Utilidades y Dividendos</w:t>
      </w:r>
    </w:p>
    <w:p w14:paraId="7CA8D3E4" w14:textId="77777777" w:rsidR="00F83383" w:rsidRPr="00F069B4" w:rsidRDefault="00F83383" w:rsidP="00C13AAC">
      <w:pPr>
        <w:pStyle w:val="Prrafodelista"/>
        <w:spacing w:after="0" w:line="240" w:lineRule="auto"/>
        <w:ind w:leftChars="0" w:left="1418" w:firstLineChars="0" w:firstLine="0"/>
        <w:jc w:val="both"/>
        <w:rPr>
          <w:rFonts w:ascii="Times New Roman" w:hAnsi="Times New Roman" w:cs="Times New Roman"/>
        </w:rPr>
      </w:pPr>
    </w:p>
    <w:p w14:paraId="73D5CA89" w14:textId="6CCE3E1A" w:rsidR="00F83383" w:rsidRPr="00214269" w:rsidRDefault="00F83383" w:rsidP="00C13AAC">
      <w:pPr>
        <w:pStyle w:val="Prrafodelista"/>
        <w:spacing w:after="0" w:line="240" w:lineRule="auto"/>
        <w:ind w:leftChars="0" w:left="1418" w:firstLineChars="0" w:firstLine="0"/>
        <w:jc w:val="both"/>
        <w:rPr>
          <w:rFonts w:ascii="Times New Roman" w:hAnsi="Times New Roman" w:cs="Times New Roman"/>
        </w:rPr>
      </w:pPr>
      <w:r w:rsidRPr="0055089D">
        <w:rPr>
          <w:rFonts w:ascii="Times New Roman" w:hAnsi="Times New Roman" w:cs="Times New Roman"/>
        </w:rPr>
        <w:t xml:space="preserve">La Sociedad se compromete a no declarar ni pagar ningún dividendo ni realizar ningún otro tipo de distribución de utilidades o de distribución </w:t>
      </w:r>
      <w:r w:rsidR="00C2054A" w:rsidRPr="0055089D">
        <w:rPr>
          <w:rFonts w:ascii="Times New Roman" w:hAnsi="Times New Roman" w:cs="Times New Roman"/>
        </w:rPr>
        <w:t xml:space="preserve">de beneficios </w:t>
      </w:r>
      <w:r w:rsidRPr="0055089D">
        <w:rPr>
          <w:rFonts w:ascii="Times New Roman" w:hAnsi="Times New Roman" w:cs="Times New Roman"/>
        </w:rPr>
        <w:t>relacionada con su Capital Social (excepto cuando dicho pago o distribución sea hecho en especie co</w:t>
      </w:r>
      <w:r w:rsidRPr="003F14C4">
        <w:rPr>
          <w:rFonts w:ascii="Times New Roman" w:hAnsi="Times New Roman" w:cs="Times New Roman"/>
        </w:rPr>
        <w:t xml:space="preserve">n acciones de cualquier clase del Capital Social de la Sociedad), ni </w:t>
      </w:r>
      <w:r w:rsidR="00C2054A" w:rsidRPr="00626DBF">
        <w:rPr>
          <w:rFonts w:ascii="Times New Roman" w:hAnsi="Times New Roman" w:cs="Times New Roman"/>
        </w:rPr>
        <w:t xml:space="preserve">a </w:t>
      </w:r>
      <w:r w:rsidRPr="00626DBF">
        <w:rPr>
          <w:rFonts w:ascii="Times New Roman" w:hAnsi="Times New Roman" w:cs="Times New Roman"/>
        </w:rPr>
        <w:t>comprar, rescatar,  o de cualquier otro modo adquirir sus propias acciones o Capital Social propio, ni reducir su Capital Social</w:t>
      </w:r>
      <w:r w:rsidR="00C2054A" w:rsidRPr="00626DBF">
        <w:rPr>
          <w:rFonts w:ascii="Times New Roman" w:hAnsi="Times New Roman" w:cs="Times New Roman"/>
        </w:rPr>
        <w:t xml:space="preserve"> (salvo reducciones de capital obligatorias)</w:t>
      </w:r>
      <w:r w:rsidRPr="00AC013A">
        <w:rPr>
          <w:rFonts w:ascii="Times New Roman" w:hAnsi="Times New Roman" w:cs="Times New Roman"/>
        </w:rPr>
        <w:t>, ni realizar</w:t>
      </w:r>
      <w:r w:rsidRPr="00F43580">
        <w:rPr>
          <w:rFonts w:ascii="Times New Roman" w:hAnsi="Times New Roman" w:cs="Times New Roman"/>
        </w:rPr>
        <w:t xml:space="preserve"> cualquier distribución de sus activos (excepto acciones de cualquier clase del Capital Social de la </w:t>
      </w:r>
      <w:r w:rsidR="003053A0" w:rsidRPr="00F43580">
        <w:rPr>
          <w:rFonts w:ascii="Times New Roman" w:hAnsi="Times New Roman" w:cs="Times New Roman"/>
        </w:rPr>
        <w:t>Sociedad</w:t>
      </w:r>
      <w:r w:rsidR="00C2054A" w:rsidRPr="00F43580">
        <w:rPr>
          <w:rFonts w:ascii="Times New Roman" w:hAnsi="Times New Roman" w:cs="Times New Roman"/>
        </w:rPr>
        <w:t>)</w:t>
      </w:r>
      <w:r w:rsidRPr="00EF6EEA">
        <w:rPr>
          <w:rFonts w:ascii="Times New Roman" w:hAnsi="Times New Roman" w:cs="Times New Roman"/>
        </w:rPr>
        <w:t>, ni efectuar pago alguno por dichos conceptos a sus accionistas, en efectivo o en especie (excepto acciones de cualquier clase del Capital Socia</w:t>
      </w:r>
      <w:r w:rsidRPr="00DF7A87">
        <w:rPr>
          <w:rFonts w:ascii="Times New Roman" w:hAnsi="Times New Roman" w:cs="Times New Roman"/>
        </w:rPr>
        <w:t xml:space="preserve">l de la Sociedad), </w:t>
      </w:r>
    </w:p>
    <w:p w14:paraId="3E89B788" w14:textId="77777777" w:rsidR="00302712" w:rsidRPr="0062702E" w:rsidRDefault="00302712" w:rsidP="00C13AAC">
      <w:pPr>
        <w:pStyle w:val="Prrafodelista"/>
        <w:spacing w:after="0" w:line="240" w:lineRule="auto"/>
        <w:ind w:leftChars="0" w:left="1418" w:firstLineChars="0" w:firstLine="0"/>
        <w:jc w:val="both"/>
        <w:rPr>
          <w:rFonts w:ascii="Times New Roman" w:eastAsia="Times New Roman" w:hAnsi="Times New Roman" w:cs="Times New Roman"/>
          <w:lang w:val="es-MX" w:bidi="es-ES"/>
        </w:rPr>
      </w:pPr>
    </w:p>
    <w:p w14:paraId="6935AE63" w14:textId="2FAC5FF8" w:rsidR="00302712" w:rsidRPr="00740007" w:rsidRDefault="00002EF7" w:rsidP="00C13AAC">
      <w:pPr>
        <w:pStyle w:val="Prrafodelista"/>
        <w:spacing w:after="0" w:line="240" w:lineRule="auto"/>
        <w:ind w:leftChars="0" w:left="1418" w:firstLineChars="0" w:firstLine="0"/>
        <w:jc w:val="both"/>
        <w:textDirection w:val="lrTb"/>
        <w:rPr>
          <w:rFonts w:ascii="Times New Roman" w:hAnsi="Times New Roman" w:cs="Times New Roman"/>
          <w:i/>
          <w:u w:val="single"/>
          <w:lang w:val="es-MX" w:bidi="es-ES"/>
          <w:specVanish/>
        </w:rPr>
      </w:pPr>
      <w:bookmarkStart w:id="0" w:name="_Toc25577078"/>
      <w:bookmarkStart w:id="1" w:name="_Toc27593244"/>
      <w:r w:rsidRPr="00310976">
        <w:rPr>
          <w:rFonts w:ascii="Times New Roman" w:eastAsia="Times New Roman" w:hAnsi="Times New Roman" w:cs="Times New Roman"/>
          <w:lang w:val="es-MX" w:bidi="es-ES"/>
        </w:rPr>
        <w:t>(i</w:t>
      </w:r>
      <w:r w:rsidR="00A36CA4">
        <w:rPr>
          <w:rFonts w:ascii="Times New Roman" w:eastAsia="Times New Roman" w:hAnsi="Times New Roman" w:cs="Times New Roman"/>
          <w:lang w:val="es-MX" w:bidi="es-ES"/>
        </w:rPr>
        <w:t>v</w:t>
      </w:r>
      <w:r w:rsidRPr="00310976">
        <w:rPr>
          <w:rFonts w:ascii="Times New Roman" w:eastAsia="Times New Roman" w:hAnsi="Times New Roman" w:cs="Times New Roman"/>
          <w:lang w:val="es-MX" w:bidi="es-ES"/>
        </w:rPr>
        <w:t>)</w:t>
      </w:r>
      <w:r w:rsidRPr="00310976">
        <w:rPr>
          <w:rFonts w:ascii="Times New Roman" w:eastAsia="Times New Roman" w:hAnsi="Times New Roman" w:cs="Times New Roman"/>
          <w:i/>
          <w:lang w:val="es-MX" w:bidi="es-ES"/>
        </w:rPr>
        <w:t xml:space="preserve"> </w:t>
      </w:r>
      <w:r w:rsidR="00302712" w:rsidRPr="00740007">
        <w:rPr>
          <w:rFonts w:ascii="Times New Roman" w:eastAsia="Times New Roman" w:hAnsi="Times New Roman" w:cs="Times New Roman"/>
          <w:i/>
          <w:lang w:val="es-MX" w:bidi="es-ES"/>
        </w:rPr>
        <w:t>Limitación al pago de A</w:t>
      </w:r>
      <w:r w:rsidR="00302712" w:rsidRPr="00740007">
        <w:rPr>
          <w:rFonts w:ascii="Times New Roman" w:hAnsi="Times New Roman" w:cs="Times New Roman"/>
          <w:i/>
          <w:lang w:val="es-MX" w:bidi="es-ES"/>
        </w:rPr>
        <w:t>nticipos, Honorarios y Remuneraciones</w:t>
      </w:r>
      <w:bookmarkEnd w:id="0"/>
      <w:bookmarkEnd w:id="1"/>
    </w:p>
    <w:p w14:paraId="25AC9B77" w14:textId="77777777" w:rsidR="00302712" w:rsidRPr="0055089D" w:rsidRDefault="00302712" w:rsidP="00C13AAC">
      <w:pPr>
        <w:pStyle w:val="Prrafodelista"/>
        <w:spacing w:after="0" w:line="240" w:lineRule="auto"/>
        <w:ind w:leftChars="0" w:left="1418" w:firstLineChars="0" w:firstLine="0"/>
        <w:jc w:val="both"/>
        <w:textDirection w:val="lrTb"/>
        <w:rPr>
          <w:rFonts w:ascii="Times New Roman" w:hAnsi="Times New Roman" w:cs="Times New Roman"/>
          <w:b/>
          <w:i/>
          <w:lang w:val="es-MX" w:bidi="es-ES"/>
          <w:specVanish/>
        </w:rPr>
      </w:pPr>
    </w:p>
    <w:p w14:paraId="4B70093F" w14:textId="6C91D56A" w:rsidR="00302712" w:rsidRDefault="00302712" w:rsidP="00C13AAC">
      <w:pPr>
        <w:pStyle w:val="Prrafodelista"/>
        <w:spacing w:after="0" w:line="240" w:lineRule="auto"/>
        <w:ind w:leftChars="0" w:left="1418" w:firstLineChars="0" w:firstLine="0"/>
        <w:jc w:val="both"/>
        <w:rPr>
          <w:rFonts w:ascii="Times New Roman" w:hAnsi="Times New Roman" w:cs="Times New Roman"/>
        </w:rPr>
      </w:pPr>
      <w:r w:rsidRPr="00626DBF">
        <w:rPr>
          <w:rFonts w:ascii="Times New Roman" w:hAnsi="Times New Roman" w:cs="Times New Roman"/>
        </w:rPr>
        <w:t xml:space="preserve">La Sociedad se compromete no pagar anticipos, honorarios, remuneraciones o retribuciones a sus directores y/o síndicos (excepto a través de planes de opción sobre Capital Social de la </w:t>
      </w:r>
      <w:r w:rsidR="003053A0" w:rsidRPr="00626DBF">
        <w:rPr>
          <w:rFonts w:ascii="Times New Roman" w:hAnsi="Times New Roman" w:cs="Times New Roman"/>
        </w:rPr>
        <w:t>Sociedad</w:t>
      </w:r>
      <w:r w:rsidRPr="00626DBF">
        <w:rPr>
          <w:rFonts w:ascii="Times New Roman" w:hAnsi="Times New Roman" w:cs="Times New Roman"/>
        </w:rPr>
        <w:t xml:space="preserve">), en la medida que excedan la suma total de </w:t>
      </w:r>
      <w:r w:rsidRPr="00F43580">
        <w:rPr>
          <w:rFonts w:ascii="Times New Roman" w:hAnsi="Times New Roman" w:cs="Times New Roman"/>
        </w:rPr>
        <w:t>US$</w:t>
      </w:r>
      <w:r w:rsidR="00581923">
        <w:rPr>
          <w:rFonts w:ascii="Times New Roman" w:hAnsi="Times New Roman" w:cs="Times New Roman"/>
        </w:rPr>
        <w:t>1</w:t>
      </w:r>
      <w:r w:rsidRPr="00F43580">
        <w:rPr>
          <w:rFonts w:ascii="Times New Roman" w:hAnsi="Times New Roman" w:cs="Times New Roman"/>
        </w:rPr>
        <w:t>.000.000</w:t>
      </w:r>
      <w:r w:rsidR="008E25F1" w:rsidRPr="00F43580" w:rsidDel="008E25F1">
        <w:rPr>
          <w:rFonts w:ascii="Times New Roman" w:hAnsi="Times New Roman" w:cs="Times New Roman"/>
        </w:rPr>
        <w:t xml:space="preserve"> </w:t>
      </w:r>
      <w:r w:rsidR="008E25F1" w:rsidRPr="00F43580">
        <w:rPr>
          <w:rFonts w:ascii="Times New Roman" w:hAnsi="Times New Roman" w:cs="Times New Roman"/>
        </w:rPr>
        <w:t>(</w:t>
      </w:r>
      <w:r w:rsidR="003D5140">
        <w:rPr>
          <w:rFonts w:ascii="Times New Roman" w:hAnsi="Times New Roman" w:cs="Times New Roman"/>
        </w:rPr>
        <w:t>Dólares Estadounidenses</w:t>
      </w:r>
      <w:r w:rsidR="008F416D">
        <w:rPr>
          <w:rFonts w:ascii="Times New Roman" w:hAnsi="Times New Roman" w:cs="Times New Roman"/>
        </w:rPr>
        <w:t xml:space="preserve"> un millón </w:t>
      </w:r>
      <w:r w:rsidRPr="00EF6EEA">
        <w:rPr>
          <w:rFonts w:ascii="Times New Roman" w:hAnsi="Times New Roman" w:cs="Times New Roman"/>
        </w:rPr>
        <w:t xml:space="preserve">o su </w:t>
      </w:r>
      <w:r w:rsidR="00253EF2" w:rsidRPr="00DF7A87">
        <w:rPr>
          <w:rFonts w:ascii="Times New Roman" w:hAnsi="Times New Roman" w:cs="Times New Roman"/>
        </w:rPr>
        <w:t>e</w:t>
      </w:r>
      <w:r w:rsidRPr="009573B9">
        <w:rPr>
          <w:rFonts w:ascii="Times New Roman" w:hAnsi="Times New Roman" w:cs="Times New Roman"/>
        </w:rPr>
        <w:t>quivalente en Pesos)</w:t>
      </w:r>
      <w:r w:rsidR="00A36CA4">
        <w:rPr>
          <w:rFonts w:ascii="Times New Roman" w:hAnsi="Times New Roman" w:cs="Times New Roman"/>
        </w:rPr>
        <w:t xml:space="preserve"> </w:t>
      </w:r>
      <w:r w:rsidRPr="00214269">
        <w:rPr>
          <w:rFonts w:ascii="Times New Roman" w:hAnsi="Times New Roman" w:cs="Times New Roman"/>
        </w:rPr>
        <w:t xml:space="preserve">durante cada ejercicio anual de la Sociedad. </w:t>
      </w:r>
    </w:p>
    <w:p w14:paraId="1062BF91" w14:textId="77777777" w:rsidR="00DC1800" w:rsidRDefault="00DC1800" w:rsidP="00C13AAC">
      <w:pPr>
        <w:pStyle w:val="Prrafodelista"/>
        <w:spacing w:after="0" w:line="240" w:lineRule="auto"/>
        <w:ind w:leftChars="0" w:left="1418" w:firstLineChars="0" w:firstLine="0"/>
        <w:jc w:val="both"/>
        <w:rPr>
          <w:rFonts w:ascii="Times New Roman" w:hAnsi="Times New Roman" w:cs="Times New Roman"/>
        </w:rPr>
      </w:pPr>
    </w:p>
    <w:p w14:paraId="3EEB10F7" w14:textId="52C0898F" w:rsidR="00061723" w:rsidRPr="00214269" w:rsidRDefault="00061723" w:rsidP="00061723">
      <w:pPr>
        <w:pStyle w:val="Prrafodelista"/>
        <w:spacing w:after="0" w:line="240" w:lineRule="auto"/>
        <w:ind w:leftChars="0" w:left="1418" w:firstLineChars="0" w:firstLine="0"/>
        <w:jc w:val="both"/>
        <w:rPr>
          <w:rFonts w:ascii="Times New Roman" w:hAnsi="Times New Roman" w:cs="Times New Roman"/>
          <w:spacing w:val="-3"/>
        </w:rPr>
      </w:pPr>
      <w:r>
        <w:rPr>
          <w:rFonts w:ascii="Times New Roman" w:hAnsi="Times New Roman" w:cs="Times New Roman"/>
        </w:rPr>
        <w:t>(v)</w:t>
      </w:r>
      <w:r w:rsidRPr="00061723">
        <w:t xml:space="preserve"> </w:t>
      </w:r>
      <w:r w:rsidRPr="00061723">
        <w:rPr>
          <w:rFonts w:ascii="Times New Roman" w:hAnsi="Times New Roman" w:cs="Times New Roman"/>
        </w:rPr>
        <w:t xml:space="preserve">No modificar el Contrato de Fideicomiso de Catalinas, de modo de alterar </w:t>
      </w:r>
      <w:r w:rsidR="00DC1800">
        <w:rPr>
          <w:rFonts w:ascii="Times New Roman" w:hAnsi="Times New Roman" w:cs="Times New Roman"/>
        </w:rPr>
        <w:t xml:space="preserve">en forma significativa y adversa </w:t>
      </w:r>
      <w:r w:rsidRPr="00061723">
        <w:rPr>
          <w:rFonts w:ascii="Times New Roman" w:hAnsi="Times New Roman" w:cs="Times New Roman"/>
        </w:rPr>
        <w:t>los</w:t>
      </w:r>
      <w:r w:rsidR="00DC1800">
        <w:rPr>
          <w:rFonts w:ascii="Times New Roman" w:hAnsi="Times New Roman" w:cs="Times New Roman"/>
        </w:rPr>
        <w:t xml:space="preserve"> </w:t>
      </w:r>
      <w:r w:rsidRPr="00061723">
        <w:rPr>
          <w:rFonts w:ascii="Times New Roman" w:hAnsi="Times New Roman" w:cs="Times New Roman"/>
        </w:rPr>
        <w:t xml:space="preserve">derechos de los </w:t>
      </w:r>
      <w:r w:rsidR="00037F13">
        <w:rPr>
          <w:rFonts w:ascii="Times New Roman" w:hAnsi="Times New Roman" w:cs="Times New Roman"/>
        </w:rPr>
        <w:t>T</w:t>
      </w:r>
      <w:r w:rsidRPr="00061723">
        <w:rPr>
          <w:rFonts w:ascii="Times New Roman" w:hAnsi="Times New Roman" w:cs="Times New Roman"/>
        </w:rPr>
        <w:t>enedores de</w:t>
      </w:r>
      <w:r w:rsidR="00037F13">
        <w:rPr>
          <w:rFonts w:ascii="Times New Roman" w:hAnsi="Times New Roman" w:cs="Times New Roman"/>
        </w:rPr>
        <w:t>l</w:t>
      </w:r>
      <w:r w:rsidRPr="00061723">
        <w:rPr>
          <w:rFonts w:ascii="Times New Roman" w:hAnsi="Times New Roman" w:cs="Times New Roman"/>
        </w:rPr>
        <w:t xml:space="preserve"> </w:t>
      </w:r>
      <w:r w:rsidR="00037F13">
        <w:rPr>
          <w:rFonts w:ascii="Times New Roman" w:hAnsi="Times New Roman" w:cs="Times New Roman"/>
        </w:rPr>
        <w:t>c</w:t>
      </w:r>
      <w:r w:rsidRPr="00061723">
        <w:rPr>
          <w:rFonts w:ascii="Times New Roman" w:hAnsi="Times New Roman" w:cs="Times New Roman"/>
        </w:rPr>
        <w:t xml:space="preserve">ertificados de </w:t>
      </w:r>
      <w:r w:rsidR="00037F13">
        <w:rPr>
          <w:rFonts w:ascii="Times New Roman" w:hAnsi="Times New Roman" w:cs="Times New Roman"/>
        </w:rPr>
        <w:t>p</w:t>
      </w:r>
      <w:r w:rsidRPr="00061723">
        <w:rPr>
          <w:rFonts w:ascii="Times New Roman" w:hAnsi="Times New Roman" w:cs="Times New Roman"/>
        </w:rPr>
        <w:t>articipación emitido por dicho</w:t>
      </w:r>
      <w:r w:rsidR="00DC1800">
        <w:rPr>
          <w:rFonts w:ascii="Times New Roman" w:hAnsi="Times New Roman" w:cs="Times New Roman"/>
        </w:rPr>
        <w:t xml:space="preserve"> </w:t>
      </w:r>
      <w:r w:rsidRPr="00061723">
        <w:rPr>
          <w:rFonts w:ascii="Times New Roman" w:hAnsi="Times New Roman" w:cs="Times New Roman"/>
        </w:rPr>
        <w:t>Fideicomiso</w:t>
      </w:r>
      <w:r w:rsidR="00DC1800">
        <w:rPr>
          <w:rFonts w:ascii="Times New Roman" w:hAnsi="Times New Roman" w:cs="Times New Roman"/>
        </w:rPr>
        <w:t xml:space="preserve"> Catalinas</w:t>
      </w:r>
      <w:r w:rsidRPr="00061723">
        <w:rPr>
          <w:rFonts w:ascii="Times New Roman" w:hAnsi="Times New Roman" w:cs="Times New Roman"/>
        </w:rPr>
        <w:t xml:space="preserve">, sin la conformidad previa y expresa de al menos el 66% del </w:t>
      </w:r>
      <w:r w:rsidR="00DC1800">
        <w:rPr>
          <w:rFonts w:ascii="Times New Roman" w:hAnsi="Times New Roman" w:cs="Times New Roman"/>
        </w:rPr>
        <w:t xml:space="preserve">monto de </w:t>
      </w:r>
      <w:r w:rsidRPr="00061723">
        <w:rPr>
          <w:rFonts w:ascii="Times New Roman" w:hAnsi="Times New Roman" w:cs="Times New Roman"/>
        </w:rPr>
        <w:t>capital</w:t>
      </w:r>
      <w:r w:rsidR="00DC1800">
        <w:rPr>
          <w:rFonts w:ascii="Times New Roman" w:hAnsi="Times New Roman" w:cs="Times New Roman"/>
        </w:rPr>
        <w:t xml:space="preserve"> </w:t>
      </w:r>
      <w:r w:rsidRPr="00061723">
        <w:rPr>
          <w:rFonts w:ascii="Times New Roman" w:hAnsi="Times New Roman" w:cs="Times New Roman"/>
        </w:rPr>
        <w:t>de las Obligaciones Negociables, mientras se encuentre vigente la Prenda</w:t>
      </w:r>
      <w:r w:rsidR="00DC1800">
        <w:rPr>
          <w:rFonts w:ascii="Times New Roman" w:hAnsi="Times New Roman" w:cs="Times New Roman"/>
        </w:rPr>
        <w:t xml:space="preserve">, conforme el procedimiento establecido en </w:t>
      </w:r>
      <w:r w:rsidR="00DC1800" w:rsidRPr="005B76C0">
        <w:rPr>
          <w:rFonts w:ascii="Times New Roman" w:eastAsia="Times New Roman" w:hAnsi="Times New Roman" w:cs="Times New Roman"/>
          <w:lang w:bidi="es-ES"/>
        </w:rPr>
        <w:t>el apartado “</w:t>
      </w:r>
      <w:r w:rsidR="00DC1800" w:rsidRPr="005B76C0">
        <w:rPr>
          <w:rFonts w:ascii="Times New Roman" w:eastAsia="Times New Roman" w:hAnsi="Times New Roman" w:cs="Times New Roman"/>
          <w:i/>
          <w:lang w:bidi="es-ES"/>
        </w:rPr>
        <w:t>Nuevos Requisitos para la Modificación a los Términos y Condiciones Esenciales de las Obligaciones Negociables</w:t>
      </w:r>
      <w:r w:rsidR="00DC1800" w:rsidRPr="005B76C0">
        <w:rPr>
          <w:rFonts w:ascii="Times New Roman" w:eastAsia="Times New Roman" w:hAnsi="Times New Roman" w:cs="Times New Roman"/>
          <w:lang w:bidi="es-ES"/>
        </w:rPr>
        <w:t>” de la presente Solicitud de Consentimiento.</w:t>
      </w:r>
    </w:p>
    <w:p w14:paraId="30F6054A" w14:textId="77777777" w:rsidR="00302712" w:rsidRPr="0062702E" w:rsidRDefault="00302712" w:rsidP="00C13AAC">
      <w:pPr>
        <w:pStyle w:val="Prrafodelista"/>
        <w:spacing w:after="0" w:line="240" w:lineRule="auto"/>
        <w:ind w:leftChars="0" w:left="1418" w:firstLineChars="0" w:firstLine="0"/>
        <w:jc w:val="both"/>
        <w:rPr>
          <w:rFonts w:ascii="Times New Roman" w:eastAsia="Times New Roman" w:hAnsi="Times New Roman" w:cs="Times New Roman"/>
          <w:lang w:val="es-MX" w:bidi="es-ES"/>
        </w:rPr>
      </w:pPr>
    </w:p>
    <w:p w14:paraId="1C65BBA0" w14:textId="14DD9293" w:rsidR="00302712" w:rsidRPr="00740007" w:rsidRDefault="00002EF7" w:rsidP="00C13AAC">
      <w:pPr>
        <w:pStyle w:val="Prrafodelista"/>
        <w:spacing w:after="0" w:line="240" w:lineRule="auto"/>
        <w:ind w:leftChars="0" w:left="1418" w:firstLineChars="0" w:firstLine="0"/>
        <w:jc w:val="both"/>
        <w:rPr>
          <w:rFonts w:ascii="Times New Roman" w:eastAsia="Times New Roman" w:hAnsi="Times New Roman" w:cs="Times New Roman"/>
          <w:i/>
          <w:u w:val="single"/>
          <w:lang w:val="es-MX" w:bidi="es-ES"/>
        </w:rPr>
      </w:pPr>
      <w:r w:rsidRPr="00310976">
        <w:rPr>
          <w:rFonts w:ascii="Times New Roman" w:eastAsia="Times New Roman" w:hAnsi="Times New Roman" w:cs="Times New Roman"/>
          <w:lang w:val="es-MX" w:bidi="es-ES"/>
        </w:rPr>
        <w:t>(</w:t>
      </w:r>
      <w:r w:rsidR="00964870" w:rsidRPr="00310976">
        <w:rPr>
          <w:rFonts w:ascii="Times New Roman" w:eastAsia="Times New Roman" w:hAnsi="Times New Roman" w:cs="Times New Roman"/>
          <w:lang w:val="es-MX" w:bidi="es-ES"/>
        </w:rPr>
        <w:t>v</w:t>
      </w:r>
      <w:r w:rsidRPr="00740007">
        <w:rPr>
          <w:rFonts w:ascii="Times New Roman" w:eastAsia="Times New Roman" w:hAnsi="Times New Roman" w:cs="Times New Roman"/>
          <w:lang w:val="es-MX" w:bidi="es-ES"/>
        </w:rPr>
        <w:t>)</w:t>
      </w:r>
      <w:r w:rsidRPr="00740007">
        <w:rPr>
          <w:rFonts w:ascii="Times New Roman" w:eastAsia="Times New Roman" w:hAnsi="Times New Roman" w:cs="Times New Roman"/>
          <w:i/>
          <w:lang w:val="es-MX" w:bidi="es-ES"/>
        </w:rPr>
        <w:t xml:space="preserve"> </w:t>
      </w:r>
      <w:r w:rsidR="00302712" w:rsidRPr="00740007">
        <w:rPr>
          <w:rFonts w:ascii="Times New Roman" w:eastAsia="Times New Roman" w:hAnsi="Times New Roman" w:cs="Times New Roman"/>
          <w:i/>
          <w:lang w:val="es-MX" w:bidi="es-ES"/>
        </w:rPr>
        <w:t>Gravámenes</w:t>
      </w:r>
    </w:p>
    <w:p w14:paraId="1BD98B1E" w14:textId="77777777" w:rsidR="001446E1" w:rsidRPr="0055089D" w:rsidRDefault="001446E1" w:rsidP="00C13AAC">
      <w:pPr>
        <w:spacing w:after="0" w:line="240" w:lineRule="auto"/>
        <w:ind w:leftChars="0" w:left="1418" w:firstLineChars="0" w:hanging="2"/>
        <w:jc w:val="both"/>
        <w:rPr>
          <w:rFonts w:ascii="Times New Roman" w:eastAsia="Times New Roman" w:hAnsi="Times New Roman" w:cs="Times New Roman"/>
          <w:lang w:val="es-MX" w:bidi="es-ES"/>
        </w:rPr>
      </w:pPr>
    </w:p>
    <w:p w14:paraId="6A8636B7" w14:textId="2CC1605B" w:rsidR="00302712" w:rsidRPr="009573B9" w:rsidRDefault="00302712" w:rsidP="00C13AAC">
      <w:pPr>
        <w:pStyle w:val="Prrafodelista"/>
        <w:spacing w:after="0" w:line="240" w:lineRule="auto"/>
        <w:ind w:leftChars="0" w:left="1418" w:firstLineChars="0" w:firstLine="0"/>
        <w:jc w:val="both"/>
        <w:rPr>
          <w:rFonts w:ascii="Times New Roman" w:hAnsi="Times New Roman" w:cs="Times New Roman"/>
        </w:rPr>
      </w:pPr>
      <w:r w:rsidRPr="00626DBF">
        <w:rPr>
          <w:rFonts w:ascii="Times New Roman" w:hAnsi="Times New Roman" w:cs="Times New Roman"/>
        </w:rPr>
        <w:t>La Sociedad se compromete a no</w:t>
      </w:r>
      <w:r w:rsidR="001162E4" w:rsidRPr="00626DBF">
        <w:rPr>
          <w:rFonts w:ascii="Times New Roman" w:hAnsi="Times New Roman" w:cs="Times New Roman"/>
        </w:rPr>
        <w:t xml:space="preserve"> constituir ningún Gravamen (según se define más adelante) sobre</w:t>
      </w:r>
      <w:r w:rsidRPr="00626DBF">
        <w:rPr>
          <w:rFonts w:ascii="Times New Roman" w:hAnsi="Times New Roman" w:cs="Times New Roman"/>
        </w:rPr>
        <w:t xml:space="preserve"> todos o una porción sustancial de sus activos y/o bienes y/o derechos y/o activos, bienes y/o derechos que adquiriese en el futuro, con excepción de los siguientes </w:t>
      </w:r>
      <w:r w:rsidR="001162E4" w:rsidRPr="00AC013A">
        <w:rPr>
          <w:rFonts w:ascii="Times New Roman" w:hAnsi="Times New Roman" w:cs="Times New Roman"/>
        </w:rPr>
        <w:t xml:space="preserve">Gravámenes </w:t>
      </w:r>
      <w:r w:rsidRPr="00F43580">
        <w:rPr>
          <w:rFonts w:ascii="Times New Roman" w:hAnsi="Times New Roman" w:cs="Times New Roman"/>
        </w:rPr>
        <w:t>(</w:t>
      </w:r>
      <w:r w:rsidR="008E25F1" w:rsidRPr="00F43580">
        <w:rPr>
          <w:rFonts w:ascii="Times New Roman" w:hAnsi="Times New Roman" w:cs="Times New Roman"/>
        </w:rPr>
        <w:t xml:space="preserve">los </w:t>
      </w:r>
      <w:r w:rsidRPr="00F43580">
        <w:rPr>
          <w:rFonts w:ascii="Times New Roman" w:hAnsi="Times New Roman" w:cs="Times New Roman"/>
        </w:rPr>
        <w:t>“</w:t>
      </w:r>
      <w:r w:rsidRPr="00EF6EEA">
        <w:rPr>
          <w:rFonts w:ascii="Times New Roman" w:hAnsi="Times New Roman" w:cs="Times New Roman"/>
          <w:u w:val="single"/>
        </w:rPr>
        <w:t>Gravámenes Permitidos</w:t>
      </w:r>
      <w:r w:rsidRPr="00DF7A87">
        <w:rPr>
          <w:rFonts w:ascii="Times New Roman" w:hAnsi="Times New Roman" w:cs="Times New Roman"/>
        </w:rPr>
        <w:t>”):</w:t>
      </w:r>
    </w:p>
    <w:p w14:paraId="369D6957" w14:textId="77777777" w:rsidR="00A44111" w:rsidRPr="008433DA" w:rsidRDefault="00A44111" w:rsidP="00C13AAC">
      <w:pPr>
        <w:pStyle w:val="Prrafodelista"/>
        <w:spacing w:after="0" w:line="240" w:lineRule="auto"/>
        <w:ind w:leftChars="0" w:left="1418" w:firstLineChars="0" w:firstLine="0"/>
        <w:jc w:val="both"/>
        <w:textDirection w:val="lrTb"/>
        <w:rPr>
          <w:rFonts w:ascii="Times New Roman" w:hAnsi="Times New Roman" w:cs="Times New Roman"/>
        </w:rPr>
      </w:pPr>
    </w:p>
    <w:p w14:paraId="4AD566A9" w14:textId="218BCC9E" w:rsidR="00302712" w:rsidRPr="003E13B9" w:rsidRDefault="00302712" w:rsidP="00C13AAC">
      <w:pPr>
        <w:pStyle w:val="Prrafodelista"/>
        <w:numPr>
          <w:ilvl w:val="0"/>
          <w:numId w:val="14"/>
        </w:numPr>
        <w:spacing w:after="0" w:line="240" w:lineRule="auto"/>
        <w:ind w:leftChars="0" w:left="1843" w:firstLineChars="0"/>
        <w:jc w:val="both"/>
        <w:textDirection w:val="lrTb"/>
        <w:rPr>
          <w:rFonts w:ascii="Times New Roman" w:hAnsi="Times New Roman" w:cs="Times New Roman"/>
        </w:rPr>
      </w:pPr>
      <w:r w:rsidRPr="003E13B9">
        <w:rPr>
          <w:rFonts w:ascii="Times New Roman" w:hAnsi="Times New Roman" w:cs="Times New Roman"/>
        </w:rPr>
        <w:t>Gravámenes constituidos en razón de la Garantía;</w:t>
      </w:r>
    </w:p>
    <w:p w14:paraId="53B6F443" w14:textId="77777777" w:rsidR="00A44111" w:rsidRPr="00262E03" w:rsidRDefault="00A44111" w:rsidP="00C13AAC">
      <w:pPr>
        <w:pStyle w:val="Prrafodelista"/>
        <w:spacing w:after="0" w:line="240" w:lineRule="auto"/>
        <w:ind w:leftChars="0" w:left="1843" w:firstLineChars="0" w:firstLine="0"/>
        <w:jc w:val="both"/>
        <w:textDirection w:val="lrTb"/>
        <w:rPr>
          <w:rFonts w:ascii="Times New Roman" w:hAnsi="Times New Roman" w:cs="Times New Roman"/>
        </w:rPr>
      </w:pPr>
    </w:p>
    <w:p w14:paraId="77D03802" w14:textId="5FAA88BE" w:rsidR="00302712" w:rsidRPr="00262E03" w:rsidRDefault="00302712" w:rsidP="00C13AAC">
      <w:pPr>
        <w:pStyle w:val="Prrafodelista"/>
        <w:numPr>
          <w:ilvl w:val="0"/>
          <w:numId w:val="14"/>
        </w:numPr>
        <w:spacing w:after="0" w:line="240" w:lineRule="auto"/>
        <w:ind w:leftChars="0" w:left="1843" w:firstLineChars="0"/>
        <w:jc w:val="both"/>
        <w:textDirection w:val="lrTb"/>
        <w:rPr>
          <w:rFonts w:ascii="Times New Roman" w:hAnsi="Times New Roman" w:cs="Times New Roman"/>
        </w:rPr>
      </w:pPr>
      <w:r w:rsidRPr="00262E03">
        <w:rPr>
          <w:rFonts w:ascii="Times New Roman" w:hAnsi="Times New Roman" w:cs="Times New Roman"/>
        </w:rPr>
        <w:t>Gravámenes fijados por ley por impuestos</w:t>
      </w:r>
      <w:r w:rsidR="008F416D">
        <w:rPr>
          <w:rFonts w:ascii="Times New Roman" w:hAnsi="Times New Roman" w:cs="Times New Roman"/>
        </w:rPr>
        <w:t>, tasas o contribuciones</w:t>
      </w:r>
      <w:r w:rsidRPr="00262E03">
        <w:rPr>
          <w:rFonts w:ascii="Times New Roman" w:hAnsi="Times New Roman" w:cs="Times New Roman"/>
        </w:rPr>
        <w:t xml:space="preserve"> aún no vencidos o que estuvieran siendo controvertidos de buena fe por los procedimientos </w:t>
      </w:r>
      <w:r w:rsidR="00C2054A" w:rsidRPr="00262E03">
        <w:rPr>
          <w:rFonts w:ascii="Times New Roman" w:hAnsi="Times New Roman" w:cs="Times New Roman"/>
        </w:rPr>
        <w:t xml:space="preserve">legales </w:t>
      </w:r>
      <w:r w:rsidRPr="00262E03">
        <w:rPr>
          <w:rFonts w:ascii="Times New Roman" w:hAnsi="Times New Roman" w:cs="Times New Roman"/>
        </w:rPr>
        <w:t>adecuados;</w:t>
      </w:r>
    </w:p>
    <w:p w14:paraId="0BF21E51" w14:textId="77777777" w:rsidR="00A44111" w:rsidRPr="008C39F0" w:rsidRDefault="00A44111" w:rsidP="00C13AAC">
      <w:pPr>
        <w:pStyle w:val="Prrafodelista"/>
        <w:spacing w:after="0" w:line="240" w:lineRule="auto"/>
        <w:ind w:left="0" w:hanging="2"/>
        <w:rPr>
          <w:rFonts w:ascii="Times New Roman" w:hAnsi="Times New Roman" w:cs="Times New Roman"/>
        </w:rPr>
      </w:pPr>
    </w:p>
    <w:p w14:paraId="0A01A409" w14:textId="399054DA" w:rsidR="00302712" w:rsidRPr="008C39F0" w:rsidRDefault="00302712" w:rsidP="00C13AAC">
      <w:pPr>
        <w:pStyle w:val="Prrafodelista"/>
        <w:numPr>
          <w:ilvl w:val="0"/>
          <w:numId w:val="14"/>
        </w:numPr>
        <w:spacing w:after="0" w:line="240" w:lineRule="auto"/>
        <w:ind w:leftChars="0" w:left="1843" w:firstLineChars="0"/>
        <w:jc w:val="both"/>
        <w:textDirection w:val="lrTb"/>
        <w:rPr>
          <w:rFonts w:ascii="Times New Roman" w:hAnsi="Times New Roman" w:cs="Times New Roman"/>
        </w:rPr>
      </w:pPr>
      <w:r w:rsidRPr="008C39F0">
        <w:rPr>
          <w:rFonts w:ascii="Times New Roman" w:hAnsi="Times New Roman" w:cs="Times New Roman"/>
        </w:rPr>
        <w:t xml:space="preserve">Gravámenes de transportistas, depositarios, cargas sociales y otros similares fijados por ley, originados en el curso habitual de los negocios y en garantía de obligaciones que no estuvieran vencidas en más de treinta (30) días o que estuvieran siendo controvertidas de buena fe por los procedimientos </w:t>
      </w:r>
      <w:r w:rsidR="00C2054A" w:rsidRPr="008C39F0">
        <w:rPr>
          <w:rFonts w:ascii="Times New Roman" w:hAnsi="Times New Roman" w:cs="Times New Roman"/>
        </w:rPr>
        <w:t xml:space="preserve">legales </w:t>
      </w:r>
      <w:r w:rsidRPr="008C39F0">
        <w:rPr>
          <w:rFonts w:ascii="Times New Roman" w:hAnsi="Times New Roman" w:cs="Times New Roman"/>
        </w:rPr>
        <w:t>adecuados;</w:t>
      </w:r>
    </w:p>
    <w:p w14:paraId="79CCE720" w14:textId="77777777" w:rsidR="00A44111" w:rsidRPr="00523952" w:rsidRDefault="00A44111" w:rsidP="00C13AAC">
      <w:pPr>
        <w:pStyle w:val="Prrafodelista"/>
        <w:spacing w:after="0" w:line="240" w:lineRule="auto"/>
        <w:ind w:left="0" w:hanging="2"/>
        <w:rPr>
          <w:rFonts w:ascii="Times New Roman" w:hAnsi="Times New Roman" w:cs="Times New Roman"/>
        </w:rPr>
      </w:pPr>
    </w:p>
    <w:p w14:paraId="7BFE91C2" w14:textId="2DAAD169" w:rsidR="00302712" w:rsidRPr="005B76C0" w:rsidRDefault="00C2054A" w:rsidP="00C13AAC">
      <w:pPr>
        <w:pStyle w:val="Prrafodelista"/>
        <w:numPr>
          <w:ilvl w:val="0"/>
          <w:numId w:val="14"/>
        </w:numPr>
        <w:spacing w:after="0" w:line="240" w:lineRule="auto"/>
        <w:ind w:leftChars="0" w:left="1843" w:firstLineChars="0"/>
        <w:jc w:val="both"/>
        <w:textDirection w:val="lrTb"/>
        <w:rPr>
          <w:rFonts w:ascii="Times New Roman" w:hAnsi="Times New Roman" w:cs="Times New Roman"/>
        </w:rPr>
      </w:pPr>
      <w:r w:rsidRPr="005B76C0">
        <w:rPr>
          <w:rFonts w:ascii="Times New Roman" w:hAnsi="Times New Roman" w:cs="Times New Roman"/>
        </w:rPr>
        <w:t>Gravámenes</w:t>
      </w:r>
      <w:r w:rsidR="00C24A82" w:rsidRPr="005B76C0">
        <w:rPr>
          <w:rFonts w:ascii="Times New Roman" w:hAnsi="Times New Roman" w:cs="Times New Roman"/>
        </w:rPr>
        <w:t xml:space="preserve"> </w:t>
      </w:r>
      <w:r w:rsidRPr="005B76C0">
        <w:rPr>
          <w:rFonts w:ascii="Times New Roman" w:hAnsi="Times New Roman" w:cs="Times New Roman"/>
        </w:rPr>
        <w:t>constituidos</w:t>
      </w:r>
      <w:r w:rsidR="00302712" w:rsidRPr="005B76C0">
        <w:rPr>
          <w:rFonts w:ascii="Times New Roman" w:hAnsi="Times New Roman" w:cs="Times New Roman"/>
        </w:rPr>
        <w:t xml:space="preserve"> en el curso habitual de los negocios en cumplimiento de las leyes o reglamentaciones sobre indemnizaciones por accidentes de trabajo, seguro por invalidez o de desempleo, jubilaciones y pensiones y otras leyes o reglamentaciones respecto de cargas sociales;</w:t>
      </w:r>
    </w:p>
    <w:p w14:paraId="20F3C6BD" w14:textId="77777777" w:rsidR="00A44111" w:rsidRPr="005B76C0" w:rsidRDefault="00A44111" w:rsidP="00C13AAC">
      <w:pPr>
        <w:pStyle w:val="Prrafodelista"/>
        <w:spacing w:after="0" w:line="240" w:lineRule="auto"/>
        <w:ind w:left="0" w:hanging="2"/>
        <w:rPr>
          <w:rFonts w:ascii="Times New Roman" w:hAnsi="Times New Roman" w:cs="Times New Roman"/>
        </w:rPr>
      </w:pPr>
    </w:p>
    <w:p w14:paraId="61201ECC" w14:textId="7654AE22" w:rsidR="0047144F" w:rsidRPr="005B76C0" w:rsidRDefault="00302712" w:rsidP="00C13AAC">
      <w:pPr>
        <w:pStyle w:val="Prrafodelista"/>
        <w:numPr>
          <w:ilvl w:val="0"/>
          <w:numId w:val="14"/>
        </w:numPr>
        <w:spacing w:after="0" w:line="240" w:lineRule="auto"/>
        <w:ind w:leftChars="0" w:left="1843" w:firstLineChars="0"/>
        <w:jc w:val="both"/>
        <w:textDirection w:val="lrTb"/>
        <w:rPr>
          <w:rFonts w:ascii="Times New Roman" w:hAnsi="Times New Roman" w:cs="Times New Roman"/>
        </w:rPr>
      </w:pPr>
      <w:r w:rsidRPr="005B76C0">
        <w:rPr>
          <w:rFonts w:ascii="Times New Roman" w:hAnsi="Times New Roman" w:cs="Times New Roman"/>
        </w:rPr>
        <w:lastRenderedPageBreak/>
        <w:t xml:space="preserve">Gravámenes en efectivo en garantía del cumplimiento de alquileres, licitaciones y otras transacciones de similar naturaleza, en cada caso, en el curso habitual de los negocios; </w:t>
      </w:r>
    </w:p>
    <w:p w14:paraId="03153F0A" w14:textId="77777777" w:rsidR="0047144F" w:rsidRPr="005B76C0" w:rsidRDefault="0047144F" w:rsidP="00C13AAC">
      <w:pPr>
        <w:spacing w:after="0" w:line="240" w:lineRule="auto"/>
        <w:ind w:leftChars="0" w:left="1843" w:firstLineChars="0" w:firstLine="0"/>
        <w:jc w:val="both"/>
        <w:textDirection w:val="lrTb"/>
        <w:rPr>
          <w:rFonts w:ascii="Times New Roman" w:hAnsi="Times New Roman" w:cs="Times New Roman"/>
        </w:rPr>
      </w:pPr>
    </w:p>
    <w:p w14:paraId="0D8FAE99" w14:textId="6C39141C" w:rsidR="00302712" w:rsidRPr="009E6887" w:rsidRDefault="00C2054A" w:rsidP="00C13AAC">
      <w:pPr>
        <w:pStyle w:val="Prrafodelista"/>
        <w:numPr>
          <w:ilvl w:val="0"/>
          <w:numId w:val="14"/>
        </w:numPr>
        <w:spacing w:after="0" w:line="240" w:lineRule="auto"/>
        <w:ind w:leftChars="0" w:left="1843" w:firstLineChars="0"/>
        <w:jc w:val="both"/>
        <w:textDirection w:val="lrTb"/>
        <w:rPr>
          <w:rFonts w:ascii="Times New Roman" w:hAnsi="Times New Roman" w:cs="Times New Roman"/>
        </w:rPr>
      </w:pPr>
      <w:r w:rsidRPr="005B76C0">
        <w:rPr>
          <w:rFonts w:ascii="Times New Roman" w:hAnsi="Times New Roman" w:cs="Times New Roman"/>
        </w:rPr>
        <w:t xml:space="preserve">Gravámenes consistentes en </w:t>
      </w:r>
      <w:r w:rsidR="00302712" w:rsidRPr="005B76C0">
        <w:rPr>
          <w:rFonts w:ascii="Times New Roman" w:hAnsi="Times New Roman" w:cs="Times New Roman"/>
        </w:rPr>
        <w:t>irregularidades menores en el título de dominio de inmuebles que no gara</w:t>
      </w:r>
      <w:r w:rsidR="00302712" w:rsidRPr="009E6887">
        <w:rPr>
          <w:rFonts w:ascii="Times New Roman" w:hAnsi="Times New Roman" w:cs="Times New Roman"/>
        </w:rPr>
        <w:t xml:space="preserve">nticen obligaciones monetarias y que no interfieran sustancialmente con la ocupación, uso o goce de la </w:t>
      </w:r>
      <w:r w:rsidR="00A44111" w:rsidRPr="009E6887">
        <w:rPr>
          <w:rFonts w:ascii="Times New Roman" w:hAnsi="Times New Roman" w:cs="Times New Roman"/>
        </w:rPr>
        <w:t>Sociedad</w:t>
      </w:r>
      <w:r w:rsidR="00302712" w:rsidRPr="009E6887">
        <w:rPr>
          <w:rFonts w:ascii="Times New Roman" w:hAnsi="Times New Roman" w:cs="Times New Roman"/>
        </w:rPr>
        <w:t xml:space="preserve"> de cualquiera de sus bienes o activos; </w:t>
      </w:r>
    </w:p>
    <w:p w14:paraId="640F58CF" w14:textId="77777777" w:rsidR="00A44111" w:rsidRPr="00092991" w:rsidRDefault="00A44111" w:rsidP="00C13AAC">
      <w:pPr>
        <w:pStyle w:val="Prrafodelista"/>
        <w:spacing w:after="0" w:line="240" w:lineRule="auto"/>
        <w:ind w:left="0" w:hanging="2"/>
        <w:rPr>
          <w:rFonts w:ascii="Times New Roman" w:hAnsi="Times New Roman" w:cs="Times New Roman"/>
        </w:rPr>
      </w:pPr>
    </w:p>
    <w:p w14:paraId="5C29D57C" w14:textId="7F16477B" w:rsidR="00302712" w:rsidRPr="00092991" w:rsidRDefault="00C2054A" w:rsidP="00C13AAC">
      <w:pPr>
        <w:pStyle w:val="Prrafodelista"/>
        <w:numPr>
          <w:ilvl w:val="0"/>
          <w:numId w:val="14"/>
        </w:numPr>
        <w:spacing w:after="0" w:line="240" w:lineRule="auto"/>
        <w:ind w:leftChars="0" w:left="1843" w:firstLineChars="0"/>
        <w:jc w:val="both"/>
        <w:textDirection w:val="lrTb"/>
        <w:rPr>
          <w:rFonts w:ascii="Times New Roman" w:hAnsi="Times New Roman" w:cs="Times New Roman"/>
        </w:rPr>
      </w:pPr>
      <w:r w:rsidRPr="00092991">
        <w:rPr>
          <w:rFonts w:ascii="Times New Roman" w:hAnsi="Times New Roman" w:cs="Times New Roman"/>
        </w:rPr>
        <w:t xml:space="preserve">Gravámenes consistentes en </w:t>
      </w:r>
      <w:r w:rsidR="00302712" w:rsidRPr="00092991">
        <w:rPr>
          <w:rFonts w:ascii="Times New Roman" w:hAnsi="Times New Roman" w:cs="Times New Roman"/>
        </w:rPr>
        <w:t xml:space="preserve">servidumbres, derechos de zonificación, derechos de paso y Gravámenes similares sobre inmuebles fijados por ley u originados en el curso habitual de los negocios que no garanticen obligaciones monetarias y no afecten sustancialmente el valor de los bienes afectados o interfieran con el curso habitual de los negocios de la </w:t>
      </w:r>
      <w:r w:rsidR="003053A0" w:rsidRPr="00092991">
        <w:rPr>
          <w:rFonts w:ascii="Times New Roman" w:hAnsi="Times New Roman" w:cs="Times New Roman"/>
        </w:rPr>
        <w:t>Sociedad</w:t>
      </w:r>
      <w:r w:rsidR="00302712" w:rsidRPr="00092991">
        <w:rPr>
          <w:rFonts w:ascii="Times New Roman" w:hAnsi="Times New Roman" w:cs="Times New Roman"/>
        </w:rPr>
        <w:t xml:space="preserve">; </w:t>
      </w:r>
    </w:p>
    <w:p w14:paraId="310F8D7A" w14:textId="77777777" w:rsidR="00A44111" w:rsidRPr="00092991" w:rsidRDefault="00A44111" w:rsidP="00C13AAC">
      <w:pPr>
        <w:pStyle w:val="Prrafodelista"/>
        <w:spacing w:after="0" w:line="240" w:lineRule="auto"/>
        <w:ind w:left="0" w:hanging="2"/>
        <w:rPr>
          <w:rFonts w:ascii="Times New Roman" w:hAnsi="Times New Roman" w:cs="Times New Roman"/>
        </w:rPr>
      </w:pPr>
    </w:p>
    <w:p w14:paraId="4BEFCED6" w14:textId="7736ED4B" w:rsidR="00302712" w:rsidRPr="0032028C" w:rsidRDefault="00302712" w:rsidP="00C13AAC">
      <w:pPr>
        <w:pStyle w:val="Prrafodelista"/>
        <w:numPr>
          <w:ilvl w:val="0"/>
          <w:numId w:val="14"/>
        </w:numPr>
        <w:spacing w:after="0" w:line="240" w:lineRule="auto"/>
        <w:ind w:leftChars="0" w:left="1843" w:firstLineChars="0"/>
        <w:jc w:val="both"/>
        <w:textDirection w:val="lrTb"/>
        <w:rPr>
          <w:rFonts w:ascii="Times New Roman" w:hAnsi="Times New Roman" w:cs="Times New Roman"/>
        </w:rPr>
      </w:pPr>
      <w:r w:rsidRPr="0032028C">
        <w:rPr>
          <w:rFonts w:ascii="Times New Roman" w:hAnsi="Times New Roman" w:cs="Times New Roman"/>
        </w:rPr>
        <w:t xml:space="preserve">Gravámenes que aseguren el precio de bienes o activos que sean adquiridos, construidos o creados por la </w:t>
      </w:r>
      <w:r w:rsidR="003053A0" w:rsidRPr="0032028C">
        <w:rPr>
          <w:rFonts w:ascii="Times New Roman" w:hAnsi="Times New Roman" w:cs="Times New Roman"/>
        </w:rPr>
        <w:t>Sociedad</w:t>
      </w:r>
      <w:r w:rsidRPr="0032028C">
        <w:rPr>
          <w:rFonts w:ascii="Times New Roman" w:hAnsi="Times New Roman" w:cs="Times New Roman"/>
        </w:rPr>
        <w:t xml:space="preserve">; únicamente si (i) dicho Gravamen garantiza únicamente montos </w:t>
      </w:r>
      <w:r w:rsidR="002F74C9" w:rsidRPr="0032028C">
        <w:rPr>
          <w:rFonts w:ascii="Times New Roman" w:hAnsi="Times New Roman" w:cs="Times New Roman"/>
        </w:rPr>
        <w:t>de</w:t>
      </w:r>
      <w:r w:rsidRPr="0032028C">
        <w:rPr>
          <w:rFonts w:ascii="Times New Roman" w:hAnsi="Times New Roman" w:cs="Times New Roman"/>
        </w:rPr>
        <w:t xml:space="preserve"> </w:t>
      </w:r>
      <w:r w:rsidR="002F74C9" w:rsidRPr="0032028C">
        <w:rPr>
          <w:rFonts w:ascii="Times New Roman" w:hAnsi="Times New Roman" w:cs="Times New Roman"/>
        </w:rPr>
        <w:t>Endeudamiento Financiero</w:t>
      </w:r>
      <w:r w:rsidRPr="0032028C">
        <w:rPr>
          <w:rFonts w:ascii="Times New Roman" w:hAnsi="Times New Roman" w:cs="Times New Roman"/>
        </w:rPr>
        <w:t xml:space="preserve"> obtenidos para financiar dicha adquisición, construcción o creación, junto con los costos, gastos, intereses y comisiones incurridos al respecto; (ii) dicho Gravamen fuera creado o se originara dentro de los ciento veinte (120) días corridos de completada la adquisición, construcción o creación; y (iii) dicho Gravamen estuviera limitado únicamente a los bienes adquiridos, construidos o creados, y/o a los créditos y cuentas por cobrar producidos por la operación de dichos bienes; </w:t>
      </w:r>
    </w:p>
    <w:p w14:paraId="1B594684" w14:textId="77777777" w:rsidR="00A44111" w:rsidRPr="0032028C" w:rsidRDefault="00A44111" w:rsidP="00C13AAC">
      <w:pPr>
        <w:pStyle w:val="Prrafodelista"/>
        <w:spacing w:after="0" w:line="240" w:lineRule="auto"/>
        <w:ind w:left="0" w:hanging="2"/>
        <w:rPr>
          <w:rFonts w:ascii="Times New Roman" w:hAnsi="Times New Roman" w:cs="Times New Roman"/>
        </w:rPr>
      </w:pPr>
    </w:p>
    <w:p w14:paraId="49DECAF2" w14:textId="31B6C0D4" w:rsidR="00302712" w:rsidRPr="00214269" w:rsidRDefault="00302712" w:rsidP="00C13AAC">
      <w:pPr>
        <w:pStyle w:val="Prrafodelista"/>
        <w:numPr>
          <w:ilvl w:val="0"/>
          <w:numId w:val="14"/>
        </w:numPr>
        <w:spacing w:after="0" w:line="240" w:lineRule="auto"/>
        <w:ind w:leftChars="0" w:left="1843" w:firstLineChars="0"/>
        <w:jc w:val="both"/>
        <w:textDirection w:val="lrTb"/>
        <w:rPr>
          <w:rFonts w:ascii="Times New Roman" w:hAnsi="Times New Roman" w:cs="Times New Roman"/>
        </w:rPr>
      </w:pPr>
      <w:r w:rsidRPr="0032028C">
        <w:rPr>
          <w:rFonts w:ascii="Times New Roman" w:hAnsi="Times New Roman" w:cs="Times New Roman"/>
        </w:rPr>
        <w:t xml:space="preserve">Gravámenes </w:t>
      </w:r>
      <w:r w:rsidR="00C155B3" w:rsidRPr="0032028C">
        <w:rPr>
          <w:rFonts w:ascii="Times New Roman" w:hAnsi="Times New Roman" w:cs="Times New Roman"/>
        </w:rPr>
        <w:t>e</w:t>
      </w:r>
      <w:r w:rsidRPr="0032028C">
        <w:rPr>
          <w:rFonts w:ascii="Times New Roman" w:hAnsi="Times New Roman" w:cs="Times New Roman"/>
        </w:rPr>
        <w:t>xistentes</w:t>
      </w:r>
      <w:r w:rsidR="00C155B3" w:rsidRPr="0032028C">
        <w:rPr>
          <w:rFonts w:ascii="Times New Roman" w:hAnsi="Times New Roman" w:cs="Times New Roman"/>
        </w:rPr>
        <w:t xml:space="preserve"> a</w:t>
      </w:r>
      <w:r w:rsidR="003B241B">
        <w:rPr>
          <w:rFonts w:ascii="Times New Roman" w:hAnsi="Times New Roman" w:cs="Times New Roman"/>
        </w:rPr>
        <w:t xml:space="preserve"> la </w:t>
      </w:r>
      <w:r w:rsidR="00EA20B7">
        <w:rPr>
          <w:rFonts w:ascii="Times New Roman" w:hAnsi="Times New Roman" w:cs="Times New Roman"/>
        </w:rPr>
        <w:t>f</w:t>
      </w:r>
      <w:r w:rsidR="003B241B">
        <w:rPr>
          <w:rFonts w:ascii="Times New Roman" w:hAnsi="Times New Roman" w:cs="Times New Roman"/>
        </w:rPr>
        <w:t>echa de la</w:t>
      </w:r>
      <w:r w:rsidR="00B429A1">
        <w:rPr>
          <w:rFonts w:ascii="Times New Roman" w:hAnsi="Times New Roman" w:cs="Times New Roman"/>
        </w:rPr>
        <w:t xml:space="preserve"> presente</w:t>
      </w:r>
      <w:r w:rsidR="003B241B">
        <w:rPr>
          <w:rFonts w:ascii="Times New Roman" w:hAnsi="Times New Roman" w:cs="Times New Roman"/>
        </w:rPr>
        <w:t xml:space="preserve"> Solicitud de Consentimiento</w:t>
      </w:r>
      <w:r w:rsidRPr="00214269">
        <w:rPr>
          <w:rFonts w:ascii="Times New Roman" w:hAnsi="Times New Roman" w:cs="Times New Roman"/>
        </w:rPr>
        <w:t xml:space="preserve">; </w:t>
      </w:r>
    </w:p>
    <w:p w14:paraId="0E8D796B" w14:textId="77777777" w:rsidR="00A44111" w:rsidRPr="0062702E" w:rsidRDefault="00A44111" w:rsidP="00C13AAC">
      <w:pPr>
        <w:pStyle w:val="Prrafodelista"/>
        <w:spacing w:after="0" w:line="240" w:lineRule="auto"/>
        <w:ind w:left="0" w:hanging="2"/>
        <w:rPr>
          <w:rFonts w:ascii="Times New Roman" w:hAnsi="Times New Roman" w:cs="Times New Roman"/>
        </w:rPr>
      </w:pPr>
    </w:p>
    <w:p w14:paraId="031C92A4" w14:textId="0F8BC781" w:rsidR="00302712" w:rsidRPr="00EB3FA3" w:rsidRDefault="00302712" w:rsidP="00C13AAC">
      <w:pPr>
        <w:pStyle w:val="Prrafodelista"/>
        <w:numPr>
          <w:ilvl w:val="0"/>
          <w:numId w:val="14"/>
        </w:numPr>
        <w:spacing w:after="0" w:line="240" w:lineRule="auto"/>
        <w:ind w:leftChars="0" w:left="1843" w:firstLineChars="0"/>
        <w:jc w:val="both"/>
        <w:textDirection w:val="lrTb"/>
        <w:rPr>
          <w:rFonts w:ascii="Times New Roman" w:hAnsi="Times New Roman" w:cs="Times New Roman"/>
        </w:rPr>
      </w:pPr>
      <w:r w:rsidRPr="00310976">
        <w:rPr>
          <w:rFonts w:ascii="Times New Roman" w:hAnsi="Times New Roman" w:cs="Times New Roman"/>
        </w:rPr>
        <w:t xml:space="preserve">Gravámenes en virtud de operaciones de leasing o similares o por alquileres bajo contratos de locación que requieran ser capitalizados de conformidad con las normas contables profesionales, incurridos en el curso ordinario de los negocios y que constituyan un </w:t>
      </w:r>
      <w:r w:rsidR="00C155B3" w:rsidRPr="00740007">
        <w:rPr>
          <w:rFonts w:ascii="Times New Roman" w:hAnsi="Times New Roman" w:cs="Times New Roman"/>
        </w:rPr>
        <w:t>E</w:t>
      </w:r>
      <w:r w:rsidRPr="00740007">
        <w:rPr>
          <w:rFonts w:ascii="Times New Roman" w:hAnsi="Times New Roman" w:cs="Times New Roman"/>
        </w:rPr>
        <w:t xml:space="preserve">ndeudamiento </w:t>
      </w:r>
      <w:r w:rsidR="00C155B3" w:rsidRPr="00740007">
        <w:rPr>
          <w:rFonts w:ascii="Times New Roman" w:hAnsi="Times New Roman" w:cs="Times New Roman"/>
        </w:rPr>
        <w:t xml:space="preserve">Financiero </w:t>
      </w:r>
      <w:r w:rsidRPr="00740007">
        <w:rPr>
          <w:rFonts w:ascii="Times New Roman" w:hAnsi="Times New Roman" w:cs="Times New Roman"/>
        </w:rPr>
        <w:t xml:space="preserve">permitido bajo el presente, en la medida que dichos Gravámenes solo aseguren obligaciones derivadas de dichas operaciones; </w:t>
      </w:r>
    </w:p>
    <w:p w14:paraId="0C2C4AE0" w14:textId="77777777" w:rsidR="00A44111" w:rsidRPr="0055089D" w:rsidRDefault="00A44111" w:rsidP="00C13AAC">
      <w:pPr>
        <w:pStyle w:val="Prrafodelista"/>
        <w:spacing w:after="0" w:line="240" w:lineRule="auto"/>
        <w:ind w:left="0" w:hanging="2"/>
        <w:rPr>
          <w:rFonts w:ascii="Times New Roman" w:hAnsi="Times New Roman" w:cs="Times New Roman"/>
        </w:rPr>
      </w:pPr>
    </w:p>
    <w:p w14:paraId="7A324031" w14:textId="36A855C1" w:rsidR="00302712" w:rsidRPr="00E02C4A" w:rsidRDefault="00302712" w:rsidP="00960F49">
      <w:pPr>
        <w:pStyle w:val="Prrafodelista"/>
        <w:numPr>
          <w:ilvl w:val="0"/>
          <w:numId w:val="14"/>
        </w:numPr>
        <w:spacing w:after="0" w:line="240" w:lineRule="auto"/>
        <w:ind w:leftChars="0" w:left="1843" w:firstLineChars="0" w:hanging="425"/>
        <w:jc w:val="both"/>
        <w:textDirection w:val="lrTb"/>
        <w:rPr>
          <w:rFonts w:ascii="Times New Roman" w:hAnsi="Times New Roman" w:cs="Times New Roman"/>
        </w:rPr>
      </w:pPr>
      <w:r w:rsidRPr="00626DBF">
        <w:rPr>
          <w:rFonts w:ascii="Times New Roman" w:hAnsi="Times New Roman" w:cs="Times New Roman"/>
        </w:rPr>
        <w:t>Gravámenes</w:t>
      </w:r>
      <w:r w:rsidR="00745F37" w:rsidRPr="00745F37">
        <w:rPr>
          <w:rFonts w:ascii="Times New Roman" w:hAnsi="Times New Roman" w:cs="Times New Roman"/>
        </w:rPr>
        <w:t xml:space="preserve"> constituidos sobre cualquier activo de cualquier Subsidiaria de la Sociedad o sobre las acciones emitidas por cualquiera de las Subsidiarias de la Sociedad cuyo objeto social esté destinado exclusivamente al desarrollo de la actividad principal de la Sociedad; siempre que dichos Gravámenes garanticen el financiamiento de proyectos relacionados con la Actividad Principal de la Sociedad;</w:t>
      </w:r>
    </w:p>
    <w:p w14:paraId="4F4DE90F" w14:textId="77777777" w:rsidR="00A44111" w:rsidRPr="0055089D" w:rsidRDefault="00A44111" w:rsidP="00C13AAC">
      <w:pPr>
        <w:pStyle w:val="Prrafodelista"/>
        <w:spacing w:after="0" w:line="240" w:lineRule="auto"/>
        <w:ind w:left="0" w:hanging="2"/>
        <w:rPr>
          <w:rFonts w:ascii="Times New Roman" w:hAnsi="Times New Roman" w:cs="Times New Roman"/>
        </w:rPr>
      </w:pPr>
    </w:p>
    <w:p w14:paraId="74D594DB" w14:textId="06F0E3D2" w:rsidR="00302712" w:rsidRPr="00F43580" w:rsidRDefault="00302712" w:rsidP="00C13AAC">
      <w:pPr>
        <w:pStyle w:val="Prrafodelista"/>
        <w:numPr>
          <w:ilvl w:val="0"/>
          <w:numId w:val="14"/>
        </w:numPr>
        <w:spacing w:after="0" w:line="240" w:lineRule="auto"/>
        <w:ind w:leftChars="0" w:left="1843" w:firstLineChars="0"/>
        <w:jc w:val="both"/>
        <w:textDirection w:val="lrTb"/>
        <w:rPr>
          <w:rFonts w:ascii="Times New Roman" w:hAnsi="Times New Roman" w:cs="Times New Roman"/>
        </w:rPr>
      </w:pPr>
      <w:r w:rsidRPr="00626DBF">
        <w:rPr>
          <w:rFonts w:ascii="Times New Roman" w:hAnsi="Times New Roman" w:cs="Times New Roman"/>
        </w:rPr>
        <w:t xml:space="preserve">cualquier renovación de los Gravámenes </w:t>
      </w:r>
      <w:r w:rsidR="00964870" w:rsidRPr="00626DBF">
        <w:rPr>
          <w:rFonts w:ascii="Times New Roman" w:hAnsi="Times New Roman" w:cs="Times New Roman"/>
        </w:rPr>
        <w:t>indicados en (a) a (l)</w:t>
      </w:r>
      <w:r w:rsidRPr="00AC013A">
        <w:rPr>
          <w:rFonts w:ascii="Times New Roman" w:hAnsi="Times New Roman" w:cs="Times New Roman"/>
        </w:rPr>
        <w:t>;</w:t>
      </w:r>
      <w:r w:rsidR="00253EF2" w:rsidRPr="00F43580">
        <w:rPr>
          <w:rFonts w:ascii="Times New Roman" w:hAnsi="Times New Roman" w:cs="Times New Roman"/>
        </w:rPr>
        <w:t xml:space="preserve"> y/o</w:t>
      </w:r>
    </w:p>
    <w:p w14:paraId="7E8B1AFC" w14:textId="77777777" w:rsidR="00253EF2" w:rsidRPr="00F43580" w:rsidRDefault="00253EF2" w:rsidP="00C13AAC">
      <w:pPr>
        <w:pStyle w:val="Prrafodelista"/>
        <w:spacing w:after="0" w:line="240" w:lineRule="auto"/>
        <w:ind w:left="0" w:hanging="2"/>
        <w:rPr>
          <w:rFonts w:ascii="Times New Roman" w:hAnsi="Times New Roman" w:cs="Times New Roman"/>
        </w:rPr>
      </w:pPr>
    </w:p>
    <w:p w14:paraId="6F1FD284" w14:textId="616B3F36" w:rsidR="00253EF2" w:rsidRPr="00214269" w:rsidRDefault="00253EF2" w:rsidP="00C13AAC">
      <w:pPr>
        <w:pStyle w:val="Prrafodelista"/>
        <w:numPr>
          <w:ilvl w:val="0"/>
          <w:numId w:val="14"/>
        </w:numPr>
        <w:spacing w:after="0" w:line="240" w:lineRule="auto"/>
        <w:ind w:leftChars="0" w:left="1843" w:firstLineChars="0"/>
        <w:jc w:val="both"/>
        <w:textDirection w:val="lrTb"/>
        <w:rPr>
          <w:rFonts w:ascii="Times New Roman" w:hAnsi="Times New Roman" w:cs="Times New Roman"/>
        </w:rPr>
      </w:pPr>
      <w:r w:rsidRPr="008433DA">
        <w:rPr>
          <w:rFonts w:ascii="Times New Roman" w:hAnsi="Times New Roman" w:cs="Times New Roman"/>
        </w:rPr>
        <w:t>cualquier Gravamen constituido en circunstancias en las cuales, inmediatamente después de la constitución del Gravamen, el valor total de los activos dados en garantía por la Sociedad y garantizados por Gravámenes sobre cualquiera de sus bienes en circulación, en oportunidad de constituirse tal Gravamen, excluyendo cualquier Gravamen mencionado en los incisos (a) a (</w:t>
      </w:r>
      <w:r w:rsidR="00013E86">
        <w:rPr>
          <w:rFonts w:ascii="Times New Roman" w:hAnsi="Times New Roman" w:cs="Times New Roman"/>
        </w:rPr>
        <w:t>l</w:t>
      </w:r>
      <w:r w:rsidRPr="004E7C62">
        <w:rPr>
          <w:rFonts w:ascii="Times New Roman" w:hAnsi="Times New Roman" w:cs="Times New Roman"/>
        </w:rPr>
        <w:t xml:space="preserve">) de esta definición, no supere la suma equivalente al </w:t>
      </w:r>
      <w:r w:rsidR="0041296B">
        <w:rPr>
          <w:rFonts w:ascii="Times New Roman" w:hAnsi="Times New Roman" w:cs="Times New Roman"/>
        </w:rPr>
        <w:t>15</w:t>
      </w:r>
      <w:r w:rsidRPr="00596F72">
        <w:rPr>
          <w:rFonts w:ascii="Times New Roman" w:hAnsi="Times New Roman" w:cs="Times New Roman"/>
        </w:rPr>
        <w:t>%</w:t>
      </w:r>
      <w:r w:rsidRPr="00214269">
        <w:rPr>
          <w:rFonts w:ascii="Times New Roman" w:hAnsi="Times New Roman" w:cs="Times New Roman"/>
        </w:rPr>
        <w:t xml:space="preserve"> del total de activos consolidados de TGLT de acuerdo a su</w:t>
      </w:r>
      <w:r w:rsidR="008F416D">
        <w:rPr>
          <w:rFonts w:ascii="Times New Roman" w:hAnsi="Times New Roman" w:cs="Times New Roman"/>
        </w:rPr>
        <w:t>s</w:t>
      </w:r>
      <w:r w:rsidRPr="00214269">
        <w:rPr>
          <w:rFonts w:ascii="Times New Roman" w:hAnsi="Times New Roman" w:cs="Times New Roman"/>
        </w:rPr>
        <w:t xml:space="preserve"> último</w:t>
      </w:r>
      <w:r w:rsidR="008F416D">
        <w:rPr>
          <w:rFonts w:ascii="Times New Roman" w:hAnsi="Times New Roman" w:cs="Times New Roman"/>
        </w:rPr>
        <w:t>s</w:t>
      </w:r>
      <w:r w:rsidRPr="00214269">
        <w:rPr>
          <w:rFonts w:ascii="Times New Roman" w:hAnsi="Times New Roman" w:cs="Times New Roman"/>
        </w:rPr>
        <w:t xml:space="preserve"> </w:t>
      </w:r>
      <w:r w:rsidR="008F416D">
        <w:rPr>
          <w:rFonts w:ascii="Times New Roman" w:hAnsi="Times New Roman" w:cs="Times New Roman"/>
        </w:rPr>
        <w:t>e</w:t>
      </w:r>
      <w:r w:rsidRPr="00214269">
        <w:rPr>
          <w:rFonts w:ascii="Times New Roman" w:hAnsi="Times New Roman" w:cs="Times New Roman"/>
        </w:rPr>
        <w:t>stado</w:t>
      </w:r>
      <w:r w:rsidR="008F416D">
        <w:rPr>
          <w:rFonts w:ascii="Times New Roman" w:hAnsi="Times New Roman" w:cs="Times New Roman"/>
        </w:rPr>
        <w:t>s</w:t>
      </w:r>
      <w:r w:rsidRPr="00214269">
        <w:rPr>
          <w:rFonts w:ascii="Times New Roman" w:hAnsi="Times New Roman" w:cs="Times New Roman"/>
        </w:rPr>
        <w:t xml:space="preserve"> </w:t>
      </w:r>
      <w:r w:rsidR="008F416D">
        <w:rPr>
          <w:rFonts w:ascii="Times New Roman" w:hAnsi="Times New Roman" w:cs="Times New Roman"/>
        </w:rPr>
        <w:t>contables</w:t>
      </w:r>
      <w:r w:rsidRPr="00214269">
        <w:rPr>
          <w:rFonts w:ascii="Times New Roman" w:hAnsi="Times New Roman" w:cs="Times New Roman"/>
        </w:rPr>
        <w:t xml:space="preserve"> publicado</w:t>
      </w:r>
      <w:r w:rsidR="008F416D">
        <w:rPr>
          <w:rFonts w:ascii="Times New Roman" w:hAnsi="Times New Roman" w:cs="Times New Roman"/>
        </w:rPr>
        <w:t>s</w:t>
      </w:r>
      <w:r w:rsidRPr="00214269">
        <w:rPr>
          <w:rFonts w:ascii="Times New Roman" w:hAnsi="Times New Roman" w:cs="Times New Roman"/>
        </w:rPr>
        <w:t>.</w:t>
      </w:r>
      <w:r w:rsidR="003053A0" w:rsidRPr="00214269">
        <w:rPr>
          <w:rFonts w:ascii="Times New Roman" w:hAnsi="Times New Roman" w:cs="Times New Roman"/>
        </w:rPr>
        <w:t xml:space="preserve"> </w:t>
      </w:r>
    </w:p>
    <w:p w14:paraId="736F38AC" w14:textId="77777777" w:rsidR="003053A0" w:rsidRPr="0062702E" w:rsidRDefault="003053A0">
      <w:pPr>
        <w:spacing w:after="0" w:line="240" w:lineRule="auto"/>
        <w:ind w:leftChars="258" w:left="852" w:firstLineChars="0" w:hanging="284"/>
        <w:jc w:val="both"/>
        <w:rPr>
          <w:rFonts w:ascii="Times New Roman" w:eastAsia="Times New Roman" w:hAnsi="Times New Roman" w:cs="Times New Roman"/>
          <w:lang w:val="es-MX" w:bidi="es-ES"/>
        </w:rPr>
      </w:pPr>
    </w:p>
    <w:p w14:paraId="0CDE02AB" w14:textId="13AEE4B4" w:rsidR="003053A0" w:rsidRPr="00740007" w:rsidRDefault="002918A4" w:rsidP="00C13AAC">
      <w:pPr>
        <w:spacing w:after="0" w:line="240" w:lineRule="auto"/>
        <w:ind w:leftChars="0" w:left="1418" w:firstLineChars="0" w:hanging="426"/>
        <w:jc w:val="both"/>
        <w:rPr>
          <w:rFonts w:ascii="Times New Roman" w:eastAsia="Times New Roman" w:hAnsi="Times New Roman" w:cs="Times New Roman"/>
          <w:u w:val="single"/>
          <w:lang w:val="es-MX" w:bidi="es-ES"/>
        </w:rPr>
      </w:pPr>
      <w:r w:rsidRPr="00310976">
        <w:rPr>
          <w:rFonts w:ascii="Times New Roman" w:eastAsia="Times New Roman" w:hAnsi="Times New Roman" w:cs="Times New Roman"/>
          <w:lang w:val="es-MX" w:bidi="es-ES"/>
        </w:rPr>
        <w:t>(v</w:t>
      </w:r>
      <w:r w:rsidR="00A36CA4">
        <w:rPr>
          <w:rFonts w:ascii="Times New Roman" w:eastAsia="Times New Roman" w:hAnsi="Times New Roman" w:cs="Times New Roman"/>
          <w:lang w:val="es-MX" w:bidi="es-ES"/>
        </w:rPr>
        <w:t>i</w:t>
      </w:r>
      <w:r w:rsidRPr="00310976">
        <w:rPr>
          <w:rFonts w:ascii="Times New Roman" w:eastAsia="Times New Roman" w:hAnsi="Times New Roman" w:cs="Times New Roman"/>
          <w:lang w:val="es-MX" w:bidi="es-ES"/>
        </w:rPr>
        <w:t xml:space="preserve">) </w:t>
      </w:r>
      <w:r w:rsidR="000F063A" w:rsidRPr="00310976">
        <w:rPr>
          <w:rFonts w:ascii="Times New Roman" w:eastAsia="Times New Roman" w:hAnsi="Times New Roman" w:cs="Times New Roman"/>
          <w:i/>
          <w:lang w:val="es-MX" w:bidi="es-ES"/>
        </w:rPr>
        <w:t>Otros Compromisos de la Sociedad</w:t>
      </w:r>
    </w:p>
    <w:p w14:paraId="703C1436" w14:textId="77777777" w:rsidR="000F063A" w:rsidRPr="00740007" w:rsidRDefault="000F063A" w:rsidP="00C13AAC">
      <w:pPr>
        <w:pStyle w:val="Prrafodelista"/>
        <w:spacing w:after="0" w:line="240" w:lineRule="auto"/>
        <w:ind w:leftChars="0" w:left="1418" w:firstLineChars="0" w:firstLine="0"/>
        <w:jc w:val="both"/>
        <w:rPr>
          <w:rFonts w:ascii="Times New Roman" w:eastAsia="Times New Roman" w:hAnsi="Times New Roman" w:cs="Times New Roman"/>
          <w:i/>
          <w:lang w:val="es-MX" w:bidi="es-ES"/>
        </w:rPr>
      </w:pPr>
    </w:p>
    <w:p w14:paraId="4A24AA22" w14:textId="65FA930A" w:rsidR="00B429A1" w:rsidRPr="00262E03" w:rsidRDefault="00B429A1" w:rsidP="00B429A1">
      <w:pPr>
        <w:pStyle w:val="Prrafodelista"/>
        <w:numPr>
          <w:ilvl w:val="0"/>
          <w:numId w:val="16"/>
        </w:numPr>
        <w:spacing w:after="0" w:line="240" w:lineRule="auto"/>
        <w:ind w:leftChars="0" w:left="1985" w:firstLineChars="0"/>
        <w:jc w:val="both"/>
        <w:rPr>
          <w:rFonts w:ascii="Times New Roman" w:hAnsi="Times New Roman" w:cs="Times New Roman"/>
        </w:rPr>
      </w:pPr>
      <w:r>
        <w:rPr>
          <w:rFonts w:ascii="Times New Roman" w:hAnsi="Times New Roman" w:cs="Times New Roman"/>
        </w:rPr>
        <w:t xml:space="preserve">La Sociedad se compromete a </w:t>
      </w:r>
      <w:r w:rsidRPr="002D22B8">
        <w:rPr>
          <w:rFonts w:ascii="Times New Roman" w:hAnsi="Times New Roman" w:cs="Times New Roman"/>
        </w:rPr>
        <w:t xml:space="preserve">hacer incluir en cada uno de </w:t>
      </w:r>
      <w:r>
        <w:rPr>
          <w:rFonts w:ascii="Times New Roman" w:hAnsi="Times New Roman" w:cs="Times New Roman"/>
        </w:rPr>
        <w:t>sus</w:t>
      </w:r>
      <w:r w:rsidRPr="002D22B8">
        <w:rPr>
          <w:rFonts w:ascii="Times New Roman" w:hAnsi="Times New Roman" w:cs="Times New Roman"/>
        </w:rPr>
        <w:t xml:space="preserve"> </w:t>
      </w:r>
      <w:r w:rsidR="008F416D">
        <w:rPr>
          <w:rFonts w:ascii="Times New Roman" w:hAnsi="Times New Roman" w:cs="Times New Roman"/>
        </w:rPr>
        <w:t>e</w:t>
      </w:r>
      <w:r w:rsidR="00EA20B7">
        <w:rPr>
          <w:rFonts w:ascii="Times New Roman" w:hAnsi="Times New Roman" w:cs="Times New Roman"/>
        </w:rPr>
        <w:t xml:space="preserve">stados </w:t>
      </w:r>
      <w:r w:rsidR="008F416D">
        <w:rPr>
          <w:rFonts w:ascii="Times New Roman" w:hAnsi="Times New Roman" w:cs="Times New Roman"/>
        </w:rPr>
        <w:t>c</w:t>
      </w:r>
      <w:r w:rsidR="00EA20B7">
        <w:rPr>
          <w:rFonts w:ascii="Times New Roman" w:hAnsi="Times New Roman" w:cs="Times New Roman"/>
        </w:rPr>
        <w:t>ontables</w:t>
      </w:r>
      <w:r w:rsidRPr="002D22B8">
        <w:rPr>
          <w:rFonts w:ascii="Times New Roman" w:hAnsi="Times New Roman" w:cs="Times New Roman"/>
        </w:rPr>
        <w:t xml:space="preserve"> trimestrales</w:t>
      </w:r>
      <w:r>
        <w:rPr>
          <w:rFonts w:ascii="Times New Roman" w:hAnsi="Times New Roman" w:cs="Times New Roman"/>
        </w:rPr>
        <w:t xml:space="preserve"> y anuales</w:t>
      </w:r>
      <w:r w:rsidRPr="002D22B8">
        <w:rPr>
          <w:rFonts w:ascii="Times New Roman" w:hAnsi="Times New Roman" w:cs="Times New Roman"/>
        </w:rPr>
        <w:t xml:space="preserve"> </w:t>
      </w:r>
      <w:r>
        <w:rPr>
          <w:rFonts w:ascii="Times New Roman" w:hAnsi="Times New Roman" w:cs="Times New Roman"/>
        </w:rPr>
        <w:t xml:space="preserve">una nota del </w:t>
      </w:r>
      <w:r w:rsidRPr="002D22B8">
        <w:rPr>
          <w:rFonts w:ascii="Times New Roman" w:hAnsi="Times New Roman" w:cs="Times New Roman"/>
        </w:rPr>
        <w:t xml:space="preserve">Auditor de la </w:t>
      </w:r>
      <w:r>
        <w:rPr>
          <w:rFonts w:ascii="Times New Roman" w:hAnsi="Times New Roman" w:cs="Times New Roman"/>
        </w:rPr>
        <w:t>S</w:t>
      </w:r>
      <w:r w:rsidRPr="002D22B8">
        <w:rPr>
          <w:rFonts w:ascii="Times New Roman" w:hAnsi="Times New Roman" w:cs="Times New Roman"/>
        </w:rPr>
        <w:t>ociedad, relativ</w:t>
      </w:r>
      <w:r w:rsidR="00B93BFB">
        <w:rPr>
          <w:rFonts w:ascii="Times New Roman" w:hAnsi="Times New Roman" w:cs="Times New Roman"/>
        </w:rPr>
        <w:t>a</w:t>
      </w:r>
      <w:r w:rsidRPr="002D22B8">
        <w:rPr>
          <w:rFonts w:ascii="Times New Roman" w:hAnsi="Times New Roman" w:cs="Times New Roman"/>
        </w:rPr>
        <w:t xml:space="preserve"> al cumplimiento de estos </w:t>
      </w:r>
      <w:r w:rsidR="008F416D">
        <w:rPr>
          <w:rFonts w:ascii="Times New Roman" w:hAnsi="Times New Roman" w:cs="Times New Roman"/>
        </w:rPr>
        <w:t xml:space="preserve">Nuevos </w:t>
      </w:r>
      <w:r w:rsidR="00EA20B7">
        <w:rPr>
          <w:rFonts w:ascii="Times New Roman" w:hAnsi="Times New Roman" w:cs="Times New Roman"/>
        </w:rPr>
        <w:t>C</w:t>
      </w:r>
      <w:r w:rsidRPr="002D22B8">
        <w:rPr>
          <w:rFonts w:ascii="Times New Roman" w:hAnsi="Times New Roman" w:cs="Times New Roman"/>
        </w:rPr>
        <w:t>ompromisos</w:t>
      </w:r>
      <w:r w:rsidR="008F416D">
        <w:rPr>
          <w:rFonts w:ascii="Times New Roman" w:hAnsi="Times New Roman" w:cs="Times New Roman"/>
        </w:rPr>
        <w:t xml:space="preserve"> de las Obligaciones Negociables.</w:t>
      </w:r>
    </w:p>
    <w:p w14:paraId="2C0527D4" w14:textId="2E93C54C" w:rsidR="000F063A" w:rsidRPr="00B429A1" w:rsidRDefault="000F063A">
      <w:pPr>
        <w:pStyle w:val="Prrafodelista"/>
        <w:spacing w:after="0" w:line="240" w:lineRule="auto"/>
        <w:ind w:leftChars="0" w:left="1985" w:firstLineChars="0" w:firstLine="0"/>
        <w:jc w:val="both"/>
        <w:rPr>
          <w:rFonts w:ascii="Times New Roman" w:hAnsi="Times New Roman" w:cs="Times New Roman"/>
        </w:rPr>
      </w:pPr>
    </w:p>
    <w:p w14:paraId="10A228C0" w14:textId="48D478E2" w:rsidR="000F063A" w:rsidRPr="00F43580" w:rsidRDefault="000F063A" w:rsidP="00C13AAC">
      <w:pPr>
        <w:pStyle w:val="Prrafodelista"/>
        <w:numPr>
          <w:ilvl w:val="0"/>
          <w:numId w:val="16"/>
        </w:numPr>
        <w:spacing w:after="0" w:line="240" w:lineRule="auto"/>
        <w:ind w:leftChars="0" w:left="1985" w:firstLineChars="0"/>
        <w:jc w:val="both"/>
        <w:rPr>
          <w:rFonts w:ascii="Times New Roman" w:hAnsi="Times New Roman" w:cs="Times New Roman"/>
        </w:rPr>
      </w:pPr>
      <w:r w:rsidRPr="0055089D">
        <w:rPr>
          <w:rFonts w:ascii="Times New Roman" w:hAnsi="Times New Roman" w:cs="Times New Roman"/>
        </w:rPr>
        <w:t xml:space="preserve">La Sociedad se compromete a no realizar actos que impliquen una fusión, transformación, absorción, escisión, liquidación, consolidación o cualquier otra forma de reorganización societaria, transferencia de fondo de comercio o cualquier otro acto de efectos similares o al que, conforme cualquier ley o norma, pudieran oponerse los acreedores de la Sociedad, </w:t>
      </w:r>
      <w:r w:rsidR="001162E4" w:rsidRPr="003F14C4">
        <w:rPr>
          <w:rFonts w:ascii="Times New Roman" w:hAnsi="Times New Roman" w:cs="Times New Roman"/>
        </w:rPr>
        <w:t>, salvo que la Sociedad sea la persona continuadora</w:t>
      </w:r>
      <w:r w:rsidR="00FB610E">
        <w:rPr>
          <w:rFonts w:ascii="Times New Roman" w:hAnsi="Times New Roman" w:cs="Times New Roman"/>
        </w:rPr>
        <w:t xml:space="preserve"> y que luego de dicha fusión</w:t>
      </w:r>
      <w:r w:rsidR="006508D0">
        <w:rPr>
          <w:rFonts w:ascii="Times New Roman" w:hAnsi="Times New Roman" w:cs="Times New Roman"/>
        </w:rPr>
        <w:t xml:space="preserve"> transformación, absorción</w:t>
      </w:r>
      <w:r w:rsidR="009C0107">
        <w:rPr>
          <w:rFonts w:ascii="Times New Roman" w:hAnsi="Times New Roman" w:cs="Times New Roman"/>
        </w:rPr>
        <w:t xml:space="preserve"> y</w:t>
      </w:r>
      <w:r w:rsidR="006508D0" w:rsidRPr="0055089D">
        <w:rPr>
          <w:rFonts w:ascii="Times New Roman" w:hAnsi="Times New Roman" w:cs="Times New Roman"/>
        </w:rPr>
        <w:t xml:space="preserve"> consolidación </w:t>
      </w:r>
      <w:r w:rsidR="00FB610E">
        <w:rPr>
          <w:rFonts w:ascii="Times New Roman" w:hAnsi="Times New Roman" w:cs="Times New Roman"/>
        </w:rPr>
        <w:t>cumpla con todos los Nuevos Compromisos de las Obligaciones Negociables</w:t>
      </w:r>
      <w:r w:rsidR="001162E4" w:rsidRPr="003F14C4">
        <w:rPr>
          <w:rFonts w:ascii="Times New Roman" w:hAnsi="Times New Roman" w:cs="Times New Roman"/>
        </w:rPr>
        <w:t xml:space="preserve">, </w:t>
      </w:r>
      <w:r w:rsidRPr="003F14C4">
        <w:rPr>
          <w:rFonts w:ascii="Times New Roman" w:hAnsi="Times New Roman" w:cs="Times New Roman"/>
        </w:rPr>
        <w:t xml:space="preserve">ni </w:t>
      </w:r>
      <w:r w:rsidR="001162E4" w:rsidRPr="00626DBF">
        <w:rPr>
          <w:rFonts w:ascii="Times New Roman" w:hAnsi="Times New Roman" w:cs="Times New Roman"/>
        </w:rPr>
        <w:t xml:space="preserve">a </w:t>
      </w:r>
      <w:r w:rsidRPr="00626DBF">
        <w:rPr>
          <w:rFonts w:ascii="Times New Roman" w:hAnsi="Times New Roman" w:cs="Times New Roman"/>
        </w:rPr>
        <w:t>transferir, transmitir, vender, ceder, alquilar o de otra forma enajenar (sea en una transacción o serie de transacciones) todos o sustancialmente todos sus activos (que actualmente tenga en su poder o que adquiera en el futuro)</w:t>
      </w:r>
      <w:r w:rsidR="00964870" w:rsidRPr="00AC013A">
        <w:rPr>
          <w:rFonts w:ascii="Times New Roman" w:hAnsi="Times New Roman" w:cs="Times New Roman"/>
        </w:rPr>
        <w:t>.</w:t>
      </w:r>
      <w:r w:rsidRPr="00F43580">
        <w:rPr>
          <w:rFonts w:ascii="Times New Roman" w:hAnsi="Times New Roman" w:cs="Times New Roman"/>
        </w:rPr>
        <w:t xml:space="preserve"> </w:t>
      </w:r>
    </w:p>
    <w:p w14:paraId="7B9E518A" w14:textId="77777777" w:rsidR="000F063A" w:rsidRPr="00F43580" w:rsidRDefault="000F063A" w:rsidP="00C13AAC">
      <w:pPr>
        <w:pStyle w:val="Prrafodelista"/>
        <w:spacing w:after="0" w:line="240" w:lineRule="auto"/>
        <w:ind w:left="0" w:hanging="2"/>
        <w:rPr>
          <w:rFonts w:ascii="Times New Roman" w:hAnsi="Times New Roman" w:cs="Times New Roman"/>
        </w:rPr>
      </w:pPr>
    </w:p>
    <w:p w14:paraId="28DBBAC7" w14:textId="1722A639" w:rsidR="009E37BA" w:rsidRPr="00914733" w:rsidRDefault="000F063A" w:rsidP="00914733">
      <w:pPr>
        <w:pStyle w:val="Prrafodelista"/>
        <w:numPr>
          <w:ilvl w:val="0"/>
          <w:numId w:val="16"/>
        </w:numPr>
        <w:spacing w:after="0" w:line="240" w:lineRule="auto"/>
        <w:ind w:leftChars="0" w:left="1985" w:firstLineChars="0"/>
        <w:jc w:val="both"/>
        <w:rPr>
          <w:rFonts w:ascii="Times New Roman" w:hAnsi="Times New Roman" w:cs="Times New Roman"/>
        </w:rPr>
      </w:pPr>
      <w:r w:rsidRPr="008433DA">
        <w:rPr>
          <w:rFonts w:ascii="Times New Roman" w:hAnsi="Times New Roman" w:cs="Times New Roman"/>
        </w:rPr>
        <w:t xml:space="preserve"> </w:t>
      </w:r>
      <w:r w:rsidR="00964870" w:rsidRPr="008433DA">
        <w:rPr>
          <w:rFonts w:ascii="Times New Roman" w:hAnsi="Times New Roman" w:cs="Times New Roman"/>
        </w:rPr>
        <w:t>La Sociedad se compromete a</w:t>
      </w:r>
      <w:r w:rsidRPr="003E13B9">
        <w:rPr>
          <w:rFonts w:ascii="Times New Roman" w:hAnsi="Times New Roman" w:cs="Times New Roman"/>
        </w:rPr>
        <w:t xml:space="preserve"> no reemplazar al Auditor </w:t>
      </w:r>
      <w:r w:rsidR="00923DC7" w:rsidRPr="004E7C62">
        <w:rPr>
          <w:rFonts w:ascii="Times New Roman" w:hAnsi="Times New Roman" w:cs="Times New Roman"/>
        </w:rPr>
        <w:t xml:space="preserve">de la Sociedad </w:t>
      </w:r>
      <w:r w:rsidRPr="004E7C62">
        <w:rPr>
          <w:rFonts w:ascii="Times New Roman" w:hAnsi="Times New Roman" w:cs="Times New Roman"/>
        </w:rPr>
        <w:t xml:space="preserve">por cualquier firma que no sea </w:t>
      </w:r>
      <w:r w:rsidR="00923DC7" w:rsidRPr="004E7C62">
        <w:rPr>
          <w:rFonts w:ascii="Times New Roman" w:hAnsi="Times New Roman" w:cs="Times New Roman"/>
        </w:rPr>
        <w:t xml:space="preserve">Price </w:t>
      </w:r>
      <w:proofErr w:type="spellStart"/>
      <w:r w:rsidR="00923DC7" w:rsidRPr="004E7C62">
        <w:rPr>
          <w:rFonts w:ascii="Times New Roman" w:hAnsi="Times New Roman" w:cs="Times New Roman"/>
        </w:rPr>
        <w:t>Waterhouse</w:t>
      </w:r>
      <w:proofErr w:type="spellEnd"/>
      <w:r w:rsidR="00923DC7" w:rsidRPr="004E7C62">
        <w:rPr>
          <w:rFonts w:ascii="Times New Roman" w:hAnsi="Times New Roman" w:cs="Times New Roman"/>
        </w:rPr>
        <w:t xml:space="preserve"> &amp; Co. S.R.L., </w:t>
      </w:r>
      <w:proofErr w:type="spellStart"/>
      <w:r w:rsidR="00923DC7" w:rsidRPr="004E7C62">
        <w:rPr>
          <w:rFonts w:ascii="Times New Roman" w:hAnsi="Times New Roman" w:cs="Times New Roman"/>
        </w:rPr>
        <w:t>Deloitte</w:t>
      </w:r>
      <w:proofErr w:type="spellEnd"/>
      <w:r w:rsidR="00923DC7" w:rsidRPr="004E7C62">
        <w:rPr>
          <w:rFonts w:ascii="Times New Roman" w:hAnsi="Times New Roman" w:cs="Times New Roman"/>
        </w:rPr>
        <w:t xml:space="preserve"> &amp; Co. S.R.L., </w:t>
      </w:r>
      <w:proofErr w:type="spellStart"/>
      <w:r w:rsidR="00923DC7" w:rsidRPr="004E7C62">
        <w:rPr>
          <w:rFonts w:ascii="Times New Roman" w:hAnsi="Times New Roman" w:cs="Times New Roman"/>
        </w:rPr>
        <w:t>Pistrelli</w:t>
      </w:r>
      <w:proofErr w:type="spellEnd"/>
      <w:r w:rsidR="00923DC7" w:rsidRPr="004E7C62">
        <w:rPr>
          <w:rFonts w:ascii="Times New Roman" w:hAnsi="Times New Roman" w:cs="Times New Roman"/>
        </w:rPr>
        <w:t xml:space="preserve">, Henry Martin &amp; Asociados S.R.L. (una firma de Ernst &amp; Young Global), KPMG </w:t>
      </w:r>
      <w:proofErr w:type="spellStart"/>
      <w:r w:rsidR="00923DC7" w:rsidRPr="004E7C62">
        <w:rPr>
          <w:rFonts w:ascii="Times New Roman" w:hAnsi="Times New Roman" w:cs="Times New Roman"/>
        </w:rPr>
        <w:t>Finsterbusch</w:t>
      </w:r>
      <w:proofErr w:type="spellEnd"/>
      <w:r w:rsidR="00923DC7" w:rsidRPr="004E7C62">
        <w:rPr>
          <w:rFonts w:ascii="Times New Roman" w:hAnsi="Times New Roman" w:cs="Times New Roman"/>
        </w:rPr>
        <w:t xml:space="preserve"> </w:t>
      </w:r>
      <w:proofErr w:type="spellStart"/>
      <w:r w:rsidR="00923DC7" w:rsidRPr="004E7C62">
        <w:rPr>
          <w:rFonts w:ascii="Times New Roman" w:hAnsi="Times New Roman" w:cs="Times New Roman"/>
        </w:rPr>
        <w:t>Pickenhayn</w:t>
      </w:r>
      <w:proofErr w:type="spellEnd"/>
      <w:r w:rsidR="00923DC7" w:rsidRPr="004E7C62">
        <w:rPr>
          <w:rFonts w:ascii="Times New Roman" w:hAnsi="Times New Roman" w:cs="Times New Roman"/>
        </w:rPr>
        <w:t xml:space="preserve"> </w:t>
      </w:r>
      <w:proofErr w:type="spellStart"/>
      <w:r w:rsidR="00923DC7" w:rsidRPr="004E7C62">
        <w:rPr>
          <w:rFonts w:ascii="Times New Roman" w:hAnsi="Times New Roman" w:cs="Times New Roman"/>
        </w:rPr>
        <w:t>Sibille</w:t>
      </w:r>
      <w:proofErr w:type="spellEnd"/>
      <w:r w:rsidR="00923DC7" w:rsidRPr="004E7C62">
        <w:rPr>
          <w:rFonts w:ascii="Times New Roman" w:hAnsi="Times New Roman" w:cs="Times New Roman"/>
        </w:rPr>
        <w:t xml:space="preserve">, o </w:t>
      </w:r>
      <w:proofErr w:type="spellStart"/>
      <w:r w:rsidR="00923DC7" w:rsidRPr="004E7C62">
        <w:rPr>
          <w:rFonts w:ascii="Times New Roman" w:hAnsi="Times New Roman" w:cs="Times New Roman"/>
        </w:rPr>
        <w:t>Lis</w:t>
      </w:r>
      <w:r w:rsidR="00FC0E6F">
        <w:rPr>
          <w:rFonts w:ascii="Times New Roman" w:hAnsi="Times New Roman" w:cs="Times New Roman"/>
        </w:rPr>
        <w:t>i</w:t>
      </w:r>
      <w:r w:rsidR="00923DC7" w:rsidRPr="004E7C62">
        <w:rPr>
          <w:rFonts w:ascii="Times New Roman" w:hAnsi="Times New Roman" w:cs="Times New Roman"/>
        </w:rPr>
        <w:t>cki</w:t>
      </w:r>
      <w:proofErr w:type="spellEnd"/>
      <w:r w:rsidR="00923DC7" w:rsidRPr="004E7C62">
        <w:rPr>
          <w:rFonts w:ascii="Times New Roman" w:hAnsi="Times New Roman" w:cs="Times New Roman"/>
        </w:rPr>
        <w:t xml:space="preserve">, </w:t>
      </w:r>
      <w:proofErr w:type="spellStart"/>
      <w:r w:rsidR="00923DC7" w:rsidRPr="004E7C62">
        <w:rPr>
          <w:rFonts w:ascii="Times New Roman" w:hAnsi="Times New Roman" w:cs="Times New Roman"/>
        </w:rPr>
        <w:t>Litvin</w:t>
      </w:r>
      <w:proofErr w:type="spellEnd"/>
      <w:r w:rsidR="00923DC7" w:rsidRPr="004E7C62">
        <w:rPr>
          <w:rFonts w:ascii="Times New Roman" w:hAnsi="Times New Roman" w:cs="Times New Roman"/>
        </w:rPr>
        <w:t xml:space="preserve"> &amp; Asociados.</w:t>
      </w:r>
    </w:p>
    <w:p w14:paraId="7A6283D8" w14:textId="7F3EC5FF" w:rsidR="000F063A" w:rsidRPr="00262E03" w:rsidRDefault="000F063A" w:rsidP="00C13AAC">
      <w:pPr>
        <w:spacing w:after="0" w:line="240" w:lineRule="auto"/>
        <w:ind w:leftChars="0" w:left="1134" w:firstLineChars="0" w:firstLine="0"/>
        <w:jc w:val="both"/>
        <w:rPr>
          <w:rFonts w:ascii="Times New Roman" w:hAnsi="Times New Roman" w:cs="Times New Roman"/>
        </w:rPr>
      </w:pPr>
    </w:p>
    <w:p w14:paraId="263ECC67" w14:textId="37888C42" w:rsidR="00923DC7" w:rsidRPr="007D6A72" w:rsidRDefault="00964870" w:rsidP="00C13AAC">
      <w:pPr>
        <w:pStyle w:val="Prrafodelista"/>
        <w:spacing w:after="0" w:line="240" w:lineRule="auto"/>
        <w:ind w:leftChars="0" w:left="1134" w:firstLineChars="0" w:firstLine="0"/>
        <w:jc w:val="both"/>
        <w:textDirection w:val="lrTb"/>
        <w:rPr>
          <w:rFonts w:ascii="Times New Roman" w:hAnsi="Times New Roman" w:cs="Times New Roman"/>
          <w:i/>
          <w:lang w:val="es-MX" w:bidi="es-ES"/>
        </w:rPr>
      </w:pPr>
      <w:r w:rsidRPr="00262E03">
        <w:rPr>
          <w:rFonts w:ascii="Times New Roman" w:eastAsia="Times New Roman" w:hAnsi="Times New Roman" w:cs="Times New Roman"/>
          <w:lang w:val="es-MX" w:bidi="es-ES"/>
        </w:rPr>
        <w:t>(vi</w:t>
      </w:r>
      <w:r w:rsidR="00A36CA4">
        <w:rPr>
          <w:rFonts w:ascii="Times New Roman" w:eastAsia="Times New Roman" w:hAnsi="Times New Roman" w:cs="Times New Roman"/>
          <w:lang w:val="es-MX" w:bidi="es-ES"/>
        </w:rPr>
        <w:t>i</w:t>
      </w:r>
      <w:r w:rsidRPr="00FB4529">
        <w:rPr>
          <w:rFonts w:ascii="Times New Roman" w:eastAsia="Times New Roman" w:hAnsi="Times New Roman" w:cs="Times New Roman"/>
          <w:lang w:val="es-MX" w:bidi="es-ES"/>
        </w:rPr>
        <w:t>)</w:t>
      </w:r>
      <w:r w:rsidRPr="00E02C4A">
        <w:rPr>
          <w:rFonts w:ascii="Times New Roman" w:eastAsia="Times New Roman" w:hAnsi="Times New Roman" w:cs="Times New Roman"/>
          <w:i/>
          <w:lang w:val="es-MX" w:bidi="es-ES"/>
        </w:rPr>
        <w:t xml:space="preserve"> </w:t>
      </w:r>
      <w:r w:rsidR="00923DC7" w:rsidRPr="007D6A72">
        <w:rPr>
          <w:rFonts w:ascii="Times New Roman" w:eastAsia="Times New Roman" w:hAnsi="Times New Roman" w:cs="Times New Roman"/>
          <w:i/>
          <w:lang w:val="es-MX" w:bidi="es-ES"/>
        </w:rPr>
        <w:t>Ciertas definiciones</w:t>
      </w:r>
    </w:p>
    <w:p w14:paraId="52345107" w14:textId="77777777" w:rsidR="00923DC7" w:rsidRPr="0055089D" w:rsidRDefault="00923DC7" w:rsidP="00C13AAC">
      <w:pPr>
        <w:pStyle w:val="Prrafodelista"/>
        <w:spacing w:after="0" w:line="240" w:lineRule="auto"/>
        <w:ind w:leftChars="0" w:left="1418" w:firstLineChars="0" w:firstLine="0"/>
        <w:jc w:val="both"/>
        <w:rPr>
          <w:rFonts w:ascii="Times New Roman" w:hAnsi="Times New Roman" w:cs="Times New Roman"/>
          <w:i/>
          <w:u w:val="single"/>
          <w:lang w:val="es-MX" w:bidi="es-ES"/>
        </w:rPr>
      </w:pPr>
    </w:p>
    <w:p w14:paraId="3C154991" w14:textId="69655184" w:rsidR="00923DC7" w:rsidRPr="00626DBF" w:rsidRDefault="00923DC7" w:rsidP="00C13AAC">
      <w:pPr>
        <w:pStyle w:val="Prrafodelista"/>
        <w:spacing w:after="0" w:line="240" w:lineRule="auto"/>
        <w:ind w:leftChars="0" w:left="1418" w:firstLineChars="0" w:firstLine="0"/>
        <w:jc w:val="both"/>
        <w:rPr>
          <w:rFonts w:ascii="Times New Roman" w:hAnsi="Times New Roman" w:cs="Times New Roman"/>
          <w:lang w:val="es-MX" w:bidi="es-ES"/>
        </w:rPr>
      </w:pPr>
      <w:r w:rsidRPr="00626DBF">
        <w:rPr>
          <w:rFonts w:ascii="Times New Roman" w:eastAsia="Times New Roman" w:hAnsi="Times New Roman" w:cs="Times New Roman"/>
          <w:lang w:val="es-MX" w:bidi="es-ES"/>
        </w:rPr>
        <w:t>A efectos de los Nuevos Compromisos de las Obligaciones Negociables y Nuevos Supuestos de Incumplimiento:</w:t>
      </w:r>
    </w:p>
    <w:p w14:paraId="4DA96C5C" w14:textId="77777777" w:rsidR="00923DC7" w:rsidRPr="00F43580" w:rsidRDefault="00923DC7" w:rsidP="00C13AAC">
      <w:pPr>
        <w:pStyle w:val="Prrafodelista"/>
        <w:spacing w:after="0" w:line="240" w:lineRule="auto"/>
        <w:ind w:leftChars="0" w:left="1418" w:firstLineChars="0" w:firstLine="0"/>
        <w:jc w:val="both"/>
        <w:rPr>
          <w:rFonts w:ascii="Times New Roman" w:hAnsi="Times New Roman" w:cs="Times New Roman"/>
          <w:lang w:val="es-MX" w:bidi="es-ES"/>
        </w:rPr>
      </w:pPr>
    </w:p>
    <w:p w14:paraId="23FB22E3" w14:textId="103EF0EE" w:rsidR="001E644A" w:rsidRPr="009573B9" w:rsidRDefault="001E644A" w:rsidP="00C13AAC">
      <w:pPr>
        <w:pStyle w:val="Prrafodelista"/>
        <w:spacing w:after="0" w:line="240" w:lineRule="auto"/>
        <w:ind w:leftChars="0" w:left="1418" w:firstLineChars="0" w:firstLine="0"/>
        <w:jc w:val="both"/>
        <w:textDirection w:val="lrTb"/>
        <w:rPr>
          <w:rFonts w:ascii="Times New Roman" w:hAnsi="Times New Roman" w:cs="Times New Roman"/>
          <w:lang w:val="es-MX" w:bidi="es-ES"/>
        </w:rPr>
      </w:pPr>
      <w:r w:rsidRPr="00F43580">
        <w:rPr>
          <w:rFonts w:ascii="Times New Roman" w:eastAsia="Times New Roman" w:hAnsi="Times New Roman" w:cs="Times New Roman"/>
          <w:lang w:val="es-MX" w:bidi="es-ES"/>
        </w:rPr>
        <w:t>“</w:t>
      </w:r>
      <w:r w:rsidRPr="00EF6EEA">
        <w:rPr>
          <w:rFonts w:ascii="Times New Roman" w:eastAsia="Times New Roman" w:hAnsi="Times New Roman" w:cs="Times New Roman"/>
          <w:u w:val="single"/>
          <w:lang w:val="es-MX" w:bidi="es-ES"/>
        </w:rPr>
        <w:t xml:space="preserve">Actividad Principal de la </w:t>
      </w:r>
      <w:r w:rsidR="008F416D">
        <w:rPr>
          <w:rFonts w:ascii="Times New Roman" w:eastAsia="Times New Roman" w:hAnsi="Times New Roman" w:cs="Times New Roman"/>
          <w:u w:val="single"/>
          <w:lang w:val="es-MX" w:bidi="es-ES"/>
        </w:rPr>
        <w:t>Sociedad</w:t>
      </w:r>
      <w:r w:rsidRPr="00DF7A87">
        <w:rPr>
          <w:rFonts w:ascii="Times New Roman" w:eastAsia="Times New Roman" w:hAnsi="Times New Roman" w:cs="Times New Roman"/>
          <w:lang w:val="es-MX" w:bidi="es-ES"/>
        </w:rPr>
        <w:t xml:space="preserve">” significa las actividades de inversión, desarrollo, construcción, comercialización y gestión de proyectos inmobiliarios e inmuebles que la Prestataria realiza por sí y/o a través de sus Subsidiarias. </w:t>
      </w:r>
    </w:p>
    <w:p w14:paraId="46E7C4A7" w14:textId="77777777" w:rsidR="001E644A" w:rsidRPr="008433DA" w:rsidRDefault="001E644A" w:rsidP="00C13AAC">
      <w:pPr>
        <w:pStyle w:val="Prrafodelista"/>
        <w:spacing w:after="0" w:line="240" w:lineRule="auto"/>
        <w:ind w:leftChars="0" w:left="1418" w:firstLineChars="0" w:firstLine="0"/>
        <w:jc w:val="both"/>
        <w:textDirection w:val="lrTb"/>
        <w:rPr>
          <w:rFonts w:ascii="Times New Roman" w:hAnsi="Times New Roman" w:cs="Times New Roman"/>
          <w:lang w:val="es-MX" w:bidi="es-ES"/>
        </w:rPr>
      </w:pPr>
    </w:p>
    <w:p w14:paraId="207A2DCC" w14:textId="47F1B5AE" w:rsidR="001E644A" w:rsidRDefault="001E644A" w:rsidP="00C13AAC">
      <w:pPr>
        <w:pStyle w:val="Prrafodelista"/>
        <w:spacing w:after="0" w:line="240" w:lineRule="auto"/>
        <w:ind w:leftChars="0" w:left="1418" w:firstLineChars="0" w:firstLine="0"/>
        <w:jc w:val="both"/>
        <w:textDirection w:val="lrTb"/>
        <w:rPr>
          <w:rFonts w:ascii="Times New Roman" w:hAnsi="Times New Roman" w:cs="Times New Roman"/>
        </w:rPr>
      </w:pPr>
      <w:r w:rsidRPr="003E13B9">
        <w:rPr>
          <w:rFonts w:ascii="Times New Roman" w:hAnsi="Times New Roman" w:cs="Times New Roman"/>
        </w:rPr>
        <w:t>“</w:t>
      </w:r>
      <w:r w:rsidRPr="004E7C62">
        <w:rPr>
          <w:rFonts w:ascii="Times New Roman" w:hAnsi="Times New Roman" w:cs="Times New Roman"/>
          <w:u w:val="single"/>
        </w:rPr>
        <w:t>Capital Social</w:t>
      </w:r>
      <w:r w:rsidRPr="004E7C62">
        <w:rPr>
          <w:rFonts w:ascii="Times New Roman" w:hAnsi="Times New Roman" w:cs="Times New Roman"/>
        </w:rPr>
        <w:t xml:space="preserve">” significa, respecto de cualquier Persona, todas y cada una de las acciones, participaciones, derechos de compra, </w:t>
      </w:r>
      <w:r w:rsidRPr="004E7C62">
        <w:rPr>
          <w:rFonts w:ascii="Times New Roman" w:hAnsi="Times New Roman" w:cs="Times New Roman"/>
          <w:i/>
        </w:rPr>
        <w:t>warrants</w:t>
      </w:r>
      <w:r w:rsidRPr="00262E03">
        <w:rPr>
          <w:rFonts w:ascii="Times New Roman" w:hAnsi="Times New Roman" w:cs="Times New Roman"/>
        </w:rPr>
        <w:t xml:space="preserve">, opciones u otros equivalentes o derechos (cualquier fuera su nombre) en el capital accionario o preferido u otras participaciones en el capital de dicha Persona, con o sin derecho de voto, incluyendo entre otros, </w:t>
      </w:r>
      <w:proofErr w:type="spellStart"/>
      <w:r w:rsidRPr="00262E03">
        <w:rPr>
          <w:rFonts w:ascii="Times New Roman" w:hAnsi="Times New Roman" w:cs="Times New Roman"/>
        </w:rPr>
        <w:t>cuotapartes</w:t>
      </w:r>
      <w:proofErr w:type="spellEnd"/>
      <w:r w:rsidRPr="00262E03">
        <w:rPr>
          <w:rFonts w:ascii="Times New Roman" w:hAnsi="Times New Roman" w:cs="Times New Roman"/>
        </w:rPr>
        <w:t xml:space="preserve"> de sociedades de personas</w:t>
      </w:r>
    </w:p>
    <w:p w14:paraId="1ED3B88B" w14:textId="3B5B684A" w:rsidR="00092991" w:rsidRDefault="00092991" w:rsidP="00C13AAC">
      <w:pPr>
        <w:pStyle w:val="Prrafodelista"/>
        <w:spacing w:after="0" w:line="240" w:lineRule="auto"/>
        <w:ind w:leftChars="0" w:left="1418" w:firstLineChars="0" w:firstLine="0"/>
        <w:jc w:val="both"/>
        <w:textDirection w:val="lrTb"/>
        <w:rPr>
          <w:rFonts w:ascii="Times New Roman" w:hAnsi="Times New Roman" w:cs="Times New Roman"/>
        </w:rPr>
      </w:pPr>
    </w:p>
    <w:p w14:paraId="0F2DB74A" w14:textId="2CCDB8DD" w:rsidR="00BA0BE9" w:rsidRPr="001D1AEC" w:rsidRDefault="00BA0BE9" w:rsidP="00741651">
      <w:pPr>
        <w:pStyle w:val="Prrafodelista"/>
        <w:spacing w:after="0" w:line="240" w:lineRule="auto"/>
        <w:ind w:leftChars="0" w:left="1418" w:firstLineChars="0" w:firstLine="0"/>
        <w:jc w:val="both"/>
        <w:textDirection w:val="lrTb"/>
        <w:rPr>
          <w:rFonts w:ascii="Times New Roman" w:hAnsi="Times New Roman" w:cs="Times New Roman"/>
        </w:rPr>
      </w:pPr>
      <w:r w:rsidRPr="004D63B0">
        <w:rPr>
          <w:rFonts w:ascii="Times New Roman" w:hAnsi="Times New Roman" w:cs="Times New Roman"/>
        </w:rPr>
        <w:t>“</w:t>
      </w:r>
      <w:r w:rsidRPr="001D1AEC">
        <w:rPr>
          <w:rFonts w:ascii="Times New Roman" w:hAnsi="Times New Roman" w:cs="Times New Roman"/>
          <w:u w:val="single"/>
        </w:rPr>
        <w:t>Control</w:t>
      </w:r>
      <w:r w:rsidRPr="001D1AEC">
        <w:rPr>
          <w:rFonts w:ascii="Times New Roman" w:hAnsi="Times New Roman" w:cs="Times New Roman"/>
        </w:rPr>
        <w:t xml:space="preserve">” significa la capacidad directa y/o indirecta de una Persona de elegir la mayoría de los miembros del directorio de una Persona y/o de dirigir por sí sola el gobierno y/o la administración de dicha Persona, a través de la titularidad de acciones con derecho a voto, por contrato y/o de cualquier otra forma. </w:t>
      </w:r>
      <w:r w:rsidRPr="004D63B0">
        <w:rPr>
          <w:rFonts w:ascii="Times New Roman" w:hAnsi="Times New Roman" w:cs="Times New Roman"/>
        </w:rPr>
        <w:t>Los términos “</w:t>
      </w:r>
      <w:r w:rsidR="00B93BFB">
        <w:rPr>
          <w:rFonts w:ascii="Times New Roman" w:hAnsi="Times New Roman" w:cs="Times New Roman"/>
        </w:rPr>
        <w:t>C</w:t>
      </w:r>
      <w:r w:rsidRPr="004D63B0">
        <w:rPr>
          <w:rFonts w:ascii="Times New Roman" w:hAnsi="Times New Roman" w:cs="Times New Roman"/>
        </w:rPr>
        <w:t>ontrolante” y “</w:t>
      </w:r>
      <w:r w:rsidR="00B93BFB">
        <w:rPr>
          <w:rFonts w:ascii="Times New Roman" w:hAnsi="Times New Roman" w:cs="Times New Roman"/>
        </w:rPr>
        <w:t>C</w:t>
      </w:r>
      <w:r w:rsidRPr="004D63B0">
        <w:rPr>
          <w:rFonts w:ascii="Times New Roman" w:hAnsi="Times New Roman" w:cs="Times New Roman"/>
        </w:rPr>
        <w:t>ontrolada” tienen significados correlativos.</w:t>
      </w:r>
    </w:p>
    <w:p w14:paraId="751F327C" w14:textId="77777777" w:rsidR="00BA0BE9" w:rsidRDefault="00BA0BE9" w:rsidP="00C13AAC">
      <w:pPr>
        <w:pStyle w:val="Prrafodelista"/>
        <w:spacing w:after="0" w:line="240" w:lineRule="auto"/>
        <w:ind w:leftChars="0" w:left="1418" w:firstLineChars="0" w:firstLine="0"/>
        <w:jc w:val="both"/>
        <w:textDirection w:val="lrTb"/>
        <w:rPr>
          <w:rFonts w:ascii="Times New Roman" w:hAnsi="Times New Roman" w:cs="Times New Roman"/>
        </w:rPr>
      </w:pPr>
    </w:p>
    <w:p w14:paraId="0A59FB0F" w14:textId="20314299" w:rsidR="00DC1800" w:rsidRPr="00A11EEF" w:rsidRDefault="006E59B1" w:rsidP="00A11EEF">
      <w:pPr>
        <w:pStyle w:val="Prrafodelista"/>
        <w:spacing w:after="0" w:line="240" w:lineRule="auto"/>
        <w:ind w:leftChars="0" w:left="1418" w:firstLineChars="0" w:firstLine="0"/>
        <w:jc w:val="both"/>
        <w:textDirection w:val="lrTb"/>
        <w:rPr>
          <w:rFonts w:ascii="Times New Roman" w:hAnsi="Times New Roman" w:cs="Times New Roman"/>
        </w:rPr>
      </w:pPr>
      <w:r>
        <w:rPr>
          <w:rFonts w:ascii="Times New Roman" w:hAnsi="Times New Roman" w:cs="Times New Roman"/>
        </w:rPr>
        <w:t>“</w:t>
      </w:r>
      <w:r w:rsidRPr="00741651">
        <w:rPr>
          <w:rFonts w:ascii="Times New Roman" w:hAnsi="Times New Roman" w:cs="Times New Roman"/>
          <w:u w:val="single"/>
        </w:rPr>
        <w:t>Deuda Financiera Permitida</w:t>
      </w:r>
      <w:r>
        <w:rPr>
          <w:rFonts w:ascii="Times New Roman" w:hAnsi="Times New Roman" w:cs="Times New Roman"/>
        </w:rPr>
        <w:t xml:space="preserve">” significa </w:t>
      </w:r>
      <w:r w:rsidR="00BA0BE9">
        <w:rPr>
          <w:rFonts w:ascii="Times New Roman" w:hAnsi="Times New Roman" w:cs="Times New Roman"/>
        </w:rPr>
        <w:t>(a)</w:t>
      </w:r>
      <w:r w:rsidR="0043425A">
        <w:rPr>
          <w:rFonts w:ascii="Times New Roman" w:hAnsi="Times New Roman" w:cs="Times New Roman"/>
        </w:rPr>
        <w:t xml:space="preserve"> uno o más </w:t>
      </w:r>
      <w:r w:rsidR="00BA0BE9">
        <w:rPr>
          <w:rFonts w:ascii="Times New Roman" w:hAnsi="Times New Roman" w:cs="Times New Roman"/>
        </w:rPr>
        <w:t>Endeudamiento</w:t>
      </w:r>
      <w:r w:rsidR="0043425A">
        <w:rPr>
          <w:rFonts w:ascii="Times New Roman" w:hAnsi="Times New Roman" w:cs="Times New Roman"/>
        </w:rPr>
        <w:t xml:space="preserve">s </w:t>
      </w:r>
      <w:r w:rsidR="00BA0BE9">
        <w:rPr>
          <w:rFonts w:ascii="Times New Roman" w:hAnsi="Times New Roman" w:cs="Times New Roman"/>
        </w:rPr>
        <w:t>Financiero</w:t>
      </w:r>
      <w:r w:rsidR="0043425A">
        <w:rPr>
          <w:rFonts w:ascii="Times New Roman" w:hAnsi="Times New Roman" w:cs="Times New Roman"/>
        </w:rPr>
        <w:t>s</w:t>
      </w:r>
      <w:r w:rsidR="00BA0BE9">
        <w:rPr>
          <w:rFonts w:ascii="Times New Roman" w:hAnsi="Times New Roman" w:cs="Times New Roman"/>
        </w:rPr>
        <w:t xml:space="preserve"> de la Sociedad</w:t>
      </w:r>
      <w:r w:rsidRPr="00741651">
        <w:rPr>
          <w:rFonts w:ascii="Times New Roman" w:hAnsi="Times New Roman" w:cs="Times New Roman"/>
          <w:szCs w:val="24"/>
        </w:rPr>
        <w:t xml:space="preserve"> por un monto total </w:t>
      </w:r>
      <w:r w:rsidR="0043425A">
        <w:rPr>
          <w:rFonts w:ascii="Times New Roman" w:hAnsi="Times New Roman" w:cs="Times New Roman"/>
          <w:szCs w:val="24"/>
        </w:rPr>
        <w:t xml:space="preserve">conjunto </w:t>
      </w:r>
      <w:r w:rsidRPr="00741651">
        <w:rPr>
          <w:rFonts w:ascii="Times New Roman" w:hAnsi="Times New Roman" w:cs="Times New Roman"/>
          <w:szCs w:val="24"/>
        </w:rPr>
        <w:t xml:space="preserve">de capital que no supere en cualquier fecha (considerado el tiempo transcurrido desde la </w:t>
      </w:r>
      <w:r w:rsidR="00BA0BE9">
        <w:rPr>
          <w:rFonts w:ascii="Times New Roman" w:hAnsi="Times New Roman" w:cs="Times New Roman"/>
          <w:szCs w:val="24"/>
        </w:rPr>
        <w:t>Fecha Límite</w:t>
      </w:r>
      <w:r w:rsidRPr="00741651">
        <w:rPr>
          <w:rFonts w:ascii="Times New Roman" w:hAnsi="Times New Roman" w:cs="Times New Roman"/>
        </w:rPr>
        <w:t xml:space="preserve"> como un único período</w:t>
      </w:r>
      <w:r w:rsidRPr="00741651">
        <w:rPr>
          <w:rFonts w:ascii="Times New Roman" w:hAnsi="Times New Roman" w:cs="Times New Roman"/>
          <w:szCs w:val="24"/>
        </w:rPr>
        <w:t xml:space="preserve">) </w:t>
      </w:r>
      <w:r w:rsidR="00DC0606">
        <w:rPr>
          <w:rFonts w:ascii="Times New Roman" w:hAnsi="Times New Roman" w:cs="Times New Roman"/>
          <w:szCs w:val="24"/>
        </w:rPr>
        <w:t>el monto</w:t>
      </w:r>
      <w:r w:rsidRPr="00741651">
        <w:rPr>
          <w:rFonts w:ascii="Times New Roman" w:hAnsi="Times New Roman" w:cs="Times New Roman"/>
          <w:szCs w:val="24"/>
        </w:rPr>
        <w:t xml:space="preserve"> </w:t>
      </w:r>
      <w:r w:rsidRPr="00741651">
        <w:rPr>
          <w:rFonts w:ascii="Times New Roman" w:hAnsi="Times New Roman" w:cs="Times New Roman"/>
        </w:rPr>
        <w:t xml:space="preserve">mayor entre </w:t>
      </w:r>
      <w:r w:rsidRPr="00741651">
        <w:rPr>
          <w:rFonts w:ascii="Times New Roman" w:hAnsi="Times New Roman" w:cs="Times New Roman"/>
          <w:szCs w:val="24"/>
        </w:rPr>
        <w:t>(</w:t>
      </w:r>
      <w:r w:rsidRPr="00741651">
        <w:rPr>
          <w:rFonts w:ascii="Times New Roman" w:hAnsi="Times New Roman" w:cs="Times New Roman"/>
        </w:rPr>
        <w:t>i</w:t>
      </w:r>
      <w:r w:rsidRPr="00741651">
        <w:rPr>
          <w:rFonts w:ascii="Times New Roman" w:hAnsi="Times New Roman" w:cs="Times New Roman"/>
          <w:szCs w:val="24"/>
        </w:rPr>
        <w:t xml:space="preserve">) </w:t>
      </w:r>
      <w:r w:rsidRPr="00741651">
        <w:rPr>
          <w:rFonts w:ascii="Times New Roman" w:hAnsi="Times New Roman" w:cs="Times New Roman"/>
        </w:rPr>
        <w:t xml:space="preserve">Dólares </w:t>
      </w:r>
      <w:r w:rsidR="00DC0606">
        <w:rPr>
          <w:rFonts w:ascii="Times New Roman" w:hAnsi="Times New Roman" w:cs="Times New Roman"/>
        </w:rPr>
        <w:t>cuatro</w:t>
      </w:r>
      <w:r w:rsidR="00DA616A" w:rsidRPr="00741651">
        <w:rPr>
          <w:rFonts w:ascii="Times New Roman" w:hAnsi="Times New Roman" w:cs="Times New Roman"/>
        </w:rPr>
        <w:t xml:space="preserve"> </w:t>
      </w:r>
      <w:r w:rsidRPr="00741651">
        <w:rPr>
          <w:rFonts w:ascii="Times New Roman" w:hAnsi="Times New Roman" w:cs="Times New Roman"/>
        </w:rPr>
        <w:t>millones (</w:t>
      </w:r>
      <w:r w:rsidRPr="00741651">
        <w:rPr>
          <w:rFonts w:ascii="Times New Roman" w:hAnsi="Times New Roman" w:cs="Times New Roman"/>
          <w:szCs w:val="24"/>
        </w:rPr>
        <w:t>US</w:t>
      </w:r>
      <w:r w:rsidRPr="00741651">
        <w:rPr>
          <w:rFonts w:ascii="Times New Roman" w:hAnsi="Times New Roman" w:cs="Times New Roman"/>
        </w:rPr>
        <w:t>$</w:t>
      </w:r>
      <w:r w:rsidR="005D5C5C">
        <w:rPr>
          <w:rFonts w:ascii="Times New Roman" w:hAnsi="Times New Roman" w:cs="Times New Roman"/>
        </w:rPr>
        <w:t>4</w:t>
      </w:r>
      <w:r w:rsidRPr="00741651">
        <w:rPr>
          <w:rFonts w:ascii="Times New Roman" w:hAnsi="Times New Roman" w:cs="Times New Roman"/>
          <w:szCs w:val="24"/>
        </w:rPr>
        <w:t>.000.000</w:t>
      </w:r>
      <w:r w:rsidRPr="00741651">
        <w:rPr>
          <w:rFonts w:ascii="Times New Roman" w:hAnsi="Times New Roman" w:cs="Times New Roman"/>
        </w:rPr>
        <w:t>)</w:t>
      </w:r>
      <w:r w:rsidRPr="00741651">
        <w:rPr>
          <w:rFonts w:ascii="Times New Roman" w:hAnsi="Times New Roman" w:cs="Times New Roman"/>
          <w:szCs w:val="24"/>
        </w:rPr>
        <w:t xml:space="preserve"> (o su </w:t>
      </w:r>
      <w:r w:rsidR="008F416D">
        <w:rPr>
          <w:rFonts w:ascii="Times New Roman" w:hAnsi="Times New Roman" w:cs="Times New Roman"/>
        </w:rPr>
        <w:t>e</w:t>
      </w:r>
      <w:r w:rsidRPr="00741651">
        <w:rPr>
          <w:rFonts w:ascii="Times New Roman" w:hAnsi="Times New Roman" w:cs="Times New Roman"/>
          <w:szCs w:val="24"/>
        </w:rPr>
        <w:t xml:space="preserve">quivalente en </w:t>
      </w:r>
      <w:r w:rsidRPr="00741651">
        <w:rPr>
          <w:rFonts w:ascii="Times New Roman" w:hAnsi="Times New Roman" w:cs="Times New Roman"/>
        </w:rPr>
        <w:t>Pesos</w:t>
      </w:r>
      <w:r w:rsidRPr="00741651">
        <w:rPr>
          <w:rFonts w:ascii="Times New Roman" w:hAnsi="Times New Roman" w:cs="Times New Roman"/>
          <w:szCs w:val="24"/>
        </w:rPr>
        <w:t>)</w:t>
      </w:r>
      <w:r w:rsidRPr="00741651">
        <w:rPr>
          <w:rFonts w:ascii="Times New Roman" w:hAnsi="Times New Roman" w:cs="Times New Roman"/>
        </w:rPr>
        <w:t xml:space="preserve"> y (ii) el</w:t>
      </w:r>
      <w:r w:rsidR="007272FD">
        <w:rPr>
          <w:rFonts w:ascii="Times New Roman" w:hAnsi="Times New Roman" w:cs="Times New Roman"/>
        </w:rPr>
        <w:t xml:space="preserve"> 5</w:t>
      </w:r>
      <w:r w:rsidR="005D5C5C">
        <w:rPr>
          <w:rFonts w:ascii="Times New Roman" w:hAnsi="Times New Roman" w:cs="Times New Roman"/>
        </w:rPr>
        <w:t>0</w:t>
      </w:r>
      <w:r w:rsidR="007272FD">
        <w:rPr>
          <w:rFonts w:ascii="Times New Roman" w:hAnsi="Times New Roman" w:cs="Times New Roman"/>
        </w:rPr>
        <w:t xml:space="preserve"> % del</w:t>
      </w:r>
      <w:r w:rsidRPr="00741651">
        <w:rPr>
          <w:rFonts w:ascii="Times New Roman" w:hAnsi="Times New Roman" w:cs="Times New Roman"/>
        </w:rPr>
        <w:t xml:space="preserve"> EBITDA del Período Móvil finalizado en dicha fecha (o si dicha fecha no es el último día de un trimestre económico de la </w:t>
      </w:r>
      <w:r w:rsidR="00BA0BE9">
        <w:rPr>
          <w:rFonts w:ascii="Times New Roman" w:hAnsi="Times New Roman" w:cs="Times New Roman"/>
        </w:rPr>
        <w:t>Sociedad</w:t>
      </w:r>
      <w:r w:rsidRPr="00741651">
        <w:rPr>
          <w:rFonts w:ascii="Times New Roman" w:hAnsi="Times New Roman" w:cs="Times New Roman"/>
        </w:rPr>
        <w:t xml:space="preserve">, finalizado el último día del último trimestre económico de la </w:t>
      </w:r>
      <w:r w:rsidR="00BA0BE9">
        <w:rPr>
          <w:rFonts w:ascii="Times New Roman" w:hAnsi="Times New Roman" w:cs="Times New Roman"/>
        </w:rPr>
        <w:t>Sociedad</w:t>
      </w:r>
      <w:r w:rsidRPr="00741651">
        <w:rPr>
          <w:rFonts w:ascii="Times New Roman" w:hAnsi="Times New Roman" w:cs="Times New Roman"/>
        </w:rPr>
        <w:t xml:space="preserve"> finalizado inmediatamente antes de dicha fecha); y </w:t>
      </w:r>
      <w:r w:rsidR="00DC0606">
        <w:rPr>
          <w:rFonts w:ascii="Times New Roman" w:hAnsi="Times New Roman" w:cs="Times New Roman"/>
        </w:rPr>
        <w:t xml:space="preserve">(b) </w:t>
      </w:r>
      <w:r w:rsidRPr="00741651">
        <w:rPr>
          <w:rFonts w:ascii="Times New Roman" w:hAnsi="Times New Roman" w:cs="Times New Roman"/>
        </w:rPr>
        <w:t>Deuda Subordinad</w:t>
      </w:r>
      <w:r w:rsidR="00BA0BE9">
        <w:rPr>
          <w:rFonts w:ascii="Times New Roman" w:hAnsi="Times New Roman" w:cs="Times New Roman"/>
        </w:rPr>
        <w:t>a.</w:t>
      </w:r>
    </w:p>
    <w:p w14:paraId="7B1AB74B" w14:textId="77777777" w:rsidR="00DC1800" w:rsidRDefault="00DC1800" w:rsidP="00741651">
      <w:pPr>
        <w:pStyle w:val="Prrafodelista"/>
        <w:spacing w:after="0" w:line="240" w:lineRule="auto"/>
        <w:ind w:leftChars="0" w:left="1418" w:firstLineChars="0" w:firstLine="0"/>
        <w:jc w:val="both"/>
        <w:textDirection w:val="lrTb"/>
        <w:rPr>
          <w:rFonts w:ascii="Times New Roman" w:hAnsi="Times New Roman" w:cs="Times New Roman"/>
        </w:rPr>
      </w:pPr>
    </w:p>
    <w:p w14:paraId="64DC3464" w14:textId="35CC8A31" w:rsidR="00BA0BE9" w:rsidRPr="00741651" w:rsidRDefault="00BA0BE9" w:rsidP="00741651">
      <w:pPr>
        <w:pStyle w:val="Prrafodelista"/>
        <w:spacing w:after="0" w:line="240" w:lineRule="auto"/>
        <w:ind w:leftChars="0" w:left="1418" w:firstLineChars="0" w:firstLine="0"/>
        <w:jc w:val="both"/>
        <w:textDirection w:val="lrTb"/>
      </w:pPr>
      <w:r w:rsidRPr="00741651">
        <w:rPr>
          <w:rFonts w:ascii="Times New Roman" w:hAnsi="Times New Roman" w:cs="Times New Roman"/>
          <w:u w:val="single"/>
        </w:rPr>
        <w:lastRenderedPageBreak/>
        <w:t>Deuda Subordinada</w:t>
      </w:r>
      <w:r w:rsidRPr="00741651">
        <w:rPr>
          <w:rFonts w:ascii="Times New Roman" w:hAnsi="Times New Roman" w:cs="Times New Roman"/>
        </w:rPr>
        <w:t xml:space="preserve">” significa cualquier endeudamiento de la </w:t>
      </w:r>
      <w:r>
        <w:rPr>
          <w:rFonts w:ascii="Times New Roman" w:hAnsi="Times New Roman" w:cs="Times New Roman"/>
        </w:rPr>
        <w:t>Sociedad</w:t>
      </w:r>
      <w:r w:rsidRPr="00741651">
        <w:rPr>
          <w:rFonts w:ascii="Times New Roman" w:hAnsi="Times New Roman" w:cs="Times New Roman"/>
        </w:rPr>
        <w:t xml:space="preserve"> en virtud de un préstamo otorgado a la </w:t>
      </w:r>
      <w:r w:rsidR="008F416D">
        <w:rPr>
          <w:rFonts w:ascii="Times New Roman" w:hAnsi="Times New Roman" w:cs="Times New Roman"/>
        </w:rPr>
        <w:t>Sociedad</w:t>
      </w:r>
      <w:r w:rsidRPr="00741651">
        <w:rPr>
          <w:rFonts w:ascii="Times New Roman" w:hAnsi="Times New Roman" w:cs="Times New Roman"/>
        </w:rPr>
        <w:t xml:space="preserve"> por cualquiera de sus accionistas o un tercero, con posterioridad </w:t>
      </w:r>
      <w:r w:rsidR="00EA20B7">
        <w:rPr>
          <w:rFonts w:ascii="Times New Roman" w:hAnsi="Times New Roman" w:cs="Times New Roman"/>
        </w:rPr>
        <w:t>la fecha de la presente Solicitud de Consentimiento</w:t>
      </w:r>
      <w:r>
        <w:rPr>
          <w:rFonts w:ascii="Times New Roman" w:hAnsi="Times New Roman" w:cs="Times New Roman"/>
        </w:rPr>
        <w:t xml:space="preserve">, </w:t>
      </w:r>
      <w:r w:rsidRPr="00741651">
        <w:rPr>
          <w:rFonts w:ascii="Times New Roman" w:hAnsi="Times New Roman" w:cs="Times New Roman"/>
        </w:rPr>
        <w:t xml:space="preserve">en la medida en que dicho endeudamiento </w:t>
      </w:r>
      <w:r>
        <w:rPr>
          <w:rFonts w:ascii="Times New Roman" w:hAnsi="Times New Roman" w:cs="Times New Roman"/>
        </w:rPr>
        <w:t xml:space="preserve">se encuentre subordinado </w:t>
      </w:r>
      <w:r w:rsidR="00914733">
        <w:rPr>
          <w:rFonts w:ascii="Times New Roman" w:hAnsi="Times New Roman" w:cs="Times New Roman"/>
        </w:rPr>
        <w:t>en plazo y prelación de</w:t>
      </w:r>
      <w:r w:rsidR="00DC0606">
        <w:rPr>
          <w:rFonts w:ascii="Times New Roman" w:hAnsi="Times New Roman" w:cs="Times New Roman"/>
        </w:rPr>
        <w:t xml:space="preserve"> pago </w:t>
      </w:r>
      <w:r>
        <w:rPr>
          <w:rFonts w:ascii="Times New Roman" w:hAnsi="Times New Roman" w:cs="Times New Roman"/>
        </w:rPr>
        <w:t>al pago de las Obligaciones Negociables</w:t>
      </w:r>
      <w:r w:rsidR="005D5C5C">
        <w:rPr>
          <w:rFonts w:ascii="Times New Roman" w:hAnsi="Times New Roman" w:cs="Times New Roman"/>
        </w:rPr>
        <w:t xml:space="preserve"> y que no contemple tasas de interés superiores a 1,50 veces la tasa de interés de las Obligaciones Negociables</w:t>
      </w:r>
      <w:r w:rsidRPr="00741651">
        <w:rPr>
          <w:rFonts w:ascii="Times New Roman" w:hAnsi="Times New Roman" w:cs="Times New Roman"/>
        </w:rPr>
        <w:t>.</w:t>
      </w:r>
    </w:p>
    <w:p w14:paraId="74DDF08F" w14:textId="77777777" w:rsidR="00BA0BE9" w:rsidRDefault="00BA0BE9" w:rsidP="00C13AAC">
      <w:pPr>
        <w:pStyle w:val="Prrafodelista"/>
        <w:spacing w:after="0" w:line="240" w:lineRule="auto"/>
        <w:ind w:leftChars="0" w:left="1418" w:firstLineChars="0" w:firstLine="0"/>
        <w:jc w:val="both"/>
        <w:textDirection w:val="lrTb"/>
        <w:rPr>
          <w:rFonts w:ascii="Times New Roman" w:hAnsi="Times New Roman" w:cs="Times New Roman"/>
        </w:rPr>
      </w:pPr>
    </w:p>
    <w:p w14:paraId="3CBCB6C6" w14:textId="437C606A" w:rsidR="00092991" w:rsidRPr="00262E03" w:rsidRDefault="00092991" w:rsidP="00C13AAC">
      <w:pPr>
        <w:pStyle w:val="Prrafodelista"/>
        <w:spacing w:after="0" w:line="240" w:lineRule="auto"/>
        <w:ind w:leftChars="0" w:left="1418" w:firstLineChars="0" w:firstLine="0"/>
        <w:jc w:val="both"/>
        <w:textDirection w:val="lrTb"/>
        <w:rPr>
          <w:rFonts w:ascii="Times New Roman" w:hAnsi="Times New Roman" w:cs="Times New Roman"/>
          <w:lang w:val="es-MX" w:bidi="es-ES"/>
        </w:rPr>
      </w:pPr>
      <w:r>
        <w:rPr>
          <w:rFonts w:ascii="Times New Roman" w:hAnsi="Times New Roman" w:cs="Times New Roman"/>
          <w:lang w:val="es-MX" w:bidi="es-ES"/>
        </w:rPr>
        <w:t>“</w:t>
      </w:r>
      <w:r w:rsidRPr="00092991">
        <w:rPr>
          <w:rFonts w:ascii="Times New Roman" w:hAnsi="Times New Roman" w:cs="Times New Roman"/>
          <w:u w:val="single"/>
          <w:lang w:val="es-MX" w:bidi="es-ES"/>
        </w:rPr>
        <w:t>EBITDA</w:t>
      </w:r>
      <w:r>
        <w:rPr>
          <w:rFonts w:ascii="Times New Roman" w:hAnsi="Times New Roman" w:cs="Times New Roman"/>
          <w:lang w:val="es-MX" w:bidi="es-ES"/>
        </w:rPr>
        <w:t>” significa</w:t>
      </w:r>
      <w:r w:rsidRPr="00092991">
        <w:rPr>
          <w:rFonts w:ascii="Times New Roman" w:hAnsi="Times New Roman" w:cs="Times New Roman"/>
          <w:lang w:val="es-MX" w:bidi="es-ES"/>
        </w:rPr>
        <w:t xml:space="preserve">, para cualquier Período Móvil, la Ganancia Operativa de la </w:t>
      </w:r>
      <w:r>
        <w:rPr>
          <w:rFonts w:ascii="Times New Roman" w:hAnsi="Times New Roman" w:cs="Times New Roman"/>
          <w:lang w:val="es-MX" w:bidi="es-ES"/>
        </w:rPr>
        <w:t>Sociedad</w:t>
      </w:r>
      <w:r w:rsidRPr="00092991">
        <w:rPr>
          <w:rFonts w:ascii="Times New Roman" w:hAnsi="Times New Roman" w:cs="Times New Roman"/>
          <w:lang w:val="es-MX" w:bidi="es-ES"/>
        </w:rPr>
        <w:t xml:space="preserve">, más, en tanto estuviera deducido en la determinación de la Ganancia Operativa para dicho Período Móvil, el monto total de los gastos de depreciación y amortización de todos los bienes y activos de la </w:t>
      </w:r>
      <w:r>
        <w:rPr>
          <w:rFonts w:ascii="Times New Roman" w:hAnsi="Times New Roman" w:cs="Times New Roman"/>
          <w:lang w:val="es-MX" w:bidi="es-ES"/>
        </w:rPr>
        <w:t>Sociedad</w:t>
      </w:r>
      <w:r w:rsidRPr="00092991">
        <w:rPr>
          <w:rFonts w:ascii="Times New Roman" w:hAnsi="Times New Roman" w:cs="Times New Roman"/>
          <w:lang w:val="es-MX" w:bidi="es-ES"/>
        </w:rPr>
        <w:t xml:space="preserve">, incluyendo pero no limitado a, los bienes tangibles e intangibles, y cualquier otro resultado que no implique movimientos de fondos en efectivo, tomando como base los estados contables de la </w:t>
      </w:r>
      <w:r>
        <w:rPr>
          <w:rFonts w:ascii="Times New Roman" w:hAnsi="Times New Roman" w:cs="Times New Roman"/>
          <w:lang w:val="es-MX" w:bidi="es-ES"/>
        </w:rPr>
        <w:t>Sociedad</w:t>
      </w:r>
      <w:r w:rsidRPr="00092991">
        <w:rPr>
          <w:rFonts w:ascii="Times New Roman" w:hAnsi="Times New Roman" w:cs="Times New Roman"/>
          <w:lang w:val="es-MX" w:bidi="es-ES"/>
        </w:rPr>
        <w:t>, durante dicho Período Móvil, siendo todos estos términos definidos según las NIIF a la fecha de</w:t>
      </w:r>
      <w:r w:rsidR="004E43C7">
        <w:rPr>
          <w:rFonts w:ascii="Times New Roman" w:hAnsi="Times New Roman" w:cs="Times New Roman"/>
          <w:lang w:val="es-MX" w:bidi="es-ES"/>
        </w:rPr>
        <w:t xml:space="preserve"> la presente Solicitud de Consentimiento</w:t>
      </w:r>
      <w:r w:rsidRPr="00092991">
        <w:rPr>
          <w:rFonts w:ascii="Times New Roman" w:hAnsi="Times New Roman" w:cs="Times New Roman"/>
          <w:lang w:val="es-MX" w:bidi="es-ES"/>
        </w:rPr>
        <w:t>. A todos los efectos de</w:t>
      </w:r>
      <w:r w:rsidR="008F416D">
        <w:rPr>
          <w:rFonts w:ascii="Times New Roman" w:hAnsi="Times New Roman" w:cs="Times New Roman"/>
          <w:lang w:val="es-MX" w:bidi="es-ES"/>
        </w:rPr>
        <w:t>l presente</w:t>
      </w:r>
      <w:r w:rsidRPr="00092991">
        <w:rPr>
          <w:rFonts w:ascii="Times New Roman" w:hAnsi="Times New Roman" w:cs="Times New Roman"/>
          <w:lang w:val="es-MX" w:bidi="es-ES"/>
        </w:rPr>
        <w:t xml:space="preserve">, el EBITDA de la </w:t>
      </w:r>
      <w:r>
        <w:rPr>
          <w:rFonts w:ascii="Times New Roman" w:hAnsi="Times New Roman" w:cs="Times New Roman"/>
          <w:lang w:val="es-MX" w:bidi="es-ES"/>
        </w:rPr>
        <w:t>Sociedad</w:t>
      </w:r>
      <w:r w:rsidRPr="00092991">
        <w:rPr>
          <w:rFonts w:ascii="Times New Roman" w:hAnsi="Times New Roman" w:cs="Times New Roman"/>
          <w:lang w:val="es-MX" w:bidi="es-ES"/>
        </w:rPr>
        <w:t xml:space="preserve"> se calculará según los </w:t>
      </w:r>
      <w:r w:rsidR="006E59B1">
        <w:rPr>
          <w:rFonts w:ascii="Times New Roman" w:hAnsi="Times New Roman" w:cs="Times New Roman"/>
          <w:lang w:val="es-MX" w:bidi="es-ES"/>
        </w:rPr>
        <w:t>e</w:t>
      </w:r>
      <w:r w:rsidRPr="00092991">
        <w:rPr>
          <w:rFonts w:ascii="Times New Roman" w:hAnsi="Times New Roman" w:cs="Times New Roman"/>
          <w:lang w:val="es-MX" w:bidi="es-ES"/>
        </w:rPr>
        <w:t xml:space="preserve">stados </w:t>
      </w:r>
      <w:r w:rsidR="006E59B1">
        <w:rPr>
          <w:rFonts w:ascii="Times New Roman" w:hAnsi="Times New Roman" w:cs="Times New Roman"/>
          <w:lang w:val="es-MX" w:bidi="es-ES"/>
        </w:rPr>
        <w:t>c</w:t>
      </w:r>
      <w:r w:rsidRPr="00092991">
        <w:rPr>
          <w:rFonts w:ascii="Times New Roman" w:hAnsi="Times New Roman" w:cs="Times New Roman"/>
          <w:lang w:val="es-MX" w:bidi="es-ES"/>
        </w:rPr>
        <w:t xml:space="preserve">ontables consolidados de la </w:t>
      </w:r>
      <w:r>
        <w:rPr>
          <w:rFonts w:ascii="Times New Roman" w:hAnsi="Times New Roman" w:cs="Times New Roman"/>
          <w:lang w:val="es-MX" w:bidi="es-ES"/>
        </w:rPr>
        <w:t>Sociedad</w:t>
      </w:r>
      <w:r w:rsidRPr="00092991">
        <w:rPr>
          <w:rFonts w:ascii="Times New Roman" w:hAnsi="Times New Roman" w:cs="Times New Roman"/>
          <w:lang w:val="es-MX" w:bidi="es-ES"/>
        </w:rPr>
        <w:t xml:space="preserve"> y presentados en la moneda funcional de la </w:t>
      </w:r>
      <w:r>
        <w:rPr>
          <w:rFonts w:ascii="Times New Roman" w:hAnsi="Times New Roman" w:cs="Times New Roman"/>
          <w:lang w:val="es-MX" w:bidi="es-ES"/>
        </w:rPr>
        <w:t>Sociedad</w:t>
      </w:r>
      <w:r w:rsidRPr="00092991">
        <w:rPr>
          <w:rFonts w:ascii="Times New Roman" w:hAnsi="Times New Roman" w:cs="Times New Roman"/>
          <w:lang w:val="es-MX" w:bidi="es-ES"/>
        </w:rPr>
        <w:t>.</w:t>
      </w:r>
    </w:p>
    <w:p w14:paraId="0A3BB7C4" w14:textId="77777777" w:rsidR="001E644A" w:rsidRPr="00262E03" w:rsidRDefault="001E644A" w:rsidP="00C13AAC">
      <w:pPr>
        <w:pStyle w:val="Prrafodelista"/>
        <w:spacing w:after="0" w:line="240" w:lineRule="auto"/>
        <w:ind w:leftChars="0" w:left="1418" w:firstLineChars="0" w:firstLine="0"/>
        <w:jc w:val="both"/>
        <w:textDirection w:val="lrTb"/>
        <w:rPr>
          <w:rFonts w:ascii="Times New Roman" w:eastAsia="Times New Roman" w:hAnsi="Times New Roman" w:cs="Times New Roman"/>
          <w:lang w:val="es-MX" w:bidi="es-ES"/>
        </w:rPr>
      </w:pPr>
    </w:p>
    <w:p w14:paraId="5FB6FA1E" w14:textId="29FF3CBA" w:rsidR="001E644A" w:rsidRDefault="00923DC7" w:rsidP="00C13AAC">
      <w:pPr>
        <w:pStyle w:val="ESPECIAL"/>
        <w:widowControl/>
        <w:suppressAutoHyphens/>
        <w:spacing w:after="0"/>
        <w:ind w:left="1418" w:hanging="2"/>
        <w:jc w:val="both"/>
        <w:rPr>
          <w:spacing w:val="-3"/>
          <w:sz w:val="22"/>
          <w:szCs w:val="22"/>
        </w:rPr>
      </w:pPr>
      <w:r w:rsidRPr="008C39F0">
        <w:rPr>
          <w:spacing w:val="-3"/>
          <w:sz w:val="22"/>
          <w:szCs w:val="22"/>
        </w:rPr>
        <w:t>“</w:t>
      </w:r>
      <w:r w:rsidR="001E644A" w:rsidRPr="008C39F0">
        <w:rPr>
          <w:spacing w:val="-3"/>
          <w:sz w:val="22"/>
          <w:szCs w:val="22"/>
          <w:u w:val="single"/>
        </w:rPr>
        <w:t>Endeudamiento</w:t>
      </w:r>
      <w:r w:rsidRPr="008C39F0">
        <w:rPr>
          <w:spacing w:val="-3"/>
          <w:sz w:val="22"/>
          <w:szCs w:val="22"/>
          <w:u w:val="single"/>
        </w:rPr>
        <w:t xml:space="preserve"> Financier</w:t>
      </w:r>
      <w:r w:rsidR="001E644A" w:rsidRPr="008C39F0">
        <w:rPr>
          <w:spacing w:val="-3"/>
          <w:sz w:val="22"/>
          <w:szCs w:val="22"/>
          <w:u w:val="single"/>
        </w:rPr>
        <w:t>o</w:t>
      </w:r>
      <w:r w:rsidRPr="008C39F0">
        <w:rPr>
          <w:spacing w:val="-3"/>
          <w:sz w:val="22"/>
          <w:szCs w:val="22"/>
        </w:rPr>
        <w:t xml:space="preserve">” significa, con relación a una Persona, sin duplicación, ya sea que exista recurso con respecto a la totalidad o solamente una parte de los activos de dicha Persona, y sean o no contingentes: (a) todas las obligaciones de dicha Persona, por dinero tomado en préstamo ; (b) todas las obligaciones de dicha Persona, evidenciadas por bonos, títulos de deuda, debentures, obligaciones negociables u </w:t>
      </w:r>
      <w:r w:rsidRPr="00523952">
        <w:rPr>
          <w:spacing w:val="-3"/>
          <w:sz w:val="22"/>
          <w:szCs w:val="22"/>
        </w:rPr>
        <w:t>otros instrumentos o títulos similares; (c) obligaciones emergentes de contratos de futuros y opciones y derivados financieros de cualquier tipo, sean de tasa de interés o de moneda, cuyo objeto sea obtener financiamiento;</w:t>
      </w:r>
      <w:r w:rsidRPr="00523952">
        <w:rPr>
          <w:sz w:val="22"/>
          <w:szCs w:val="22"/>
        </w:rPr>
        <w:t xml:space="preserve"> estableciéndose que no se conside</w:t>
      </w:r>
      <w:r w:rsidRPr="005B76C0">
        <w:rPr>
          <w:sz w:val="22"/>
          <w:szCs w:val="22"/>
        </w:rPr>
        <w:t xml:space="preserve">rará </w:t>
      </w:r>
      <w:r w:rsidR="002F74C9" w:rsidRPr="005B76C0">
        <w:rPr>
          <w:sz w:val="22"/>
          <w:szCs w:val="22"/>
        </w:rPr>
        <w:t>Endeudamiento Fina</w:t>
      </w:r>
      <w:r w:rsidR="001162E4" w:rsidRPr="005B76C0">
        <w:rPr>
          <w:sz w:val="22"/>
          <w:szCs w:val="22"/>
        </w:rPr>
        <w:t>n</w:t>
      </w:r>
      <w:r w:rsidR="002F74C9" w:rsidRPr="005B76C0">
        <w:rPr>
          <w:sz w:val="22"/>
          <w:szCs w:val="22"/>
        </w:rPr>
        <w:t>ciero</w:t>
      </w:r>
      <w:r w:rsidRPr="005B76C0">
        <w:rPr>
          <w:sz w:val="22"/>
          <w:szCs w:val="22"/>
        </w:rPr>
        <w:t xml:space="preserve"> a (x) depósitos de clientes y/o pagos anticipados recibidos de clientes por bienes y servicios en el curso habitual de la Actividad de la Sociedad; (y) obligaciones, actuales o contingentes, por garantías de cumplimiento de contratos, garantías de mantenimiento de ofertas, garantías de pago adelantado contraídas en el curso habitual de la Actividad </w:t>
      </w:r>
      <w:r w:rsidR="008F416D">
        <w:rPr>
          <w:sz w:val="22"/>
          <w:szCs w:val="22"/>
        </w:rPr>
        <w:t xml:space="preserve">Principal </w:t>
      </w:r>
      <w:r w:rsidRPr="005B76C0">
        <w:rPr>
          <w:sz w:val="22"/>
          <w:szCs w:val="22"/>
        </w:rPr>
        <w:t>de la Sociedad en relación con ofertas, licitaciones, pagos adelantados y contratos adjudicados.</w:t>
      </w:r>
      <w:r w:rsidRPr="005B76C0">
        <w:rPr>
          <w:spacing w:val="-3"/>
          <w:sz w:val="22"/>
          <w:szCs w:val="22"/>
        </w:rPr>
        <w:t xml:space="preserve"> A todos los efectos de</w:t>
      </w:r>
      <w:r w:rsidR="008F416D">
        <w:rPr>
          <w:spacing w:val="-3"/>
          <w:sz w:val="22"/>
          <w:szCs w:val="22"/>
        </w:rPr>
        <w:t>l</w:t>
      </w:r>
      <w:r w:rsidRPr="005B76C0">
        <w:rPr>
          <w:spacing w:val="-3"/>
          <w:sz w:val="22"/>
          <w:szCs w:val="22"/>
        </w:rPr>
        <w:t xml:space="preserve"> </w:t>
      </w:r>
      <w:r w:rsidR="008F416D">
        <w:rPr>
          <w:spacing w:val="-3"/>
          <w:sz w:val="22"/>
          <w:szCs w:val="22"/>
        </w:rPr>
        <w:t>presente</w:t>
      </w:r>
      <w:r w:rsidRPr="005B76C0">
        <w:rPr>
          <w:spacing w:val="-3"/>
          <w:sz w:val="22"/>
          <w:szCs w:val="22"/>
        </w:rPr>
        <w:t xml:space="preserve">, </w:t>
      </w:r>
      <w:r w:rsidR="002F74C9" w:rsidRPr="005B76C0">
        <w:rPr>
          <w:spacing w:val="-3"/>
          <w:sz w:val="22"/>
          <w:szCs w:val="22"/>
        </w:rPr>
        <w:t>el Endeudamiento Financiero</w:t>
      </w:r>
      <w:r w:rsidRPr="005B76C0">
        <w:rPr>
          <w:spacing w:val="-3"/>
          <w:sz w:val="22"/>
          <w:szCs w:val="22"/>
        </w:rPr>
        <w:t xml:space="preserve"> de la </w:t>
      </w:r>
      <w:r w:rsidR="0043425A">
        <w:rPr>
          <w:spacing w:val="-3"/>
          <w:sz w:val="22"/>
          <w:szCs w:val="22"/>
        </w:rPr>
        <w:t>Sociedad</w:t>
      </w:r>
      <w:r w:rsidR="0043425A" w:rsidRPr="005B76C0">
        <w:rPr>
          <w:spacing w:val="-3"/>
          <w:sz w:val="22"/>
          <w:szCs w:val="22"/>
        </w:rPr>
        <w:t xml:space="preserve"> </w:t>
      </w:r>
      <w:r w:rsidRPr="005B76C0">
        <w:rPr>
          <w:spacing w:val="-3"/>
          <w:sz w:val="22"/>
          <w:szCs w:val="22"/>
        </w:rPr>
        <w:t xml:space="preserve">se calculará según los </w:t>
      </w:r>
      <w:r w:rsidR="006E59B1">
        <w:rPr>
          <w:spacing w:val="-3"/>
          <w:sz w:val="22"/>
          <w:szCs w:val="22"/>
        </w:rPr>
        <w:t>e</w:t>
      </w:r>
      <w:r w:rsidR="006E59B1" w:rsidRPr="005B76C0">
        <w:rPr>
          <w:spacing w:val="-3"/>
          <w:sz w:val="22"/>
          <w:szCs w:val="22"/>
        </w:rPr>
        <w:t xml:space="preserve">stados </w:t>
      </w:r>
      <w:r w:rsidR="006E59B1">
        <w:rPr>
          <w:spacing w:val="-3"/>
          <w:sz w:val="22"/>
          <w:szCs w:val="22"/>
        </w:rPr>
        <w:t>c</w:t>
      </w:r>
      <w:r w:rsidR="006E59B1" w:rsidRPr="005B76C0">
        <w:rPr>
          <w:spacing w:val="-3"/>
          <w:sz w:val="22"/>
          <w:szCs w:val="22"/>
        </w:rPr>
        <w:t xml:space="preserve">ontables </w:t>
      </w:r>
      <w:r w:rsidRPr="005B76C0">
        <w:rPr>
          <w:spacing w:val="-3"/>
          <w:sz w:val="22"/>
          <w:szCs w:val="22"/>
        </w:rPr>
        <w:t xml:space="preserve">consolidados de la </w:t>
      </w:r>
      <w:r w:rsidR="0043425A">
        <w:rPr>
          <w:spacing w:val="-3"/>
          <w:sz w:val="22"/>
          <w:szCs w:val="22"/>
        </w:rPr>
        <w:t>Sociedad</w:t>
      </w:r>
      <w:r w:rsidRPr="005B76C0">
        <w:rPr>
          <w:spacing w:val="-3"/>
          <w:sz w:val="22"/>
          <w:szCs w:val="22"/>
        </w:rPr>
        <w:t>.</w:t>
      </w:r>
    </w:p>
    <w:p w14:paraId="606A4B7B" w14:textId="68DE9B74" w:rsidR="00092991" w:rsidRDefault="00092991" w:rsidP="00C13AAC">
      <w:pPr>
        <w:pStyle w:val="ESPECIAL"/>
        <w:widowControl/>
        <w:suppressAutoHyphens/>
        <w:spacing w:after="0"/>
        <w:ind w:left="1418" w:hanging="2"/>
        <w:jc w:val="both"/>
        <w:rPr>
          <w:spacing w:val="-3"/>
          <w:sz w:val="22"/>
          <w:szCs w:val="22"/>
        </w:rPr>
      </w:pPr>
    </w:p>
    <w:p w14:paraId="3EFE8EF4" w14:textId="18EAFF97" w:rsidR="00092991" w:rsidRPr="005B76C0" w:rsidRDefault="00092991" w:rsidP="00C13AAC">
      <w:pPr>
        <w:pStyle w:val="ESPECIAL"/>
        <w:widowControl/>
        <w:suppressAutoHyphens/>
        <w:spacing w:after="0"/>
        <w:ind w:left="1418" w:hanging="2"/>
        <w:jc w:val="both"/>
        <w:rPr>
          <w:spacing w:val="-3"/>
          <w:sz w:val="22"/>
          <w:szCs w:val="22"/>
        </w:rPr>
      </w:pPr>
      <w:r w:rsidRPr="00092991">
        <w:rPr>
          <w:spacing w:val="-3"/>
          <w:sz w:val="22"/>
          <w:szCs w:val="22"/>
        </w:rPr>
        <w:t>“</w:t>
      </w:r>
      <w:r w:rsidRPr="00092991">
        <w:rPr>
          <w:spacing w:val="-3"/>
          <w:sz w:val="22"/>
          <w:szCs w:val="22"/>
          <w:u w:val="single"/>
        </w:rPr>
        <w:t>Ganancia Operativa</w:t>
      </w:r>
      <w:r w:rsidRPr="00092991">
        <w:rPr>
          <w:spacing w:val="-3"/>
          <w:sz w:val="22"/>
          <w:szCs w:val="22"/>
        </w:rPr>
        <w:t>” significa las ventas netas de una Persona menos el costo de las mercaderías, los gastos de administración y comercialización.</w:t>
      </w:r>
    </w:p>
    <w:p w14:paraId="3A4DD1CC" w14:textId="77777777" w:rsidR="008E25F1" w:rsidRPr="005B76C0" w:rsidRDefault="008E25F1" w:rsidP="00C13AAC">
      <w:pPr>
        <w:pStyle w:val="ESPECIAL"/>
        <w:widowControl/>
        <w:suppressAutoHyphens/>
        <w:spacing w:after="0"/>
        <w:ind w:left="1418" w:hanging="2"/>
        <w:jc w:val="both"/>
        <w:rPr>
          <w:spacing w:val="-3"/>
          <w:sz w:val="22"/>
          <w:szCs w:val="22"/>
        </w:rPr>
      </w:pPr>
    </w:p>
    <w:p w14:paraId="6C576FDF" w14:textId="05C414D0" w:rsidR="001E644A" w:rsidRDefault="001E644A" w:rsidP="00C13AAC">
      <w:pPr>
        <w:pStyle w:val="ESPECIAL"/>
        <w:widowControl/>
        <w:suppressAutoHyphens/>
        <w:spacing w:after="0"/>
        <w:ind w:left="1418" w:hanging="2"/>
        <w:jc w:val="both"/>
        <w:rPr>
          <w:sz w:val="22"/>
          <w:szCs w:val="22"/>
        </w:rPr>
      </w:pPr>
      <w:r w:rsidRPr="00092991">
        <w:rPr>
          <w:sz w:val="22"/>
          <w:szCs w:val="22"/>
        </w:rPr>
        <w:t>“</w:t>
      </w:r>
      <w:r w:rsidRPr="00092991">
        <w:rPr>
          <w:sz w:val="22"/>
          <w:szCs w:val="22"/>
          <w:u w:val="single"/>
        </w:rPr>
        <w:t>Gravamen</w:t>
      </w:r>
      <w:r w:rsidRPr="00092991">
        <w:rPr>
          <w:sz w:val="22"/>
          <w:szCs w:val="22"/>
        </w:rPr>
        <w:t xml:space="preserve">” significa, con relación a cualquier activo: (a) cualquier hipoteca, gravamen, prenda, derecho de retención, imposición, carga, cesión fiduciaria, cesión fiduciaria en garantía, usufructo, u otorgamiento de derecho real, cuyo propósito sea constituir una garantía </w:t>
      </w:r>
      <w:r w:rsidR="001162E4" w:rsidRPr="00092991">
        <w:rPr>
          <w:sz w:val="22"/>
          <w:szCs w:val="22"/>
        </w:rPr>
        <w:t xml:space="preserve">real </w:t>
      </w:r>
      <w:r w:rsidRPr="00092991">
        <w:rPr>
          <w:sz w:val="22"/>
          <w:szCs w:val="22"/>
        </w:rPr>
        <w:t xml:space="preserve">o gravamen con respecto a dicho activo; </w:t>
      </w:r>
      <w:r w:rsidR="001162E4" w:rsidRPr="00092991">
        <w:rPr>
          <w:sz w:val="22"/>
          <w:szCs w:val="22"/>
        </w:rPr>
        <w:t xml:space="preserve">y </w:t>
      </w:r>
      <w:r w:rsidRPr="00092991">
        <w:rPr>
          <w:sz w:val="22"/>
          <w:szCs w:val="22"/>
        </w:rPr>
        <w:t>(b) el derecho del vendedor o locador bajo cualquier acuerdo contingente de venta, leasing o acuerdo de retención de derechos (o cualquier otro leasing financiero que otorgue sustancialmente los mismos efectos económicos que cualquiera de los precedentes) relacionado con dicho activo</w:t>
      </w:r>
      <w:r w:rsidR="001162E4" w:rsidRPr="0032028C">
        <w:rPr>
          <w:sz w:val="22"/>
          <w:szCs w:val="22"/>
        </w:rPr>
        <w:t>.</w:t>
      </w:r>
    </w:p>
    <w:p w14:paraId="4E5F255C" w14:textId="65E66975" w:rsidR="001E5F43" w:rsidRDefault="001E5F43" w:rsidP="00C13AAC">
      <w:pPr>
        <w:pStyle w:val="ESPECIAL"/>
        <w:widowControl/>
        <w:suppressAutoHyphens/>
        <w:spacing w:after="0"/>
        <w:ind w:left="1418" w:hanging="2"/>
        <w:jc w:val="both"/>
        <w:rPr>
          <w:sz w:val="22"/>
          <w:szCs w:val="22"/>
        </w:rPr>
      </w:pPr>
    </w:p>
    <w:p w14:paraId="53688D90" w14:textId="1EED2577" w:rsidR="001E5F43" w:rsidRDefault="001E5F43" w:rsidP="001E5F43">
      <w:pPr>
        <w:pStyle w:val="ESPECIAL"/>
        <w:widowControl/>
        <w:suppressAutoHyphens/>
        <w:spacing w:after="0"/>
        <w:ind w:left="1418" w:hanging="2"/>
        <w:jc w:val="both"/>
        <w:rPr>
          <w:sz w:val="22"/>
          <w:szCs w:val="22"/>
        </w:rPr>
      </w:pPr>
      <w:r>
        <w:rPr>
          <w:sz w:val="22"/>
          <w:szCs w:val="22"/>
        </w:rPr>
        <w:t>“</w:t>
      </w:r>
      <w:r w:rsidRPr="00DF4FB7">
        <w:rPr>
          <w:sz w:val="22"/>
          <w:szCs w:val="22"/>
          <w:u w:val="single"/>
        </w:rPr>
        <w:t>Partes Relacionadas</w:t>
      </w:r>
      <w:r>
        <w:rPr>
          <w:sz w:val="22"/>
          <w:szCs w:val="22"/>
        </w:rPr>
        <w:t>” significa las personas definidas en el artículo 72 de la Ley de Mercado de Capitales Nº 26.831 y sus modificatorias y complementarias.</w:t>
      </w:r>
    </w:p>
    <w:p w14:paraId="68E08E24" w14:textId="09B9F943" w:rsidR="00092991" w:rsidRDefault="00092991" w:rsidP="00C13AAC">
      <w:pPr>
        <w:pStyle w:val="ESPECIAL"/>
        <w:widowControl/>
        <w:suppressAutoHyphens/>
        <w:spacing w:after="0"/>
        <w:ind w:left="1418" w:hanging="2"/>
        <w:jc w:val="both"/>
        <w:rPr>
          <w:sz w:val="22"/>
          <w:szCs w:val="22"/>
        </w:rPr>
      </w:pPr>
    </w:p>
    <w:p w14:paraId="3E9C2E52" w14:textId="194A2059" w:rsidR="00092991" w:rsidRPr="00092991" w:rsidRDefault="00092991" w:rsidP="00092991">
      <w:pPr>
        <w:pStyle w:val="ESPECIAL"/>
        <w:widowControl/>
        <w:suppressAutoHyphens/>
        <w:spacing w:after="0"/>
        <w:ind w:left="1418" w:hanging="2"/>
        <w:jc w:val="both"/>
        <w:rPr>
          <w:sz w:val="22"/>
          <w:szCs w:val="22"/>
          <w:lang w:val="es-AR"/>
        </w:rPr>
      </w:pPr>
      <w:r w:rsidRPr="00092991">
        <w:rPr>
          <w:sz w:val="22"/>
          <w:szCs w:val="22"/>
          <w:lang w:val="es-AR"/>
        </w:rPr>
        <w:t>“</w:t>
      </w:r>
      <w:r w:rsidRPr="00092991">
        <w:rPr>
          <w:sz w:val="22"/>
          <w:szCs w:val="22"/>
          <w:u w:val="single"/>
          <w:lang w:val="es-AR"/>
        </w:rPr>
        <w:t>Período Móvil</w:t>
      </w:r>
      <w:r w:rsidRPr="00092991">
        <w:rPr>
          <w:sz w:val="22"/>
          <w:szCs w:val="22"/>
          <w:lang w:val="es-AR"/>
        </w:rPr>
        <w:t xml:space="preserve">” significa, respecto de cualquier trimestre económico de la </w:t>
      </w:r>
      <w:r w:rsidR="00BA0BE9">
        <w:rPr>
          <w:sz w:val="22"/>
          <w:szCs w:val="22"/>
          <w:lang w:val="es-AR"/>
        </w:rPr>
        <w:t>Sociedad</w:t>
      </w:r>
      <w:r w:rsidRPr="00092991">
        <w:rPr>
          <w:sz w:val="22"/>
          <w:szCs w:val="22"/>
          <w:lang w:val="es-AR"/>
        </w:rPr>
        <w:t xml:space="preserve">, ese trimestre económico y los tres trimestres económicos </w:t>
      </w:r>
      <w:r w:rsidRPr="00092991">
        <w:rPr>
          <w:sz w:val="22"/>
          <w:szCs w:val="22"/>
          <w:lang w:val="es-AR"/>
        </w:rPr>
        <w:lastRenderedPageBreak/>
        <w:t xml:space="preserve">inmediatamente anteriores de la </w:t>
      </w:r>
      <w:r w:rsidR="00BA0BE9">
        <w:rPr>
          <w:sz w:val="22"/>
          <w:szCs w:val="22"/>
          <w:lang w:val="es-AR"/>
        </w:rPr>
        <w:t>Sociedad</w:t>
      </w:r>
      <w:r w:rsidRPr="00092991">
        <w:rPr>
          <w:sz w:val="22"/>
          <w:szCs w:val="22"/>
          <w:lang w:val="es-AR"/>
        </w:rPr>
        <w:t xml:space="preserve"> considerados como un único período contable.</w:t>
      </w:r>
    </w:p>
    <w:p w14:paraId="56765D85" w14:textId="77777777" w:rsidR="008E25F1" w:rsidRPr="00092991" w:rsidRDefault="008E25F1" w:rsidP="00C13AAC">
      <w:pPr>
        <w:pStyle w:val="ESPECIAL"/>
        <w:widowControl/>
        <w:suppressAutoHyphens/>
        <w:spacing w:after="0"/>
        <w:ind w:left="1418" w:hanging="2"/>
        <w:jc w:val="both"/>
        <w:rPr>
          <w:spacing w:val="-3"/>
          <w:sz w:val="22"/>
          <w:szCs w:val="22"/>
          <w:lang w:val="es-AR"/>
        </w:rPr>
      </w:pPr>
    </w:p>
    <w:p w14:paraId="4822D7D8" w14:textId="09A62BB7" w:rsidR="001E644A" w:rsidRPr="00092991" w:rsidRDefault="001E644A" w:rsidP="00C13AAC">
      <w:pPr>
        <w:pStyle w:val="ESPECIAL"/>
        <w:widowControl/>
        <w:suppressAutoHyphens/>
        <w:spacing w:after="0"/>
        <w:ind w:left="1418" w:hanging="2"/>
        <w:jc w:val="both"/>
        <w:rPr>
          <w:spacing w:val="-3"/>
          <w:sz w:val="22"/>
          <w:szCs w:val="22"/>
        </w:rPr>
      </w:pPr>
      <w:r w:rsidRPr="00092991">
        <w:rPr>
          <w:rFonts w:eastAsia="Calibri"/>
          <w:spacing w:val="-3"/>
          <w:position w:val="-1"/>
          <w:sz w:val="22"/>
          <w:szCs w:val="22"/>
        </w:rPr>
        <w:t>“</w:t>
      </w:r>
      <w:r w:rsidRPr="00092991">
        <w:rPr>
          <w:rFonts w:eastAsia="Calibri"/>
          <w:spacing w:val="-3"/>
          <w:position w:val="-1"/>
          <w:sz w:val="22"/>
          <w:szCs w:val="22"/>
          <w:u w:val="single"/>
        </w:rPr>
        <w:t>Persona</w:t>
      </w:r>
      <w:r w:rsidRPr="00092991">
        <w:rPr>
          <w:rFonts w:eastAsia="Calibri"/>
          <w:spacing w:val="-3"/>
          <w:position w:val="-1"/>
          <w:sz w:val="22"/>
          <w:szCs w:val="22"/>
        </w:rPr>
        <w:t xml:space="preserve">” significa cualquier persona física o jurídica, sociedad o asociación, unión de colaboración, fideicomiso, organización sin personería jurídica o cualquier estado o persona de derecho público, sus subdivisiones políticas, administrativas </w:t>
      </w:r>
      <w:r w:rsidRPr="00092991">
        <w:rPr>
          <w:spacing w:val="-3"/>
          <w:sz w:val="22"/>
          <w:szCs w:val="22"/>
        </w:rPr>
        <w:t>o entidades descentralizadas.</w:t>
      </w:r>
    </w:p>
    <w:p w14:paraId="15EE8C10" w14:textId="77777777" w:rsidR="008E25F1" w:rsidRPr="00092991" w:rsidRDefault="008E25F1" w:rsidP="00C13AAC">
      <w:pPr>
        <w:pStyle w:val="ESPECIAL"/>
        <w:widowControl/>
        <w:suppressAutoHyphens/>
        <w:spacing w:after="0"/>
        <w:ind w:left="1418" w:hanging="2"/>
        <w:jc w:val="both"/>
        <w:rPr>
          <w:spacing w:val="-3"/>
          <w:sz w:val="22"/>
          <w:szCs w:val="22"/>
        </w:rPr>
      </w:pPr>
    </w:p>
    <w:p w14:paraId="2756C1D3" w14:textId="5B873E0E" w:rsidR="003053A0" w:rsidRPr="0032028C" w:rsidRDefault="001E644A" w:rsidP="00C13AAC">
      <w:pPr>
        <w:pStyle w:val="Prrafodelista"/>
        <w:spacing w:after="0" w:line="240" w:lineRule="auto"/>
        <w:ind w:leftChars="0" w:left="1418" w:firstLineChars="0" w:firstLine="0"/>
        <w:jc w:val="both"/>
        <w:rPr>
          <w:rFonts w:ascii="Times New Roman" w:hAnsi="Times New Roman" w:cs="Times New Roman"/>
          <w:lang w:val="es-MX" w:bidi="es-ES"/>
        </w:rPr>
      </w:pPr>
      <w:r w:rsidRPr="0032028C">
        <w:rPr>
          <w:rFonts w:ascii="Times New Roman" w:hAnsi="Times New Roman" w:cs="Times New Roman"/>
          <w:spacing w:val="-3"/>
        </w:rPr>
        <w:t>“</w:t>
      </w:r>
      <w:r w:rsidRPr="0032028C">
        <w:rPr>
          <w:rFonts w:ascii="Times New Roman" w:hAnsi="Times New Roman" w:cs="Times New Roman"/>
          <w:bCs/>
          <w:spacing w:val="-3"/>
          <w:u w:val="single"/>
        </w:rPr>
        <w:t>Subsidiarias</w:t>
      </w:r>
      <w:r w:rsidRPr="0032028C">
        <w:rPr>
          <w:rFonts w:ascii="Times New Roman" w:hAnsi="Times New Roman" w:cs="Times New Roman"/>
          <w:bCs/>
          <w:spacing w:val="-3"/>
        </w:rPr>
        <w:t xml:space="preserve">” </w:t>
      </w:r>
      <w:r w:rsidRPr="0032028C">
        <w:rPr>
          <w:rFonts w:ascii="Times New Roman" w:hAnsi="Times New Roman" w:cs="Times New Roman"/>
          <w:spacing w:val="-3"/>
        </w:rPr>
        <w:t>significa, con respecto a una Persona, cualquier otra Persona: (a) el cincuenta por ciento (50%) o más de cuya tenencia accionaria sea propiedad, directa o indirectamente, de dicha Persona; (b) con respecto a la cual dicha Persona puede proponer o nombrar a la mayoría de los miembros del directorio u otro órgano que cumpla funciones similares; o (c) es controlada por dicha otra Persona de cualquier otro modo.</w:t>
      </w:r>
    </w:p>
    <w:p w14:paraId="0A9E77DB" w14:textId="77777777" w:rsidR="00E845DF" w:rsidRPr="0032028C" w:rsidRDefault="00E845DF">
      <w:pPr>
        <w:spacing w:after="0" w:line="240" w:lineRule="auto"/>
        <w:ind w:leftChars="0" w:left="0" w:firstLineChars="0" w:firstLine="0"/>
        <w:jc w:val="both"/>
        <w:rPr>
          <w:rFonts w:ascii="Times New Roman" w:eastAsia="Times New Roman" w:hAnsi="Times New Roman" w:cs="Times New Roman"/>
          <w:lang w:bidi="es-ES"/>
        </w:rPr>
      </w:pPr>
    </w:p>
    <w:p w14:paraId="3F7EFD06" w14:textId="393EEB9C" w:rsidR="006A2346" w:rsidRPr="00D60D4C" w:rsidRDefault="00D6600B" w:rsidP="00F93ED5">
      <w:pPr>
        <w:pStyle w:val="Prrafodelista"/>
        <w:numPr>
          <w:ilvl w:val="0"/>
          <w:numId w:val="18"/>
        </w:numPr>
        <w:spacing w:after="0" w:line="240" w:lineRule="auto"/>
        <w:ind w:leftChars="0" w:left="993" w:firstLineChars="0" w:hanging="567"/>
        <w:jc w:val="both"/>
        <w:rPr>
          <w:rFonts w:ascii="Times New Roman" w:eastAsia="Times New Roman" w:hAnsi="Times New Roman" w:cs="Times New Roman"/>
          <w:i/>
          <w:u w:val="single"/>
          <w:lang w:bidi="es-ES"/>
        </w:rPr>
      </w:pPr>
      <w:r w:rsidRPr="00D60D4C">
        <w:rPr>
          <w:rFonts w:ascii="Times New Roman" w:eastAsia="Times New Roman" w:hAnsi="Times New Roman" w:cs="Times New Roman"/>
          <w:i/>
          <w:u w:val="single"/>
          <w:lang w:bidi="es-ES"/>
        </w:rPr>
        <w:t xml:space="preserve">Nuevos </w:t>
      </w:r>
      <w:r w:rsidR="006A2346" w:rsidRPr="00D60D4C">
        <w:rPr>
          <w:rFonts w:ascii="Times New Roman" w:eastAsia="Times New Roman" w:hAnsi="Times New Roman" w:cs="Times New Roman"/>
          <w:i/>
          <w:u w:val="single"/>
          <w:lang w:bidi="es-ES"/>
        </w:rPr>
        <w:t>requisitos para la modificación de términos y condiciones esenciales de las Obligaciones Negociables</w:t>
      </w:r>
    </w:p>
    <w:p w14:paraId="418D82E7" w14:textId="77777777" w:rsidR="006A2346" w:rsidRPr="0032028C" w:rsidRDefault="006A2346" w:rsidP="00C13AAC">
      <w:pPr>
        <w:spacing w:after="0" w:line="240" w:lineRule="auto"/>
        <w:ind w:leftChars="0" w:left="851" w:firstLineChars="0" w:firstLine="0"/>
        <w:jc w:val="both"/>
        <w:rPr>
          <w:rFonts w:ascii="Times New Roman" w:eastAsia="Times New Roman" w:hAnsi="Times New Roman" w:cs="Times New Roman"/>
          <w:lang w:bidi="es-ES"/>
        </w:rPr>
      </w:pPr>
    </w:p>
    <w:p w14:paraId="2119B98A" w14:textId="1BEE30C8" w:rsidR="008E2C10" w:rsidRPr="0032028C" w:rsidRDefault="006A2346" w:rsidP="00C13AAC">
      <w:pPr>
        <w:spacing w:after="0" w:line="240" w:lineRule="auto"/>
        <w:ind w:leftChars="0" w:left="851" w:firstLineChars="0" w:firstLine="0"/>
        <w:jc w:val="both"/>
        <w:rPr>
          <w:rFonts w:ascii="Times New Roman" w:eastAsia="Times New Roman" w:hAnsi="Times New Roman" w:cs="Times New Roman"/>
          <w:lang w:val="es-AR" w:bidi="es-ES"/>
        </w:rPr>
      </w:pPr>
      <w:r w:rsidRPr="0032028C">
        <w:rPr>
          <w:rFonts w:ascii="Times New Roman" w:eastAsia="Times New Roman" w:hAnsi="Times New Roman" w:cs="Times New Roman"/>
          <w:lang w:bidi="es-ES"/>
        </w:rPr>
        <w:t xml:space="preserve">En caso de que la Sociedad </w:t>
      </w:r>
      <w:r w:rsidRPr="0032028C">
        <w:rPr>
          <w:rFonts w:ascii="Times New Roman" w:eastAsia="Times New Roman" w:hAnsi="Times New Roman" w:cs="Times New Roman"/>
        </w:rPr>
        <w:t>obtenga el consentimiento de la Mayoría Necesaria</w:t>
      </w:r>
      <w:r w:rsidR="008F416D">
        <w:rPr>
          <w:rFonts w:ascii="Times New Roman" w:eastAsia="Times New Roman" w:hAnsi="Times New Roman" w:cs="Times New Roman"/>
        </w:rPr>
        <w:t xml:space="preserve"> (conforme dicho término se define más adelante)</w:t>
      </w:r>
      <w:r w:rsidRPr="0032028C">
        <w:rPr>
          <w:rFonts w:ascii="Times New Roman" w:eastAsia="Times New Roman" w:hAnsi="Times New Roman" w:cs="Times New Roman"/>
        </w:rPr>
        <w:t xml:space="preserve"> para </w:t>
      </w:r>
      <w:r w:rsidR="000247EB" w:rsidRPr="0032028C">
        <w:rPr>
          <w:rFonts w:ascii="Times New Roman" w:eastAsia="Times New Roman" w:hAnsi="Times New Roman" w:cs="Times New Roman"/>
        </w:rPr>
        <w:t xml:space="preserve">realizar </w:t>
      </w:r>
      <w:r w:rsidRPr="0032028C">
        <w:rPr>
          <w:rFonts w:ascii="Times New Roman" w:eastAsia="Times New Roman" w:hAnsi="Times New Roman" w:cs="Times New Roman"/>
          <w:lang w:bidi="es-ES"/>
        </w:rPr>
        <w:t>la Modificación Propuesta,</w:t>
      </w:r>
      <w:r w:rsidRPr="0032028C">
        <w:rPr>
          <w:rFonts w:ascii="Times New Roman" w:eastAsia="Times New Roman" w:hAnsi="Times New Roman" w:cs="Times New Roman"/>
          <w:lang w:val="es-MX" w:bidi="es-ES"/>
        </w:rPr>
        <w:t xml:space="preserve"> se aprobará </w:t>
      </w:r>
      <w:r w:rsidR="00D16EBB" w:rsidRPr="0032028C">
        <w:rPr>
          <w:rFonts w:ascii="Times New Roman" w:eastAsia="Times New Roman" w:hAnsi="Times New Roman" w:cs="Times New Roman"/>
          <w:lang w:val="es-AR" w:bidi="es-ES"/>
        </w:rPr>
        <w:t>la modificación del apartado</w:t>
      </w:r>
      <w:r w:rsidR="00F631CF" w:rsidRPr="0032028C">
        <w:rPr>
          <w:rFonts w:ascii="Times New Roman" w:eastAsia="Times New Roman" w:hAnsi="Times New Roman" w:cs="Times New Roman"/>
          <w:lang w:val="es-AR" w:bidi="es-ES"/>
        </w:rPr>
        <w:t xml:space="preserve"> “</w:t>
      </w:r>
      <w:r w:rsidR="003F4161" w:rsidRPr="0032028C">
        <w:rPr>
          <w:rFonts w:ascii="Times New Roman" w:eastAsia="Times New Roman" w:hAnsi="Times New Roman" w:cs="Times New Roman"/>
          <w:i/>
          <w:lang w:val="es-AR" w:bidi="es-ES"/>
        </w:rPr>
        <w:t>Asamblea - Modificaciones a los Términos y Condiciones esenciales de las Obligaciones Negociables</w:t>
      </w:r>
      <w:r w:rsidR="00F631CF" w:rsidRPr="0032028C">
        <w:rPr>
          <w:rFonts w:ascii="Times New Roman" w:eastAsia="Times New Roman" w:hAnsi="Times New Roman" w:cs="Times New Roman"/>
          <w:lang w:val="es-AR" w:bidi="es-ES"/>
        </w:rPr>
        <w:t>”</w:t>
      </w:r>
      <w:r w:rsidR="003F4161" w:rsidRPr="0032028C">
        <w:rPr>
          <w:rFonts w:ascii="Times New Roman" w:eastAsia="Times New Roman" w:hAnsi="Times New Roman" w:cs="Times New Roman"/>
          <w:lang w:val="es-AR" w:bidi="es-ES"/>
        </w:rPr>
        <w:t xml:space="preserve"> de la Sección “</w:t>
      </w:r>
      <w:r w:rsidR="003F4161" w:rsidRPr="0032028C">
        <w:rPr>
          <w:rFonts w:ascii="Times New Roman" w:eastAsia="Times New Roman" w:hAnsi="Times New Roman" w:cs="Times New Roman"/>
          <w:i/>
          <w:lang w:val="es-AR" w:bidi="es-ES"/>
        </w:rPr>
        <w:t>Términos y Condiciones Adicionales de las Obligaciones Negociables</w:t>
      </w:r>
      <w:r w:rsidR="008E2C10" w:rsidRPr="0032028C">
        <w:rPr>
          <w:rFonts w:ascii="Times New Roman" w:eastAsia="Times New Roman" w:hAnsi="Times New Roman" w:cs="Times New Roman"/>
          <w:lang w:val="es-AR" w:bidi="es-ES"/>
        </w:rPr>
        <w:t xml:space="preserve">” </w:t>
      </w:r>
      <w:r w:rsidR="00D16EBB" w:rsidRPr="0032028C">
        <w:rPr>
          <w:rFonts w:ascii="Times New Roman" w:eastAsia="Times New Roman" w:hAnsi="Times New Roman" w:cs="Times New Roman"/>
          <w:lang w:val="es-AR" w:bidi="es-ES"/>
        </w:rPr>
        <w:t xml:space="preserve">del Suplemento de Prospecto </w:t>
      </w:r>
      <w:r w:rsidR="005416CD" w:rsidRPr="0032028C">
        <w:rPr>
          <w:rFonts w:ascii="Times New Roman" w:eastAsia="Times New Roman" w:hAnsi="Times New Roman" w:cs="Times New Roman"/>
          <w:lang w:val="es-AR" w:bidi="es-ES"/>
        </w:rPr>
        <w:t>(</w:t>
      </w:r>
      <w:r w:rsidR="00484BCB" w:rsidRPr="0032028C">
        <w:rPr>
          <w:rFonts w:ascii="Times New Roman" w:eastAsia="Times New Roman" w:hAnsi="Times New Roman" w:cs="Times New Roman"/>
          <w:lang w:val="es-AR" w:bidi="es-ES"/>
        </w:rPr>
        <w:t>los “</w:t>
      </w:r>
      <w:r w:rsidR="00484BCB" w:rsidRPr="0032028C">
        <w:rPr>
          <w:rFonts w:ascii="Times New Roman" w:eastAsia="Times New Roman" w:hAnsi="Times New Roman" w:cs="Times New Roman"/>
          <w:u w:val="single"/>
          <w:lang w:val="es-AR" w:bidi="es-ES"/>
        </w:rPr>
        <w:t>Nuevos Requisitos Para la Modificación a los Términos y Condiciones Esenciales de las Obligaciones Negociables</w:t>
      </w:r>
      <w:r w:rsidR="00484BCB" w:rsidRPr="0032028C">
        <w:rPr>
          <w:rFonts w:ascii="Times New Roman" w:eastAsia="Times New Roman" w:hAnsi="Times New Roman" w:cs="Times New Roman"/>
          <w:lang w:val="es-AR" w:bidi="es-ES"/>
        </w:rPr>
        <w:t>”</w:t>
      </w:r>
      <w:r w:rsidR="005416CD" w:rsidRPr="0032028C">
        <w:rPr>
          <w:rFonts w:ascii="Times New Roman" w:eastAsia="Times New Roman" w:hAnsi="Times New Roman" w:cs="Times New Roman"/>
          <w:lang w:val="es-AR" w:bidi="es-ES"/>
        </w:rPr>
        <w:t>)</w:t>
      </w:r>
      <w:r w:rsidR="003C7232" w:rsidRPr="0032028C">
        <w:rPr>
          <w:rFonts w:ascii="Times New Roman" w:eastAsia="Times New Roman" w:hAnsi="Times New Roman" w:cs="Times New Roman"/>
          <w:lang w:val="es-AR" w:bidi="es-ES"/>
        </w:rPr>
        <w:t xml:space="preserve"> a los fines de establecer:</w:t>
      </w:r>
    </w:p>
    <w:p w14:paraId="0406E52B" w14:textId="77777777" w:rsidR="008E2C10" w:rsidRPr="0032028C" w:rsidRDefault="008E2C10" w:rsidP="00C13AAC">
      <w:pPr>
        <w:spacing w:after="0" w:line="240" w:lineRule="auto"/>
        <w:ind w:leftChars="257" w:left="567" w:hanging="2"/>
        <w:jc w:val="both"/>
        <w:rPr>
          <w:rFonts w:ascii="Times New Roman" w:eastAsia="Times New Roman" w:hAnsi="Times New Roman" w:cs="Times New Roman"/>
          <w:lang w:val="es-AR" w:bidi="es-ES"/>
        </w:rPr>
      </w:pPr>
    </w:p>
    <w:p w14:paraId="07343ABD" w14:textId="03862D41" w:rsidR="004439AB" w:rsidRPr="00D60D4C" w:rsidRDefault="00CA01ED" w:rsidP="00F93ED5">
      <w:pPr>
        <w:pStyle w:val="Prrafodelista"/>
        <w:numPr>
          <w:ilvl w:val="0"/>
          <w:numId w:val="5"/>
        </w:numPr>
        <w:spacing w:after="0" w:line="240" w:lineRule="auto"/>
        <w:ind w:leftChars="0" w:firstLineChars="0"/>
        <w:jc w:val="both"/>
        <w:rPr>
          <w:rFonts w:ascii="Times New Roman" w:eastAsia="Times New Roman" w:hAnsi="Times New Roman" w:cs="Times New Roman"/>
          <w:lang w:val="es-AR" w:bidi="es-ES"/>
        </w:rPr>
      </w:pPr>
      <w:r w:rsidRPr="00D60D4C">
        <w:rPr>
          <w:rFonts w:ascii="Times New Roman" w:eastAsia="Times New Roman" w:hAnsi="Times New Roman" w:cs="Times New Roman"/>
          <w:lang w:val="es-AR" w:bidi="es-ES"/>
        </w:rPr>
        <w:t xml:space="preserve">Que </w:t>
      </w:r>
      <w:r w:rsidRPr="00D60D4C">
        <w:rPr>
          <w:rFonts w:ascii="Times New Roman" w:eastAsia="Times New Roman" w:hAnsi="Times New Roman" w:cs="Times New Roman"/>
          <w:bCs/>
          <w:lang w:bidi="es-ES"/>
        </w:rPr>
        <w:t xml:space="preserve">la Sociedad podrá proponer modificaciones y reformas a los </w:t>
      </w:r>
      <w:r w:rsidR="003C7232" w:rsidRPr="00D60D4C">
        <w:rPr>
          <w:rFonts w:ascii="Times New Roman" w:eastAsia="Times New Roman" w:hAnsi="Times New Roman" w:cs="Times New Roman"/>
          <w:bCs/>
          <w:lang w:bidi="es-ES"/>
        </w:rPr>
        <w:t>T</w:t>
      </w:r>
      <w:r w:rsidRPr="00D60D4C">
        <w:rPr>
          <w:rFonts w:ascii="Times New Roman" w:eastAsia="Times New Roman" w:hAnsi="Times New Roman" w:cs="Times New Roman"/>
          <w:bCs/>
          <w:lang w:bidi="es-ES"/>
        </w:rPr>
        <w:t xml:space="preserve">érminos </w:t>
      </w:r>
      <w:r w:rsidR="003C7232" w:rsidRPr="00D60D4C">
        <w:rPr>
          <w:rFonts w:ascii="Times New Roman" w:eastAsia="Times New Roman" w:hAnsi="Times New Roman" w:cs="Times New Roman"/>
          <w:bCs/>
          <w:lang w:bidi="es-ES"/>
        </w:rPr>
        <w:t>E</w:t>
      </w:r>
      <w:r w:rsidRPr="00D60D4C">
        <w:rPr>
          <w:rFonts w:ascii="Times New Roman" w:eastAsia="Times New Roman" w:hAnsi="Times New Roman" w:cs="Times New Roman"/>
          <w:bCs/>
          <w:lang w:bidi="es-ES"/>
        </w:rPr>
        <w:t xml:space="preserve">senciales de las Obligaciones Negociables las que para aprobarse deberán contar con el consentimiento de los Tenedores que representen por lo menos </w:t>
      </w:r>
      <w:r w:rsidR="000A203D" w:rsidRPr="00D60D4C">
        <w:rPr>
          <w:rFonts w:ascii="Times New Roman" w:eastAsia="Times New Roman" w:hAnsi="Times New Roman" w:cs="Times New Roman"/>
          <w:bCs/>
          <w:lang w:bidi="es-ES"/>
        </w:rPr>
        <w:t>66%</w:t>
      </w:r>
      <w:r w:rsidR="003C7232" w:rsidRPr="00D60D4C">
        <w:rPr>
          <w:rFonts w:ascii="Times New Roman" w:eastAsia="Times New Roman" w:hAnsi="Times New Roman" w:cs="Times New Roman"/>
          <w:bCs/>
          <w:lang w:bidi="es-ES"/>
        </w:rPr>
        <w:t xml:space="preserve"> </w:t>
      </w:r>
      <w:r w:rsidRPr="00D60D4C">
        <w:rPr>
          <w:rFonts w:ascii="Times New Roman" w:eastAsia="Times New Roman" w:hAnsi="Times New Roman" w:cs="Times New Roman"/>
          <w:bCs/>
          <w:lang w:bidi="es-ES"/>
        </w:rPr>
        <w:t xml:space="preserve">del monto de capital total de las Obligaciones Negociables en circulación. En caso de que una modificación a los términos de </w:t>
      </w:r>
      <w:r w:rsidR="005328D2" w:rsidRPr="00D60D4C">
        <w:rPr>
          <w:rFonts w:ascii="Times New Roman" w:eastAsia="Times New Roman" w:hAnsi="Times New Roman" w:cs="Times New Roman"/>
          <w:bCs/>
          <w:lang w:bidi="es-ES"/>
        </w:rPr>
        <w:t>las</w:t>
      </w:r>
      <w:r w:rsidRPr="00D60D4C">
        <w:rPr>
          <w:rFonts w:ascii="Times New Roman" w:eastAsia="Times New Roman" w:hAnsi="Times New Roman" w:cs="Times New Roman"/>
          <w:bCs/>
          <w:lang w:bidi="es-ES"/>
        </w:rPr>
        <w:t xml:space="preserve"> Obligaciones Negociables sea aprobada conforme a lo establecido precedentemente, dicha modificación será </w:t>
      </w:r>
      <w:r w:rsidR="000A203D" w:rsidRPr="00D60D4C">
        <w:rPr>
          <w:rFonts w:ascii="Times New Roman" w:eastAsia="Times New Roman" w:hAnsi="Times New Roman" w:cs="Times New Roman"/>
          <w:bCs/>
          <w:lang w:bidi="es-ES"/>
        </w:rPr>
        <w:t xml:space="preserve">automática e inmediatamente </w:t>
      </w:r>
      <w:r w:rsidRPr="00D60D4C">
        <w:rPr>
          <w:rFonts w:ascii="Times New Roman" w:eastAsia="Times New Roman" w:hAnsi="Times New Roman" w:cs="Times New Roman"/>
          <w:bCs/>
          <w:lang w:bidi="es-ES"/>
        </w:rPr>
        <w:t xml:space="preserve">válida y vinculante para todos los </w:t>
      </w:r>
      <w:r w:rsidR="005328D2" w:rsidRPr="00D60D4C">
        <w:rPr>
          <w:rFonts w:ascii="Times New Roman" w:eastAsia="Times New Roman" w:hAnsi="Times New Roman" w:cs="Times New Roman"/>
          <w:bCs/>
          <w:lang w:bidi="es-ES"/>
        </w:rPr>
        <w:t>Tenedores</w:t>
      </w:r>
      <w:r w:rsidRPr="00D60D4C">
        <w:rPr>
          <w:rFonts w:ascii="Times New Roman" w:eastAsia="Times New Roman" w:hAnsi="Times New Roman" w:cs="Times New Roman"/>
          <w:bCs/>
          <w:lang w:bidi="es-ES"/>
        </w:rPr>
        <w:t>.</w:t>
      </w:r>
      <w:r w:rsidR="00C740E1" w:rsidRPr="00D60D4C">
        <w:rPr>
          <w:rFonts w:ascii="Times New Roman" w:eastAsia="Times New Roman" w:hAnsi="Times New Roman" w:cs="Times New Roman"/>
          <w:lang w:val="es-AR" w:bidi="es-ES"/>
        </w:rPr>
        <w:t xml:space="preserve"> </w:t>
      </w:r>
      <w:r w:rsidR="004439AB" w:rsidRPr="00D60D4C">
        <w:rPr>
          <w:rFonts w:ascii="Times New Roman" w:eastAsia="Times New Roman" w:hAnsi="Times New Roman" w:cs="Times New Roman"/>
          <w:lang w:val="es-AR" w:bidi="es-ES"/>
        </w:rPr>
        <w:t>A efectos del presente, se entiende por “</w:t>
      </w:r>
      <w:r w:rsidR="003C7232" w:rsidRPr="00D60D4C">
        <w:rPr>
          <w:rFonts w:ascii="Times New Roman" w:eastAsia="Times New Roman" w:hAnsi="Times New Roman" w:cs="Times New Roman"/>
          <w:i/>
          <w:lang w:val="es-AR" w:bidi="es-ES"/>
        </w:rPr>
        <w:t>Tér</w:t>
      </w:r>
      <w:r w:rsidR="004439AB" w:rsidRPr="00D60D4C">
        <w:rPr>
          <w:rFonts w:ascii="Times New Roman" w:eastAsia="Times New Roman" w:hAnsi="Times New Roman" w:cs="Times New Roman"/>
          <w:i/>
          <w:lang w:val="es-AR" w:bidi="es-ES"/>
        </w:rPr>
        <w:t xml:space="preserve">minos </w:t>
      </w:r>
      <w:r w:rsidR="003C7232" w:rsidRPr="00D60D4C">
        <w:rPr>
          <w:rFonts w:ascii="Times New Roman" w:eastAsia="Times New Roman" w:hAnsi="Times New Roman" w:cs="Times New Roman"/>
          <w:i/>
          <w:lang w:val="es-AR" w:bidi="es-ES"/>
        </w:rPr>
        <w:t>E</w:t>
      </w:r>
      <w:r w:rsidR="004439AB" w:rsidRPr="00D60D4C">
        <w:rPr>
          <w:rFonts w:ascii="Times New Roman" w:eastAsia="Times New Roman" w:hAnsi="Times New Roman" w:cs="Times New Roman"/>
          <w:i/>
          <w:lang w:val="es-AR" w:bidi="es-ES"/>
        </w:rPr>
        <w:t>senciales</w:t>
      </w:r>
      <w:r w:rsidR="004439AB" w:rsidRPr="00D60D4C">
        <w:rPr>
          <w:rFonts w:ascii="Times New Roman" w:eastAsia="Times New Roman" w:hAnsi="Times New Roman" w:cs="Times New Roman"/>
          <w:lang w:val="es-AR" w:bidi="es-ES"/>
        </w:rPr>
        <w:t>”</w:t>
      </w:r>
      <w:r w:rsidR="004F4703" w:rsidRPr="00D60D4C">
        <w:rPr>
          <w:rFonts w:ascii="Times New Roman" w:eastAsia="Times New Roman" w:hAnsi="Times New Roman" w:cs="Times New Roman"/>
          <w:lang w:val="es-AR" w:bidi="es-ES"/>
        </w:rPr>
        <w:t xml:space="preserve"> de las Obligaciones Negociables</w:t>
      </w:r>
      <w:r w:rsidR="004439AB" w:rsidRPr="00D60D4C">
        <w:rPr>
          <w:rFonts w:ascii="Times New Roman" w:eastAsia="Times New Roman" w:hAnsi="Times New Roman" w:cs="Times New Roman"/>
          <w:lang w:val="es-AR" w:bidi="es-ES"/>
        </w:rPr>
        <w:t xml:space="preserve"> a: </w:t>
      </w:r>
    </w:p>
    <w:p w14:paraId="0585263B" w14:textId="60185FF3" w:rsidR="00352BE1" w:rsidRPr="00310976" w:rsidRDefault="00352BE1" w:rsidP="00C13AAC">
      <w:pPr>
        <w:spacing w:after="0" w:line="240" w:lineRule="auto"/>
        <w:ind w:leftChars="0" w:left="1701" w:firstLineChars="0" w:hanging="282"/>
        <w:jc w:val="both"/>
        <w:rPr>
          <w:rFonts w:ascii="Times New Roman" w:eastAsia="Times New Roman" w:hAnsi="Times New Roman" w:cs="Times New Roman"/>
          <w:lang w:val="es-AR" w:bidi="es-ES"/>
        </w:rPr>
      </w:pPr>
    </w:p>
    <w:p w14:paraId="45ADA0DF" w14:textId="0DB0B321" w:rsidR="00352BE1" w:rsidRPr="00F11A08" w:rsidRDefault="00352BE1" w:rsidP="00C13AAC">
      <w:pPr>
        <w:pStyle w:val="Prrafodelista"/>
        <w:numPr>
          <w:ilvl w:val="0"/>
          <w:numId w:val="7"/>
        </w:numPr>
        <w:tabs>
          <w:tab w:val="left" w:pos="1985"/>
        </w:tabs>
        <w:spacing w:after="0" w:line="240" w:lineRule="auto"/>
        <w:ind w:leftChars="0" w:left="1701" w:firstLineChars="0" w:hanging="282"/>
        <w:jc w:val="both"/>
        <w:rPr>
          <w:rFonts w:ascii="Times New Roman" w:eastAsia="Times New Roman" w:hAnsi="Times New Roman" w:cs="Times New Roman"/>
          <w:lang w:val="es-AR" w:bidi="es-ES"/>
        </w:rPr>
      </w:pPr>
      <w:r w:rsidRPr="00740007">
        <w:rPr>
          <w:rFonts w:ascii="Times New Roman" w:eastAsia="Times New Roman" w:hAnsi="Times New Roman" w:cs="Times New Roman"/>
          <w:lang w:val="es-AR" w:bidi="es-ES"/>
        </w:rPr>
        <w:t>todo cambio en el vencimiento del capital o intereses sobre las Obligaciones Negociables</w:t>
      </w:r>
      <w:r w:rsidR="003C7232" w:rsidRPr="00740007">
        <w:rPr>
          <w:rFonts w:ascii="Times New Roman" w:eastAsia="Times New Roman" w:hAnsi="Times New Roman" w:cs="Times New Roman"/>
          <w:lang w:val="es-AR" w:bidi="es-ES"/>
        </w:rPr>
        <w:t xml:space="preserve">, que </w:t>
      </w:r>
      <w:r w:rsidR="000E1F89" w:rsidRPr="00740007">
        <w:rPr>
          <w:rFonts w:ascii="Times New Roman" w:eastAsia="Times New Roman" w:hAnsi="Times New Roman" w:cs="Times New Roman"/>
          <w:lang w:val="es-AR" w:bidi="es-ES"/>
        </w:rPr>
        <w:t>no estuviera</w:t>
      </w:r>
      <w:r w:rsidR="003C7232" w:rsidRPr="00740007">
        <w:rPr>
          <w:rFonts w:ascii="Times New Roman" w:eastAsia="Times New Roman" w:hAnsi="Times New Roman" w:cs="Times New Roman"/>
          <w:lang w:val="es-AR" w:bidi="es-ES"/>
        </w:rPr>
        <w:t xml:space="preserve"> previamente </w:t>
      </w:r>
      <w:r w:rsidR="000E1F89" w:rsidRPr="00EB3FA3">
        <w:rPr>
          <w:rFonts w:ascii="Times New Roman" w:eastAsia="Times New Roman" w:hAnsi="Times New Roman" w:cs="Times New Roman"/>
          <w:lang w:val="es-AR" w:bidi="es-ES"/>
        </w:rPr>
        <w:t>contemplada en el Suplemento de Prospecto</w:t>
      </w:r>
      <w:r w:rsidRPr="00EB3FA3">
        <w:rPr>
          <w:rFonts w:ascii="Times New Roman" w:eastAsia="Times New Roman" w:hAnsi="Times New Roman" w:cs="Times New Roman"/>
          <w:lang w:val="es-AR" w:bidi="es-ES"/>
        </w:rPr>
        <w:t xml:space="preserve">; </w:t>
      </w:r>
    </w:p>
    <w:p w14:paraId="6A53209D" w14:textId="77777777" w:rsidR="006A2346" w:rsidRPr="0055089D" w:rsidRDefault="006A2346" w:rsidP="00C13AAC">
      <w:pPr>
        <w:pStyle w:val="Prrafodelista"/>
        <w:tabs>
          <w:tab w:val="left" w:pos="1985"/>
        </w:tabs>
        <w:spacing w:after="0" w:line="240" w:lineRule="auto"/>
        <w:ind w:leftChars="0" w:left="1701" w:firstLineChars="0" w:firstLine="0"/>
        <w:jc w:val="both"/>
        <w:rPr>
          <w:rFonts w:ascii="Times New Roman" w:eastAsia="Times New Roman" w:hAnsi="Times New Roman" w:cs="Times New Roman"/>
          <w:lang w:val="es-AR" w:bidi="es-ES"/>
        </w:rPr>
      </w:pPr>
    </w:p>
    <w:p w14:paraId="3C519661" w14:textId="7C714F16" w:rsidR="00352BE1" w:rsidRPr="00F43580" w:rsidRDefault="00352BE1" w:rsidP="00C13AAC">
      <w:pPr>
        <w:pStyle w:val="Prrafodelista"/>
        <w:numPr>
          <w:ilvl w:val="0"/>
          <w:numId w:val="7"/>
        </w:numPr>
        <w:tabs>
          <w:tab w:val="left" w:pos="1843"/>
        </w:tabs>
        <w:spacing w:after="0" w:line="240" w:lineRule="auto"/>
        <w:ind w:leftChars="0" w:left="1701" w:firstLineChars="0" w:hanging="282"/>
        <w:jc w:val="both"/>
        <w:rPr>
          <w:rFonts w:ascii="Times New Roman" w:eastAsia="Times New Roman" w:hAnsi="Times New Roman" w:cs="Times New Roman"/>
          <w:lang w:val="es-AR" w:bidi="es-ES"/>
        </w:rPr>
      </w:pPr>
      <w:r w:rsidRPr="00626DBF">
        <w:rPr>
          <w:rFonts w:ascii="Times New Roman" w:eastAsia="Times New Roman" w:hAnsi="Times New Roman" w:cs="Times New Roman"/>
          <w:lang w:val="es-AR" w:bidi="es-ES"/>
        </w:rPr>
        <w:t>una reducción en el capital o intereses sobre las Obligaciones Negociables o un cambio en la obligación de la Sociedad de pagar montos adicionales respecto de ellos</w:t>
      </w:r>
      <w:r w:rsidR="003C7232" w:rsidRPr="00626DBF">
        <w:rPr>
          <w:rFonts w:ascii="Times New Roman" w:eastAsia="Times New Roman" w:hAnsi="Times New Roman" w:cs="Times New Roman"/>
          <w:lang w:val="es-AR" w:bidi="es-ES"/>
        </w:rPr>
        <w:t xml:space="preserve">, </w:t>
      </w:r>
      <w:r w:rsidR="000E1F89" w:rsidRPr="00AC013A">
        <w:rPr>
          <w:rFonts w:ascii="Times New Roman" w:eastAsia="Times New Roman" w:hAnsi="Times New Roman" w:cs="Times New Roman"/>
          <w:lang w:val="es-AR" w:bidi="es-ES"/>
        </w:rPr>
        <w:t>que no estuviera previamente contemplada en el Suplemento de Prospecto</w:t>
      </w:r>
      <w:r w:rsidRPr="00F43580">
        <w:rPr>
          <w:rFonts w:ascii="Times New Roman" w:eastAsia="Times New Roman" w:hAnsi="Times New Roman" w:cs="Times New Roman"/>
          <w:lang w:val="es-AR" w:bidi="es-ES"/>
        </w:rPr>
        <w:t xml:space="preserve">; </w:t>
      </w:r>
    </w:p>
    <w:p w14:paraId="193B6F85" w14:textId="77777777" w:rsidR="006A2346" w:rsidRPr="00F43580" w:rsidRDefault="006A2346" w:rsidP="00C13AAC">
      <w:pPr>
        <w:pStyle w:val="Prrafodelista"/>
        <w:spacing w:after="0" w:line="240" w:lineRule="auto"/>
        <w:ind w:left="0" w:hanging="2"/>
        <w:rPr>
          <w:rFonts w:ascii="Times New Roman" w:eastAsia="Times New Roman" w:hAnsi="Times New Roman" w:cs="Times New Roman"/>
          <w:lang w:val="es-AR" w:bidi="es-ES"/>
        </w:rPr>
      </w:pPr>
    </w:p>
    <w:p w14:paraId="080E3C18" w14:textId="6D6C6B83" w:rsidR="00352BE1" w:rsidRPr="003E13B9" w:rsidRDefault="00352BE1" w:rsidP="00C13AAC">
      <w:pPr>
        <w:pStyle w:val="Prrafodelista"/>
        <w:numPr>
          <w:ilvl w:val="0"/>
          <w:numId w:val="7"/>
        </w:numPr>
        <w:tabs>
          <w:tab w:val="left" w:pos="1843"/>
        </w:tabs>
        <w:spacing w:after="0" w:line="240" w:lineRule="auto"/>
        <w:ind w:leftChars="0" w:left="1701" w:firstLineChars="0" w:hanging="282"/>
        <w:jc w:val="both"/>
        <w:rPr>
          <w:rFonts w:ascii="Times New Roman" w:eastAsia="Times New Roman" w:hAnsi="Times New Roman" w:cs="Times New Roman"/>
          <w:lang w:val="es-AR" w:bidi="es-ES"/>
        </w:rPr>
      </w:pPr>
      <w:r w:rsidRPr="008433DA">
        <w:rPr>
          <w:rFonts w:ascii="Times New Roman" w:eastAsia="Times New Roman" w:hAnsi="Times New Roman" w:cs="Times New Roman"/>
          <w:lang w:val="es-AR" w:bidi="es-ES"/>
        </w:rPr>
        <w:t xml:space="preserve">un cambio en el lugar o moneda de pago del capital o de los intereses (incluyendo los montos adicionales) sobre las Obligaciones Negociables; </w:t>
      </w:r>
    </w:p>
    <w:p w14:paraId="03EADCC7" w14:textId="77777777" w:rsidR="006A2346" w:rsidRPr="00262E03" w:rsidRDefault="006A2346" w:rsidP="00C13AAC">
      <w:pPr>
        <w:pStyle w:val="Prrafodelista"/>
        <w:tabs>
          <w:tab w:val="left" w:pos="1843"/>
        </w:tabs>
        <w:spacing w:after="0" w:line="240" w:lineRule="auto"/>
        <w:ind w:leftChars="0" w:left="1701" w:firstLineChars="0" w:firstLine="0"/>
        <w:jc w:val="both"/>
        <w:rPr>
          <w:rFonts w:ascii="Times New Roman" w:eastAsia="Times New Roman" w:hAnsi="Times New Roman" w:cs="Times New Roman"/>
          <w:lang w:val="es-AR" w:bidi="es-ES"/>
        </w:rPr>
      </w:pPr>
    </w:p>
    <w:p w14:paraId="25CE7C8B" w14:textId="62E7E94F" w:rsidR="00352BE1" w:rsidRPr="00262E03" w:rsidRDefault="00352BE1" w:rsidP="00C13AAC">
      <w:pPr>
        <w:pStyle w:val="Prrafodelista"/>
        <w:numPr>
          <w:ilvl w:val="0"/>
          <w:numId w:val="7"/>
        </w:numPr>
        <w:tabs>
          <w:tab w:val="left" w:pos="1843"/>
        </w:tabs>
        <w:spacing w:after="0" w:line="240" w:lineRule="auto"/>
        <w:ind w:leftChars="0" w:left="1701" w:firstLineChars="0" w:hanging="282"/>
        <w:jc w:val="both"/>
        <w:rPr>
          <w:rFonts w:ascii="Times New Roman" w:eastAsia="Times New Roman" w:hAnsi="Times New Roman" w:cs="Times New Roman"/>
          <w:lang w:val="es-AR" w:bidi="es-ES"/>
        </w:rPr>
      </w:pPr>
      <w:r w:rsidRPr="00262E03">
        <w:rPr>
          <w:rFonts w:ascii="Times New Roman" w:eastAsia="Times New Roman" w:hAnsi="Times New Roman" w:cs="Times New Roman"/>
          <w:lang w:val="es-AR" w:bidi="es-ES"/>
        </w:rPr>
        <w:t xml:space="preserve">un cambio que afecte el derecho de entablar una acción para la exigibilidad de cualquier pago de capital o intereses sobre las Obligaciones Negociables en la fecha o luego de la fecha del vencimiento; </w:t>
      </w:r>
    </w:p>
    <w:p w14:paraId="6230C6A3" w14:textId="77777777" w:rsidR="006A2346" w:rsidRPr="008C39F0" w:rsidRDefault="006A2346" w:rsidP="00C13AAC">
      <w:pPr>
        <w:pStyle w:val="Prrafodelista"/>
        <w:spacing w:after="0" w:line="240" w:lineRule="auto"/>
        <w:ind w:left="0" w:hanging="2"/>
        <w:rPr>
          <w:rFonts w:ascii="Times New Roman" w:eastAsia="Times New Roman" w:hAnsi="Times New Roman" w:cs="Times New Roman"/>
          <w:lang w:val="es-AR" w:bidi="es-ES"/>
        </w:rPr>
      </w:pPr>
    </w:p>
    <w:p w14:paraId="2225E829" w14:textId="6651B8BD" w:rsidR="00352BE1" w:rsidRDefault="00352BE1" w:rsidP="00C13AAC">
      <w:pPr>
        <w:pStyle w:val="Prrafodelista"/>
        <w:numPr>
          <w:ilvl w:val="0"/>
          <w:numId w:val="7"/>
        </w:numPr>
        <w:tabs>
          <w:tab w:val="left" w:pos="1843"/>
        </w:tabs>
        <w:spacing w:after="0" w:line="240" w:lineRule="auto"/>
        <w:ind w:leftChars="0" w:left="1701" w:firstLineChars="0" w:hanging="282"/>
        <w:jc w:val="both"/>
        <w:rPr>
          <w:rFonts w:ascii="Times New Roman" w:eastAsia="Times New Roman" w:hAnsi="Times New Roman" w:cs="Times New Roman"/>
          <w:lang w:val="es-AR" w:bidi="es-ES"/>
        </w:rPr>
      </w:pPr>
      <w:r w:rsidRPr="008C39F0">
        <w:rPr>
          <w:rFonts w:ascii="Times New Roman" w:eastAsia="Times New Roman" w:hAnsi="Times New Roman" w:cs="Times New Roman"/>
          <w:lang w:val="es-AR" w:bidi="es-ES"/>
        </w:rPr>
        <w:t xml:space="preserve">una reducción en los porcentajes de monto de capital de las Obligaciones Negociables necesarios para modificar o reformar las Obligaciones Negociables, o para renunciar al cumplimiento futuro o incumplimiento </w:t>
      </w:r>
      <w:r w:rsidRPr="008C39F0">
        <w:rPr>
          <w:rFonts w:ascii="Times New Roman" w:eastAsia="Times New Roman" w:hAnsi="Times New Roman" w:cs="Times New Roman"/>
          <w:lang w:val="es-AR" w:bidi="es-ES"/>
        </w:rPr>
        <w:lastRenderedPageBreak/>
        <w:t xml:space="preserve">pasado </w:t>
      </w:r>
      <w:r w:rsidR="008F416D">
        <w:rPr>
          <w:rFonts w:ascii="Times New Roman" w:eastAsia="Times New Roman" w:hAnsi="Times New Roman" w:cs="Times New Roman"/>
          <w:lang w:val="es-AR" w:bidi="es-ES"/>
        </w:rPr>
        <w:t>de</w:t>
      </w:r>
      <w:r w:rsidRPr="008C39F0">
        <w:rPr>
          <w:rFonts w:ascii="Times New Roman" w:eastAsia="Times New Roman" w:hAnsi="Times New Roman" w:cs="Times New Roman"/>
          <w:lang w:val="es-AR" w:bidi="es-ES"/>
        </w:rPr>
        <w:t xml:space="preserve"> la Sociedad o una reducción en los requisitos de quórum o los porcentajes de votos requeridos para la adopción de cualquier resolución en una asamblea de Tenedores</w:t>
      </w:r>
      <w:r w:rsidR="00DF4FB7">
        <w:rPr>
          <w:rFonts w:ascii="Times New Roman" w:eastAsia="Times New Roman" w:hAnsi="Times New Roman" w:cs="Times New Roman"/>
          <w:lang w:val="es-AR" w:bidi="es-ES"/>
        </w:rPr>
        <w:t xml:space="preserve"> o</w:t>
      </w:r>
    </w:p>
    <w:p w14:paraId="7E200AA2" w14:textId="77777777" w:rsidR="00DF4FB7" w:rsidRPr="00DF4FB7" w:rsidRDefault="00DF4FB7" w:rsidP="00DF4FB7">
      <w:pPr>
        <w:pStyle w:val="Prrafodelista"/>
        <w:ind w:left="0" w:hanging="2"/>
        <w:rPr>
          <w:rFonts w:ascii="Times New Roman" w:eastAsia="Times New Roman" w:hAnsi="Times New Roman" w:cs="Times New Roman"/>
          <w:lang w:val="es-AR" w:bidi="es-ES"/>
        </w:rPr>
      </w:pPr>
    </w:p>
    <w:p w14:paraId="0E2009AE" w14:textId="65158E27" w:rsidR="00DF4FB7" w:rsidRPr="00DF4FB7" w:rsidRDefault="008F61E1" w:rsidP="00C13AAC">
      <w:pPr>
        <w:pStyle w:val="Prrafodelista"/>
        <w:numPr>
          <w:ilvl w:val="0"/>
          <w:numId w:val="7"/>
        </w:numPr>
        <w:tabs>
          <w:tab w:val="left" w:pos="1843"/>
        </w:tabs>
        <w:spacing w:after="0" w:line="240" w:lineRule="auto"/>
        <w:ind w:leftChars="0" w:left="1701" w:firstLineChars="0" w:hanging="282"/>
        <w:jc w:val="both"/>
        <w:rPr>
          <w:rFonts w:ascii="Times New Roman" w:eastAsia="Times New Roman" w:hAnsi="Times New Roman" w:cs="Times New Roman"/>
          <w:lang w:val="es-AR" w:bidi="es-ES"/>
        </w:rPr>
      </w:pPr>
      <w:r>
        <w:rPr>
          <w:rFonts w:ascii="Times New Roman" w:eastAsia="Times New Roman" w:hAnsi="Times New Roman" w:cs="Times New Roman"/>
          <w:iCs/>
          <w:lang w:bidi="es-ES"/>
        </w:rPr>
        <w:t>un cambio</w:t>
      </w:r>
      <w:r w:rsidR="00DF4FB7">
        <w:rPr>
          <w:rFonts w:ascii="Times New Roman" w:eastAsia="Times New Roman" w:hAnsi="Times New Roman" w:cs="Times New Roman"/>
          <w:iCs/>
          <w:lang w:bidi="es-ES"/>
        </w:rPr>
        <w:t xml:space="preserve"> sustancial y advers</w:t>
      </w:r>
      <w:r w:rsidR="00EA20B7">
        <w:rPr>
          <w:rFonts w:ascii="Times New Roman" w:eastAsia="Times New Roman" w:hAnsi="Times New Roman" w:cs="Times New Roman"/>
          <w:iCs/>
          <w:lang w:bidi="es-ES"/>
        </w:rPr>
        <w:t>o</w:t>
      </w:r>
      <w:r w:rsidR="00DF4FB7">
        <w:rPr>
          <w:rFonts w:ascii="Times New Roman" w:eastAsia="Times New Roman" w:hAnsi="Times New Roman" w:cs="Times New Roman"/>
          <w:iCs/>
          <w:lang w:bidi="es-ES"/>
        </w:rPr>
        <w:t xml:space="preserve"> a cualquier</w:t>
      </w:r>
      <w:r w:rsidR="00B93BFB">
        <w:rPr>
          <w:rFonts w:ascii="Times New Roman" w:eastAsia="Times New Roman" w:hAnsi="Times New Roman" w:cs="Times New Roman"/>
          <w:iCs/>
          <w:lang w:bidi="es-ES"/>
        </w:rPr>
        <w:t>a</w:t>
      </w:r>
      <w:r w:rsidR="00DF4FB7">
        <w:rPr>
          <w:rFonts w:ascii="Times New Roman" w:eastAsia="Times New Roman" w:hAnsi="Times New Roman" w:cs="Times New Roman"/>
          <w:iCs/>
          <w:lang w:bidi="es-ES"/>
        </w:rPr>
        <w:t xml:space="preserve"> de las Garantías de las Obligaciones Negociables y que ocasione un perjuicio a los Tenedores</w:t>
      </w:r>
      <w:r w:rsidR="00952A08">
        <w:rPr>
          <w:rFonts w:ascii="Times New Roman" w:eastAsia="Times New Roman" w:hAnsi="Times New Roman" w:cs="Times New Roman"/>
          <w:iCs/>
          <w:lang w:bidi="es-ES"/>
        </w:rPr>
        <w:t xml:space="preserve"> (incluyendo, pero no limitando, a cualquier modificación</w:t>
      </w:r>
      <w:r w:rsidR="00952A08">
        <w:rPr>
          <w:rFonts w:ascii="Times New Roman" w:hAnsi="Times New Roman" w:cs="Times New Roman"/>
        </w:rPr>
        <w:t xml:space="preserve"> al Fideicomiso Catalinas que altere </w:t>
      </w:r>
      <w:r w:rsidR="00B93BFB">
        <w:rPr>
          <w:rFonts w:ascii="Times New Roman" w:hAnsi="Times New Roman" w:cs="Times New Roman"/>
        </w:rPr>
        <w:t xml:space="preserve">sustancial y </w:t>
      </w:r>
      <w:r w:rsidR="00952A08">
        <w:rPr>
          <w:rFonts w:ascii="Times New Roman" w:hAnsi="Times New Roman" w:cs="Times New Roman"/>
        </w:rPr>
        <w:t xml:space="preserve">adversamente los derechos de los Tenedores </w:t>
      </w:r>
      <w:r w:rsidR="003503E4">
        <w:rPr>
          <w:rFonts w:ascii="Times New Roman" w:hAnsi="Times New Roman" w:cs="Times New Roman"/>
        </w:rPr>
        <w:t>sobre la Participación en Catalinas</w:t>
      </w:r>
      <w:r w:rsidR="00952A08">
        <w:rPr>
          <w:rFonts w:ascii="Times New Roman" w:hAnsi="Times New Roman" w:cs="Times New Roman"/>
        </w:rPr>
        <w:t>, mientras se encuentre vigente la Prenda</w:t>
      </w:r>
      <w:r w:rsidR="00EA20B7">
        <w:rPr>
          <w:rFonts w:ascii="Times New Roman" w:hAnsi="Times New Roman" w:cs="Times New Roman"/>
        </w:rPr>
        <w:t>), que no esté previsto en la presente Solicitud de Consentimiento</w:t>
      </w:r>
      <w:r w:rsidR="003503E4">
        <w:rPr>
          <w:rFonts w:ascii="Times New Roman" w:hAnsi="Times New Roman" w:cs="Times New Roman"/>
        </w:rPr>
        <w:t>.</w:t>
      </w:r>
    </w:p>
    <w:p w14:paraId="5A1D8F55" w14:textId="1623D86C" w:rsidR="005F7484" w:rsidRPr="008C39F0" w:rsidRDefault="005F7484">
      <w:pPr>
        <w:spacing w:after="0" w:line="240" w:lineRule="auto"/>
        <w:ind w:leftChars="0" w:left="0" w:firstLineChars="0" w:firstLine="0"/>
        <w:jc w:val="both"/>
        <w:rPr>
          <w:rFonts w:ascii="Times New Roman" w:eastAsia="Times New Roman" w:hAnsi="Times New Roman" w:cs="Times New Roman"/>
          <w:lang w:bidi="es-ES"/>
        </w:rPr>
      </w:pPr>
    </w:p>
    <w:p w14:paraId="61C6E30E" w14:textId="66156CA0" w:rsidR="00E16D7D" w:rsidRPr="009E6887" w:rsidRDefault="00FB73A2">
      <w:pPr>
        <w:spacing w:after="0" w:line="240" w:lineRule="auto"/>
        <w:ind w:left="-2" w:firstLineChars="0" w:firstLine="0"/>
        <w:jc w:val="both"/>
        <w:rPr>
          <w:rFonts w:ascii="Times New Roman" w:eastAsia="Times New Roman" w:hAnsi="Times New Roman" w:cs="Times New Roman"/>
        </w:rPr>
      </w:pPr>
      <w:r w:rsidRPr="00523952">
        <w:rPr>
          <w:rFonts w:ascii="Times New Roman" w:eastAsia="Times New Roman" w:hAnsi="Times New Roman" w:cs="Times New Roman"/>
          <w:b/>
          <w:lang w:bidi="es-ES"/>
        </w:rPr>
        <w:t>(c)</w:t>
      </w:r>
      <w:r w:rsidRPr="00523952">
        <w:rPr>
          <w:rFonts w:ascii="Times New Roman" w:eastAsia="Times New Roman" w:hAnsi="Times New Roman" w:cs="Times New Roman"/>
          <w:lang w:bidi="es-ES"/>
        </w:rPr>
        <w:t xml:space="preserve"> </w:t>
      </w:r>
      <w:r w:rsidR="000247EB" w:rsidRPr="00D3494C">
        <w:rPr>
          <w:rFonts w:ascii="Times New Roman" w:eastAsia="Times New Roman" w:hAnsi="Times New Roman" w:cs="Times New Roman"/>
          <w:lang w:bidi="es-ES"/>
        </w:rPr>
        <w:t xml:space="preserve">Establecer que, en caso de que la Sociedad </w:t>
      </w:r>
      <w:r w:rsidR="000247EB" w:rsidRPr="00D3494C">
        <w:rPr>
          <w:rFonts w:ascii="Times New Roman" w:eastAsia="Times New Roman" w:hAnsi="Times New Roman" w:cs="Times New Roman"/>
        </w:rPr>
        <w:t>obtenga el consentimiento de la Mayoría Necesaria</w:t>
      </w:r>
      <w:r w:rsidR="008F416D">
        <w:rPr>
          <w:rFonts w:ascii="Times New Roman" w:eastAsia="Times New Roman" w:hAnsi="Times New Roman" w:cs="Times New Roman"/>
        </w:rPr>
        <w:t xml:space="preserve"> (conforme dicho término se define más adelante)</w:t>
      </w:r>
      <w:r w:rsidR="000247EB" w:rsidRPr="00D3494C">
        <w:rPr>
          <w:rFonts w:ascii="Times New Roman" w:eastAsia="Times New Roman" w:hAnsi="Times New Roman" w:cs="Times New Roman"/>
        </w:rPr>
        <w:t xml:space="preserve"> para realizar </w:t>
      </w:r>
      <w:r w:rsidR="000247EB" w:rsidRPr="00D3494C">
        <w:rPr>
          <w:rFonts w:ascii="Times New Roman" w:eastAsia="Times New Roman" w:hAnsi="Times New Roman" w:cs="Times New Roman"/>
          <w:lang w:bidi="es-ES"/>
        </w:rPr>
        <w:t>la Modificación Propuesta, se u</w:t>
      </w:r>
      <w:r w:rsidRPr="00D3494C">
        <w:rPr>
          <w:rFonts w:ascii="Times New Roman" w:eastAsia="Times New Roman" w:hAnsi="Times New Roman" w:cs="Times New Roman"/>
        </w:rPr>
        <w:t>tilizar</w:t>
      </w:r>
      <w:r w:rsidR="000247EB" w:rsidRPr="00D3494C">
        <w:rPr>
          <w:rFonts w:ascii="Times New Roman" w:eastAsia="Times New Roman" w:hAnsi="Times New Roman" w:cs="Times New Roman"/>
        </w:rPr>
        <w:t>á</w:t>
      </w:r>
      <w:r w:rsidRPr="005B76C0">
        <w:rPr>
          <w:rFonts w:ascii="Times New Roman" w:eastAsia="Times New Roman" w:hAnsi="Times New Roman" w:cs="Times New Roman"/>
        </w:rPr>
        <w:t xml:space="preserve"> el mecanismo previsto en el Suplemento de Prospecto para </w:t>
      </w:r>
      <w:r w:rsidR="000247EB" w:rsidRPr="005B76C0">
        <w:rPr>
          <w:rFonts w:ascii="Times New Roman" w:eastAsia="Times New Roman" w:hAnsi="Times New Roman" w:cs="Times New Roman"/>
        </w:rPr>
        <w:t xml:space="preserve">realizar </w:t>
      </w:r>
      <w:r w:rsidRPr="005B76C0">
        <w:rPr>
          <w:rFonts w:ascii="Times New Roman" w:eastAsia="Times New Roman" w:hAnsi="Times New Roman" w:cs="Times New Roman"/>
        </w:rPr>
        <w:t>la modificación de los términos y condiciones de las Obligaciones Negociables, en virtud del cual la Sociedad p</w:t>
      </w:r>
      <w:r w:rsidR="00253F58" w:rsidRPr="005B76C0">
        <w:rPr>
          <w:rFonts w:ascii="Times New Roman" w:eastAsia="Times New Roman" w:hAnsi="Times New Roman" w:cs="Times New Roman"/>
        </w:rPr>
        <w:t>odrá</w:t>
      </w:r>
      <w:r w:rsidRPr="005B76C0">
        <w:rPr>
          <w:rFonts w:ascii="Times New Roman" w:eastAsia="Times New Roman" w:hAnsi="Times New Roman" w:cs="Times New Roman"/>
        </w:rPr>
        <w:t xml:space="preserve"> implementar la Modificación</w:t>
      </w:r>
      <w:r w:rsidR="000A7F84" w:rsidRPr="005B76C0">
        <w:rPr>
          <w:rFonts w:ascii="Times New Roman" w:eastAsia="Times New Roman" w:hAnsi="Times New Roman" w:cs="Times New Roman"/>
        </w:rPr>
        <w:t xml:space="preserve"> Propuesta</w:t>
      </w:r>
      <w:r w:rsidRPr="005B76C0">
        <w:rPr>
          <w:rFonts w:ascii="Times New Roman" w:eastAsia="Times New Roman" w:hAnsi="Times New Roman" w:cs="Times New Roman"/>
        </w:rPr>
        <w:t xml:space="preserve"> </w:t>
      </w:r>
      <w:r w:rsidR="00351D5E" w:rsidRPr="005B76C0">
        <w:rPr>
          <w:rFonts w:ascii="Times New Roman" w:eastAsia="Times New Roman" w:hAnsi="Times New Roman" w:cs="Times New Roman"/>
        </w:rPr>
        <w:t>con respecto a las Obligaciones Negociables</w:t>
      </w:r>
      <w:r w:rsidRPr="005B76C0">
        <w:rPr>
          <w:rFonts w:ascii="Times New Roman" w:eastAsia="Times New Roman" w:hAnsi="Times New Roman" w:cs="Times New Roman"/>
        </w:rPr>
        <w:t xml:space="preserve">, sin necesidad de convocar a una asamblea de obligacionistas, en la medida que los Tenedores de al menos el 51% del monto de capital total </w:t>
      </w:r>
      <w:r w:rsidR="00C920DE" w:rsidRPr="005B76C0">
        <w:rPr>
          <w:rFonts w:ascii="Times New Roman" w:eastAsia="Times New Roman" w:hAnsi="Times New Roman" w:cs="Times New Roman"/>
        </w:rPr>
        <w:t xml:space="preserve">en circulación </w:t>
      </w:r>
      <w:r w:rsidRPr="005B76C0">
        <w:rPr>
          <w:rFonts w:ascii="Times New Roman" w:eastAsia="Times New Roman" w:hAnsi="Times New Roman" w:cs="Times New Roman"/>
        </w:rPr>
        <w:t>de</w:t>
      </w:r>
      <w:r w:rsidR="000A7F84" w:rsidRPr="005B76C0">
        <w:rPr>
          <w:rFonts w:ascii="Times New Roman" w:eastAsia="Times New Roman" w:hAnsi="Times New Roman" w:cs="Times New Roman"/>
        </w:rPr>
        <w:t xml:space="preserve"> las </w:t>
      </w:r>
      <w:r w:rsidRPr="005B76C0">
        <w:rPr>
          <w:rFonts w:ascii="Times New Roman" w:eastAsia="Times New Roman" w:hAnsi="Times New Roman" w:cs="Times New Roman"/>
        </w:rPr>
        <w:t>Obligaciones Negociables, manifiesten su consentimiento de forma fehaciente con respecto a la implementación de la Modificación</w:t>
      </w:r>
      <w:r w:rsidR="00C920DE" w:rsidRPr="005B76C0">
        <w:rPr>
          <w:rFonts w:ascii="Times New Roman" w:eastAsia="Times New Roman" w:hAnsi="Times New Roman" w:cs="Times New Roman"/>
        </w:rPr>
        <w:t xml:space="preserve"> </w:t>
      </w:r>
      <w:r w:rsidR="000A7F84" w:rsidRPr="005B76C0">
        <w:rPr>
          <w:rFonts w:ascii="Times New Roman" w:eastAsia="Times New Roman" w:hAnsi="Times New Roman" w:cs="Times New Roman"/>
        </w:rPr>
        <w:t>Propuesta</w:t>
      </w:r>
      <w:r w:rsidR="00253F58" w:rsidRPr="009E6887">
        <w:rPr>
          <w:rFonts w:ascii="Times New Roman" w:eastAsia="Times New Roman" w:hAnsi="Times New Roman" w:cs="Times New Roman"/>
        </w:rPr>
        <w:t>.</w:t>
      </w:r>
    </w:p>
    <w:p w14:paraId="1EF61E86" w14:textId="77777777" w:rsidR="00E16D7D" w:rsidRPr="00092991" w:rsidRDefault="00E16D7D">
      <w:pPr>
        <w:spacing w:after="0" w:line="240" w:lineRule="auto"/>
        <w:ind w:left="-2" w:firstLineChars="0" w:firstLine="0"/>
        <w:jc w:val="both"/>
        <w:rPr>
          <w:rFonts w:ascii="Times New Roman" w:eastAsia="Times New Roman" w:hAnsi="Times New Roman" w:cs="Times New Roman"/>
          <w:b/>
        </w:rPr>
      </w:pPr>
    </w:p>
    <w:p w14:paraId="19C00BA1" w14:textId="5391CACF" w:rsidR="008C5B28" w:rsidRPr="0032028C" w:rsidRDefault="00F77139">
      <w:pPr>
        <w:spacing w:after="0" w:line="240" w:lineRule="auto"/>
        <w:ind w:left="-2" w:firstLineChars="0" w:firstLine="0"/>
        <w:jc w:val="both"/>
        <w:rPr>
          <w:rFonts w:ascii="Times New Roman" w:eastAsia="Times New Roman" w:hAnsi="Times New Roman" w:cs="Times New Roman"/>
        </w:rPr>
      </w:pPr>
      <w:r w:rsidRPr="00092991">
        <w:rPr>
          <w:rFonts w:ascii="Times New Roman" w:eastAsia="Times New Roman" w:hAnsi="Times New Roman" w:cs="Times New Roman"/>
          <w:b/>
        </w:rPr>
        <w:t>(d)</w:t>
      </w:r>
      <w:r w:rsidRPr="00092991">
        <w:rPr>
          <w:rFonts w:ascii="Times New Roman" w:eastAsia="Times New Roman" w:hAnsi="Times New Roman" w:cs="Times New Roman"/>
        </w:rPr>
        <w:t xml:space="preserve"> </w:t>
      </w:r>
      <w:r w:rsidR="009C5584" w:rsidRPr="00092991">
        <w:rPr>
          <w:rFonts w:ascii="Times New Roman" w:eastAsia="Times New Roman" w:hAnsi="Times New Roman" w:cs="Times New Roman"/>
        </w:rPr>
        <w:t>R</w:t>
      </w:r>
      <w:r w:rsidRPr="00092991">
        <w:rPr>
          <w:rFonts w:ascii="Times New Roman" w:eastAsia="Times New Roman" w:hAnsi="Times New Roman" w:cs="Times New Roman"/>
        </w:rPr>
        <w:t>equerir a los Tenedores</w:t>
      </w:r>
      <w:r w:rsidR="00253F58" w:rsidRPr="00092991">
        <w:rPr>
          <w:rFonts w:ascii="Times New Roman" w:eastAsia="Times New Roman" w:hAnsi="Times New Roman" w:cs="Times New Roman"/>
        </w:rPr>
        <w:t xml:space="preserve"> a</w:t>
      </w:r>
      <w:r w:rsidRPr="00092991">
        <w:rPr>
          <w:rFonts w:ascii="Times New Roman" w:eastAsia="Times New Roman" w:hAnsi="Times New Roman" w:cs="Times New Roman"/>
        </w:rPr>
        <w:t xml:space="preserve"> que</w:t>
      </w:r>
      <w:r w:rsidR="00253F58" w:rsidRPr="00092991">
        <w:rPr>
          <w:rFonts w:ascii="Times New Roman" w:eastAsia="Times New Roman" w:hAnsi="Times New Roman" w:cs="Times New Roman"/>
        </w:rPr>
        <w:t xml:space="preserve">, </w:t>
      </w:r>
      <w:r w:rsidR="00253F58" w:rsidRPr="00092991">
        <w:rPr>
          <w:rFonts w:ascii="Times New Roman" w:eastAsia="Times New Roman" w:hAnsi="Times New Roman" w:cs="Times New Roman"/>
          <w:lang w:bidi="es-ES"/>
        </w:rPr>
        <w:t xml:space="preserve">en caso de que la Sociedad </w:t>
      </w:r>
      <w:r w:rsidR="00253F58" w:rsidRPr="008663AE">
        <w:rPr>
          <w:rFonts w:ascii="Times New Roman" w:eastAsia="Times New Roman" w:hAnsi="Times New Roman" w:cs="Times New Roman"/>
        </w:rPr>
        <w:t xml:space="preserve">obtenga el consentimiento de la Mayoría Necesaria </w:t>
      </w:r>
      <w:r w:rsidR="008F416D">
        <w:rPr>
          <w:rFonts w:ascii="Times New Roman" w:eastAsia="Times New Roman" w:hAnsi="Times New Roman" w:cs="Times New Roman"/>
        </w:rPr>
        <w:t xml:space="preserve">(conforme dicho término se define más adelante) </w:t>
      </w:r>
      <w:r w:rsidR="00253F58" w:rsidRPr="008663AE">
        <w:rPr>
          <w:rFonts w:ascii="Times New Roman" w:eastAsia="Times New Roman" w:hAnsi="Times New Roman" w:cs="Times New Roman"/>
        </w:rPr>
        <w:t xml:space="preserve">para realizar </w:t>
      </w:r>
      <w:r w:rsidR="00253F58" w:rsidRPr="008663AE">
        <w:rPr>
          <w:rFonts w:ascii="Times New Roman" w:eastAsia="Times New Roman" w:hAnsi="Times New Roman" w:cs="Times New Roman"/>
          <w:lang w:bidi="es-ES"/>
        </w:rPr>
        <w:t>la Modificación Propuesta,</w:t>
      </w:r>
      <w:r w:rsidRPr="008663AE">
        <w:rPr>
          <w:rFonts w:ascii="Times New Roman" w:eastAsia="Times New Roman" w:hAnsi="Times New Roman" w:cs="Times New Roman"/>
        </w:rPr>
        <w:t xml:space="preserve"> autoricen a los funcionarios de la Sociedad que ésta designe</w:t>
      </w:r>
      <w:r w:rsidR="004925ED" w:rsidRPr="008663AE">
        <w:rPr>
          <w:rFonts w:ascii="Times New Roman" w:eastAsia="Times New Roman" w:hAnsi="Times New Roman" w:cs="Times New Roman"/>
        </w:rPr>
        <w:t>, y a</w:t>
      </w:r>
      <w:r w:rsidR="000B1387" w:rsidRPr="008663AE">
        <w:rPr>
          <w:rFonts w:ascii="Times New Roman" w:eastAsia="Times New Roman" w:hAnsi="Times New Roman" w:cs="Times New Roman"/>
        </w:rPr>
        <w:t>l Agente de la Garantía</w:t>
      </w:r>
      <w:r w:rsidR="00E16D7D" w:rsidRPr="008663AE">
        <w:rPr>
          <w:rFonts w:ascii="Times New Roman" w:eastAsia="Times New Roman" w:hAnsi="Times New Roman" w:cs="Times New Roman"/>
        </w:rPr>
        <w:t xml:space="preserve"> y al </w:t>
      </w:r>
      <w:r w:rsidR="004925ED" w:rsidRPr="0032028C">
        <w:rPr>
          <w:rFonts w:ascii="Times New Roman" w:eastAsia="Times New Roman" w:hAnsi="Times New Roman" w:cs="Times New Roman"/>
        </w:rPr>
        <w:t>f</w:t>
      </w:r>
      <w:r w:rsidR="00E16D7D" w:rsidRPr="0032028C">
        <w:rPr>
          <w:rFonts w:ascii="Times New Roman" w:eastAsia="Times New Roman" w:hAnsi="Times New Roman" w:cs="Times New Roman"/>
        </w:rPr>
        <w:t>iduciario</w:t>
      </w:r>
      <w:r w:rsidR="004925ED" w:rsidRPr="0032028C">
        <w:rPr>
          <w:rFonts w:ascii="Times New Roman" w:eastAsia="Times New Roman" w:hAnsi="Times New Roman" w:cs="Times New Roman"/>
        </w:rPr>
        <w:t xml:space="preserve"> del Fideicomiso MPN</w:t>
      </w:r>
      <w:r w:rsidR="000B1387" w:rsidRPr="0032028C">
        <w:rPr>
          <w:rFonts w:ascii="Times New Roman" w:eastAsia="Times New Roman" w:hAnsi="Times New Roman" w:cs="Times New Roman"/>
        </w:rPr>
        <w:t xml:space="preserve"> (cuando ello corresponda)</w:t>
      </w:r>
      <w:r w:rsidRPr="0032028C">
        <w:rPr>
          <w:rFonts w:ascii="Times New Roman" w:eastAsia="Times New Roman" w:hAnsi="Times New Roman" w:cs="Times New Roman"/>
        </w:rPr>
        <w:t xml:space="preserve"> a firmar toda la documentación que resulte necesaria y/o conveniente para reflejar la implementación de la Modificación </w:t>
      </w:r>
      <w:r w:rsidR="000A7F84" w:rsidRPr="0032028C">
        <w:rPr>
          <w:rFonts w:ascii="Times New Roman" w:eastAsia="Times New Roman" w:hAnsi="Times New Roman" w:cs="Times New Roman"/>
        </w:rPr>
        <w:t xml:space="preserve">Propuesta </w:t>
      </w:r>
      <w:r w:rsidR="00237DF2" w:rsidRPr="0032028C">
        <w:rPr>
          <w:rFonts w:ascii="Times New Roman" w:eastAsia="Times New Roman" w:hAnsi="Times New Roman" w:cs="Times New Roman"/>
        </w:rPr>
        <w:t>(incluyendo</w:t>
      </w:r>
      <w:r w:rsidR="000B1387" w:rsidRPr="0032028C">
        <w:rPr>
          <w:rFonts w:ascii="Times New Roman" w:eastAsia="Times New Roman" w:hAnsi="Times New Roman" w:cs="Times New Roman"/>
        </w:rPr>
        <w:t>, mas no limitado a,</w:t>
      </w:r>
      <w:r w:rsidR="00237DF2" w:rsidRPr="0032028C">
        <w:rPr>
          <w:rFonts w:ascii="Times New Roman" w:eastAsia="Times New Roman" w:hAnsi="Times New Roman" w:cs="Times New Roman"/>
        </w:rPr>
        <w:t xml:space="preserve"> el otorgamiento de un poder irrevocable para representar a los Tenedores en los actos relativos a la implementación de la Modificación</w:t>
      </w:r>
      <w:r w:rsidR="00593EC3" w:rsidRPr="0032028C">
        <w:rPr>
          <w:rFonts w:ascii="Times New Roman" w:eastAsia="Times New Roman" w:hAnsi="Times New Roman" w:cs="Times New Roman"/>
        </w:rPr>
        <w:t xml:space="preserve"> Propuesta</w:t>
      </w:r>
      <w:r w:rsidR="00237DF2" w:rsidRPr="0032028C">
        <w:rPr>
          <w:rFonts w:ascii="Times New Roman" w:eastAsia="Times New Roman" w:hAnsi="Times New Roman" w:cs="Times New Roman"/>
        </w:rPr>
        <w:t>)</w:t>
      </w:r>
      <w:r w:rsidRPr="0032028C">
        <w:rPr>
          <w:rFonts w:ascii="Times New Roman" w:eastAsia="Times New Roman" w:hAnsi="Times New Roman" w:cs="Times New Roman"/>
        </w:rPr>
        <w:t>.</w:t>
      </w:r>
    </w:p>
    <w:p w14:paraId="7398AEF7" w14:textId="77777777" w:rsidR="006D2ABB" w:rsidRPr="0032028C" w:rsidRDefault="006D2ABB">
      <w:pPr>
        <w:spacing w:after="0" w:line="240" w:lineRule="auto"/>
        <w:ind w:left="-2" w:firstLineChars="0" w:firstLine="0"/>
        <w:jc w:val="both"/>
        <w:rPr>
          <w:rFonts w:ascii="Times New Roman" w:eastAsia="Times New Roman" w:hAnsi="Times New Roman" w:cs="Times New Roman"/>
        </w:rPr>
      </w:pPr>
    </w:p>
    <w:p w14:paraId="31D8C88F" w14:textId="1A1EF3CA" w:rsidR="006D2ABB" w:rsidRPr="0032028C" w:rsidRDefault="006D2ABB">
      <w:pPr>
        <w:spacing w:after="0" w:line="240" w:lineRule="auto"/>
        <w:ind w:left="-2" w:firstLineChars="0" w:firstLine="0"/>
        <w:jc w:val="both"/>
        <w:rPr>
          <w:rFonts w:ascii="Times New Roman" w:eastAsia="Times New Roman" w:hAnsi="Times New Roman" w:cs="Times New Roman"/>
        </w:rPr>
      </w:pPr>
      <w:r w:rsidRPr="0032028C">
        <w:rPr>
          <w:rFonts w:ascii="Times New Roman" w:eastAsia="Times New Roman" w:hAnsi="Times New Roman" w:cs="Times New Roman"/>
        </w:rPr>
        <w:t>En este contexto, a través de esta Solicitud de Consentimiento, la Sociedad solicita a los Tenedores que presten su conformidad irrevocable para aprobar la Modificación</w:t>
      </w:r>
      <w:r w:rsidR="000A7F84" w:rsidRPr="0032028C">
        <w:rPr>
          <w:rFonts w:ascii="Times New Roman" w:eastAsia="Times New Roman" w:hAnsi="Times New Roman" w:cs="Times New Roman"/>
        </w:rPr>
        <w:t xml:space="preserve"> Propuesta</w:t>
      </w:r>
      <w:r w:rsidRPr="0032028C">
        <w:rPr>
          <w:rFonts w:ascii="Times New Roman" w:eastAsia="Times New Roman" w:hAnsi="Times New Roman" w:cs="Times New Roman"/>
        </w:rPr>
        <w:t>, mediante la suscripción</w:t>
      </w:r>
      <w:r w:rsidRPr="0032028C">
        <w:rPr>
          <w:rFonts w:ascii="Times New Roman" w:hAnsi="Times New Roman" w:cs="Times New Roman"/>
        </w:rPr>
        <w:t xml:space="preserve"> del </w:t>
      </w:r>
      <w:r w:rsidRPr="0032028C">
        <w:rPr>
          <w:rFonts w:ascii="Times New Roman" w:eastAsia="Times New Roman" w:hAnsi="Times New Roman" w:cs="Times New Roman"/>
        </w:rPr>
        <w:t>formulario de manifestación de consentimiento que se encuentra adjunto a la presente (la “</w:t>
      </w:r>
      <w:r w:rsidRPr="0032028C">
        <w:rPr>
          <w:rFonts w:ascii="Times New Roman" w:eastAsia="Times New Roman" w:hAnsi="Times New Roman" w:cs="Times New Roman"/>
          <w:u w:val="single"/>
        </w:rPr>
        <w:t>Manifestación de Consentimiento</w:t>
      </w:r>
      <w:r w:rsidRPr="0032028C">
        <w:rPr>
          <w:rFonts w:ascii="Times New Roman" w:eastAsia="Times New Roman" w:hAnsi="Times New Roman" w:cs="Times New Roman"/>
        </w:rPr>
        <w:t>”), y a cuyos términos y condiciones se remite, e incorpora por referencia, esta Solicitud de Consentimiento.</w:t>
      </w:r>
    </w:p>
    <w:p w14:paraId="7AD95566" w14:textId="438CD578" w:rsidR="006D2ABB" w:rsidRPr="0032028C" w:rsidRDefault="006D2ABB">
      <w:pPr>
        <w:spacing w:after="0" w:line="240" w:lineRule="auto"/>
        <w:ind w:leftChars="0" w:left="0" w:firstLineChars="0" w:firstLine="0"/>
        <w:jc w:val="both"/>
        <w:rPr>
          <w:rFonts w:ascii="Times New Roman" w:eastAsia="Times New Roman" w:hAnsi="Times New Roman" w:cs="Times New Roman"/>
          <w:lang w:bidi="es-ES"/>
        </w:rPr>
      </w:pPr>
    </w:p>
    <w:p w14:paraId="3522801F" w14:textId="74587B4A" w:rsidR="00C71580" w:rsidRPr="0032028C" w:rsidRDefault="006D2ABB">
      <w:pPr>
        <w:spacing w:after="0" w:line="240" w:lineRule="auto"/>
        <w:ind w:left="0" w:hanging="2"/>
        <w:jc w:val="both"/>
        <w:rPr>
          <w:rFonts w:ascii="Times New Roman" w:eastAsia="Times New Roman" w:hAnsi="Times New Roman" w:cs="Times New Roman"/>
          <w:i/>
          <w:lang w:bidi="es-ES"/>
        </w:rPr>
      </w:pPr>
      <w:r w:rsidRPr="0032028C">
        <w:rPr>
          <w:rFonts w:ascii="Times New Roman" w:eastAsia="Times New Roman" w:hAnsi="Times New Roman" w:cs="Times New Roman"/>
          <w:lang w:bidi="es-ES"/>
        </w:rPr>
        <w:t>E</w:t>
      </w:r>
      <w:r w:rsidR="00C920DE" w:rsidRPr="0032028C">
        <w:rPr>
          <w:rFonts w:ascii="Times New Roman" w:eastAsia="Times New Roman" w:hAnsi="Times New Roman" w:cs="Times New Roman"/>
          <w:color w:val="000000"/>
          <w:lang w:eastAsia="es-ES" w:bidi="es-ES"/>
        </w:rPr>
        <w:t xml:space="preserve">n caso que la Modificación </w:t>
      </w:r>
      <w:r w:rsidR="000A7F84" w:rsidRPr="0032028C">
        <w:rPr>
          <w:rFonts w:ascii="Times New Roman" w:eastAsia="Times New Roman" w:hAnsi="Times New Roman" w:cs="Times New Roman"/>
          <w:color w:val="000000"/>
          <w:lang w:eastAsia="es-ES" w:bidi="es-ES"/>
        </w:rPr>
        <w:t xml:space="preserve">Propuesta </w:t>
      </w:r>
      <w:r w:rsidR="002C4197">
        <w:rPr>
          <w:rFonts w:ascii="Times New Roman" w:eastAsia="Times New Roman" w:hAnsi="Times New Roman" w:cs="Times New Roman"/>
          <w:color w:val="000000"/>
          <w:lang w:eastAsia="es-ES" w:bidi="es-ES"/>
        </w:rPr>
        <w:t>obtenga el consentimiento de la</w:t>
      </w:r>
      <w:r w:rsidR="002C4197" w:rsidRPr="002C4197">
        <w:rPr>
          <w:rFonts w:ascii="Times New Roman" w:eastAsia="Times New Roman" w:hAnsi="Times New Roman" w:cs="Times New Roman"/>
          <w:color w:val="000000"/>
          <w:lang w:eastAsia="es-ES" w:bidi="es-ES"/>
        </w:rPr>
        <w:t xml:space="preserve"> </w:t>
      </w:r>
      <w:r w:rsidR="002C4197">
        <w:rPr>
          <w:rFonts w:ascii="Times New Roman" w:eastAsia="Times New Roman" w:hAnsi="Times New Roman" w:cs="Times New Roman"/>
          <w:color w:val="000000"/>
          <w:lang w:eastAsia="es-ES" w:bidi="es-ES"/>
        </w:rPr>
        <w:t xml:space="preserve">Mayoría Necesaria </w:t>
      </w:r>
      <w:r w:rsidR="002C4197">
        <w:rPr>
          <w:rFonts w:ascii="Times New Roman" w:eastAsia="Times New Roman" w:hAnsi="Times New Roman" w:cs="Times New Roman"/>
        </w:rPr>
        <w:t>(conforme dicho término se define más adelante)</w:t>
      </w:r>
      <w:r w:rsidR="00C920DE" w:rsidRPr="0032028C">
        <w:rPr>
          <w:rFonts w:ascii="Times New Roman" w:eastAsia="Times New Roman" w:hAnsi="Times New Roman" w:cs="Times New Roman"/>
          <w:color w:val="000000"/>
          <w:lang w:eastAsia="es-ES" w:bidi="es-ES"/>
        </w:rPr>
        <w:t xml:space="preserve">, conforme a los requerimientos y procedimientos legales que se detallan más adelante, los términos y condiciones del Suplemento de Prospecto serán modificados y remplazados respecto de </w:t>
      </w:r>
      <w:r w:rsidR="000A7F84" w:rsidRPr="0032028C">
        <w:rPr>
          <w:rFonts w:ascii="Times New Roman" w:eastAsia="Times New Roman" w:hAnsi="Times New Roman" w:cs="Times New Roman"/>
          <w:color w:val="000000"/>
          <w:lang w:eastAsia="es-ES" w:bidi="es-ES"/>
        </w:rPr>
        <w:t xml:space="preserve">las </w:t>
      </w:r>
      <w:r w:rsidR="00C920DE" w:rsidRPr="0032028C">
        <w:rPr>
          <w:rFonts w:ascii="Times New Roman" w:eastAsia="Times New Roman" w:hAnsi="Times New Roman" w:cs="Times New Roman"/>
          <w:color w:val="000000"/>
          <w:lang w:eastAsia="es-ES" w:bidi="es-ES"/>
        </w:rPr>
        <w:t xml:space="preserve">Obligaciones Negociables a efectos de reflejar la Modificación </w:t>
      </w:r>
      <w:r w:rsidR="000A7F84" w:rsidRPr="0032028C">
        <w:rPr>
          <w:rFonts w:ascii="Times New Roman" w:eastAsia="Times New Roman" w:hAnsi="Times New Roman" w:cs="Times New Roman"/>
          <w:color w:val="000000"/>
          <w:lang w:eastAsia="es-ES" w:bidi="es-ES"/>
        </w:rPr>
        <w:t>Propuesta</w:t>
      </w:r>
      <w:r w:rsidR="00C920DE" w:rsidRPr="0032028C">
        <w:rPr>
          <w:rFonts w:ascii="Times New Roman" w:eastAsia="Times New Roman" w:hAnsi="Times New Roman" w:cs="Times New Roman"/>
          <w:color w:val="000000"/>
          <w:lang w:eastAsia="es-ES" w:bidi="es-ES"/>
        </w:rPr>
        <w:t xml:space="preserve">, mediante la celebración de una </w:t>
      </w:r>
      <w:r w:rsidR="000A7F84" w:rsidRPr="0032028C">
        <w:rPr>
          <w:rFonts w:ascii="Times New Roman" w:eastAsia="Times New Roman" w:hAnsi="Times New Roman" w:cs="Times New Roman"/>
          <w:color w:val="000000"/>
          <w:lang w:eastAsia="es-ES" w:bidi="es-ES"/>
        </w:rPr>
        <w:t>tercer</w:t>
      </w:r>
      <w:r w:rsidR="0094233F" w:rsidRPr="0032028C">
        <w:rPr>
          <w:rFonts w:ascii="Times New Roman" w:eastAsia="Times New Roman" w:hAnsi="Times New Roman" w:cs="Times New Roman"/>
          <w:color w:val="000000"/>
          <w:lang w:eastAsia="es-ES" w:bidi="es-ES"/>
        </w:rPr>
        <w:t>a</w:t>
      </w:r>
      <w:r w:rsidR="00C920DE" w:rsidRPr="0032028C">
        <w:rPr>
          <w:rFonts w:ascii="Times New Roman" w:eastAsia="Times New Roman" w:hAnsi="Times New Roman" w:cs="Times New Roman"/>
          <w:color w:val="000000"/>
          <w:lang w:eastAsia="es-ES" w:bidi="es-ES"/>
        </w:rPr>
        <w:t xml:space="preserve"> adenda al Suplemento de Prospecto (la “</w:t>
      </w:r>
      <w:r w:rsidR="000A7F84" w:rsidRPr="0032028C">
        <w:rPr>
          <w:rFonts w:ascii="Times New Roman" w:eastAsia="Times New Roman" w:hAnsi="Times New Roman" w:cs="Times New Roman"/>
          <w:color w:val="000000"/>
          <w:u w:val="single"/>
          <w:lang w:eastAsia="es-ES" w:bidi="es-ES"/>
        </w:rPr>
        <w:t>Tercer</w:t>
      </w:r>
      <w:r w:rsidR="0094233F" w:rsidRPr="0032028C">
        <w:rPr>
          <w:rFonts w:ascii="Times New Roman" w:eastAsia="Times New Roman" w:hAnsi="Times New Roman" w:cs="Times New Roman"/>
          <w:color w:val="000000"/>
          <w:u w:val="single"/>
          <w:lang w:eastAsia="es-ES" w:bidi="es-ES"/>
        </w:rPr>
        <w:t>a</w:t>
      </w:r>
      <w:r w:rsidR="00C920DE" w:rsidRPr="0032028C">
        <w:rPr>
          <w:rFonts w:ascii="Times New Roman" w:eastAsia="Times New Roman" w:hAnsi="Times New Roman" w:cs="Times New Roman"/>
          <w:color w:val="000000"/>
          <w:u w:val="single"/>
          <w:lang w:eastAsia="es-ES" w:bidi="es-ES"/>
        </w:rPr>
        <w:t xml:space="preserve"> Adenda</w:t>
      </w:r>
      <w:r w:rsidR="00C920DE" w:rsidRPr="0032028C">
        <w:rPr>
          <w:rFonts w:ascii="Times New Roman" w:eastAsia="Times New Roman" w:hAnsi="Times New Roman" w:cs="Times New Roman"/>
          <w:color w:val="000000"/>
          <w:lang w:eastAsia="es-ES" w:bidi="es-ES"/>
        </w:rPr>
        <w:t>”)</w:t>
      </w:r>
      <w:r w:rsidR="00811DF8" w:rsidRPr="0032028C">
        <w:rPr>
          <w:rFonts w:ascii="Times New Roman" w:eastAsia="Times New Roman" w:hAnsi="Times New Roman" w:cs="Times New Roman"/>
          <w:color w:val="000000"/>
          <w:lang w:eastAsia="es-ES" w:bidi="es-ES"/>
        </w:rPr>
        <w:t>.</w:t>
      </w:r>
      <w:r w:rsidR="00770BCC">
        <w:rPr>
          <w:rFonts w:ascii="Times New Roman" w:eastAsia="Times New Roman" w:hAnsi="Times New Roman" w:cs="Times New Roman"/>
          <w:color w:val="000000"/>
          <w:lang w:eastAsia="es-ES" w:bidi="es-ES"/>
        </w:rPr>
        <w:t xml:space="preserve"> </w:t>
      </w:r>
      <w:r w:rsidR="009C5584" w:rsidRPr="0032028C">
        <w:rPr>
          <w:rFonts w:ascii="Times New Roman" w:eastAsia="Times New Roman" w:hAnsi="Times New Roman" w:cs="Times New Roman"/>
          <w:color w:val="000000"/>
          <w:lang w:eastAsia="es-ES" w:bidi="es-ES"/>
        </w:rPr>
        <w:t>Los restantes términos del Suplemento de Prospecto no modificados por la Modificación Propuesta seguirán siendo aplicables y se mantendrán vigentes e inalterados.</w:t>
      </w:r>
    </w:p>
    <w:p w14:paraId="58B75C3E" w14:textId="77777777" w:rsidR="00B37A4D" w:rsidRPr="0032028C" w:rsidRDefault="00B37A4D">
      <w:pPr>
        <w:spacing w:after="0" w:line="240" w:lineRule="auto"/>
        <w:ind w:left="-2" w:firstLineChars="0" w:firstLine="0"/>
        <w:jc w:val="both"/>
        <w:rPr>
          <w:rFonts w:ascii="Times New Roman" w:eastAsia="Times New Roman" w:hAnsi="Times New Roman" w:cs="Times New Roman"/>
        </w:rPr>
      </w:pPr>
    </w:p>
    <w:p w14:paraId="74F68885" w14:textId="017ECDA8" w:rsidR="00B37A4D" w:rsidRPr="0032028C" w:rsidRDefault="00B37A4D">
      <w:pPr>
        <w:spacing w:after="0" w:line="240" w:lineRule="auto"/>
        <w:ind w:left="-2" w:firstLineChars="0" w:firstLine="0"/>
        <w:jc w:val="both"/>
        <w:rPr>
          <w:rFonts w:ascii="Times New Roman" w:eastAsia="Times New Roman" w:hAnsi="Times New Roman" w:cs="Times New Roman"/>
        </w:rPr>
      </w:pPr>
      <w:r w:rsidRPr="0032028C">
        <w:rPr>
          <w:rFonts w:ascii="Times New Roman" w:eastAsia="Times New Roman" w:hAnsi="Times New Roman" w:cs="Times New Roman"/>
        </w:rPr>
        <w:t xml:space="preserve">Asimismo, </w:t>
      </w:r>
      <w:r w:rsidRPr="0032028C">
        <w:rPr>
          <w:rFonts w:ascii="Times New Roman" w:eastAsia="Times New Roman" w:hAnsi="Times New Roman" w:cs="Times New Roman"/>
          <w:lang w:bidi="es-ES"/>
        </w:rPr>
        <w:t xml:space="preserve">en caso que la Modificación </w:t>
      </w:r>
      <w:r w:rsidR="0094233F" w:rsidRPr="0032028C">
        <w:rPr>
          <w:rFonts w:ascii="Times New Roman" w:eastAsia="Times New Roman" w:hAnsi="Times New Roman" w:cs="Times New Roman"/>
          <w:lang w:bidi="es-ES"/>
        </w:rPr>
        <w:t xml:space="preserve">Propuesta </w:t>
      </w:r>
      <w:r w:rsidR="00311E5F">
        <w:rPr>
          <w:rFonts w:ascii="Times New Roman" w:eastAsia="Times New Roman" w:hAnsi="Times New Roman" w:cs="Times New Roman"/>
          <w:color w:val="000000"/>
          <w:lang w:eastAsia="es-ES" w:bidi="es-ES"/>
        </w:rPr>
        <w:t xml:space="preserve">obtenga el consentimiento de la Mayoría Necesaria </w:t>
      </w:r>
      <w:r w:rsidR="00311E5F">
        <w:rPr>
          <w:rFonts w:ascii="Times New Roman" w:eastAsia="Times New Roman" w:hAnsi="Times New Roman" w:cs="Times New Roman"/>
        </w:rPr>
        <w:t>(conforme dicho término se define más adelante)</w:t>
      </w:r>
      <w:r w:rsidRPr="0032028C">
        <w:rPr>
          <w:rFonts w:ascii="Times New Roman" w:eastAsia="Times New Roman" w:hAnsi="Times New Roman" w:cs="Times New Roman"/>
          <w:lang w:bidi="es-ES"/>
        </w:rPr>
        <w:t>, la Sociedad celebrará con el Agente de la Garantía</w:t>
      </w:r>
      <w:r w:rsidR="00C57373">
        <w:rPr>
          <w:rFonts w:ascii="Times New Roman" w:eastAsia="Times New Roman" w:hAnsi="Times New Roman" w:cs="Times New Roman"/>
          <w:lang w:bidi="es-ES"/>
        </w:rPr>
        <w:t>, con el Fiduciario</w:t>
      </w:r>
      <w:r w:rsidRPr="0032028C">
        <w:rPr>
          <w:rFonts w:ascii="Times New Roman" w:eastAsia="Times New Roman" w:hAnsi="Times New Roman" w:cs="Times New Roman"/>
          <w:lang w:bidi="es-ES"/>
        </w:rPr>
        <w:t xml:space="preserve"> y/o con los terceros que corresponda, los documentos necesarios a los efectos de implementar los puntos de la Modificación </w:t>
      </w:r>
      <w:r w:rsidR="0094233F" w:rsidRPr="0032028C">
        <w:rPr>
          <w:rFonts w:ascii="Times New Roman" w:eastAsia="Times New Roman" w:hAnsi="Times New Roman" w:cs="Times New Roman"/>
          <w:lang w:bidi="es-ES"/>
        </w:rPr>
        <w:t xml:space="preserve">Propuesta </w:t>
      </w:r>
      <w:r w:rsidRPr="0032028C">
        <w:rPr>
          <w:rFonts w:ascii="Times New Roman" w:eastAsia="Times New Roman" w:hAnsi="Times New Roman" w:cs="Times New Roman"/>
          <w:lang w:bidi="es-ES"/>
        </w:rPr>
        <w:t xml:space="preserve">relativos a la Garantía. </w:t>
      </w:r>
    </w:p>
    <w:p w14:paraId="66B46DB4" w14:textId="77777777" w:rsidR="00B37A4D" w:rsidRPr="0032028C" w:rsidRDefault="00B37A4D">
      <w:pPr>
        <w:spacing w:after="0" w:line="240" w:lineRule="auto"/>
        <w:ind w:left="-2" w:firstLineChars="0" w:firstLine="0"/>
        <w:jc w:val="both"/>
        <w:rPr>
          <w:rFonts w:ascii="Times New Roman" w:eastAsia="Times New Roman" w:hAnsi="Times New Roman" w:cs="Times New Roman"/>
        </w:rPr>
      </w:pPr>
    </w:p>
    <w:p w14:paraId="5F4051C2" w14:textId="27F08EE8" w:rsidR="001C0A7C" w:rsidRPr="0032028C" w:rsidRDefault="001C0A7C">
      <w:pPr>
        <w:spacing w:after="0" w:line="240" w:lineRule="auto"/>
        <w:ind w:left="-2" w:firstLineChars="0" w:firstLine="0"/>
        <w:jc w:val="both"/>
        <w:rPr>
          <w:rFonts w:ascii="Times New Roman" w:eastAsia="Times New Roman" w:hAnsi="Times New Roman" w:cs="Times New Roman"/>
        </w:rPr>
      </w:pPr>
      <w:r w:rsidRPr="0032028C">
        <w:rPr>
          <w:rFonts w:ascii="Times New Roman" w:eastAsia="Times New Roman" w:hAnsi="Times New Roman" w:cs="Times New Roman"/>
        </w:rPr>
        <w:t>A partir de la aprobación de la Modificación</w:t>
      </w:r>
      <w:r w:rsidR="0094233F" w:rsidRPr="0032028C">
        <w:rPr>
          <w:rFonts w:ascii="Times New Roman" w:eastAsia="Times New Roman" w:hAnsi="Times New Roman" w:cs="Times New Roman"/>
        </w:rPr>
        <w:t xml:space="preserve"> Propuesta</w:t>
      </w:r>
      <w:r w:rsidRPr="0032028C">
        <w:rPr>
          <w:rFonts w:ascii="Times New Roman" w:eastAsia="Times New Roman" w:hAnsi="Times New Roman" w:cs="Times New Roman"/>
        </w:rPr>
        <w:t xml:space="preserve">, los términos y condiciones originales de las Obligaciones Negociables se mantendrán vigentes, excepto por aquellos que sean expresamente modificados mediante la </w:t>
      </w:r>
      <w:r w:rsidR="0094233F" w:rsidRPr="0032028C">
        <w:rPr>
          <w:rFonts w:ascii="Times New Roman" w:eastAsia="Times New Roman" w:hAnsi="Times New Roman" w:cs="Times New Roman"/>
        </w:rPr>
        <w:t>Tercera</w:t>
      </w:r>
      <w:r w:rsidRPr="0032028C">
        <w:rPr>
          <w:rFonts w:ascii="Times New Roman" w:eastAsia="Times New Roman" w:hAnsi="Times New Roman" w:cs="Times New Roman"/>
        </w:rPr>
        <w:t xml:space="preserve"> Adenda, de acuerdo a lo previsto en esta Solicitud de Consentimiento.</w:t>
      </w:r>
    </w:p>
    <w:p w14:paraId="68AC3298" w14:textId="311DD7DF" w:rsidR="00930F48" w:rsidRPr="0032028C" w:rsidRDefault="00930F48">
      <w:pPr>
        <w:spacing w:after="0" w:line="240" w:lineRule="auto"/>
        <w:ind w:leftChars="0" w:left="0" w:firstLineChars="0" w:firstLine="0"/>
        <w:jc w:val="both"/>
        <w:rPr>
          <w:rFonts w:ascii="Times New Roman" w:eastAsia="Times New Roman" w:hAnsi="Times New Roman" w:cs="Times New Roman"/>
        </w:rPr>
      </w:pPr>
    </w:p>
    <w:p w14:paraId="6A88CE6F" w14:textId="2F4333A0" w:rsidR="00302D17" w:rsidRPr="00F93ED5" w:rsidRDefault="00EB4675">
      <w:pPr>
        <w:spacing w:after="0" w:line="240" w:lineRule="auto"/>
        <w:ind w:left="-2" w:firstLineChars="0" w:firstLine="0"/>
        <w:jc w:val="both"/>
        <w:rPr>
          <w:rFonts w:ascii="Times New Roman" w:hAnsi="Times New Roman"/>
        </w:rPr>
      </w:pPr>
      <w:r w:rsidRPr="00F93ED5">
        <w:rPr>
          <w:rFonts w:ascii="Times New Roman" w:hAnsi="Times New Roman"/>
        </w:rPr>
        <w:lastRenderedPageBreak/>
        <w:t xml:space="preserve">En este sentido, </w:t>
      </w:r>
      <w:r w:rsidR="00BA3F7D" w:rsidRPr="00F93ED5">
        <w:rPr>
          <w:rFonts w:ascii="Times New Roman" w:hAnsi="Times New Roman"/>
        </w:rPr>
        <w:t>se informa al público inversor y a los Tenedores que</w:t>
      </w:r>
      <w:r w:rsidR="00302D17" w:rsidRPr="00F93ED5">
        <w:rPr>
          <w:rFonts w:ascii="Times New Roman" w:hAnsi="Times New Roman"/>
        </w:rPr>
        <w:t>:</w:t>
      </w:r>
      <w:r w:rsidR="00BA3F7D" w:rsidRPr="00F93ED5">
        <w:rPr>
          <w:rFonts w:ascii="Times New Roman" w:hAnsi="Times New Roman"/>
        </w:rPr>
        <w:t xml:space="preserve"> </w:t>
      </w:r>
    </w:p>
    <w:p w14:paraId="3270A4B7" w14:textId="77777777" w:rsidR="00302D17" w:rsidRPr="00F93ED5" w:rsidRDefault="00302D17">
      <w:pPr>
        <w:spacing w:after="0" w:line="240" w:lineRule="auto"/>
        <w:ind w:left="-2" w:firstLineChars="0" w:firstLine="0"/>
        <w:jc w:val="both"/>
        <w:rPr>
          <w:rFonts w:ascii="Times New Roman" w:hAnsi="Times New Roman"/>
        </w:rPr>
      </w:pPr>
    </w:p>
    <w:p w14:paraId="363D0AC1" w14:textId="62974B6A" w:rsidR="008C5B28" w:rsidRPr="00F93ED5" w:rsidRDefault="0095021D">
      <w:pPr>
        <w:pStyle w:val="Prrafodelista"/>
        <w:numPr>
          <w:ilvl w:val="0"/>
          <w:numId w:val="1"/>
        </w:numPr>
        <w:spacing w:after="0" w:line="240" w:lineRule="auto"/>
        <w:ind w:leftChars="0" w:left="0" w:firstLineChars="0" w:firstLine="0"/>
        <w:jc w:val="both"/>
        <w:rPr>
          <w:rFonts w:ascii="Times New Roman" w:hAnsi="Times New Roman"/>
        </w:rPr>
      </w:pPr>
      <w:r w:rsidRPr="00F93ED5">
        <w:rPr>
          <w:rFonts w:ascii="Times New Roman" w:hAnsi="Times New Roman"/>
        </w:rPr>
        <w:t xml:space="preserve">la Sociedad </w:t>
      </w:r>
      <w:r w:rsidR="00DC306A" w:rsidRPr="00F93ED5">
        <w:rPr>
          <w:rFonts w:ascii="Times New Roman" w:hAnsi="Times New Roman"/>
        </w:rPr>
        <w:t>implementará</w:t>
      </w:r>
      <w:r w:rsidRPr="00F93ED5">
        <w:rPr>
          <w:rFonts w:ascii="Times New Roman" w:hAnsi="Times New Roman"/>
        </w:rPr>
        <w:t xml:space="preserve"> la Modificación</w:t>
      </w:r>
      <w:r w:rsidR="0094233F" w:rsidRPr="00F93ED5">
        <w:rPr>
          <w:rFonts w:ascii="Times New Roman" w:hAnsi="Times New Roman"/>
        </w:rPr>
        <w:t xml:space="preserve"> Propuesta</w:t>
      </w:r>
      <w:r w:rsidRPr="00F93ED5">
        <w:rPr>
          <w:rFonts w:ascii="Times New Roman" w:hAnsi="Times New Roman"/>
        </w:rPr>
        <w:t xml:space="preserve"> </w:t>
      </w:r>
      <w:r w:rsidR="00B37A4D" w:rsidRPr="00F93ED5">
        <w:rPr>
          <w:rFonts w:ascii="Times New Roman" w:hAnsi="Times New Roman"/>
        </w:rPr>
        <w:t xml:space="preserve">de </w:t>
      </w:r>
      <w:r w:rsidR="0094233F" w:rsidRPr="00F93ED5">
        <w:rPr>
          <w:rFonts w:ascii="Times New Roman" w:hAnsi="Times New Roman"/>
        </w:rPr>
        <w:t xml:space="preserve">las </w:t>
      </w:r>
      <w:r w:rsidR="00B37A4D" w:rsidRPr="00F93ED5">
        <w:rPr>
          <w:rFonts w:ascii="Times New Roman" w:hAnsi="Times New Roman"/>
        </w:rPr>
        <w:t>Obligaciones Negociables</w:t>
      </w:r>
      <w:r w:rsidRPr="00F93ED5">
        <w:rPr>
          <w:rFonts w:ascii="Times New Roman" w:hAnsi="Times New Roman"/>
        </w:rPr>
        <w:t xml:space="preserve">, </w:t>
      </w:r>
      <w:r w:rsidR="008C5B28" w:rsidRPr="00F93ED5">
        <w:rPr>
          <w:rFonts w:ascii="Times New Roman" w:hAnsi="Times New Roman"/>
        </w:rPr>
        <w:t>en la medida que los Tenedores de al menos el 51</w:t>
      </w:r>
      <w:r w:rsidR="00632644" w:rsidRPr="00D60D4C">
        <w:rPr>
          <w:rFonts w:ascii="Times New Roman" w:eastAsia="Times New Roman" w:hAnsi="Times New Roman" w:cs="Times New Roman"/>
          <w:lang w:bidi="es-ES"/>
        </w:rPr>
        <w:t>,00</w:t>
      </w:r>
      <w:r w:rsidR="008C5B28" w:rsidRPr="00F93ED5">
        <w:rPr>
          <w:rFonts w:ascii="Times New Roman" w:hAnsi="Times New Roman"/>
        </w:rPr>
        <w:t xml:space="preserve">% del monto de capital total </w:t>
      </w:r>
      <w:r w:rsidR="00B37A4D" w:rsidRPr="00F93ED5">
        <w:rPr>
          <w:rFonts w:ascii="Times New Roman" w:hAnsi="Times New Roman"/>
        </w:rPr>
        <w:t xml:space="preserve">en circulación </w:t>
      </w:r>
      <w:r w:rsidR="008C5B28" w:rsidRPr="00F93ED5">
        <w:rPr>
          <w:rFonts w:ascii="Times New Roman" w:hAnsi="Times New Roman"/>
        </w:rPr>
        <w:t xml:space="preserve">de las Obligaciones Negociables </w:t>
      </w:r>
      <w:r w:rsidR="00A90DE7" w:rsidRPr="00F93ED5">
        <w:rPr>
          <w:rFonts w:ascii="Times New Roman" w:hAnsi="Times New Roman"/>
        </w:rPr>
        <w:t>(la “</w:t>
      </w:r>
      <w:r w:rsidR="00A90DE7" w:rsidRPr="00F93ED5">
        <w:rPr>
          <w:rFonts w:ascii="Times New Roman" w:hAnsi="Times New Roman"/>
          <w:u w:val="single"/>
        </w:rPr>
        <w:t>Mayoría Necesaria</w:t>
      </w:r>
      <w:r w:rsidR="00A90DE7" w:rsidRPr="00F93ED5">
        <w:rPr>
          <w:rFonts w:ascii="Times New Roman" w:hAnsi="Times New Roman"/>
        </w:rPr>
        <w:t>”)</w:t>
      </w:r>
      <w:r w:rsidR="008C5B28" w:rsidRPr="00F93ED5">
        <w:rPr>
          <w:rFonts w:ascii="Times New Roman" w:hAnsi="Times New Roman"/>
        </w:rPr>
        <w:t>, manifiesten su consentimiento de forma fehaciente con respecto a la implementación de la Modificación</w:t>
      </w:r>
      <w:r w:rsidR="0094233F" w:rsidRPr="00F93ED5">
        <w:rPr>
          <w:rFonts w:ascii="Times New Roman" w:hAnsi="Times New Roman"/>
        </w:rPr>
        <w:t xml:space="preserve"> Propuesta</w:t>
      </w:r>
      <w:r w:rsidR="00BE1E6A" w:rsidRPr="00F93ED5">
        <w:rPr>
          <w:rFonts w:ascii="Times New Roman" w:hAnsi="Times New Roman"/>
        </w:rPr>
        <w:t>.</w:t>
      </w:r>
    </w:p>
    <w:p w14:paraId="2988FB5D" w14:textId="1E1567D5" w:rsidR="008C5B28" w:rsidRPr="00F93ED5" w:rsidRDefault="008C5B28">
      <w:pPr>
        <w:spacing w:after="0" w:line="240" w:lineRule="auto"/>
        <w:ind w:left="-2" w:firstLineChars="0" w:firstLine="0"/>
        <w:jc w:val="both"/>
        <w:rPr>
          <w:rFonts w:ascii="Times New Roman" w:hAnsi="Times New Roman"/>
        </w:rPr>
      </w:pPr>
    </w:p>
    <w:p w14:paraId="31418EAA" w14:textId="33B36DD7" w:rsidR="00EB4675" w:rsidRPr="00F93ED5" w:rsidRDefault="0095021D">
      <w:pPr>
        <w:pStyle w:val="Prrafodelista"/>
        <w:numPr>
          <w:ilvl w:val="0"/>
          <w:numId w:val="1"/>
        </w:numPr>
        <w:spacing w:after="0" w:line="240" w:lineRule="auto"/>
        <w:ind w:leftChars="0" w:left="0" w:firstLineChars="0" w:firstLine="0"/>
        <w:jc w:val="both"/>
        <w:rPr>
          <w:rFonts w:ascii="Times New Roman" w:hAnsi="Times New Roman"/>
        </w:rPr>
      </w:pPr>
      <w:r w:rsidRPr="00F93ED5">
        <w:rPr>
          <w:rFonts w:ascii="Times New Roman" w:hAnsi="Times New Roman"/>
        </w:rPr>
        <w:t>l</w:t>
      </w:r>
      <w:r w:rsidR="00351D5E" w:rsidRPr="00F93ED5">
        <w:rPr>
          <w:rFonts w:ascii="Times New Roman" w:hAnsi="Times New Roman"/>
        </w:rPr>
        <w:t xml:space="preserve">os Tenedores que deseen aceptar la Modificación </w:t>
      </w:r>
      <w:r w:rsidR="00341E6E" w:rsidRPr="00F93ED5">
        <w:rPr>
          <w:rFonts w:ascii="Times New Roman" w:hAnsi="Times New Roman"/>
        </w:rPr>
        <w:t xml:space="preserve">Propuesta </w:t>
      </w:r>
      <w:r w:rsidR="00351D5E" w:rsidRPr="00F93ED5">
        <w:rPr>
          <w:rFonts w:ascii="Times New Roman" w:hAnsi="Times New Roman"/>
        </w:rPr>
        <w:t xml:space="preserve">deberán prestar su consentimiento para que la Sociedad </w:t>
      </w:r>
      <w:r w:rsidR="00717AFC" w:rsidRPr="00F93ED5">
        <w:rPr>
          <w:rFonts w:ascii="Times New Roman" w:hAnsi="Times New Roman"/>
        </w:rPr>
        <w:t>implemente la misma</w:t>
      </w:r>
      <w:r w:rsidR="00351D5E" w:rsidRPr="00F93ED5">
        <w:rPr>
          <w:rFonts w:ascii="Times New Roman" w:hAnsi="Times New Roman"/>
        </w:rPr>
        <w:t xml:space="preserve">, </w:t>
      </w:r>
      <w:r w:rsidR="00BA3F7D" w:rsidRPr="00F93ED5">
        <w:rPr>
          <w:rFonts w:ascii="Times New Roman" w:hAnsi="Times New Roman"/>
        </w:rPr>
        <w:t>mediante la suscripción</w:t>
      </w:r>
      <w:r w:rsidR="003D074D" w:rsidRPr="00F93ED5">
        <w:rPr>
          <w:rFonts w:ascii="Times New Roman" w:hAnsi="Times New Roman"/>
        </w:rPr>
        <w:t xml:space="preserve"> y presentación</w:t>
      </w:r>
      <w:r w:rsidR="00DF0046" w:rsidRPr="00F93ED5">
        <w:rPr>
          <w:rFonts w:ascii="Times New Roman" w:hAnsi="Times New Roman"/>
        </w:rPr>
        <w:t xml:space="preserve"> de su</w:t>
      </w:r>
      <w:r w:rsidR="00BA3F7D" w:rsidRPr="00F93ED5">
        <w:rPr>
          <w:rFonts w:ascii="Times New Roman" w:hAnsi="Times New Roman"/>
        </w:rPr>
        <w:t xml:space="preserve"> Manifestación de Consentimiento</w:t>
      </w:r>
      <w:r w:rsidR="003D074D" w:rsidRPr="00F93ED5">
        <w:rPr>
          <w:rFonts w:ascii="Times New Roman" w:hAnsi="Times New Roman"/>
        </w:rPr>
        <w:t xml:space="preserve"> ante la Sociedad</w:t>
      </w:r>
      <w:r w:rsidR="00A178F7" w:rsidRPr="00251EF7">
        <w:rPr>
          <w:rFonts w:ascii="Times New Roman" w:eastAsia="Times New Roman" w:hAnsi="Times New Roman" w:cs="Times New Roman"/>
          <w:color w:val="000000"/>
          <w:position w:val="0"/>
          <w:shd w:val="clear" w:color="auto" w:fill="FFFFFF"/>
          <w:lang w:eastAsia="es-ES"/>
        </w:rPr>
        <w:t xml:space="preserve"> </w:t>
      </w:r>
      <w:r w:rsidR="00AB597F" w:rsidRPr="00F93ED5">
        <w:rPr>
          <w:rFonts w:ascii="Times New Roman" w:hAnsi="Times New Roman"/>
        </w:rPr>
        <w:t>a más tardar</w:t>
      </w:r>
      <w:r w:rsidR="00B34D7D" w:rsidRPr="00F93ED5">
        <w:rPr>
          <w:rFonts w:ascii="Times New Roman" w:hAnsi="Times New Roman"/>
        </w:rPr>
        <w:t xml:space="preserve"> el </w:t>
      </w:r>
      <w:r w:rsidR="00914733">
        <w:rPr>
          <w:rFonts w:ascii="Times New Roman" w:hAnsi="Times New Roman"/>
        </w:rPr>
        <w:t>4</w:t>
      </w:r>
      <w:r w:rsidR="001006DB" w:rsidRPr="00F93ED5">
        <w:rPr>
          <w:rFonts w:ascii="Times New Roman" w:hAnsi="Times New Roman"/>
        </w:rPr>
        <w:t xml:space="preserve"> </w:t>
      </w:r>
      <w:r w:rsidR="00F654CD" w:rsidRPr="00F93ED5">
        <w:rPr>
          <w:rFonts w:ascii="Times New Roman" w:hAnsi="Times New Roman"/>
        </w:rPr>
        <w:t xml:space="preserve">de </w:t>
      </w:r>
      <w:r w:rsidR="000756A0" w:rsidRPr="00F93ED5">
        <w:rPr>
          <w:rFonts w:ascii="Times New Roman" w:hAnsi="Times New Roman"/>
        </w:rPr>
        <w:t>octubre</w:t>
      </w:r>
      <w:r w:rsidR="00F654CD" w:rsidRPr="00F93ED5">
        <w:rPr>
          <w:rFonts w:ascii="Times New Roman" w:hAnsi="Times New Roman"/>
        </w:rPr>
        <w:t xml:space="preserve"> de 2021 a las 1</w:t>
      </w:r>
      <w:r w:rsidR="00717AFC" w:rsidRPr="00F93ED5">
        <w:rPr>
          <w:rFonts w:ascii="Times New Roman" w:hAnsi="Times New Roman"/>
        </w:rPr>
        <w:t>8</w:t>
      </w:r>
      <w:r w:rsidR="00F654CD" w:rsidRPr="00F93ED5">
        <w:rPr>
          <w:rFonts w:ascii="Times New Roman" w:hAnsi="Times New Roman"/>
        </w:rPr>
        <w:t xml:space="preserve"> horas</w:t>
      </w:r>
      <w:r w:rsidR="00302D17" w:rsidRPr="00F93ED5">
        <w:rPr>
          <w:rFonts w:ascii="Times New Roman" w:hAnsi="Times New Roman"/>
        </w:rPr>
        <w:t xml:space="preserve"> (la “</w:t>
      </w:r>
      <w:r w:rsidR="00302D17" w:rsidRPr="00F93ED5">
        <w:rPr>
          <w:rFonts w:ascii="Times New Roman" w:hAnsi="Times New Roman"/>
          <w:u w:val="single"/>
        </w:rPr>
        <w:t>Fecha Límite</w:t>
      </w:r>
      <w:r w:rsidR="001006DB" w:rsidRPr="00F93ED5">
        <w:rPr>
          <w:rFonts w:ascii="Times New Roman" w:hAnsi="Times New Roman"/>
        </w:rPr>
        <w:t xml:space="preserve">”). </w:t>
      </w:r>
      <w:r w:rsidR="00700AEC" w:rsidRPr="00F93ED5">
        <w:rPr>
          <w:rFonts w:ascii="Times New Roman" w:hAnsi="Times New Roman"/>
        </w:rPr>
        <w:t>L</w:t>
      </w:r>
      <w:r w:rsidR="001006DB" w:rsidRPr="00F93ED5">
        <w:rPr>
          <w:rFonts w:ascii="Times New Roman" w:hAnsi="Times New Roman"/>
          <w:lang w:val="es-AR"/>
        </w:rPr>
        <w:t>a Sociedad podrá, a su exclusivo criterio y en cualquier momento, extender la Fecha Límite</w:t>
      </w:r>
      <w:r w:rsidR="00700AEC" w:rsidRPr="00F93ED5">
        <w:rPr>
          <w:rFonts w:ascii="Times New Roman" w:hAnsi="Times New Roman"/>
          <w:lang w:val="es-AR"/>
        </w:rPr>
        <w:t xml:space="preserve">; lo cual deberá ser informado por la Sociedad a través de la </w:t>
      </w:r>
      <w:r w:rsidR="00CF2F9C">
        <w:rPr>
          <w:rFonts w:ascii="Times New Roman" w:eastAsia="Times New Roman" w:hAnsi="Times New Roman" w:cs="Times New Roman"/>
          <w:lang w:val="es-AR" w:bidi="es-ES"/>
        </w:rPr>
        <w:t>AIF</w:t>
      </w:r>
      <w:r w:rsidR="00CF2F9C" w:rsidRPr="00F93ED5">
        <w:rPr>
          <w:rFonts w:ascii="Times New Roman" w:hAnsi="Times New Roman"/>
          <w:lang w:val="es-AR"/>
        </w:rPr>
        <w:t xml:space="preserve"> de </w:t>
      </w:r>
      <w:r w:rsidR="00CF2F9C">
        <w:rPr>
          <w:rFonts w:ascii="Times New Roman" w:eastAsia="Times New Roman" w:hAnsi="Times New Roman" w:cs="Times New Roman"/>
          <w:lang w:val="es-AR" w:bidi="es-ES"/>
        </w:rPr>
        <w:t>la CNV</w:t>
      </w:r>
      <w:r w:rsidR="00700AEC" w:rsidRPr="00F93ED5">
        <w:rPr>
          <w:rFonts w:ascii="Times New Roman" w:hAnsi="Times New Roman"/>
          <w:lang w:val="es-AR"/>
        </w:rPr>
        <w:t>.</w:t>
      </w:r>
      <w:r w:rsidR="001006DB" w:rsidRPr="00F93ED5">
        <w:rPr>
          <w:rFonts w:ascii="Times New Roman" w:hAnsi="Times New Roman"/>
        </w:rPr>
        <w:t xml:space="preserve">  </w:t>
      </w:r>
    </w:p>
    <w:p w14:paraId="5A68DF5B" w14:textId="044D939C" w:rsidR="00302D17" w:rsidRPr="00F93ED5" w:rsidRDefault="00302D17">
      <w:pPr>
        <w:spacing w:after="0" w:line="240" w:lineRule="auto"/>
        <w:ind w:left="-2" w:firstLineChars="0" w:firstLine="0"/>
        <w:jc w:val="both"/>
        <w:rPr>
          <w:rFonts w:ascii="Times New Roman" w:hAnsi="Times New Roman"/>
        </w:rPr>
      </w:pPr>
    </w:p>
    <w:p w14:paraId="2F246A37" w14:textId="5FD4D7B1" w:rsidR="00302D17" w:rsidRPr="00F93ED5" w:rsidRDefault="00302D17">
      <w:pPr>
        <w:pStyle w:val="Prrafodelista"/>
        <w:numPr>
          <w:ilvl w:val="0"/>
          <w:numId w:val="1"/>
        </w:numPr>
        <w:spacing w:after="0" w:line="240" w:lineRule="auto"/>
        <w:ind w:leftChars="0" w:left="0" w:firstLineChars="0" w:firstLine="0"/>
        <w:jc w:val="both"/>
        <w:rPr>
          <w:rFonts w:ascii="Times New Roman" w:hAnsi="Times New Roman"/>
        </w:rPr>
      </w:pPr>
      <w:r w:rsidRPr="00F93ED5">
        <w:rPr>
          <w:rFonts w:ascii="Times New Roman" w:hAnsi="Times New Roman"/>
        </w:rPr>
        <w:t>en caso que la Modificación</w:t>
      </w:r>
      <w:r w:rsidR="001632F0" w:rsidRPr="00F93ED5">
        <w:rPr>
          <w:rFonts w:ascii="Times New Roman" w:hAnsi="Times New Roman"/>
        </w:rPr>
        <w:t xml:space="preserve"> Propuesta</w:t>
      </w:r>
      <w:r w:rsidRPr="00F93ED5">
        <w:rPr>
          <w:rFonts w:ascii="Times New Roman" w:hAnsi="Times New Roman"/>
        </w:rPr>
        <w:t xml:space="preserve"> no sea aprobada por la Mayoría Necesaria en o antes de la Fecha Límite, esta circunstancia podría dar lugar a que la Sociedad incurra en eventos de incumplimiento bajo todos o algunos de los otros financiamientos de los cuales la Sociedad es actualmente deudora (algunos de los cuales se encuentran a su vez garantizados por ciertos </w:t>
      </w:r>
      <w:r w:rsidR="00E81F14" w:rsidRPr="00F93ED5">
        <w:rPr>
          <w:rFonts w:ascii="Times New Roman" w:hAnsi="Times New Roman"/>
        </w:rPr>
        <w:t xml:space="preserve">bienes y/o derechos de la Sociedad </w:t>
      </w:r>
      <w:r w:rsidRPr="00F93ED5">
        <w:rPr>
          <w:rFonts w:ascii="Times New Roman" w:hAnsi="Times New Roman"/>
        </w:rPr>
        <w:t>y/o de sus subsidiarias), y a que los acreedores de dichos financiamientos dispongan la aceleración de los mismos y requieran a la Sociedad el inmediato pago de la totalidad del capital y los intereses adeudados bajo los mismos;</w:t>
      </w:r>
    </w:p>
    <w:p w14:paraId="1A4F852A" w14:textId="77B46649" w:rsidR="00837B4F" w:rsidRPr="00F93ED5" w:rsidRDefault="00837B4F">
      <w:pPr>
        <w:spacing w:after="0" w:line="240" w:lineRule="auto"/>
        <w:ind w:left="-2" w:firstLineChars="0" w:firstLine="0"/>
        <w:jc w:val="both"/>
        <w:rPr>
          <w:rFonts w:ascii="Times New Roman" w:hAnsi="Times New Roman"/>
        </w:rPr>
      </w:pPr>
    </w:p>
    <w:p w14:paraId="0AB2D78E" w14:textId="77777777" w:rsidR="00DF3C10" w:rsidRPr="00F93ED5" w:rsidRDefault="00920711">
      <w:pPr>
        <w:pStyle w:val="Prrafodelista"/>
        <w:numPr>
          <w:ilvl w:val="0"/>
          <w:numId w:val="1"/>
        </w:numPr>
        <w:spacing w:after="0" w:line="240" w:lineRule="auto"/>
        <w:ind w:leftChars="0" w:left="0" w:firstLineChars="0" w:firstLine="0"/>
        <w:jc w:val="both"/>
        <w:rPr>
          <w:rFonts w:ascii="Times New Roman" w:hAnsi="Times New Roman"/>
        </w:rPr>
      </w:pPr>
      <w:r w:rsidRPr="00F93ED5">
        <w:rPr>
          <w:rFonts w:ascii="Times New Roman" w:hAnsi="Times New Roman"/>
          <w:lang w:val="es-AR"/>
        </w:rPr>
        <w:t>la Sociedad podrá, a su exclusivo criterio y en cualquier momento, dejar sin efecto la Solicitud de Consentimiento, lo cual implicaría que las Manifestaciones de Consentimiento recibidas quedarán automáticamente sin efecto</w:t>
      </w:r>
      <w:r w:rsidR="00E5249D" w:rsidRPr="00F93ED5">
        <w:rPr>
          <w:rFonts w:ascii="Times New Roman" w:hAnsi="Times New Roman"/>
          <w:lang w:val="es-AR"/>
        </w:rPr>
        <w:t xml:space="preserve">. Tal circunstancia no generará responsabilidad de ningún tipo para la Sociedad, ni para su asesor financiero, ni otorgará a los Tenedores que remitieron dichas Manifestaciones de Consentimiento derecho a compensación ni </w:t>
      </w:r>
      <w:r w:rsidR="00C05101" w:rsidRPr="00F93ED5">
        <w:rPr>
          <w:rFonts w:ascii="Times New Roman" w:hAnsi="Times New Roman"/>
          <w:lang w:val="es-AR"/>
        </w:rPr>
        <w:t>indemnización alguna. N</w:t>
      </w:r>
      <w:r w:rsidR="00E5249D" w:rsidRPr="00F93ED5">
        <w:rPr>
          <w:rFonts w:ascii="Times New Roman" w:hAnsi="Times New Roman"/>
          <w:lang w:val="es-AR"/>
        </w:rPr>
        <w:t xml:space="preserve">i la Sociedad, ni su asesor financiero estarán obligados a informar </w:t>
      </w:r>
      <w:r w:rsidRPr="00F93ED5">
        <w:rPr>
          <w:rFonts w:ascii="Times New Roman" w:hAnsi="Times New Roman"/>
          <w:lang w:val="es-AR"/>
        </w:rPr>
        <w:t xml:space="preserve">dicha circunstancia </w:t>
      </w:r>
      <w:r w:rsidR="00E5249D" w:rsidRPr="00F93ED5">
        <w:rPr>
          <w:rFonts w:ascii="Times New Roman" w:hAnsi="Times New Roman"/>
          <w:lang w:val="es-AR"/>
        </w:rPr>
        <w:t>de manera individual a cada uno de los Tenedores</w:t>
      </w:r>
      <w:r w:rsidR="00DA35DF" w:rsidRPr="00F93ED5">
        <w:rPr>
          <w:rFonts w:ascii="Times New Roman" w:hAnsi="Times New Roman"/>
          <w:lang w:val="es-AR"/>
        </w:rPr>
        <w:t>;</w:t>
      </w:r>
      <w:r w:rsidR="00E5249D" w:rsidRPr="00F93ED5">
        <w:rPr>
          <w:rFonts w:ascii="Times New Roman" w:hAnsi="Times New Roman"/>
          <w:lang w:val="es-AR"/>
        </w:rPr>
        <w:t xml:space="preserve"> </w:t>
      </w:r>
    </w:p>
    <w:p w14:paraId="5BBABF5E" w14:textId="77777777" w:rsidR="00DF3C10" w:rsidRPr="00F93ED5" w:rsidRDefault="00DF3C10" w:rsidP="00C13AAC">
      <w:pPr>
        <w:pStyle w:val="Prrafodelista"/>
        <w:spacing w:after="0" w:line="240" w:lineRule="auto"/>
        <w:ind w:left="0" w:hanging="2"/>
        <w:rPr>
          <w:rFonts w:ascii="Times New Roman" w:hAnsi="Times New Roman"/>
        </w:rPr>
      </w:pPr>
    </w:p>
    <w:p w14:paraId="2504A4C8" w14:textId="7DF7EAAE" w:rsidR="00EE2662" w:rsidRPr="00F93ED5" w:rsidRDefault="00C21941">
      <w:pPr>
        <w:pStyle w:val="Prrafodelista"/>
        <w:numPr>
          <w:ilvl w:val="0"/>
          <w:numId w:val="1"/>
        </w:numPr>
        <w:spacing w:after="0" w:line="240" w:lineRule="auto"/>
        <w:ind w:leftChars="0" w:left="0" w:firstLineChars="0" w:firstLine="0"/>
        <w:jc w:val="both"/>
        <w:rPr>
          <w:rFonts w:ascii="Times New Roman" w:hAnsi="Times New Roman"/>
        </w:rPr>
      </w:pPr>
      <w:r w:rsidRPr="00F93ED5">
        <w:rPr>
          <w:rFonts w:ascii="Times New Roman" w:hAnsi="Times New Roman"/>
        </w:rPr>
        <w:t xml:space="preserve">cada </w:t>
      </w:r>
      <w:r w:rsidR="00EE39E3" w:rsidRPr="00F93ED5">
        <w:rPr>
          <w:rFonts w:ascii="Times New Roman" w:hAnsi="Times New Roman"/>
        </w:rPr>
        <w:t>Tenedor</w:t>
      </w:r>
      <w:r w:rsidR="00294E56" w:rsidRPr="00F93ED5">
        <w:rPr>
          <w:rFonts w:ascii="Times New Roman" w:hAnsi="Times New Roman"/>
        </w:rPr>
        <w:t xml:space="preserve">, antes de tomar cualquier decisión respecto </w:t>
      </w:r>
      <w:r w:rsidR="008A7745" w:rsidRPr="00F93ED5">
        <w:rPr>
          <w:rFonts w:ascii="Times New Roman" w:hAnsi="Times New Roman"/>
        </w:rPr>
        <w:t>a la Solicitud de Consentimiento</w:t>
      </w:r>
      <w:r w:rsidR="00294E56" w:rsidRPr="00F93ED5">
        <w:rPr>
          <w:rFonts w:ascii="Times New Roman" w:hAnsi="Times New Roman"/>
        </w:rPr>
        <w:t xml:space="preserve"> y/o la Modificación</w:t>
      </w:r>
      <w:r w:rsidR="001632F0" w:rsidRPr="00F93ED5">
        <w:rPr>
          <w:rFonts w:ascii="Times New Roman" w:hAnsi="Times New Roman"/>
        </w:rPr>
        <w:t xml:space="preserve"> Propuesta</w:t>
      </w:r>
      <w:r w:rsidR="00294E56" w:rsidRPr="00F93ED5">
        <w:rPr>
          <w:rFonts w:ascii="Times New Roman" w:hAnsi="Times New Roman"/>
        </w:rPr>
        <w:t>,</w:t>
      </w:r>
      <w:r w:rsidR="00EE39E3" w:rsidRPr="00F93ED5">
        <w:rPr>
          <w:rFonts w:ascii="Times New Roman" w:hAnsi="Times New Roman"/>
        </w:rPr>
        <w:t xml:space="preserve"> deberá hacer su propia evaluación independiente con respecto a</w:t>
      </w:r>
      <w:r w:rsidR="00EE2662" w:rsidRPr="00F93ED5">
        <w:rPr>
          <w:rFonts w:ascii="Times New Roman" w:hAnsi="Times New Roman"/>
        </w:rPr>
        <w:t xml:space="preserve"> </w:t>
      </w:r>
      <w:r w:rsidR="00EE39E3" w:rsidRPr="00F93ED5">
        <w:rPr>
          <w:rFonts w:ascii="Times New Roman" w:hAnsi="Times New Roman"/>
        </w:rPr>
        <w:t>l</w:t>
      </w:r>
      <w:r w:rsidR="00EE2662" w:rsidRPr="00F93ED5">
        <w:rPr>
          <w:rFonts w:ascii="Times New Roman" w:hAnsi="Times New Roman"/>
        </w:rPr>
        <w:t>a información contenida en el</w:t>
      </w:r>
      <w:r w:rsidR="00EE39E3" w:rsidRPr="00F93ED5">
        <w:rPr>
          <w:rFonts w:ascii="Times New Roman" w:hAnsi="Times New Roman"/>
        </w:rPr>
        <w:t xml:space="preserve"> Prospecto, el Suplemento de Prospecto, </w:t>
      </w:r>
      <w:r w:rsidR="00E81F14" w:rsidRPr="00F93ED5">
        <w:rPr>
          <w:rFonts w:ascii="Times New Roman" w:hAnsi="Times New Roman"/>
        </w:rPr>
        <w:t>esta</w:t>
      </w:r>
      <w:r w:rsidR="00EE39E3" w:rsidRPr="00F93ED5">
        <w:rPr>
          <w:rFonts w:ascii="Times New Roman" w:hAnsi="Times New Roman"/>
        </w:rPr>
        <w:t xml:space="preserve"> Solicitud de Consentimiento, la Modificación</w:t>
      </w:r>
      <w:r w:rsidR="001632F0" w:rsidRPr="00F93ED5">
        <w:rPr>
          <w:rFonts w:ascii="Times New Roman" w:hAnsi="Times New Roman"/>
        </w:rPr>
        <w:t xml:space="preserve"> Propuesta</w:t>
      </w:r>
      <w:r w:rsidR="00EE2662" w:rsidRPr="00F93ED5">
        <w:rPr>
          <w:rFonts w:ascii="Times New Roman" w:hAnsi="Times New Roman"/>
        </w:rPr>
        <w:t>,</w:t>
      </w:r>
      <w:r w:rsidR="00EE39E3" w:rsidRPr="00F93ED5">
        <w:rPr>
          <w:rFonts w:ascii="Times New Roman" w:hAnsi="Times New Roman"/>
        </w:rPr>
        <w:t xml:space="preserve"> la Manifestación de Consentimiento</w:t>
      </w:r>
      <w:r w:rsidR="00EE2662" w:rsidRPr="00F93ED5">
        <w:rPr>
          <w:rFonts w:ascii="Times New Roman" w:hAnsi="Times New Roman"/>
        </w:rPr>
        <w:t>, y de los beneficios y riesgos involucrados</w:t>
      </w:r>
      <w:r w:rsidR="00EE39E3" w:rsidRPr="00F93ED5">
        <w:rPr>
          <w:rFonts w:ascii="Times New Roman" w:hAnsi="Times New Roman"/>
        </w:rPr>
        <w:t xml:space="preserve">; </w:t>
      </w:r>
      <w:r w:rsidR="00EE2662" w:rsidRPr="00F93ED5">
        <w:rPr>
          <w:rFonts w:ascii="Times New Roman" w:hAnsi="Times New Roman"/>
        </w:rPr>
        <w:t xml:space="preserve">debiendo consultar con sus propios asesores respecto de los aspectos legales, comerciales, financieros, impositivos y/o de otro tipo relacionados con su inversión en las Obligaciones Negociables, con la Modificación </w:t>
      </w:r>
      <w:r w:rsidR="001632F0" w:rsidRPr="00F93ED5">
        <w:rPr>
          <w:rFonts w:ascii="Times New Roman" w:hAnsi="Times New Roman"/>
        </w:rPr>
        <w:t xml:space="preserve">Propuesta </w:t>
      </w:r>
      <w:r w:rsidR="00EE2662" w:rsidRPr="00F93ED5">
        <w:rPr>
          <w:rFonts w:ascii="Times New Roman" w:hAnsi="Times New Roman"/>
        </w:rPr>
        <w:t>y con la Manifestación de Consentimiento;</w:t>
      </w:r>
    </w:p>
    <w:p w14:paraId="27B64DF8" w14:textId="77777777" w:rsidR="00EE2662" w:rsidRPr="00F93ED5" w:rsidRDefault="00EE2662">
      <w:pPr>
        <w:spacing w:after="0" w:line="240" w:lineRule="auto"/>
        <w:ind w:left="-2" w:firstLineChars="0" w:firstLine="0"/>
        <w:jc w:val="both"/>
        <w:rPr>
          <w:rFonts w:ascii="Times New Roman" w:hAnsi="Times New Roman"/>
        </w:rPr>
      </w:pPr>
    </w:p>
    <w:p w14:paraId="3223372A" w14:textId="2E7E4362" w:rsidR="00302D17" w:rsidRPr="00F93ED5" w:rsidRDefault="00EE39E3">
      <w:pPr>
        <w:pStyle w:val="Prrafodelista"/>
        <w:numPr>
          <w:ilvl w:val="0"/>
          <w:numId w:val="1"/>
        </w:numPr>
        <w:spacing w:after="0" w:line="240" w:lineRule="auto"/>
        <w:ind w:leftChars="0" w:left="0" w:firstLineChars="0" w:firstLine="0"/>
        <w:jc w:val="both"/>
        <w:rPr>
          <w:rFonts w:ascii="Times New Roman" w:hAnsi="Times New Roman"/>
        </w:rPr>
      </w:pPr>
      <w:r w:rsidRPr="00F93ED5">
        <w:rPr>
          <w:rFonts w:ascii="Times New Roman" w:hAnsi="Times New Roman"/>
        </w:rPr>
        <w:t>la Solicitud de Consentimiento de la Sociedad no implica recomendación ni sugerencia de la Sociedad ni de cualquier agente u organizador o asesor financiero al inversor para que otorgue su Manifestación de Consentimiento</w:t>
      </w:r>
      <w:r w:rsidR="002E6F9C" w:rsidRPr="00F93ED5">
        <w:rPr>
          <w:rFonts w:ascii="Times New Roman" w:hAnsi="Times New Roman"/>
        </w:rPr>
        <w:t>,</w:t>
      </w:r>
      <w:r w:rsidR="006525A6" w:rsidRPr="00F93ED5">
        <w:rPr>
          <w:rFonts w:ascii="Times New Roman" w:hAnsi="Times New Roman"/>
        </w:rPr>
        <w:t xml:space="preserve"> y nada de lo expresado</w:t>
      </w:r>
      <w:r w:rsidR="0068636C" w:rsidRPr="00F93ED5">
        <w:rPr>
          <w:rFonts w:ascii="Times New Roman" w:hAnsi="Times New Roman"/>
        </w:rPr>
        <w:t xml:space="preserve"> en la presente</w:t>
      </w:r>
      <w:r w:rsidR="006B6091" w:rsidRPr="00F93ED5">
        <w:rPr>
          <w:rFonts w:ascii="Times New Roman" w:hAnsi="Times New Roman"/>
        </w:rPr>
        <w:t xml:space="preserve"> debe ser interpretado como asesoramiento legal, comercial, financiero, impositivo y/o de otro tipo</w:t>
      </w:r>
      <w:r w:rsidR="008A7745" w:rsidRPr="00F93ED5">
        <w:rPr>
          <w:rFonts w:ascii="Times New Roman" w:hAnsi="Times New Roman"/>
        </w:rPr>
        <w:t xml:space="preserve"> por parte de la Sociedad ni de cualquier agente u organizador o asesor financiero</w:t>
      </w:r>
      <w:r w:rsidR="006B6091" w:rsidRPr="00F93ED5">
        <w:rPr>
          <w:rFonts w:ascii="Times New Roman" w:hAnsi="Times New Roman"/>
        </w:rPr>
        <w:t>;</w:t>
      </w:r>
    </w:p>
    <w:p w14:paraId="49897AF1" w14:textId="3A3E54DB" w:rsidR="00294E56" w:rsidRPr="00F93ED5" w:rsidRDefault="00294E56">
      <w:pPr>
        <w:spacing w:after="0" w:line="240" w:lineRule="auto"/>
        <w:ind w:left="-2" w:firstLineChars="0" w:firstLine="0"/>
        <w:jc w:val="both"/>
        <w:rPr>
          <w:rFonts w:ascii="Times New Roman" w:hAnsi="Times New Roman"/>
        </w:rPr>
      </w:pPr>
    </w:p>
    <w:p w14:paraId="4821D743" w14:textId="7FD8912B" w:rsidR="00B1360B" w:rsidRPr="00F93ED5" w:rsidRDefault="00596918">
      <w:pPr>
        <w:pStyle w:val="Prrafodelista"/>
        <w:numPr>
          <w:ilvl w:val="0"/>
          <w:numId w:val="1"/>
        </w:numPr>
        <w:spacing w:after="0" w:line="240" w:lineRule="auto"/>
        <w:ind w:leftChars="0" w:left="0" w:firstLineChars="0" w:firstLine="0"/>
        <w:jc w:val="both"/>
        <w:rPr>
          <w:rFonts w:ascii="Times New Roman" w:hAnsi="Times New Roman"/>
        </w:rPr>
      </w:pPr>
      <w:r>
        <w:rPr>
          <w:rFonts w:ascii="Times New Roman" w:hAnsi="Times New Roman"/>
        </w:rPr>
        <w:t xml:space="preserve">se </w:t>
      </w:r>
      <w:r w:rsidR="00351D5E" w:rsidRPr="00F93ED5">
        <w:rPr>
          <w:rFonts w:ascii="Times New Roman" w:hAnsi="Times New Roman"/>
        </w:rPr>
        <w:t>p</w:t>
      </w:r>
      <w:r w:rsidR="00EE39E3" w:rsidRPr="00F93ED5">
        <w:rPr>
          <w:rFonts w:ascii="Times New Roman" w:hAnsi="Times New Roman"/>
        </w:rPr>
        <w:t xml:space="preserve">odrá acceder a </w:t>
      </w:r>
      <w:r w:rsidR="00B1360B" w:rsidRPr="00F93ED5">
        <w:rPr>
          <w:rFonts w:ascii="Times New Roman" w:hAnsi="Times New Roman"/>
        </w:rPr>
        <w:t xml:space="preserve">una copia del Prospecto, del Suplemento del Prospecto, de los estados contables de la Sociedad y de </w:t>
      </w:r>
      <w:r w:rsidR="00EE39E3" w:rsidRPr="00F93ED5">
        <w:rPr>
          <w:rFonts w:ascii="Times New Roman" w:hAnsi="Times New Roman"/>
        </w:rPr>
        <w:t xml:space="preserve">la información </w:t>
      </w:r>
      <w:r w:rsidR="00B1360B" w:rsidRPr="00F93ED5">
        <w:rPr>
          <w:rFonts w:ascii="Times New Roman" w:hAnsi="Times New Roman"/>
        </w:rPr>
        <w:t>relevante</w:t>
      </w:r>
      <w:r w:rsidR="00EE39E3" w:rsidRPr="00F93ED5">
        <w:rPr>
          <w:rFonts w:ascii="Times New Roman" w:hAnsi="Times New Roman"/>
        </w:rPr>
        <w:t xml:space="preserve"> de la Sociedad publicada en la </w:t>
      </w:r>
      <w:r w:rsidR="00632644" w:rsidRPr="00CF2F9C">
        <w:rPr>
          <w:rFonts w:ascii="Times New Roman" w:eastAsia="Times New Roman" w:hAnsi="Times New Roman" w:cs="Times New Roman"/>
        </w:rPr>
        <w:t>AIF</w:t>
      </w:r>
      <w:r w:rsidR="00EE39E3" w:rsidRPr="00F93ED5">
        <w:rPr>
          <w:rFonts w:ascii="Times New Roman" w:hAnsi="Times New Roman"/>
        </w:rPr>
        <w:t xml:space="preserve"> de la </w:t>
      </w:r>
      <w:r w:rsidR="00E81F14" w:rsidRPr="00F93ED5">
        <w:rPr>
          <w:rFonts w:ascii="Times New Roman" w:hAnsi="Times New Roman"/>
        </w:rPr>
        <w:t>CNV</w:t>
      </w:r>
      <w:r w:rsidR="00B1360B" w:rsidRPr="00F93ED5">
        <w:rPr>
          <w:rFonts w:ascii="Times New Roman" w:hAnsi="Times New Roman"/>
        </w:rPr>
        <w:t xml:space="preserve"> en el </w:t>
      </w:r>
      <w:proofErr w:type="spellStart"/>
      <w:r w:rsidR="008A7745" w:rsidRPr="00CF2F9C">
        <w:rPr>
          <w:rFonts w:ascii="Times New Roman" w:eastAsia="Times New Roman" w:hAnsi="Times New Roman" w:cs="Times New Roman"/>
        </w:rPr>
        <w:t>web</w:t>
      </w:r>
      <w:r w:rsidR="00632644" w:rsidRPr="00CF2F9C">
        <w:rPr>
          <w:rFonts w:ascii="Times New Roman" w:eastAsia="Times New Roman" w:hAnsi="Times New Roman" w:cs="Times New Roman"/>
        </w:rPr>
        <w:t>site</w:t>
      </w:r>
      <w:proofErr w:type="spellEnd"/>
      <w:r w:rsidR="008A7745" w:rsidRPr="00F93ED5">
        <w:rPr>
          <w:rFonts w:ascii="Times New Roman" w:hAnsi="Times New Roman"/>
        </w:rPr>
        <w:t xml:space="preserve"> de </w:t>
      </w:r>
      <w:r w:rsidR="00632644" w:rsidRPr="00CF2F9C">
        <w:rPr>
          <w:rFonts w:ascii="Times New Roman" w:eastAsia="Times New Roman" w:hAnsi="Times New Roman" w:cs="Times New Roman"/>
        </w:rPr>
        <w:t>BYMA</w:t>
      </w:r>
      <w:r w:rsidR="008A7745" w:rsidRPr="00F93ED5">
        <w:rPr>
          <w:rFonts w:ascii="Times New Roman" w:hAnsi="Times New Roman"/>
        </w:rPr>
        <w:t xml:space="preserve"> (www.</w:t>
      </w:r>
      <w:r w:rsidR="002F2614" w:rsidRPr="00F93ED5">
        <w:rPr>
          <w:rFonts w:ascii="Times New Roman" w:hAnsi="Times New Roman"/>
        </w:rPr>
        <w:t>bymadata</w:t>
      </w:r>
      <w:r w:rsidR="008A7745" w:rsidRPr="00F93ED5">
        <w:rPr>
          <w:rFonts w:ascii="Times New Roman" w:hAnsi="Times New Roman"/>
        </w:rPr>
        <w:t>.com</w:t>
      </w:r>
      <w:r w:rsidR="002F2614" w:rsidRPr="00F93ED5">
        <w:rPr>
          <w:rFonts w:ascii="Times New Roman" w:hAnsi="Times New Roman"/>
        </w:rPr>
        <w:t>.ar</w:t>
      </w:r>
      <w:r w:rsidR="008A7745" w:rsidRPr="00F93ED5">
        <w:rPr>
          <w:rFonts w:ascii="Times New Roman" w:hAnsi="Times New Roman"/>
        </w:rPr>
        <w:t>);</w:t>
      </w:r>
      <w:r w:rsidR="00B1360B" w:rsidRPr="00F93ED5">
        <w:rPr>
          <w:rFonts w:ascii="Times New Roman" w:hAnsi="Times New Roman"/>
        </w:rPr>
        <w:t xml:space="preserve"> en el </w:t>
      </w:r>
      <w:r w:rsidR="00632644" w:rsidRPr="00CF2F9C">
        <w:rPr>
          <w:rFonts w:ascii="Times New Roman" w:eastAsia="Times New Roman" w:hAnsi="Times New Roman" w:cs="Times New Roman"/>
        </w:rPr>
        <w:t>boletín electrónico</w:t>
      </w:r>
      <w:r w:rsidR="00B1360B" w:rsidRPr="00F93ED5">
        <w:rPr>
          <w:rFonts w:ascii="Times New Roman" w:hAnsi="Times New Roman"/>
        </w:rPr>
        <w:t xml:space="preserve"> del MAE;</w:t>
      </w:r>
      <w:r w:rsidR="00EE39E3" w:rsidRPr="00F93ED5">
        <w:rPr>
          <w:rFonts w:ascii="Times New Roman" w:hAnsi="Times New Roman"/>
        </w:rPr>
        <w:t xml:space="preserve"> en la página web de la Sociedad (</w:t>
      </w:r>
      <w:hyperlink r:id="rId9" w:history="1">
        <w:r w:rsidR="00EE39E3" w:rsidRPr="00F93ED5">
          <w:rPr>
            <w:rStyle w:val="Hipervnculo"/>
            <w:rFonts w:ascii="Times New Roman" w:hAnsi="Times New Roman"/>
          </w:rPr>
          <w:t>http://ri.tglt.com/</w:t>
        </w:r>
      </w:hyperlink>
      <w:r w:rsidR="00EE39E3" w:rsidRPr="00F93ED5">
        <w:rPr>
          <w:rFonts w:ascii="Times New Roman" w:hAnsi="Times New Roman"/>
        </w:rPr>
        <w:t>)</w:t>
      </w:r>
      <w:r w:rsidR="00B1360B" w:rsidRPr="00F93ED5">
        <w:rPr>
          <w:rFonts w:ascii="Times New Roman" w:hAnsi="Times New Roman"/>
        </w:rPr>
        <w:t>;</w:t>
      </w:r>
      <w:r w:rsidR="00EE39E3" w:rsidRPr="00F93ED5">
        <w:rPr>
          <w:rFonts w:ascii="Times New Roman" w:hAnsi="Times New Roman"/>
        </w:rPr>
        <w:t xml:space="preserve"> y</w:t>
      </w:r>
      <w:r w:rsidR="00B1360B" w:rsidRPr="00F93ED5">
        <w:rPr>
          <w:rFonts w:ascii="Times New Roman" w:hAnsi="Times New Roman"/>
        </w:rPr>
        <w:t>, siempre que la situación sanitaria</w:t>
      </w:r>
      <w:r w:rsidR="008A7745" w:rsidRPr="00F93ED5">
        <w:rPr>
          <w:rFonts w:ascii="Times New Roman" w:hAnsi="Times New Roman"/>
        </w:rPr>
        <w:t xml:space="preserve"> y las medidas de aislamiento o distanciamiento social</w:t>
      </w:r>
      <w:r w:rsidR="00B1360B" w:rsidRPr="00F93ED5">
        <w:rPr>
          <w:rFonts w:ascii="Times New Roman" w:hAnsi="Times New Roman"/>
        </w:rPr>
        <w:t xml:space="preserve"> lo permita</w:t>
      </w:r>
      <w:r w:rsidR="008A7745" w:rsidRPr="00F93ED5">
        <w:rPr>
          <w:rFonts w:ascii="Times New Roman" w:hAnsi="Times New Roman"/>
        </w:rPr>
        <w:t>n</w:t>
      </w:r>
      <w:r w:rsidR="00B1360B" w:rsidRPr="00F93ED5">
        <w:rPr>
          <w:rFonts w:ascii="Times New Roman" w:hAnsi="Times New Roman"/>
        </w:rPr>
        <w:t>,</w:t>
      </w:r>
      <w:r w:rsidR="00EE39E3" w:rsidRPr="00F93ED5">
        <w:rPr>
          <w:rFonts w:ascii="Times New Roman" w:hAnsi="Times New Roman"/>
        </w:rPr>
        <w:t xml:space="preserve"> </w:t>
      </w:r>
      <w:r w:rsidR="00B1360B" w:rsidRPr="00F93ED5">
        <w:rPr>
          <w:rFonts w:ascii="Times New Roman" w:hAnsi="Times New Roman"/>
        </w:rPr>
        <w:t xml:space="preserve">en la sede social de la </w:t>
      </w:r>
      <w:r w:rsidR="00307836" w:rsidRPr="00F93ED5">
        <w:rPr>
          <w:rFonts w:ascii="Times New Roman" w:hAnsi="Times New Roman"/>
        </w:rPr>
        <w:t>Sociedad</w:t>
      </w:r>
      <w:r w:rsidR="00B1360B" w:rsidRPr="00F93ED5">
        <w:rPr>
          <w:rFonts w:ascii="Times New Roman" w:hAnsi="Times New Roman"/>
        </w:rPr>
        <w:t xml:space="preserve">, ubicada en </w:t>
      </w:r>
      <w:r w:rsidR="00EB5996" w:rsidRPr="00F93ED5">
        <w:rPr>
          <w:rFonts w:ascii="Times New Roman" w:hAnsi="Times New Roman"/>
        </w:rPr>
        <w:t xml:space="preserve">Miñones 2177, planta baja “C”, </w:t>
      </w:r>
      <w:r w:rsidR="00B1360B" w:rsidRPr="00F93ED5">
        <w:rPr>
          <w:rFonts w:ascii="Times New Roman" w:hAnsi="Times New Roman"/>
        </w:rPr>
        <w:t>Ciudad Autónoma de Buenos Aires, Argentina</w:t>
      </w:r>
      <w:r w:rsidR="00EB5996" w:rsidRPr="00F93ED5">
        <w:rPr>
          <w:rFonts w:ascii="Times New Roman" w:hAnsi="Times New Roman"/>
        </w:rPr>
        <w:t xml:space="preserve"> y en las o</w:t>
      </w:r>
      <w:r w:rsidR="002E6F9C" w:rsidRPr="00F93ED5">
        <w:rPr>
          <w:rFonts w:ascii="Times New Roman" w:hAnsi="Times New Roman"/>
        </w:rPr>
        <w:t xml:space="preserve">ficinas del Asesor Financiero, </w:t>
      </w:r>
      <w:r w:rsidR="006D4CD9" w:rsidRPr="00F93ED5">
        <w:rPr>
          <w:rFonts w:ascii="Times New Roman" w:hAnsi="Times New Roman"/>
        </w:rPr>
        <w:t xml:space="preserve">ubicadas en </w:t>
      </w:r>
      <w:r w:rsidR="00EB5996" w:rsidRPr="00F93ED5">
        <w:rPr>
          <w:rFonts w:ascii="Times New Roman" w:hAnsi="Times New Roman"/>
        </w:rPr>
        <w:t>Av. del Libertador 602</w:t>
      </w:r>
      <w:r w:rsidR="00B1360B" w:rsidRPr="00F93ED5">
        <w:rPr>
          <w:rFonts w:ascii="Times New Roman" w:hAnsi="Times New Roman"/>
        </w:rPr>
        <w:t xml:space="preserve">, </w:t>
      </w:r>
      <w:r w:rsidR="00EB5996" w:rsidRPr="00F93ED5">
        <w:rPr>
          <w:rFonts w:ascii="Times New Roman" w:hAnsi="Times New Roman"/>
        </w:rPr>
        <w:t xml:space="preserve">Ciudad Autónoma de Buenos Aires, Argentina, </w:t>
      </w:r>
      <w:r w:rsidR="00B1360B" w:rsidRPr="00F93ED5">
        <w:rPr>
          <w:rFonts w:ascii="Times New Roman" w:hAnsi="Times New Roman"/>
        </w:rPr>
        <w:t>en días hábiles en el ho</w:t>
      </w:r>
      <w:r w:rsidR="002E6F9C" w:rsidRPr="00F93ED5">
        <w:rPr>
          <w:rFonts w:ascii="Times New Roman" w:hAnsi="Times New Roman"/>
        </w:rPr>
        <w:t>rario de 10:00 a 18:00 horas; y,</w:t>
      </w:r>
      <w:r w:rsidR="00B1360B" w:rsidRPr="00F93ED5">
        <w:rPr>
          <w:rFonts w:ascii="Times New Roman" w:hAnsi="Times New Roman"/>
        </w:rPr>
        <w:t xml:space="preserve"> asimismo, podrá </w:t>
      </w:r>
      <w:r w:rsidR="00EE39E3" w:rsidRPr="00F93ED5">
        <w:rPr>
          <w:rFonts w:ascii="Times New Roman" w:hAnsi="Times New Roman"/>
        </w:rPr>
        <w:t xml:space="preserve">formular todas las preguntas y dudas que tenga </w:t>
      </w:r>
      <w:r w:rsidR="00E84642" w:rsidRPr="00F93ED5">
        <w:rPr>
          <w:rFonts w:ascii="Times New Roman" w:hAnsi="Times New Roman"/>
        </w:rPr>
        <w:t>con relación con la Modificación</w:t>
      </w:r>
      <w:r w:rsidR="00ED2907" w:rsidRPr="00F93ED5">
        <w:rPr>
          <w:rFonts w:ascii="Times New Roman" w:hAnsi="Times New Roman"/>
        </w:rPr>
        <w:t xml:space="preserve"> Propuesta</w:t>
      </w:r>
      <w:r w:rsidR="00E84642" w:rsidRPr="00F93ED5">
        <w:rPr>
          <w:rFonts w:ascii="Times New Roman" w:hAnsi="Times New Roman"/>
        </w:rPr>
        <w:t xml:space="preserve"> </w:t>
      </w:r>
      <w:r w:rsidR="00EE39E3" w:rsidRPr="00F93ED5">
        <w:rPr>
          <w:rFonts w:ascii="Times New Roman" w:hAnsi="Times New Roman"/>
        </w:rPr>
        <w:t xml:space="preserve">a los representantes de la </w:t>
      </w:r>
      <w:r w:rsidR="00E84642" w:rsidRPr="00F93ED5">
        <w:rPr>
          <w:rFonts w:ascii="Times New Roman" w:hAnsi="Times New Roman"/>
        </w:rPr>
        <w:t>Sociedad, enviándolas a la s</w:t>
      </w:r>
      <w:r w:rsidR="002E6F9C" w:rsidRPr="00F93ED5">
        <w:rPr>
          <w:rFonts w:ascii="Times New Roman" w:hAnsi="Times New Roman"/>
        </w:rPr>
        <w:t>iguiente dirección de contacto inversores@tglt.com</w:t>
      </w:r>
      <w:r w:rsidR="00B1360B" w:rsidRPr="00F93ED5">
        <w:rPr>
          <w:rFonts w:ascii="Times New Roman" w:hAnsi="Times New Roman"/>
        </w:rPr>
        <w:t>;</w:t>
      </w:r>
    </w:p>
    <w:p w14:paraId="5D8F7025" w14:textId="77777777" w:rsidR="00B1360B" w:rsidRPr="00F93ED5" w:rsidRDefault="00B1360B">
      <w:pPr>
        <w:spacing w:after="0" w:line="240" w:lineRule="auto"/>
        <w:ind w:left="-2" w:firstLineChars="0" w:firstLine="0"/>
        <w:jc w:val="both"/>
        <w:rPr>
          <w:rFonts w:ascii="Times New Roman" w:hAnsi="Times New Roman"/>
        </w:rPr>
      </w:pPr>
    </w:p>
    <w:p w14:paraId="41ACD04C" w14:textId="670C7FB5" w:rsidR="00E84642" w:rsidRPr="00F93ED5" w:rsidRDefault="00525ACD">
      <w:pPr>
        <w:pStyle w:val="Prrafodelista"/>
        <w:numPr>
          <w:ilvl w:val="0"/>
          <w:numId w:val="1"/>
        </w:numPr>
        <w:spacing w:after="0" w:line="240" w:lineRule="auto"/>
        <w:ind w:leftChars="0" w:left="0" w:firstLineChars="0" w:firstLine="0"/>
        <w:jc w:val="both"/>
        <w:rPr>
          <w:rFonts w:ascii="Times New Roman" w:hAnsi="Times New Roman"/>
        </w:rPr>
      </w:pPr>
      <w:r w:rsidRPr="00F93ED5">
        <w:rPr>
          <w:rFonts w:ascii="Times New Roman" w:hAnsi="Times New Roman"/>
        </w:rPr>
        <w:t>la presente Solicitud de Consentimiento, la Manifestación de Consentimiento y cualesquiera otros documentos relativos a la Modificación</w:t>
      </w:r>
      <w:r w:rsidR="00ED2907" w:rsidRPr="00F93ED5">
        <w:rPr>
          <w:rFonts w:ascii="Times New Roman" w:hAnsi="Times New Roman"/>
        </w:rPr>
        <w:t xml:space="preserve"> Propuesta</w:t>
      </w:r>
      <w:r w:rsidRPr="00F93ED5">
        <w:rPr>
          <w:rFonts w:ascii="Times New Roman" w:hAnsi="Times New Roman"/>
        </w:rPr>
        <w:t xml:space="preserve"> podrá ser suscripta tanto en soporte físico como por cualquier medio electrónico. En todos los instrumentos generados por medios electrónicos, el requisito de la firma de una persona quedará satisfecho si se utiliza una firma electrónica, en cuyo caso se los considera instrumentos privados firmados de acuerdo con lo dispuesto por los artículos 286 y 287 del Código Civil y Comercial de la Nación, y resultarán válidos y vinculantes en todos sus términos y condiciones</w:t>
      </w:r>
      <w:r w:rsidR="00165410" w:rsidRPr="00F93ED5">
        <w:rPr>
          <w:rFonts w:ascii="Times New Roman" w:hAnsi="Times New Roman"/>
        </w:rPr>
        <w:t>, y deberán ser considerados como medio fehaciente</w:t>
      </w:r>
      <w:r w:rsidRPr="00F93ED5">
        <w:rPr>
          <w:rFonts w:ascii="Times New Roman" w:hAnsi="Times New Roman"/>
        </w:rPr>
        <w:t>, aun cuando los mismos sean suscriptos mediante firma electrónica, y tendrá</w:t>
      </w:r>
      <w:r w:rsidR="008A7745" w:rsidRPr="00F93ED5">
        <w:rPr>
          <w:rFonts w:ascii="Times New Roman" w:hAnsi="Times New Roman"/>
        </w:rPr>
        <w:t>n</w:t>
      </w:r>
      <w:r w:rsidRPr="00F93ED5">
        <w:rPr>
          <w:rFonts w:ascii="Times New Roman" w:hAnsi="Times New Roman"/>
        </w:rPr>
        <w:t xml:space="preserve"> la misma validez que </w:t>
      </w:r>
      <w:r w:rsidR="008A7745" w:rsidRPr="00F93ED5">
        <w:rPr>
          <w:rFonts w:ascii="Times New Roman" w:hAnsi="Times New Roman"/>
        </w:rPr>
        <w:t xml:space="preserve">si </w:t>
      </w:r>
      <w:r w:rsidRPr="00F93ED5">
        <w:rPr>
          <w:rFonts w:ascii="Times New Roman" w:hAnsi="Times New Roman"/>
        </w:rPr>
        <w:t>hubieran si</w:t>
      </w:r>
      <w:r w:rsidR="00307836" w:rsidRPr="00F93ED5">
        <w:rPr>
          <w:rFonts w:ascii="Times New Roman" w:hAnsi="Times New Roman"/>
        </w:rPr>
        <w:t>do firmados en soporte físico;</w:t>
      </w:r>
    </w:p>
    <w:p w14:paraId="7A19045E" w14:textId="77777777" w:rsidR="00E84642" w:rsidRPr="00F93ED5" w:rsidRDefault="00E84642">
      <w:pPr>
        <w:spacing w:after="0" w:line="240" w:lineRule="auto"/>
        <w:ind w:left="-2" w:firstLineChars="0" w:firstLine="0"/>
        <w:jc w:val="both"/>
        <w:rPr>
          <w:rFonts w:ascii="Times New Roman" w:hAnsi="Times New Roman"/>
        </w:rPr>
      </w:pPr>
    </w:p>
    <w:p w14:paraId="63619920" w14:textId="45DE0BCF" w:rsidR="00EE39E3" w:rsidRPr="00F93ED5" w:rsidRDefault="00EE39E3">
      <w:pPr>
        <w:pStyle w:val="Prrafodelista"/>
        <w:numPr>
          <w:ilvl w:val="0"/>
          <w:numId w:val="1"/>
        </w:numPr>
        <w:spacing w:after="0" w:line="240" w:lineRule="auto"/>
        <w:ind w:leftChars="0" w:left="0" w:firstLineChars="0" w:firstLine="0"/>
        <w:jc w:val="both"/>
        <w:rPr>
          <w:rFonts w:ascii="Times New Roman" w:hAnsi="Times New Roman"/>
        </w:rPr>
      </w:pPr>
      <w:r w:rsidRPr="00F93ED5">
        <w:rPr>
          <w:rFonts w:ascii="Times New Roman" w:hAnsi="Times New Roman"/>
        </w:rPr>
        <w:t xml:space="preserve">la presentación de </w:t>
      </w:r>
      <w:r w:rsidR="00E84642" w:rsidRPr="00F93ED5">
        <w:rPr>
          <w:rFonts w:ascii="Times New Roman" w:hAnsi="Times New Roman"/>
        </w:rPr>
        <w:t>una</w:t>
      </w:r>
      <w:r w:rsidRPr="00F93ED5">
        <w:rPr>
          <w:rFonts w:ascii="Times New Roman" w:hAnsi="Times New Roman"/>
        </w:rPr>
        <w:t xml:space="preserve"> Manifestación de</w:t>
      </w:r>
      <w:r w:rsidR="00E84642" w:rsidRPr="00F93ED5">
        <w:rPr>
          <w:rFonts w:ascii="Times New Roman" w:hAnsi="Times New Roman"/>
        </w:rPr>
        <w:t xml:space="preserve"> </w:t>
      </w:r>
      <w:r w:rsidRPr="00F93ED5">
        <w:rPr>
          <w:rFonts w:ascii="Times New Roman" w:hAnsi="Times New Roman"/>
        </w:rPr>
        <w:t>Consentimiento constituirá un compromiso irrevocable a otorgar aquellos otros documentos y</w:t>
      </w:r>
      <w:r w:rsidR="00E84642" w:rsidRPr="00F93ED5">
        <w:rPr>
          <w:rFonts w:ascii="Times New Roman" w:hAnsi="Times New Roman"/>
        </w:rPr>
        <w:t xml:space="preserve"> consentimientos que pudieran ser necesari</w:t>
      </w:r>
      <w:r w:rsidR="00223E01" w:rsidRPr="00F93ED5">
        <w:rPr>
          <w:rFonts w:ascii="Times New Roman" w:hAnsi="Times New Roman"/>
        </w:rPr>
        <w:t>o</w:t>
      </w:r>
      <w:r w:rsidR="00E84642" w:rsidRPr="00F93ED5">
        <w:rPr>
          <w:rFonts w:ascii="Times New Roman" w:hAnsi="Times New Roman"/>
        </w:rPr>
        <w:t>s o de cualquier modo requeridos por la Sociedad, a los efectos de implementar válida</w:t>
      </w:r>
      <w:r w:rsidR="00307836" w:rsidRPr="00F93ED5">
        <w:rPr>
          <w:rFonts w:ascii="Times New Roman" w:hAnsi="Times New Roman"/>
        </w:rPr>
        <w:t>me</w:t>
      </w:r>
      <w:r w:rsidR="008421D6" w:rsidRPr="00F93ED5">
        <w:rPr>
          <w:rFonts w:ascii="Times New Roman" w:hAnsi="Times New Roman"/>
        </w:rPr>
        <w:t>nte la Modificación</w:t>
      </w:r>
      <w:r w:rsidR="00ED2907" w:rsidRPr="00F93ED5">
        <w:rPr>
          <w:rFonts w:ascii="Times New Roman" w:hAnsi="Times New Roman"/>
        </w:rPr>
        <w:t xml:space="preserve"> Propuesta</w:t>
      </w:r>
      <w:r w:rsidR="008421D6" w:rsidRPr="00F93ED5">
        <w:rPr>
          <w:rFonts w:ascii="Times New Roman" w:hAnsi="Times New Roman"/>
        </w:rPr>
        <w:t xml:space="preserve">; </w:t>
      </w:r>
    </w:p>
    <w:p w14:paraId="7CDD05EE" w14:textId="46396C14" w:rsidR="00307836" w:rsidRPr="00F93ED5" w:rsidRDefault="00307836">
      <w:pPr>
        <w:spacing w:after="0" w:line="240" w:lineRule="auto"/>
        <w:ind w:left="-2" w:firstLineChars="0" w:firstLine="0"/>
        <w:jc w:val="both"/>
        <w:rPr>
          <w:rFonts w:ascii="Times New Roman" w:hAnsi="Times New Roman"/>
        </w:rPr>
      </w:pPr>
    </w:p>
    <w:p w14:paraId="13E9CD5E" w14:textId="1717F8B9" w:rsidR="00696792" w:rsidRPr="00F93ED5" w:rsidRDefault="00307836">
      <w:pPr>
        <w:pStyle w:val="Prrafodelista"/>
        <w:numPr>
          <w:ilvl w:val="0"/>
          <w:numId w:val="1"/>
        </w:numPr>
        <w:spacing w:after="0" w:line="240" w:lineRule="auto"/>
        <w:ind w:leftChars="0" w:left="0" w:firstLineChars="0" w:firstLine="0"/>
        <w:jc w:val="both"/>
        <w:rPr>
          <w:rFonts w:ascii="Times New Roman" w:hAnsi="Times New Roman"/>
          <w:color w:val="000000"/>
        </w:rPr>
      </w:pPr>
      <w:r w:rsidRPr="00F93ED5">
        <w:rPr>
          <w:rFonts w:ascii="Times New Roman" w:hAnsi="Times New Roman"/>
        </w:rPr>
        <w:t xml:space="preserve">(a) </w:t>
      </w:r>
      <w:r w:rsidRPr="00F93ED5">
        <w:rPr>
          <w:rFonts w:ascii="Times New Roman" w:hAnsi="Times New Roman"/>
          <w:color w:val="000000"/>
        </w:rPr>
        <w:t xml:space="preserve">se le brinda la oportunidad de solicitar a la Sociedad el examen de toda la información pública adicional que dicho inversor considere necesaria para verificar la exactitud de la información contenida en </w:t>
      </w:r>
      <w:r w:rsidR="008A7745" w:rsidRPr="00F93ED5">
        <w:rPr>
          <w:rFonts w:ascii="Times New Roman" w:hAnsi="Times New Roman"/>
          <w:color w:val="000000"/>
        </w:rPr>
        <w:t xml:space="preserve">el Prospecto, el Suplemento de Prospecto, los estados contables, </w:t>
      </w:r>
      <w:r w:rsidRPr="00F93ED5">
        <w:rPr>
          <w:rFonts w:ascii="Times New Roman" w:hAnsi="Times New Roman"/>
          <w:color w:val="000000"/>
        </w:rPr>
        <w:t>la Solicitud de Consentimiento y en la Manifestación de Consentimiento; (b) no deberá basarse en la Sociedad, ni en ninguna persona vinculada a la Sociedad, en relación con su investigación de la exactitud de dicha información o su decisión de inversión; (c) ninguna persona ha sido autorizada a suministrar ninguna información o a formular ninguna declaración sobre la Sociedad o las Obligaciones Negociables, salvo por las contenidas en el Suplemento de Prospecto y en la Solicitud de Consentimiento. En caso de que le haya sido o le sea suministrada o formulada, no deberá tenerse a dicha información o declaración como autorizada ni consentida por la Sociedad, ni atribuirse a la Sociedad; y (d) al momento de otorgar su Manifestación de Consentimiento para la implementación de la Modificación</w:t>
      </w:r>
      <w:r w:rsidR="00ED2907" w:rsidRPr="00F93ED5">
        <w:rPr>
          <w:rFonts w:ascii="Times New Roman" w:hAnsi="Times New Roman"/>
          <w:color w:val="000000"/>
        </w:rPr>
        <w:t xml:space="preserve"> Propuesta</w:t>
      </w:r>
      <w:r w:rsidRPr="00F93ED5">
        <w:rPr>
          <w:rFonts w:ascii="Times New Roman" w:hAnsi="Times New Roman"/>
          <w:color w:val="000000"/>
        </w:rPr>
        <w:t>, deberá conocer todas las implicancias que eso conlleva, y reconocer que la obtención de los consentimientos sin necesidad de asamblea resulta un mecanismo válido para adoptar la Modificación</w:t>
      </w:r>
      <w:r w:rsidR="00ED2907" w:rsidRPr="00F93ED5">
        <w:rPr>
          <w:rFonts w:ascii="Times New Roman" w:hAnsi="Times New Roman"/>
          <w:color w:val="000000"/>
        </w:rPr>
        <w:t xml:space="preserve"> Propuesta</w:t>
      </w:r>
      <w:r w:rsidR="00696792" w:rsidRPr="00F93ED5">
        <w:rPr>
          <w:rFonts w:ascii="Times New Roman" w:hAnsi="Times New Roman"/>
          <w:color w:val="000000"/>
        </w:rPr>
        <w:t>;</w:t>
      </w:r>
    </w:p>
    <w:p w14:paraId="31B92BB9" w14:textId="791FEFEC" w:rsidR="008421D6" w:rsidRPr="00F93ED5" w:rsidRDefault="008421D6">
      <w:pPr>
        <w:spacing w:after="0" w:line="240" w:lineRule="auto"/>
        <w:ind w:leftChars="0" w:left="0" w:firstLineChars="0" w:firstLine="0"/>
        <w:jc w:val="both"/>
        <w:rPr>
          <w:rFonts w:ascii="Times New Roman" w:hAnsi="Times New Roman"/>
          <w:color w:val="000000"/>
        </w:rPr>
      </w:pPr>
    </w:p>
    <w:p w14:paraId="508C6161" w14:textId="7DB99808" w:rsidR="008421D6" w:rsidRPr="00F93ED5" w:rsidRDefault="008421D6">
      <w:pPr>
        <w:pStyle w:val="Prrafodelista"/>
        <w:numPr>
          <w:ilvl w:val="0"/>
          <w:numId w:val="1"/>
        </w:numPr>
        <w:spacing w:after="0" w:line="240" w:lineRule="auto"/>
        <w:ind w:leftChars="0" w:left="0" w:firstLineChars="0" w:firstLine="0"/>
        <w:jc w:val="both"/>
        <w:rPr>
          <w:rFonts w:ascii="Times New Roman" w:hAnsi="Times New Roman"/>
          <w:color w:val="000000"/>
          <w:position w:val="0"/>
        </w:rPr>
      </w:pPr>
      <w:r w:rsidRPr="00F93ED5">
        <w:rPr>
          <w:rFonts w:ascii="Times New Roman" w:hAnsi="Times New Roman"/>
          <w:color w:val="000000"/>
          <w:position w:val="0"/>
        </w:rPr>
        <w:t xml:space="preserve">con excepción de lo dispuesto en el artículo 120 de la Ley N° 26.831 con sus modificatorias y suplementarias, </w:t>
      </w:r>
      <w:r w:rsidR="004F3995" w:rsidRPr="00F93ED5">
        <w:rPr>
          <w:rFonts w:ascii="Times New Roman" w:hAnsi="Times New Roman"/>
          <w:color w:val="000000"/>
          <w:position w:val="0"/>
        </w:rPr>
        <w:t>la Sociedad</w:t>
      </w:r>
      <w:r w:rsidRPr="00F93ED5">
        <w:rPr>
          <w:rFonts w:ascii="Times New Roman" w:hAnsi="Times New Roman"/>
          <w:color w:val="000000"/>
          <w:position w:val="0"/>
        </w:rPr>
        <w:t xml:space="preserve"> y su asesor financiero no asumen ningún tipo de responsabilidad por los daños y perjuicios que pudiera sufrir el Tenedor, directa o indirectamente relacionados </w:t>
      </w:r>
      <w:r w:rsidR="004F3995" w:rsidRPr="00F93ED5">
        <w:rPr>
          <w:rFonts w:ascii="Times New Roman" w:hAnsi="Times New Roman"/>
          <w:color w:val="000000"/>
          <w:position w:val="0"/>
        </w:rPr>
        <w:t xml:space="preserve">con </w:t>
      </w:r>
      <w:r w:rsidRPr="00F93ED5">
        <w:rPr>
          <w:rFonts w:ascii="Times New Roman" w:hAnsi="Times New Roman"/>
          <w:color w:val="000000"/>
          <w:position w:val="0"/>
        </w:rPr>
        <w:t>la Manifestación del Consentimiento, la Solicitud de Consentimiento y la implementación de la Modificación</w:t>
      </w:r>
      <w:r w:rsidR="00ED2907" w:rsidRPr="00F93ED5">
        <w:rPr>
          <w:rFonts w:ascii="Times New Roman" w:hAnsi="Times New Roman"/>
          <w:color w:val="000000"/>
          <w:position w:val="0"/>
        </w:rPr>
        <w:t xml:space="preserve"> Propuesta</w:t>
      </w:r>
      <w:r w:rsidRPr="00F93ED5">
        <w:rPr>
          <w:rFonts w:ascii="Times New Roman" w:hAnsi="Times New Roman"/>
          <w:color w:val="000000"/>
          <w:position w:val="0"/>
        </w:rPr>
        <w:t>, según corresponda, cualesquiera fuere el origen de tales daños y perjuicios</w:t>
      </w:r>
      <w:r w:rsidR="004F3995" w:rsidRPr="00F93ED5">
        <w:rPr>
          <w:rFonts w:ascii="Times New Roman" w:hAnsi="Times New Roman"/>
          <w:color w:val="000000"/>
          <w:position w:val="0"/>
        </w:rPr>
        <w:t>.</w:t>
      </w:r>
    </w:p>
    <w:p w14:paraId="23F41568" w14:textId="39743415" w:rsidR="00307836" w:rsidRPr="005B76C0" w:rsidRDefault="00307836">
      <w:pPr>
        <w:spacing w:after="0" w:line="240" w:lineRule="auto"/>
        <w:ind w:left="-2" w:firstLineChars="0" w:firstLine="0"/>
        <w:jc w:val="both"/>
        <w:rPr>
          <w:rFonts w:ascii="Times New Roman" w:eastAsia="Times New Roman" w:hAnsi="Times New Roman" w:cs="Times New Roman"/>
        </w:rPr>
      </w:pPr>
    </w:p>
    <w:p w14:paraId="54C3857D" w14:textId="7527D3A0" w:rsidR="00E93799" w:rsidRPr="008663AE" w:rsidRDefault="00F906C6">
      <w:pPr>
        <w:spacing w:after="0" w:line="240" w:lineRule="auto"/>
        <w:ind w:left="-2" w:firstLineChars="0" w:firstLine="0"/>
        <w:jc w:val="both"/>
        <w:rPr>
          <w:rFonts w:ascii="Times New Roman" w:eastAsia="Times New Roman" w:hAnsi="Times New Roman" w:cs="Times New Roman"/>
        </w:rPr>
      </w:pPr>
      <w:r w:rsidRPr="00092991">
        <w:rPr>
          <w:rFonts w:ascii="Times New Roman" w:eastAsia="Times New Roman" w:hAnsi="Times New Roman" w:cs="Times New Roman"/>
        </w:rPr>
        <w:t>Los Tenedores que deseen remitir a la Sociedad sus Manifestaciones de Consentimiento podrán hacerlo a partir de la fecha de</w:t>
      </w:r>
      <w:r w:rsidR="00D6600B" w:rsidRPr="00092991">
        <w:rPr>
          <w:rFonts w:ascii="Times New Roman" w:eastAsia="Times New Roman" w:hAnsi="Times New Roman" w:cs="Times New Roman"/>
        </w:rPr>
        <w:t xml:space="preserve"> </w:t>
      </w:r>
      <w:r w:rsidRPr="00092991">
        <w:rPr>
          <w:rFonts w:ascii="Times New Roman" w:eastAsia="Times New Roman" w:hAnsi="Times New Roman" w:cs="Times New Roman"/>
        </w:rPr>
        <w:t>l</w:t>
      </w:r>
      <w:r w:rsidR="00D6600B" w:rsidRPr="00092991">
        <w:rPr>
          <w:rFonts w:ascii="Times New Roman" w:eastAsia="Times New Roman" w:hAnsi="Times New Roman" w:cs="Times New Roman"/>
        </w:rPr>
        <w:t>a</w:t>
      </w:r>
      <w:r w:rsidRPr="00092991">
        <w:rPr>
          <w:rFonts w:ascii="Times New Roman" w:eastAsia="Times New Roman" w:hAnsi="Times New Roman" w:cs="Times New Roman"/>
        </w:rPr>
        <w:t xml:space="preserve"> presente</w:t>
      </w:r>
      <w:r w:rsidR="00D6600B" w:rsidRPr="00092991">
        <w:rPr>
          <w:rFonts w:ascii="Times New Roman" w:eastAsia="Times New Roman" w:hAnsi="Times New Roman" w:cs="Times New Roman"/>
        </w:rPr>
        <w:t xml:space="preserve"> Solicitud de </w:t>
      </w:r>
      <w:r w:rsidR="007D2591" w:rsidRPr="00092991">
        <w:rPr>
          <w:rFonts w:ascii="Times New Roman" w:eastAsia="Times New Roman" w:hAnsi="Times New Roman" w:cs="Times New Roman"/>
        </w:rPr>
        <w:t>Consentimiento</w:t>
      </w:r>
      <w:r w:rsidRPr="00092991">
        <w:rPr>
          <w:rFonts w:ascii="Times New Roman" w:eastAsia="Times New Roman" w:hAnsi="Times New Roman" w:cs="Times New Roman"/>
        </w:rPr>
        <w:t>, y hasta la Fecha</w:t>
      </w:r>
      <w:r w:rsidR="0011729A" w:rsidRPr="00092991">
        <w:rPr>
          <w:rFonts w:ascii="Times New Roman" w:eastAsia="Times New Roman" w:hAnsi="Times New Roman" w:cs="Times New Roman"/>
        </w:rPr>
        <w:t xml:space="preserve"> Límite, a través de cualquiera de las siguientes alternativas: (i) el envío de la Manifestación de Consentimiento firmada a la Sociedad, en soporte papel, al domicilio de Miñones 2177, planta baja “C”, (C1428ATG) Ciudad Autónoma de Buenos Aires, Argentina; o (ii) el envío de la Manifestación de Consentimiento firmada a la Sociedad, en soporte digital, a la dirección de correo electrónico </w:t>
      </w:r>
      <w:r w:rsidR="002E6F9C" w:rsidRPr="00092991">
        <w:rPr>
          <w:rFonts w:ascii="Times New Roman" w:eastAsia="Times New Roman" w:hAnsi="Times New Roman" w:cs="Times New Roman"/>
        </w:rPr>
        <w:t>inversores@tglt.com</w:t>
      </w:r>
      <w:r w:rsidR="0011729A" w:rsidRPr="008663AE">
        <w:rPr>
          <w:rFonts w:ascii="Times New Roman" w:eastAsia="Times New Roman" w:hAnsi="Times New Roman" w:cs="Times New Roman"/>
        </w:rPr>
        <w:t>; o (iii) el envío de la Manifestación de Consentimiento a la Sociedad, en soporte digital, a través del agente de negociación o liquidación del Tenedor</w:t>
      </w:r>
      <w:r w:rsidR="002E6F9C" w:rsidRPr="008663AE">
        <w:rPr>
          <w:rFonts w:ascii="Times New Roman" w:eastAsia="Times New Roman" w:hAnsi="Times New Roman" w:cs="Times New Roman"/>
        </w:rPr>
        <w:t>.</w:t>
      </w:r>
    </w:p>
    <w:p w14:paraId="481FAE63" w14:textId="77777777" w:rsidR="00E93799" w:rsidRPr="0032028C" w:rsidRDefault="00E93799">
      <w:pPr>
        <w:spacing w:after="0" w:line="240" w:lineRule="auto"/>
        <w:ind w:left="-2" w:firstLineChars="0" w:firstLine="0"/>
        <w:jc w:val="both"/>
        <w:rPr>
          <w:rFonts w:ascii="Times New Roman" w:eastAsia="Times New Roman" w:hAnsi="Times New Roman" w:cs="Times New Roman"/>
        </w:rPr>
      </w:pPr>
    </w:p>
    <w:p w14:paraId="108B51F7" w14:textId="72FEC349" w:rsidR="00D6600B" w:rsidRPr="0032028C" w:rsidRDefault="00D6600B" w:rsidP="00D6600B">
      <w:pPr>
        <w:spacing w:after="0" w:line="240" w:lineRule="auto"/>
        <w:ind w:left="0" w:hanging="2"/>
        <w:jc w:val="both"/>
        <w:textAlignment w:val="baseline"/>
        <w:rPr>
          <w:rFonts w:ascii="Times New Roman" w:eastAsia="Times New Roman" w:hAnsi="Times New Roman" w:cs="Times New Roman"/>
          <w:lang w:val="es-MX" w:bidi="es-ES"/>
        </w:rPr>
      </w:pPr>
      <w:r w:rsidRPr="0032028C">
        <w:rPr>
          <w:rFonts w:ascii="Times New Roman" w:eastAsia="Times New Roman" w:hAnsi="Times New Roman" w:cs="Times New Roman"/>
          <w:color w:val="000000"/>
          <w:lang w:eastAsia="es-ES"/>
        </w:rPr>
        <w:t>Los</w:t>
      </w:r>
      <w:r w:rsidR="00FF4C79" w:rsidRPr="0032028C">
        <w:rPr>
          <w:rFonts w:ascii="Times New Roman" w:eastAsia="Times New Roman" w:hAnsi="Times New Roman" w:cs="Times New Roman"/>
          <w:color w:val="000000"/>
          <w:lang w:eastAsia="es-ES"/>
        </w:rPr>
        <w:t xml:space="preserve"> Tenedor</w:t>
      </w:r>
      <w:r w:rsidRPr="0032028C">
        <w:rPr>
          <w:rFonts w:ascii="Times New Roman" w:eastAsia="Times New Roman" w:hAnsi="Times New Roman" w:cs="Times New Roman"/>
          <w:color w:val="000000"/>
          <w:lang w:eastAsia="es-ES"/>
        </w:rPr>
        <w:t>es</w:t>
      </w:r>
      <w:r w:rsidR="00FF4C79" w:rsidRPr="0032028C">
        <w:rPr>
          <w:rFonts w:ascii="Times New Roman" w:eastAsia="Times New Roman" w:hAnsi="Times New Roman" w:cs="Times New Roman"/>
          <w:color w:val="000000"/>
          <w:lang w:eastAsia="es-ES"/>
        </w:rPr>
        <w:t xml:space="preserve"> </w:t>
      </w:r>
      <w:r w:rsidRPr="0032028C">
        <w:rPr>
          <w:rFonts w:ascii="Times New Roman" w:eastAsia="Times New Roman" w:hAnsi="Times New Roman" w:cs="Times New Roman"/>
          <w:color w:val="000000"/>
          <w:lang w:eastAsia="es-ES"/>
        </w:rPr>
        <w:t xml:space="preserve">que remitan Manifestaciones de Consentimiento </w:t>
      </w:r>
      <w:r w:rsidR="00FF4C79" w:rsidRPr="0032028C">
        <w:rPr>
          <w:rFonts w:ascii="Times New Roman" w:eastAsia="Times New Roman" w:hAnsi="Times New Roman" w:cs="Times New Roman"/>
          <w:color w:val="000000"/>
          <w:lang w:eastAsia="es-ES"/>
        </w:rPr>
        <w:t>declara</w:t>
      </w:r>
      <w:r w:rsidRPr="0032028C">
        <w:rPr>
          <w:rFonts w:ascii="Times New Roman" w:eastAsia="Times New Roman" w:hAnsi="Times New Roman" w:cs="Times New Roman"/>
          <w:color w:val="000000"/>
          <w:lang w:eastAsia="es-ES"/>
        </w:rPr>
        <w:t>n</w:t>
      </w:r>
      <w:r w:rsidR="00FF4C79" w:rsidRPr="0032028C">
        <w:rPr>
          <w:rFonts w:ascii="Times New Roman" w:eastAsia="Times New Roman" w:hAnsi="Times New Roman" w:cs="Times New Roman"/>
          <w:color w:val="000000"/>
          <w:lang w:eastAsia="es-ES"/>
        </w:rPr>
        <w:t xml:space="preserve"> que </w:t>
      </w:r>
      <w:r w:rsidRPr="0032028C">
        <w:rPr>
          <w:rFonts w:ascii="Times New Roman" w:eastAsia="Times New Roman" w:hAnsi="Times New Roman" w:cs="Times New Roman"/>
          <w:color w:val="000000"/>
          <w:lang w:eastAsia="es-ES"/>
        </w:rPr>
        <w:t xml:space="preserve">dichas </w:t>
      </w:r>
      <w:r w:rsidR="00FF4C79" w:rsidRPr="0032028C">
        <w:rPr>
          <w:rFonts w:ascii="Times New Roman" w:eastAsia="Times New Roman" w:hAnsi="Times New Roman" w:cs="Times New Roman"/>
          <w:color w:val="000000"/>
          <w:lang w:eastAsia="es-ES"/>
        </w:rPr>
        <w:t>Manifestaci</w:t>
      </w:r>
      <w:r w:rsidRPr="0032028C">
        <w:rPr>
          <w:rFonts w:ascii="Times New Roman" w:eastAsia="Times New Roman" w:hAnsi="Times New Roman" w:cs="Times New Roman"/>
          <w:color w:val="000000"/>
          <w:lang w:eastAsia="es-ES"/>
        </w:rPr>
        <w:t>o</w:t>
      </w:r>
      <w:r w:rsidR="00FF4C79" w:rsidRPr="0032028C">
        <w:rPr>
          <w:rFonts w:ascii="Times New Roman" w:eastAsia="Times New Roman" w:hAnsi="Times New Roman" w:cs="Times New Roman"/>
          <w:color w:val="000000"/>
          <w:lang w:eastAsia="es-ES"/>
        </w:rPr>
        <w:t>n</w:t>
      </w:r>
      <w:r w:rsidRPr="0032028C">
        <w:rPr>
          <w:rFonts w:ascii="Times New Roman" w:eastAsia="Times New Roman" w:hAnsi="Times New Roman" w:cs="Times New Roman"/>
          <w:color w:val="000000"/>
          <w:lang w:eastAsia="es-ES"/>
        </w:rPr>
        <w:t>es</w:t>
      </w:r>
      <w:r w:rsidR="00FF4C79" w:rsidRPr="0032028C">
        <w:rPr>
          <w:rFonts w:ascii="Times New Roman" w:eastAsia="Times New Roman" w:hAnsi="Times New Roman" w:cs="Times New Roman"/>
          <w:color w:val="000000"/>
          <w:lang w:eastAsia="es-ES"/>
        </w:rPr>
        <w:t xml:space="preserve"> de Consentimiento </w:t>
      </w:r>
      <w:r w:rsidRPr="0032028C">
        <w:rPr>
          <w:rFonts w:ascii="Times New Roman" w:eastAsia="Times New Roman" w:hAnsi="Times New Roman" w:cs="Times New Roman"/>
          <w:color w:val="000000"/>
          <w:lang w:eastAsia="es-ES"/>
        </w:rPr>
        <w:t>son</w:t>
      </w:r>
      <w:r w:rsidR="00FF4C79" w:rsidRPr="0032028C">
        <w:rPr>
          <w:rFonts w:ascii="Times New Roman" w:eastAsia="Times New Roman" w:hAnsi="Times New Roman" w:cs="Times New Roman"/>
          <w:color w:val="000000"/>
          <w:lang w:eastAsia="es-ES"/>
        </w:rPr>
        <w:t xml:space="preserve"> irrevocable</w:t>
      </w:r>
      <w:r w:rsidRPr="0032028C">
        <w:rPr>
          <w:rFonts w:ascii="Times New Roman" w:eastAsia="Times New Roman" w:hAnsi="Times New Roman" w:cs="Times New Roman"/>
          <w:color w:val="000000"/>
          <w:lang w:eastAsia="es-ES"/>
        </w:rPr>
        <w:t>s</w:t>
      </w:r>
      <w:r w:rsidR="00FF4C79" w:rsidRPr="0032028C">
        <w:rPr>
          <w:rFonts w:ascii="Times New Roman" w:eastAsia="Times New Roman" w:hAnsi="Times New Roman" w:cs="Times New Roman"/>
          <w:color w:val="000000"/>
          <w:lang w:eastAsia="es-ES"/>
        </w:rPr>
        <w:t xml:space="preserve">, no pudiendo revocarse ni retirarse con posterioridad a su presentación (ni siquiera en caso de extensión de la Fecha Límite), excepto en caso que (i) la Sociedad haga pública una nueva propuesta de </w:t>
      </w:r>
      <w:r w:rsidRPr="0032028C">
        <w:rPr>
          <w:rFonts w:ascii="Times New Roman" w:eastAsia="Times New Roman" w:hAnsi="Times New Roman" w:cs="Times New Roman"/>
          <w:color w:val="000000"/>
          <w:lang w:eastAsia="es-ES"/>
        </w:rPr>
        <w:t>m</w:t>
      </w:r>
      <w:r w:rsidR="00FF4C79" w:rsidRPr="0032028C">
        <w:rPr>
          <w:rFonts w:ascii="Times New Roman" w:eastAsia="Times New Roman" w:hAnsi="Times New Roman" w:cs="Times New Roman"/>
          <w:color w:val="000000"/>
          <w:lang w:eastAsia="es-ES"/>
        </w:rPr>
        <w:t>odificación</w:t>
      </w:r>
      <w:r w:rsidRPr="0032028C">
        <w:rPr>
          <w:rFonts w:ascii="Times New Roman" w:eastAsia="Times New Roman" w:hAnsi="Times New Roman" w:cs="Times New Roman"/>
          <w:color w:val="000000"/>
          <w:lang w:eastAsia="es-ES"/>
        </w:rPr>
        <w:t xml:space="preserve"> de </w:t>
      </w:r>
      <w:r w:rsidRPr="0032028C">
        <w:rPr>
          <w:rFonts w:ascii="Times New Roman" w:eastAsia="Times New Roman" w:hAnsi="Times New Roman" w:cs="Times New Roman"/>
        </w:rPr>
        <w:t xml:space="preserve">ciertos términos y condiciones esenciales y no esenciales de </w:t>
      </w:r>
      <w:r w:rsidRPr="0032028C">
        <w:rPr>
          <w:rFonts w:ascii="Times New Roman" w:eastAsia="Times New Roman" w:hAnsi="Times New Roman" w:cs="Times New Roman"/>
          <w:lang w:bidi="es-ES"/>
        </w:rPr>
        <w:t>las Obligaciones Negociables</w:t>
      </w:r>
      <w:r w:rsidR="00FF4C79" w:rsidRPr="0032028C">
        <w:rPr>
          <w:rFonts w:ascii="Times New Roman" w:eastAsia="Times New Roman" w:hAnsi="Times New Roman" w:cs="Times New Roman"/>
          <w:color w:val="000000"/>
          <w:lang w:eastAsia="es-ES"/>
        </w:rPr>
        <w:t xml:space="preserve"> (la “</w:t>
      </w:r>
      <w:r w:rsidR="00FF4C79" w:rsidRPr="0032028C">
        <w:rPr>
          <w:rFonts w:ascii="Times New Roman" w:eastAsia="Times New Roman" w:hAnsi="Times New Roman" w:cs="Times New Roman"/>
          <w:color w:val="000000"/>
          <w:u w:val="single"/>
          <w:lang w:eastAsia="es-ES"/>
        </w:rPr>
        <w:t>Nueva Modificación</w:t>
      </w:r>
      <w:r w:rsidR="00FF4C79" w:rsidRPr="0032028C">
        <w:rPr>
          <w:rFonts w:ascii="Times New Roman" w:eastAsia="Times New Roman" w:hAnsi="Times New Roman" w:cs="Times New Roman"/>
          <w:color w:val="000000"/>
          <w:lang w:eastAsia="es-ES"/>
        </w:rPr>
        <w:t>”); y (ii) la Nueva Modificación reduzca las tasas de interés propuestas en la Modificación</w:t>
      </w:r>
      <w:r w:rsidR="00ED2907" w:rsidRPr="0032028C">
        <w:rPr>
          <w:rFonts w:ascii="Times New Roman" w:eastAsia="Times New Roman" w:hAnsi="Times New Roman" w:cs="Times New Roman"/>
          <w:color w:val="000000"/>
          <w:lang w:eastAsia="es-ES"/>
        </w:rPr>
        <w:t xml:space="preserve"> </w:t>
      </w:r>
      <w:r w:rsidRPr="0032028C">
        <w:rPr>
          <w:rFonts w:ascii="Times New Roman" w:eastAsia="Times New Roman" w:hAnsi="Times New Roman" w:cs="Times New Roman"/>
          <w:color w:val="000000"/>
          <w:lang w:eastAsia="es-ES"/>
        </w:rPr>
        <w:t>P</w:t>
      </w:r>
      <w:r w:rsidR="00ED2907" w:rsidRPr="0032028C">
        <w:rPr>
          <w:rFonts w:ascii="Times New Roman" w:eastAsia="Times New Roman" w:hAnsi="Times New Roman" w:cs="Times New Roman"/>
          <w:color w:val="000000"/>
          <w:lang w:eastAsia="es-ES"/>
        </w:rPr>
        <w:t>ropuesta</w:t>
      </w:r>
      <w:r w:rsidR="00FF4C79" w:rsidRPr="0032028C">
        <w:rPr>
          <w:rFonts w:ascii="Times New Roman" w:eastAsia="Times New Roman" w:hAnsi="Times New Roman" w:cs="Times New Roman"/>
          <w:color w:val="000000"/>
          <w:lang w:eastAsia="es-ES"/>
        </w:rPr>
        <w:t xml:space="preserve">, y/o retrase las </w:t>
      </w:r>
      <w:r w:rsidR="00FF4C79" w:rsidRPr="0032028C">
        <w:rPr>
          <w:rFonts w:ascii="Times New Roman" w:eastAsia="Times New Roman" w:hAnsi="Times New Roman" w:cs="Times New Roman"/>
          <w:lang w:val="es-AR" w:bidi="es-ES"/>
        </w:rPr>
        <w:t xml:space="preserve">Fechas de Amortización </w:t>
      </w:r>
      <w:r w:rsidR="00ED2907" w:rsidRPr="0032028C">
        <w:rPr>
          <w:rFonts w:ascii="Times New Roman" w:eastAsia="Times New Roman" w:hAnsi="Times New Roman" w:cs="Times New Roman"/>
          <w:lang w:val="es-AR" w:bidi="es-ES"/>
        </w:rPr>
        <w:t>de las Obligaciones Negociables</w:t>
      </w:r>
      <w:r w:rsidR="00FF4C79" w:rsidRPr="0032028C">
        <w:rPr>
          <w:rFonts w:ascii="Times New Roman" w:eastAsia="Times New Roman" w:hAnsi="Times New Roman" w:cs="Times New Roman"/>
          <w:lang w:val="es-AR" w:bidi="es-ES"/>
        </w:rPr>
        <w:t xml:space="preserve"> </w:t>
      </w:r>
      <w:r w:rsidRPr="0032028C">
        <w:rPr>
          <w:rFonts w:ascii="Times New Roman" w:eastAsia="Times New Roman" w:hAnsi="Times New Roman" w:cs="Times New Roman"/>
          <w:lang w:val="es-AR" w:bidi="es-ES"/>
        </w:rPr>
        <w:t>establecidas en la</w:t>
      </w:r>
      <w:r w:rsidR="00FF4C79" w:rsidRPr="0032028C">
        <w:rPr>
          <w:rFonts w:ascii="Times New Roman" w:eastAsia="Times New Roman" w:hAnsi="Times New Roman" w:cs="Times New Roman"/>
          <w:lang w:val="es-AR" w:bidi="es-ES"/>
        </w:rPr>
        <w:t xml:space="preserve"> Modificación</w:t>
      </w:r>
      <w:r w:rsidR="00ED2907" w:rsidRPr="0032028C">
        <w:rPr>
          <w:rFonts w:ascii="Times New Roman" w:eastAsia="Times New Roman" w:hAnsi="Times New Roman" w:cs="Times New Roman"/>
          <w:lang w:val="es-AR" w:bidi="es-ES"/>
        </w:rPr>
        <w:t xml:space="preserve"> Propuesta</w:t>
      </w:r>
      <w:r w:rsidRPr="0032028C">
        <w:rPr>
          <w:rFonts w:ascii="Times New Roman" w:eastAsia="Times New Roman" w:hAnsi="Times New Roman" w:cs="Times New Roman"/>
          <w:lang w:val="es-AR" w:bidi="es-ES"/>
        </w:rPr>
        <w:t xml:space="preserve"> y/o</w:t>
      </w:r>
      <w:r w:rsidR="00FF4C79" w:rsidRPr="0032028C">
        <w:rPr>
          <w:rFonts w:ascii="Times New Roman" w:eastAsia="Times New Roman" w:hAnsi="Times New Roman" w:cs="Times New Roman"/>
          <w:lang w:val="es-AR" w:bidi="es-ES"/>
        </w:rPr>
        <w:t xml:space="preserve"> elimine alguna de las garantías adicionales </w:t>
      </w:r>
      <w:r w:rsidR="00FF4C79" w:rsidRPr="0032028C">
        <w:rPr>
          <w:rFonts w:ascii="Times New Roman" w:eastAsia="Times New Roman" w:hAnsi="Times New Roman" w:cs="Times New Roman"/>
          <w:lang w:val="es-AR" w:bidi="es-ES"/>
        </w:rPr>
        <w:lastRenderedPageBreak/>
        <w:t xml:space="preserve">previstas en </w:t>
      </w:r>
      <w:r w:rsidRPr="0032028C">
        <w:rPr>
          <w:rFonts w:ascii="Times New Roman" w:eastAsia="Times New Roman" w:hAnsi="Times New Roman" w:cs="Times New Roman"/>
          <w:lang w:val="es-AR" w:bidi="es-ES"/>
        </w:rPr>
        <w:t>el apartado “</w:t>
      </w:r>
      <w:r w:rsidRPr="0032028C">
        <w:rPr>
          <w:rFonts w:ascii="Times New Roman" w:eastAsia="Times New Roman" w:hAnsi="Times New Roman" w:cs="Times New Roman"/>
          <w:i/>
          <w:lang w:bidi="es-ES"/>
        </w:rPr>
        <w:t xml:space="preserve">Ampliación y modificación de la Garantía de las </w:t>
      </w:r>
      <w:r w:rsidRPr="0032028C">
        <w:rPr>
          <w:rFonts w:ascii="Times New Roman" w:eastAsia="Times New Roman" w:hAnsi="Times New Roman" w:cs="Times New Roman"/>
          <w:i/>
          <w:lang w:val="es-MX" w:bidi="es-ES"/>
        </w:rPr>
        <w:t>Obligaciones Negociables</w:t>
      </w:r>
      <w:r w:rsidRPr="0032028C">
        <w:rPr>
          <w:rFonts w:ascii="Times New Roman" w:eastAsia="Times New Roman" w:hAnsi="Times New Roman" w:cs="Times New Roman"/>
          <w:lang w:val="es-MX" w:bidi="es-ES"/>
        </w:rPr>
        <w:t>” de la presente Solicitud de Consentimiento.</w:t>
      </w:r>
    </w:p>
    <w:p w14:paraId="5453D1D1" w14:textId="77777777" w:rsidR="00FF4C79" w:rsidRPr="0032028C" w:rsidRDefault="00FF4C79">
      <w:pPr>
        <w:spacing w:after="0" w:line="240" w:lineRule="auto"/>
        <w:ind w:left="-2" w:firstLineChars="0" w:firstLine="0"/>
        <w:jc w:val="both"/>
        <w:rPr>
          <w:rFonts w:ascii="Times New Roman" w:eastAsia="Times New Roman" w:hAnsi="Times New Roman" w:cs="Times New Roman"/>
        </w:rPr>
      </w:pPr>
    </w:p>
    <w:p w14:paraId="6CA92EDF" w14:textId="7787C73B" w:rsidR="00F906C6" w:rsidRPr="0032028C" w:rsidRDefault="00BC164A">
      <w:pPr>
        <w:spacing w:after="0" w:line="240" w:lineRule="auto"/>
        <w:ind w:left="-2" w:firstLineChars="0" w:firstLine="0"/>
        <w:jc w:val="both"/>
        <w:rPr>
          <w:rFonts w:ascii="Times New Roman" w:eastAsia="Times New Roman" w:hAnsi="Times New Roman" w:cs="Times New Roman"/>
        </w:rPr>
      </w:pPr>
      <w:r w:rsidRPr="0032028C">
        <w:rPr>
          <w:rFonts w:ascii="Times New Roman" w:eastAsia="Times New Roman" w:hAnsi="Times New Roman" w:cs="Times New Roman"/>
        </w:rPr>
        <w:t xml:space="preserve">La Sociedad determinará todas las cuestiones </w:t>
      </w:r>
      <w:r w:rsidR="00E93799" w:rsidRPr="0032028C">
        <w:rPr>
          <w:rFonts w:ascii="Times New Roman" w:eastAsia="Times New Roman" w:hAnsi="Times New Roman" w:cs="Times New Roman"/>
        </w:rPr>
        <w:t>relativas</w:t>
      </w:r>
      <w:r w:rsidRPr="0032028C">
        <w:rPr>
          <w:rFonts w:ascii="Times New Roman" w:eastAsia="Times New Roman" w:hAnsi="Times New Roman" w:cs="Times New Roman"/>
        </w:rPr>
        <w:t xml:space="preserve"> a la validez, forma, fecha de recepción y recaudos formales de las Manifestaciones de Consentimiento y </w:t>
      </w:r>
      <w:r w:rsidR="00555D8E" w:rsidRPr="0032028C">
        <w:rPr>
          <w:rFonts w:ascii="Times New Roman" w:eastAsia="Times New Roman" w:hAnsi="Times New Roman" w:cs="Times New Roman"/>
        </w:rPr>
        <w:t>de la obtención</w:t>
      </w:r>
      <w:r w:rsidRPr="0032028C">
        <w:rPr>
          <w:rFonts w:ascii="Times New Roman" w:eastAsia="Times New Roman" w:hAnsi="Times New Roman" w:cs="Times New Roman"/>
        </w:rPr>
        <w:t xml:space="preserve"> de</w:t>
      </w:r>
      <w:r w:rsidR="009C2A02" w:rsidRPr="0032028C">
        <w:rPr>
          <w:rFonts w:ascii="Times New Roman" w:eastAsia="Times New Roman" w:hAnsi="Times New Roman" w:cs="Times New Roman"/>
        </w:rPr>
        <w:t>l consentimiento de</w:t>
      </w:r>
      <w:r w:rsidRPr="0032028C">
        <w:rPr>
          <w:rFonts w:ascii="Times New Roman" w:eastAsia="Times New Roman" w:hAnsi="Times New Roman" w:cs="Times New Roman"/>
        </w:rPr>
        <w:t xml:space="preserve"> la Mayoría Necesaria. La interpretación de la presente Solicitud de Consentimiento</w:t>
      </w:r>
      <w:r w:rsidR="005A1147" w:rsidRPr="0032028C">
        <w:rPr>
          <w:rFonts w:ascii="Times New Roman" w:eastAsia="Times New Roman" w:hAnsi="Times New Roman" w:cs="Times New Roman"/>
        </w:rPr>
        <w:t xml:space="preserve"> y de la</w:t>
      </w:r>
      <w:r w:rsidR="00EA20B7">
        <w:rPr>
          <w:rFonts w:ascii="Times New Roman" w:eastAsia="Times New Roman" w:hAnsi="Times New Roman" w:cs="Times New Roman"/>
        </w:rPr>
        <w:t>s</w:t>
      </w:r>
      <w:r w:rsidR="005A1147" w:rsidRPr="0032028C">
        <w:rPr>
          <w:rFonts w:ascii="Times New Roman" w:eastAsia="Times New Roman" w:hAnsi="Times New Roman" w:cs="Times New Roman"/>
        </w:rPr>
        <w:t xml:space="preserve"> Manifestaci</w:t>
      </w:r>
      <w:r w:rsidR="00D6600B" w:rsidRPr="0032028C">
        <w:rPr>
          <w:rFonts w:ascii="Times New Roman" w:eastAsia="Times New Roman" w:hAnsi="Times New Roman" w:cs="Times New Roman"/>
        </w:rPr>
        <w:t>o</w:t>
      </w:r>
      <w:r w:rsidR="005A1147" w:rsidRPr="0032028C">
        <w:rPr>
          <w:rFonts w:ascii="Times New Roman" w:eastAsia="Times New Roman" w:hAnsi="Times New Roman" w:cs="Times New Roman"/>
        </w:rPr>
        <w:t>n</w:t>
      </w:r>
      <w:r w:rsidR="00D6600B" w:rsidRPr="0032028C">
        <w:rPr>
          <w:rFonts w:ascii="Times New Roman" w:eastAsia="Times New Roman" w:hAnsi="Times New Roman" w:cs="Times New Roman"/>
        </w:rPr>
        <w:t>es</w:t>
      </w:r>
      <w:r w:rsidR="005A1147" w:rsidRPr="0032028C">
        <w:rPr>
          <w:rFonts w:ascii="Times New Roman" w:eastAsia="Times New Roman" w:hAnsi="Times New Roman" w:cs="Times New Roman"/>
        </w:rPr>
        <w:t xml:space="preserve"> de Consentimiento será</w:t>
      </w:r>
      <w:r w:rsidR="00D6600B" w:rsidRPr="0032028C">
        <w:rPr>
          <w:rFonts w:ascii="Times New Roman" w:eastAsia="Times New Roman" w:hAnsi="Times New Roman" w:cs="Times New Roman"/>
        </w:rPr>
        <w:t>n</w:t>
      </w:r>
      <w:r w:rsidR="005A1147" w:rsidRPr="0032028C">
        <w:rPr>
          <w:rFonts w:ascii="Times New Roman" w:eastAsia="Times New Roman" w:hAnsi="Times New Roman" w:cs="Times New Roman"/>
        </w:rPr>
        <w:t xml:space="preserve"> efectuada</w:t>
      </w:r>
      <w:r w:rsidR="00D6600B" w:rsidRPr="0032028C">
        <w:rPr>
          <w:rFonts w:ascii="Times New Roman" w:eastAsia="Times New Roman" w:hAnsi="Times New Roman" w:cs="Times New Roman"/>
        </w:rPr>
        <w:t>s</w:t>
      </w:r>
      <w:r w:rsidR="005A1147" w:rsidRPr="0032028C">
        <w:rPr>
          <w:rFonts w:ascii="Times New Roman" w:eastAsia="Times New Roman" w:hAnsi="Times New Roman" w:cs="Times New Roman"/>
        </w:rPr>
        <w:t xml:space="preserve"> por la Sociedad y tendrá</w:t>
      </w:r>
      <w:r w:rsidR="00D6600B" w:rsidRPr="0032028C">
        <w:rPr>
          <w:rFonts w:ascii="Times New Roman" w:eastAsia="Times New Roman" w:hAnsi="Times New Roman" w:cs="Times New Roman"/>
        </w:rPr>
        <w:t>n</w:t>
      </w:r>
      <w:r w:rsidR="005A1147" w:rsidRPr="0032028C">
        <w:rPr>
          <w:rFonts w:ascii="Times New Roman" w:eastAsia="Times New Roman" w:hAnsi="Times New Roman" w:cs="Times New Roman"/>
        </w:rPr>
        <w:t xml:space="preserve"> carácter definitivo y concluyente, sin que </w:t>
      </w:r>
      <w:r w:rsidR="00D6600B" w:rsidRPr="0032028C">
        <w:rPr>
          <w:rFonts w:ascii="Times New Roman" w:eastAsia="Times New Roman" w:hAnsi="Times New Roman" w:cs="Times New Roman"/>
        </w:rPr>
        <w:t xml:space="preserve">la Sociedad </w:t>
      </w:r>
      <w:r w:rsidR="005A1147" w:rsidRPr="0032028C">
        <w:rPr>
          <w:rFonts w:ascii="Times New Roman" w:eastAsia="Times New Roman" w:hAnsi="Times New Roman" w:cs="Times New Roman"/>
        </w:rPr>
        <w:t>esté obligada a notificar cualquier irregularidad en las presentaciones efectuadas por los Tenedores o sus agentes.</w:t>
      </w:r>
    </w:p>
    <w:p w14:paraId="05079B79" w14:textId="0FE41873" w:rsidR="00E93799" w:rsidRPr="0032028C" w:rsidRDefault="00E93799">
      <w:pPr>
        <w:spacing w:after="0" w:line="240" w:lineRule="auto"/>
        <w:ind w:left="-2" w:firstLineChars="0" w:firstLine="0"/>
        <w:jc w:val="both"/>
        <w:rPr>
          <w:rFonts w:ascii="Times New Roman" w:eastAsia="Times New Roman" w:hAnsi="Times New Roman" w:cs="Times New Roman"/>
        </w:rPr>
      </w:pPr>
    </w:p>
    <w:p w14:paraId="46DA9A53" w14:textId="561CD5E4" w:rsidR="008C5B28" w:rsidRPr="0032028C" w:rsidRDefault="00D106B9">
      <w:pPr>
        <w:spacing w:after="0" w:line="240" w:lineRule="auto"/>
        <w:ind w:left="-2" w:firstLineChars="0" w:firstLine="0"/>
        <w:jc w:val="both"/>
        <w:rPr>
          <w:rFonts w:ascii="Times New Roman" w:eastAsia="Times New Roman" w:hAnsi="Times New Roman" w:cs="Times New Roman"/>
        </w:rPr>
      </w:pPr>
      <w:r w:rsidRPr="0032028C">
        <w:rPr>
          <w:rFonts w:ascii="Times New Roman" w:eastAsia="Times New Roman" w:hAnsi="Times New Roman" w:cs="Times New Roman"/>
        </w:rPr>
        <w:t>S</w:t>
      </w:r>
      <w:r w:rsidR="00F77139" w:rsidRPr="0032028C">
        <w:rPr>
          <w:rFonts w:ascii="Times New Roman" w:eastAsia="Times New Roman" w:hAnsi="Times New Roman" w:cs="Times New Roman"/>
        </w:rPr>
        <w:t xml:space="preserve">e pone en conocimiento del público inversor que, </w:t>
      </w:r>
      <w:r w:rsidR="00200CB4" w:rsidRPr="0032028C">
        <w:rPr>
          <w:rFonts w:ascii="Times New Roman" w:eastAsia="Times New Roman" w:hAnsi="Times New Roman" w:cs="Times New Roman"/>
        </w:rPr>
        <w:t>en caso que la Sociedad obtenga</w:t>
      </w:r>
      <w:r w:rsidR="009C2A02" w:rsidRPr="0032028C">
        <w:rPr>
          <w:rFonts w:ascii="Times New Roman" w:eastAsia="Times New Roman" w:hAnsi="Times New Roman" w:cs="Times New Roman"/>
        </w:rPr>
        <w:t xml:space="preserve"> el consentimiento de</w:t>
      </w:r>
      <w:r w:rsidR="00200CB4" w:rsidRPr="0032028C">
        <w:rPr>
          <w:rFonts w:ascii="Times New Roman" w:eastAsia="Times New Roman" w:hAnsi="Times New Roman" w:cs="Times New Roman"/>
        </w:rPr>
        <w:t xml:space="preserve"> la</w:t>
      </w:r>
      <w:r w:rsidR="00302D17" w:rsidRPr="0032028C">
        <w:rPr>
          <w:rFonts w:ascii="Times New Roman" w:eastAsia="Times New Roman" w:hAnsi="Times New Roman" w:cs="Times New Roman"/>
        </w:rPr>
        <w:t xml:space="preserve"> Mayoría Necesaria</w:t>
      </w:r>
      <w:r w:rsidR="00500C00" w:rsidRPr="0032028C">
        <w:rPr>
          <w:rFonts w:ascii="Times New Roman" w:eastAsia="Times New Roman" w:hAnsi="Times New Roman" w:cs="Times New Roman"/>
        </w:rPr>
        <w:t xml:space="preserve"> </w:t>
      </w:r>
      <w:r w:rsidR="00D54B39" w:rsidRPr="0032028C">
        <w:rPr>
          <w:rFonts w:ascii="Times New Roman" w:eastAsia="Times New Roman" w:hAnsi="Times New Roman" w:cs="Times New Roman"/>
        </w:rPr>
        <w:t>de las Obligaciones Negociables</w:t>
      </w:r>
      <w:r w:rsidR="00200CB4" w:rsidRPr="0032028C">
        <w:rPr>
          <w:rFonts w:ascii="Times New Roman" w:eastAsia="Times New Roman" w:hAnsi="Times New Roman" w:cs="Times New Roman"/>
        </w:rPr>
        <w:t xml:space="preserve">, la Modificación </w:t>
      </w:r>
      <w:r w:rsidR="00D54B39" w:rsidRPr="0032028C">
        <w:rPr>
          <w:rFonts w:ascii="Times New Roman" w:eastAsia="Times New Roman" w:hAnsi="Times New Roman" w:cs="Times New Roman"/>
        </w:rPr>
        <w:t>Propuesta</w:t>
      </w:r>
      <w:r w:rsidR="00C21941" w:rsidRPr="0032028C">
        <w:rPr>
          <w:rFonts w:ascii="Times New Roman" w:eastAsia="Times New Roman" w:hAnsi="Times New Roman" w:cs="Times New Roman"/>
        </w:rPr>
        <w:t xml:space="preserve"> </w:t>
      </w:r>
      <w:r w:rsidR="00200CB4" w:rsidRPr="0032028C">
        <w:rPr>
          <w:rFonts w:ascii="Times New Roman" w:eastAsia="Times New Roman" w:hAnsi="Times New Roman" w:cs="Times New Roman"/>
        </w:rPr>
        <w:t xml:space="preserve">será concluyente y obligatoria para todos los Tenedores, hayan efectuado la Manifestación de Consentimiento o no, y también lo será para todos los futuros tenedores de </w:t>
      </w:r>
      <w:r w:rsidR="00575A87" w:rsidRPr="0032028C">
        <w:rPr>
          <w:rFonts w:ascii="Times New Roman" w:eastAsia="Times New Roman" w:hAnsi="Times New Roman" w:cs="Times New Roman"/>
        </w:rPr>
        <w:t>las</w:t>
      </w:r>
      <w:r w:rsidR="00200CB4" w:rsidRPr="0032028C">
        <w:rPr>
          <w:rFonts w:ascii="Times New Roman" w:eastAsia="Times New Roman" w:hAnsi="Times New Roman" w:cs="Times New Roman"/>
        </w:rPr>
        <w:t xml:space="preserve"> Obligaciones Negociables. </w:t>
      </w:r>
    </w:p>
    <w:p w14:paraId="1E9BDBD0" w14:textId="77777777" w:rsidR="008C5B28" w:rsidRPr="0032028C" w:rsidRDefault="008C5B28">
      <w:pPr>
        <w:spacing w:after="0" w:line="240" w:lineRule="auto"/>
        <w:ind w:left="-2" w:firstLineChars="0" w:firstLine="0"/>
        <w:jc w:val="both"/>
        <w:rPr>
          <w:rFonts w:ascii="Times New Roman" w:eastAsia="Times New Roman" w:hAnsi="Times New Roman" w:cs="Times New Roman"/>
        </w:rPr>
      </w:pPr>
    </w:p>
    <w:p w14:paraId="1A7F5182" w14:textId="496DAA4F" w:rsidR="00F53443" w:rsidRPr="00214269" w:rsidRDefault="00200CB4">
      <w:pPr>
        <w:spacing w:after="0" w:line="240" w:lineRule="auto"/>
        <w:ind w:left="-2" w:firstLineChars="0" w:firstLine="0"/>
        <w:jc w:val="both"/>
        <w:rPr>
          <w:rFonts w:ascii="Times New Roman" w:eastAsia="Times New Roman" w:hAnsi="Times New Roman" w:cs="Times New Roman"/>
        </w:rPr>
      </w:pPr>
      <w:r w:rsidRPr="0032028C">
        <w:rPr>
          <w:rFonts w:ascii="Times New Roman" w:eastAsia="Times New Roman" w:hAnsi="Times New Roman" w:cs="Times New Roman"/>
        </w:rPr>
        <w:t>En este caso, la Modificación</w:t>
      </w:r>
      <w:r w:rsidR="00D54B39" w:rsidRPr="0032028C">
        <w:rPr>
          <w:rFonts w:ascii="Times New Roman" w:eastAsia="Times New Roman" w:hAnsi="Times New Roman" w:cs="Times New Roman"/>
        </w:rPr>
        <w:t xml:space="preserve"> Propuesta</w:t>
      </w:r>
      <w:r w:rsidRPr="0032028C">
        <w:rPr>
          <w:rFonts w:ascii="Times New Roman" w:eastAsia="Times New Roman" w:hAnsi="Times New Roman" w:cs="Times New Roman"/>
        </w:rPr>
        <w:t xml:space="preserve"> se</w:t>
      </w:r>
      <w:r w:rsidR="00162133" w:rsidRPr="0032028C">
        <w:rPr>
          <w:rFonts w:ascii="Times New Roman" w:eastAsia="Times New Roman" w:hAnsi="Times New Roman" w:cs="Times New Roman"/>
        </w:rPr>
        <w:t xml:space="preserve"> reflejará en los documentos correspondientes, mediante</w:t>
      </w:r>
      <w:r w:rsidRPr="0032028C">
        <w:rPr>
          <w:rFonts w:ascii="Times New Roman" w:eastAsia="Times New Roman" w:hAnsi="Times New Roman" w:cs="Times New Roman"/>
        </w:rPr>
        <w:t xml:space="preserve"> </w:t>
      </w:r>
      <w:r w:rsidRPr="0032028C">
        <w:rPr>
          <w:rFonts w:ascii="Times New Roman" w:eastAsia="Times New Roman" w:hAnsi="Times New Roman" w:cs="Times New Roman"/>
          <w:b/>
        </w:rPr>
        <w:t>(a)</w:t>
      </w:r>
      <w:r w:rsidRPr="0032028C">
        <w:rPr>
          <w:rFonts w:ascii="Times New Roman" w:eastAsia="Times New Roman" w:hAnsi="Times New Roman" w:cs="Times New Roman"/>
        </w:rPr>
        <w:t xml:space="preserve"> la </w:t>
      </w:r>
      <w:r w:rsidR="00162133" w:rsidRPr="0032028C">
        <w:rPr>
          <w:rFonts w:ascii="Times New Roman" w:eastAsia="Times New Roman" w:hAnsi="Times New Roman" w:cs="Times New Roman"/>
        </w:rPr>
        <w:t xml:space="preserve">instrumentación de la </w:t>
      </w:r>
      <w:r w:rsidR="00B8473F" w:rsidRPr="0032028C">
        <w:rPr>
          <w:rFonts w:ascii="Times New Roman" w:eastAsia="Times New Roman" w:hAnsi="Times New Roman" w:cs="Times New Roman"/>
        </w:rPr>
        <w:t>Tercera</w:t>
      </w:r>
      <w:r w:rsidR="004F05C0" w:rsidRPr="0032028C">
        <w:rPr>
          <w:rFonts w:ascii="Times New Roman" w:eastAsia="Times New Roman" w:hAnsi="Times New Roman" w:cs="Times New Roman"/>
        </w:rPr>
        <w:t xml:space="preserve"> Adenda</w:t>
      </w:r>
      <w:r w:rsidRPr="0032028C">
        <w:rPr>
          <w:rFonts w:ascii="Times New Roman" w:eastAsia="Times New Roman" w:hAnsi="Times New Roman" w:cs="Times New Roman"/>
        </w:rPr>
        <w:t xml:space="preserve">; </w:t>
      </w:r>
      <w:r w:rsidRPr="0032028C">
        <w:rPr>
          <w:rFonts w:ascii="Times New Roman" w:eastAsia="Times New Roman" w:hAnsi="Times New Roman" w:cs="Times New Roman"/>
          <w:b/>
        </w:rPr>
        <w:t>(b)</w:t>
      </w:r>
      <w:r w:rsidRPr="0032028C">
        <w:rPr>
          <w:rFonts w:ascii="Times New Roman" w:eastAsia="Times New Roman" w:hAnsi="Times New Roman" w:cs="Times New Roman"/>
        </w:rPr>
        <w:t xml:space="preserve"> el reemplazo </w:t>
      </w:r>
      <w:r w:rsidR="00895164" w:rsidRPr="0032028C">
        <w:rPr>
          <w:rFonts w:ascii="Times New Roman" w:eastAsia="Times New Roman" w:hAnsi="Times New Roman" w:cs="Times New Roman"/>
        </w:rPr>
        <w:t>del certificado global correspondiente</w:t>
      </w:r>
      <w:r w:rsidRPr="0032028C">
        <w:rPr>
          <w:rFonts w:ascii="Times New Roman" w:eastAsia="Times New Roman" w:hAnsi="Times New Roman" w:cs="Times New Roman"/>
        </w:rPr>
        <w:t xml:space="preserve"> a las Obligaciones Negociables</w:t>
      </w:r>
      <w:r w:rsidR="003A1A02" w:rsidRPr="0032028C">
        <w:rPr>
          <w:rFonts w:ascii="Times New Roman" w:eastAsia="Times New Roman" w:hAnsi="Times New Roman" w:cs="Times New Roman"/>
        </w:rPr>
        <w:t>,</w:t>
      </w:r>
      <w:r w:rsidRPr="0032028C">
        <w:rPr>
          <w:rFonts w:ascii="Times New Roman" w:eastAsia="Times New Roman" w:hAnsi="Times New Roman" w:cs="Times New Roman"/>
        </w:rPr>
        <w:t xml:space="preserve"> que se encuentran depositados en Caja de Valores S.A.</w:t>
      </w:r>
      <w:r w:rsidR="00500C00" w:rsidRPr="0032028C">
        <w:rPr>
          <w:rFonts w:ascii="Times New Roman" w:eastAsia="Times New Roman" w:hAnsi="Times New Roman" w:cs="Times New Roman"/>
        </w:rPr>
        <w:t xml:space="preserve">; y </w:t>
      </w:r>
      <w:r w:rsidR="00500C00" w:rsidRPr="0032028C">
        <w:rPr>
          <w:rFonts w:ascii="Times New Roman" w:eastAsia="Times New Roman" w:hAnsi="Times New Roman" w:cs="Times New Roman"/>
          <w:b/>
        </w:rPr>
        <w:t xml:space="preserve">(c) </w:t>
      </w:r>
      <w:r w:rsidR="00500C00" w:rsidRPr="0032028C">
        <w:rPr>
          <w:rFonts w:ascii="Times New Roman" w:eastAsia="Times New Roman" w:hAnsi="Times New Roman" w:cs="Times New Roman"/>
        </w:rPr>
        <w:t>la suscripción</w:t>
      </w:r>
      <w:r w:rsidR="004B5F0F" w:rsidRPr="0032028C">
        <w:rPr>
          <w:rFonts w:ascii="Times New Roman" w:eastAsia="Times New Roman" w:hAnsi="Times New Roman" w:cs="Times New Roman"/>
        </w:rPr>
        <w:t xml:space="preserve">, no más allá de los </w:t>
      </w:r>
      <w:r w:rsidR="007A3861" w:rsidRPr="0032028C">
        <w:rPr>
          <w:rFonts w:ascii="Times New Roman" w:eastAsia="Times New Roman" w:hAnsi="Times New Roman" w:cs="Times New Roman"/>
        </w:rPr>
        <w:t xml:space="preserve">sesenta </w:t>
      </w:r>
      <w:r w:rsidR="004B5F0F" w:rsidRPr="0032028C">
        <w:rPr>
          <w:rFonts w:ascii="Times New Roman" w:eastAsia="Times New Roman" w:hAnsi="Times New Roman" w:cs="Times New Roman"/>
        </w:rPr>
        <w:t>días hábiles inmediatamente siguientes a la Fecha Límite,</w:t>
      </w:r>
      <w:r w:rsidR="00500C00" w:rsidRPr="0032028C">
        <w:rPr>
          <w:rFonts w:ascii="Times New Roman" w:eastAsia="Times New Roman" w:hAnsi="Times New Roman" w:cs="Times New Roman"/>
        </w:rPr>
        <w:t xml:space="preserve"> de (i) </w:t>
      </w:r>
      <w:r w:rsidR="007A3861" w:rsidRPr="0032028C">
        <w:rPr>
          <w:rFonts w:ascii="Times New Roman" w:eastAsia="Times New Roman" w:hAnsi="Times New Roman" w:cs="Times New Roman"/>
        </w:rPr>
        <w:t>un acuerdo de terminación</w:t>
      </w:r>
      <w:r w:rsidR="00500C00" w:rsidRPr="0032028C">
        <w:rPr>
          <w:rFonts w:ascii="Times New Roman" w:eastAsia="Times New Roman" w:hAnsi="Times New Roman" w:cs="Times New Roman"/>
        </w:rPr>
        <w:t xml:space="preserve"> del Contrato de Cesión Pasiva, entre la Sociedad y</w:t>
      </w:r>
      <w:r w:rsidR="002910DD">
        <w:rPr>
          <w:rFonts w:ascii="Times New Roman" w:eastAsia="Times New Roman" w:hAnsi="Times New Roman" w:cs="Times New Roman"/>
        </w:rPr>
        <w:t xml:space="preserve"> el </w:t>
      </w:r>
      <w:r w:rsidR="00500C00" w:rsidRPr="0032028C">
        <w:rPr>
          <w:rFonts w:ascii="Times New Roman" w:eastAsia="Times New Roman" w:hAnsi="Times New Roman" w:cs="Times New Roman"/>
        </w:rPr>
        <w:t>Agente de la Garantía; (ii) un contrato de fideicomiso</w:t>
      </w:r>
      <w:r w:rsidR="003D6142" w:rsidRPr="0032028C">
        <w:rPr>
          <w:rFonts w:ascii="Times New Roman" w:eastAsia="Times New Roman" w:hAnsi="Times New Roman" w:cs="Times New Roman"/>
        </w:rPr>
        <w:t xml:space="preserve"> para la creación del Fideicomiso</w:t>
      </w:r>
      <w:r w:rsidR="00B8473F" w:rsidRPr="0032028C">
        <w:rPr>
          <w:rFonts w:ascii="Times New Roman" w:eastAsia="Times New Roman" w:hAnsi="Times New Roman" w:cs="Times New Roman"/>
        </w:rPr>
        <w:t xml:space="preserve"> MPN</w:t>
      </w:r>
      <w:r w:rsidR="00500C00" w:rsidRPr="0032028C">
        <w:rPr>
          <w:rFonts w:ascii="Times New Roman" w:eastAsia="Times New Roman" w:hAnsi="Times New Roman" w:cs="Times New Roman"/>
        </w:rPr>
        <w:t xml:space="preserve">, entre la Sociedad y </w:t>
      </w:r>
      <w:r w:rsidR="00D4207E">
        <w:rPr>
          <w:rFonts w:ascii="Times New Roman" w:eastAsia="Times New Roman" w:hAnsi="Times New Roman" w:cs="Times New Roman"/>
        </w:rPr>
        <w:t>e</w:t>
      </w:r>
      <w:r w:rsidR="000F1B8A">
        <w:rPr>
          <w:rFonts w:ascii="Times New Roman" w:eastAsia="Times New Roman" w:hAnsi="Times New Roman" w:cs="Times New Roman"/>
        </w:rPr>
        <w:t>l</w:t>
      </w:r>
      <w:r w:rsidR="00B8473F" w:rsidRPr="0032028C">
        <w:rPr>
          <w:rFonts w:ascii="Times New Roman" w:eastAsia="Times New Roman" w:hAnsi="Times New Roman" w:cs="Times New Roman"/>
        </w:rPr>
        <w:t xml:space="preserve"> </w:t>
      </w:r>
      <w:r w:rsidR="00A52FBE">
        <w:rPr>
          <w:rFonts w:ascii="Times New Roman" w:eastAsia="Times New Roman" w:hAnsi="Times New Roman" w:cs="Times New Roman"/>
        </w:rPr>
        <w:t>Fiduciario</w:t>
      </w:r>
      <w:r w:rsidR="007A3861" w:rsidRPr="00214269">
        <w:rPr>
          <w:rFonts w:ascii="Times New Roman" w:eastAsia="Times New Roman" w:hAnsi="Times New Roman" w:cs="Times New Roman"/>
        </w:rPr>
        <w:t>; y (iii) la suscripción de</w:t>
      </w:r>
      <w:r w:rsidR="000B3767" w:rsidRPr="00214269">
        <w:rPr>
          <w:rFonts w:ascii="Times New Roman" w:eastAsia="Times New Roman" w:hAnsi="Times New Roman" w:cs="Times New Roman"/>
        </w:rPr>
        <w:t xml:space="preserve"> un contrato de prenda sobre </w:t>
      </w:r>
      <w:r w:rsidR="005C20E8" w:rsidRPr="00214269">
        <w:rPr>
          <w:rFonts w:ascii="Times New Roman" w:eastAsia="Times New Roman" w:hAnsi="Times New Roman" w:cs="Times New Roman"/>
        </w:rPr>
        <w:t xml:space="preserve">la Participación en Catalinas, entre la Sociedad </w:t>
      </w:r>
      <w:r w:rsidR="00D4207E">
        <w:rPr>
          <w:rFonts w:ascii="Times New Roman" w:eastAsia="Times New Roman" w:hAnsi="Times New Roman" w:cs="Times New Roman"/>
        </w:rPr>
        <w:t xml:space="preserve">y </w:t>
      </w:r>
      <w:r w:rsidR="002910DD">
        <w:rPr>
          <w:rFonts w:ascii="Times New Roman" w:eastAsia="Times New Roman" w:hAnsi="Times New Roman" w:cs="Times New Roman"/>
        </w:rPr>
        <w:t>el Agente de la Garantía</w:t>
      </w:r>
      <w:r w:rsidR="00D4207E">
        <w:rPr>
          <w:rFonts w:ascii="Times New Roman" w:eastAsia="Times New Roman" w:hAnsi="Times New Roman" w:cs="Times New Roman"/>
        </w:rPr>
        <w:t xml:space="preserve"> de la Prenda y en beneficio de los Tenedores</w:t>
      </w:r>
      <w:r w:rsidR="00D4207E" w:rsidRPr="00214269" w:rsidDel="00D4207E">
        <w:rPr>
          <w:rFonts w:ascii="Times New Roman" w:eastAsia="Times New Roman" w:hAnsi="Times New Roman" w:cs="Times New Roman"/>
        </w:rPr>
        <w:t xml:space="preserve"> </w:t>
      </w:r>
      <w:r w:rsidR="00500C00" w:rsidRPr="00214269">
        <w:rPr>
          <w:rFonts w:ascii="Times New Roman" w:eastAsia="Times New Roman" w:hAnsi="Times New Roman" w:cs="Times New Roman"/>
        </w:rPr>
        <w:t>.</w:t>
      </w:r>
      <w:r w:rsidR="004B5F0F" w:rsidRPr="00214269">
        <w:rPr>
          <w:rFonts w:ascii="Times New Roman" w:eastAsia="Times New Roman" w:hAnsi="Times New Roman" w:cs="Times New Roman"/>
        </w:rPr>
        <w:t xml:space="preserve"> </w:t>
      </w:r>
    </w:p>
    <w:p w14:paraId="784ABBBE" w14:textId="77777777" w:rsidR="00F53443" w:rsidRPr="0062702E" w:rsidRDefault="00F53443">
      <w:pPr>
        <w:spacing w:after="0" w:line="240" w:lineRule="auto"/>
        <w:ind w:left="-2" w:firstLineChars="0" w:firstLine="0"/>
        <w:jc w:val="both"/>
        <w:rPr>
          <w:rFonts w:ascii="Times New Roman" w:eastAsia="Times New Roman" w:hAnsi="Times New Roman" w:cs="Times New Roman"/>
        </w:rPr>
      </w:pPr>
    </w:p>
    <w:p w14:paraId="00000011" w14:textId="3D6B247D" w:rsidR="00BB4838" w:rsidRPr="009F3353" w:rsidRDefault="00895164">
      <w:pPr>
        <w:spacing w:after="0" w:line="240" w:lineRule="auto"/>
        <w:ind w:left="-2" w:firstLineChars="0" w:firstLine="0"/>
        <w:jc w:val="both"/>
        <w:rPr>
          <w:rFonts w:ascii="Times New Roman" w:eastAsia="Times New Roman" w:hAnsi="Times New Roman" w:cs="Times New Roman"/>
        </w:rPr>
      </w:pPr>
      <w:r w:rsidRPr="00310976">
        <w:rPr>
          <w:rFonts w:ascii="Times New Roman" w:eastAsia="Times New Roman" w:hAnsi="Times New Roman" w:cs="Times New Roman"/>
        </w:rPr>
        <w:t>La Tercera</w:t>
      </w:r>
      <w:r w:rsidR="004B5F0F" w:rsidRPr="00740007">
        <w:rPr>
          <w:rFonts w:ascii="Times New Roman" w:eastAsia="Times New Roman" w:hAnsi="Times New Roman" w:cs="Times New Roman"/>
        </w:rPr>
        <w:t xml:space="preserve"> Adenda, así como el hecho de la instrumentación de los </w:t>
      </w:r>
      <w:r w:rsidR="00F53443" w:rsidRPr="00740007">
        <w:rPr>
          <w:rFonts w:ascii="Times New Roman" w:eastAsia="Times New Roman" w:hAnsi="Times New Roman" w:cs="Times New Roman"/>
        </w:rPr>
        <w:t>documentos referidos en (c)</w:t>
      </w:r>
      <w:r w:rsidR="004B5F0F" w:rsidRPr="00740007">
        <w:rPr>
          <w:rFonts w:ascii="Times New Roman" w:eastAsia="Times New Roman" w:hAnsi="Times New Roman" w:cs="Times New Roman"/>
        </w:rPr>
        <w:t xml:space="preserve">, será publicada en </w:t>
      </w:r>
      <w:r w:rsidR="00E97E8D" w:rsidRPr="00740007">
        <w:rPr>
          <w:rFonts w:ascii="Times New Roman" w:eastAsia="Times New Roman" w:hAnsi="Times New Roman" w:cs="Times New Roman"/>
        </w:rPr>
        <w:t xml:space="preserve">(i) la </w:t>
      </w:r>
      <w:r w:rsidR="00EF013D">
        <w:rPr>
          <w:rFonts w:ascii="Times New Roman" w:eastAsia="Times New Roman" w:hAnsi="Times New Roman" w:cs="Times New Roman"/>
        </w:rPr>
        <w:t>AIF</w:t>
      </w:r>
      <w:r w:rsidR="00E97E8D" w:rsidRPr="00740007">
        <w:rPr>
          <w:rFonts w:ascii="Times New Roman" w:eastAsia="Times New Roman" w:hAnsi="Times New Roman" w:cs="Times New Roman"/>
        </w:rPr>
        <w:t xml:space="preserve"> de la CNV, (ii) </w:t>
      </w:r>
      <w:r w:rsidR="00EF013D">
        <w:rPr>
          <w:rFonts w:ascii="Times New Roman" w:eastAsia="Times New Roman" w:hAnsi="Times New Roman" w:cs="Times New Roman"/>
        </w:rPr>
        <w:t>el</w:t>
      </w:r>
      <w:r w:rsidR="00E97E8D" w:rsidRPr="00740007">
        <w:rPr>
          <w:rFonts w:ascii="Times New Roman" w:eastAsia="Times New Roman" w:hAnsi="Times New Roman" w:cs="Times New Roman"/>
        </w:rPr>
        <w:t xml:space="preserve"> </w:t>
      </w:r>
      <w:proofErr w:type="spellStart"/>
      <w:r w:rsidR="00E97E8D" w:rsidRPr="00740007">
        <w:rPr>
          <w:rFonts w:ascii="Times New Roman" w:eastAsia="Times New Roman" w:hAnsi="Times New Roman" w:cs="Times New Roman"/>
        </w:rPr>
        <w:t>web</w:t>
      </w:r>
      <w:r w:rsidR="00EF013D">
        <w:rPr>
          <w:rFonts w:ascii="Times New Roman" w:eastAsia="Times New Roman" w:hAnsi="Times New Roman" w:cs="Times New Roman"/>
        </w:rPr>
        <w:t>site</w:t>
      </w:r>
      <w:proofErr w:type="spellEnd"/>
      <w:r w:rsidR="00E97E8D" w:rsidRPr="00740007">
        <w:rPr>
          <w:rFonts w:ascii="Times New Roman" w:eastAsia="Times New Roman" w:hAnsi="Times New Roman" w:cs="Times New Roman"/>
        </w:rPr>
        <w:t xml:space="preserve"> de BYMA,</w:t>
      </w:r>
      <w:r w:rsidR="00E97E8D" w:rsidRPr="00F66991">
        <w:rPr>
          <w:rFonts w:ascii="Times New Roman" w:eastAsia="Times New Roman" w:hAnsi="Times New Roman" w:cs="Times New Roman"/>
        </w:rPr>
        <w:t xml:space="preserve"> la página web del MAE,</w:t>
      </w:r>
      <w:r w:rsidR="004B5F0F" w:rsidRPr="00F66991">
        <w:rPr>
          <w:rFonts w:ascii="Times New Roman" w:eastAsia="Times New Roman" w:hAnsi="Times New Roman" w:cs="Times New Roman"/>
        </w:rPr>
        <w:t xml:space="preserve"> (iii) e</w:t>
      </w:r>
      <w:r w:rsidR="00EF013D">
        <w:rPr>
          <w:rFonts w:ascii="Times New Roman" w:eastAsia="Times New Roman" w:hAnsi="Times New Roman" w:cs="Times New Roman"/>
        </w:rPr>
        <w:t>l boletín electrónico</w:t>
      </w:r>
      <w:r w:rsidR="004B5F0F" w:rsidRPr="00F66991">
        <w:rPr>
          <w:rFonts w:ascii="Times New Roman" w:eastAsia="Times New Roman" w:hAnsi="Times New Roman" w:cs="Times New Roman"/>
        </w:rPr>
        <w:t xml:space="preserve"> del MAE</w:t>
      </w:r>
      <w:r w:rsidR="00E97E8D" w:rsidRPr="00F66991">
        <w:rPr>
          <w:rFonts w:ascii="Times New Roman" w:eastAsia="Times New Roman" w:hAnsi="Times New Roman" w:cs="Times New Roman"/>
        </w:rPr>
        <w:t xml:space="preserve"> y (iv) los sistemas de información de los mercados en donde se haya solicitado el listado y/o negociación de l</w:t>
      </w:r>
      <w:r w:rsidR="00E97E8D" w:rsidRPr="00EB3FA3">
        <w:rPr>
          <w:rFonts w:ascii="Times New Roman" w:eastAsia="Times New Roman" w:hAnsi="Times New Roman" w:cs="Times New Roman"/>
        </w:rPr>
        <w:t>as Obligaciones Negociables</w:t>
      </w:r>
      <w:r w:rsidR="00F53443" w:rsidRPr="00EB3FA3">
        <w:rPr>
          <w:rFonts w:ascii="Times New Roman" w:eastAsia="Times New Roman" w:hAnsi="Times New Roman" w:cs="Times New Roman"/>
        </w:rPr>
        <w:t>.</w:t>
      </w:r>
    </w:p>
    <w:p w14:paraId="4120C76C" w14:textId="218F51D4" w:rsidR="005E0734" w:rsidRPr="00FE4D11" w:rsidRDefault="005E0734">
      <w:pPr>
        <w:spacing w:after="0" w:line="240" w:lineRule="auto"/>
        <w:ind w:left="-2" w:firstLineChars="0" w:firstLine="0"/>
        <w:jc w:val="both"/>
        <w:rPr>
          <w:rFonts w:ascii="Times New Roman" w:eastAsia="Times New Roman" w:hAnsi="Times New Roman" w:cs="Times New Roman"/>
        </w:rPr>
      </w:pPr>
    </w:p>
    <w:p w14:paraId="1242F275" w14:textId="43C970A0" w:rsidR="005E0734" w:rsidRPr="00262E03" w:rsidRDefault="00D106B9">
      <w:pPr>
        <w:spacing w:after="0" w:line="240" w:lineRule="auto"/>
        <w:ind w:left="-2" w:firstLineChars="0" w:firstLine="0"/>
        <w:jc w:val="both"/>
        <w:rPr>
          <w:rFonts w:ascii="Times New Roman" w:eastAsia="Times New Roman" w:hAnsi="Times New Roman" w:cs="Times New Roman"/>
        </w:rPr>
      </w:pPr>
      <w:r w:rsidRPr="0055089D">
        <w:rPr>
          <w:rFonts w:ascii="Times New Roman" w:eastAsia="Times New Roman" w:hAnsi="Times New Roman" w:cs="Times New Roman"/>
        </w:rPr>
        <w:t>Por último, se informa que l</w:t>
      </w:r>
      <w:r w:rsidR="005E0734" w:rsidRPr="003F14C4">
        <w:rPr>
          <w:rFonts w:ascii="Times New Roman" w:eastAsia="Times New Roman" w:hAnsi="Times New Roman" w:cs="Times New Roman"/>
        </w:rPr>
        <w:t xml:space="preserve">a Sociedad ha designado como su asesor financiero en relación con la Solicitud de Consentimiento a </w:t>
      </w:r>
      <w:r w:rsidR="00DA126F" w:rsidRPr="00626DBF">
        <w:rPr>
          <w:rFonts w:ascii="Times New Roman" w:eastAsia="Times New Roman" w:hAnsi="Times New Roman" w:cs="Times New Roman"/>
        </w:rPr>
        <w:t xml:space="preserve">Finanzas </w:t>
      </w:r>
      <w:r w:rsidR="00FB561F" w:rsidRPr="00626DBF">
        <w:rPr>
          <w:rFonts w:ascii="Times New Roman" w:eastAsia="Times New Roman" w:hAnsi="Times New Roman" w:cs="Times New Roman"/>
        </w:rPr>
        <w:t>&amp;</w:t>
      </w:r>
      <w:r w:rsidR="00DA126F" w:rsidRPr="00F43580">
        <w:rPr>
          <w:rFonts w:ascii="Times New Roman" w:eastAsia="Times New Roman" w:hAnsi="Times New Roman" w:cs="Times New Roman"/>
        </w:rPr>
        <w:t xml:space="preserve"> Gestión S.A</w:t>
      </w:r>
      <w:r w:rsidR="00930F48" w:rsidRPr="00F43580">
        <w:rPr>
          <w:rFonts w:ascii="Times New Roman" w:eastAsia="Times New Roman" w:hAnsi="Times New Roman" w:cs="Times New Roman"/>
        </w:rPr>
        <w:t>.</w:t>
      </w:r>
      <w:r w:rsidR="00EB5996" w:rsidRPr="008433DA">
        <w:rPr>
          <w:rFonts w:ascii="Times New Roman" w:eastAsia="Times New Roman" w:hAnsi="Times New Roman" w:cs="Times New Roman"/>
        </w:rPr>
        <w:t>,</w:t>
      </w:r>
      <w:r w:rsidR="00EB5996" w:rsidRPr="003E13B9">
        <w:rPr>
          <w:rFonts w:ascii="Times New Roman" w:eastAsia="Times New Roman" w:hAnsi="Times New Roman" w:cs="Times New Roman"/>
        </w:rPr>
        <w:t xml:space="preserve"> Av. del Libertador 602, Ciudad Autónoma de Buenos</w:t>
      </w:r>
      <w:r w:rsidR="002E6F9C" w:rsidRPr="004E7C62">
        <w:rPr>
          <w:rFonts w:ascii="Times New Roman" w:eastAsia="Times New Roman" w:hAnsi="Times New Roman" w:cs="Times New Roman"/>
        </w:rPr>
        <w:t xml:space="preserve"> Aires, Argen</w:t>
      </w:r>
      <w:r w:rsidR="002E6F9C" w:rsidRPr="00262E03">
        <w:rPr>
          <w:rFonts w:ascii="Times New Roman" w:eastAsia="Times New Roman" w:hAnsi="Times New Roman" w:cs="Times New Roman"/>
        </w:rPr>
        <w:t>tina.</w:t>
      </w:r>
    </w:p>
    <w:p w14:paraId="57CC991F" w14:textId="5F1B0F74" w:rsidR="00302D17" w:rsidRPr="008C39F0" w:rsidRDefault="00302D17">
      <w:pPr>
        <w:spacing w:after="0" w:line="240" w:lineRule="auto"/>
        <w:ind w:leftChars="0" w:left="0" w:firstLineChars="0" w:firstLine="0"/>
        <w:jc w:val="both"/>
        <w:rPr>
          <w:rFonts w:ascii="Times New Roman" w:eastAsia="Times New Roman" w:hAnsi="Times New Roman" w:cs="Times New Roman"/>
        </w:rPr>
      </w:pPr>
    </w:p>
    <w:p w14:paraId="00000012" w14:textId="77777777" w:rsidR="00BB4838" w:rsidRPr="008C39F0" w:rsidRDefault="00200CB4">
      <w:pPr>
        <w:spacing w:after="0" w:line="240" w:lineRule="auto"/>
        <w:ind w:left="-2" w:firstLineChars="0" w:firstLine="0"/>
        <w:jc w:val="both"/>
        <w:rPr>
          <w:rFonts w:ascii="Times New Roman" w:eastAsia="Times New Roman" w:hAnsi="Times New Roman" w:cs="Times New Roman"/>
        </w:rPr>
      </w:pPr>
      <w:r w:rsidRPr="008C39F0">
        <w:rPr>
          <w:rFonts w:ascii="Times New Roman" w:eastAsia="Times New Roman" w:hAnsi="Times New Roman" w:cs="Times New Roman"/>
        </w:rPr>
        <w:t>Sin otro particular, saludo a Uds. muy atentamente.</w:t>
      </w:r>
    </w:p>
    <w:p w14:paraId="00000013" w14:textId="77777777" w:rsidR="00BB4838" w:rsidRPr="00523952" w:rsidRDefault="00BB4838">
      <w:pPr>
        <w:spacing w:after="0" w:line="240" w:lineRule="auto"/>
        <w:ind w:left="-2" w:firstLineChars="0" w:firstLine="0"/>
        <w:jc w:val="both"/>
        <w:rPr>
          <w:rFonts w:ascii="Times New Roman" w:eastAsia="Times New Roman" w:hAnsi="Times New Roman" w:cs="Times New Roman"/>
        </w:rPr>
      </w:pPr>
    </w:p>
    <w:p w14:paraId="00000014" w14:textId="77777777" w:rsidR="00BB4838" w:rsidRPr="005B76C0" w:rsidRDefault="00BB4838">
      <w:pPr>
        <w:spacing w:after="0" w:line="240" w:lineRule="auto"/>
        <w:ind w:left="-2" w:firstLineChars="0" w:firstLine="0"/>
        <w:jc w:val="both"/>
        <w:rPr>
          <w:rFonts w:ascii="Times New Roman" w:eastAsia="Times New Roman" w:hAnsi="Times New Roman" w:cs="Times New Roman"/>
        </w:rPr>
      </w:pPr>
    </w:p>
    <w:p w14:paraId="00000015" w14:textId="77777777" w:rsidR="00BB4838" w:rsidRPr="005B76C0" w:rsidRDefault="00BB4838">
      <w:pPr>
        <w:spacing w:after="0" w:line="240" w:lineRule="auto"/>
        <w:ind w:left="-2" w:firstLineChars="0" w:firstLine="0"/>
        <w:jc w:val="both"/>
        <w:rPr>
          <w:rFonts w:ascii="Times New Roman" w:eastAsia="Times New Roman" w:hAnsi="Times New Roman" w:cs="Times New Roman"/>
        </w:rPr>
      </w:pPr>
    </w:p>
    <w:p w14:paraId="00000016" w14:textId="77777777" w:rsidR="00BB4838" w:rsidRPr="005B76C0" w:rsidRDefault="00200CB4">
      <w:pPr>
        <w:spacing w:after="0" w:line="240" w:lineRule="auto"/>
        <w:ind w:left="-2" w:firstLineChars="0" w:firstLine="0"/>
        <w:jc w:val="both"/>
        <w:rPr>
          <w:rFonts w:ascii="Times New Roman" w:eastAsia="Times New Roman" w:hAnsi="Times New Roman" w:cs="Times New Roman"/>
        </w:rPr>
      </w:pPr>
      <w:r w:rsidRPr="005B76C0">
        <w:rPr>
          <w:rFonts w:ascii="Times New Roman" w:eastAsia="Times New Roman" w:hAnsi="Times New Roman" w:cs="Times New Roman"/>
        </w:rPr>
        <w:t>___________________________</w:t>
      </w:r>
    </w:p>
    <w:p w14:paraId="00000017" w14:textId="1F71F9F8" w:rsidR="00BB4838" w:rsidRPr="009E6887" w:rsidRDefault="00200CB4">
      <w:pPr>
        <w:keepNext/>
        <w:pBdr>
          <w:top w:val="nil"/>
          <w:left w:val="nil"/>
          <w:bottom w:val="nil"/>
          <w:right w:val="nil"/>
          <w:between w:val="nil"/>
        </w:pBdr>
        <w:spacing w:after="0" w:line="240" w:lineRule="auto"/>
        <w:ind w:left="-2" w:firstLineChars="0" w:firstLine="0"/>
        <w:jc w:val="both"/>
        <w:rPr>
          <w:rFonts w:ascii="Times New Roman" w:eastAsia="Times New Roman" w:hAnsi="Times New Roman" w:cs="Times New Roman"/>
          <w:color w:val="000000"/>
        </w:rPr>
      </w:pPr>
      <w:r w:rsidRPr="005B76C0">
        <w:rPr>
          <w:rFonts w:ascii="Times New Roman" w:eastAsia="Times New Roman" w:hAnsi="Times New Roman" w:cs="Times New Roman"/>
          <w:color w:val="000000"/>
        </w:rPr>
        <w:t>Daniel Antunez</w:t>
      </w:r>
      <w:r w:rsidR="002E6F9C" w:rsidRPr="005B76C0">
        <w:rPr>
          <w:rFonts w:ascii="Times New Roman" w:hAnsi="Times New Roman" w:cs="Times New Roman"/>
        </w:rPr>
        <w:t xml:space="preserve"> </w:t>
      </w:r>
    </w:p>
    <w:p w14:paraId="00000018" w14:textId="77777777" w:rsidR="00BB4838" w:rsidRPr="00092991" w:rsidRDefault="00200CB4">
      <w:pPr>
        <w:keepNext/>
        <w:pBdr>
          <w:top w:val="nil"/>
          <w:left w:val="nil"/>
          <w:bottom w:val="nil"/>
          <w:right w:val="nil"/>
          <w:between w:val="nil"/>
        </w:pBdr>
        <w:spacing w:after="0" w:line="240" w:lineRule="auto"/>
        <w:ind w:left="-2" w:firstLineChars="0" w:firstLine="0"/>
        <w:jc w:val="both"/>
        <w:rPr>
          <w:rFonts w:ascii="Times New Roman" w:eastAsia="Times New Roman" w:hAnsi="Times New Roman" w:cs="Times New Roman"/>
          <w:color w:val="000000"/>
        </w:rPr>
      </w:pPr>
      <w:r w:rsidRPr="00092991">
        <w:rPr>
          <w:rFonts w:ascii="Times New Roman" w:eastAsia="Times New Roman" w:hAnsi="Times New Roman" w:cs="Times New Roman"/>
          <w:color w:val="000000"/>
        </w:rPr>
        <w:t>Responsable de Relaciones con el Mercado</w:t>
      </w:r>
    </w:p>
    <w:p w14:paraId="00000019" w14:textId="77777777" w:rsidR="00BB4838" w:rsidRPr="00092991" w:rsidRDefault="00200CB4">
      <w:pPr>
        <w:spacing w:after="0" w:line="240" w:lineRule="auto"/>
        <w:ind w:left="-2" w:firstLineChars="0" w:firstLine="0"/>
        <w:jc w:val="both"/>
        <w:rPr>
          <w:rFonts w:ascii="Times New Roman" w:eastAsia="Times New Roman" w:hAnsi="Times New Roman" w:cs="Times New Roman"/>
        </w:rPr>
      </w:pPr>
      <w:r w:rsidRPr="00092991">
        <w:rPr>
          <w:rFonts w:ascii="Times New Roman" w:eastAsia="Times New Roman" w:hAnsi="Times New Roman" w:cs="Times New Roman"/>
          <w:b/>
        </w:rPr>
        <w:t>TGLT S.A.</w:t>
      </w:r>
    </w:p>
    <w:p w14:paraId="0000001A" w14:textId="77777777" w:rsidR="00BB4838" w:rsidRDefault="00200CB4">
      <w:pPr>
        <w:keepNext/>
        <w:pBdr>
          <w:top w:val="nil"/>
          <w:left w:val="nil"/>
          <w:bottom w:val="nil"/>
          <w:right w:val="nil"/>
          <w:between w:val="nil"/>
        </w:pBdr>
        <w:spacing w:after="0" w:line="240" w:lineRule="auto"/>
        <w:ind w:left="-2" w:firstLineChars="0" w:firstLine="0"/>
        <w:jc w:val="both"/>
        <w:rPr>
          <w:rFonts w:ascii="Times New Roman" w:eastAsia="Times New Roman" w:hAnsi="Times New Roman" w:cs="Times New Roman"/>
          <w:b/>
          <w:color w:val="000000"/>
        </w:rPr>
      </w:pPr>
      <w:r w:rsidRPr="00092991">
        <w:rPr>
          <w:rFonts w:ascii="Times New Roman" w:eastAsia="Times New Roman" w:hAnsi="Times New Roman" w:cs="Times New Roman"/>
          <w:b/>
          <w:color w:val="000000"/>
        </w:rPr>
        <w:t xml:space="preserve"> </w:t>
      </w:r>
    </w:p>
    <w:p w14:paraId="44443C20" w14:textId="77777777" w:rsidR="00C8122C" w:rsidRPr="00092991" w:rsidRDefault="00C8122C">
      <w:pPr>
        <w:keepNext/>
        <w:pBdr>
          <w:top w:val="nil"/>
          <w:left w:val="nil"/>
          <w:bottom w:val="nil"/>
          <w:right w:val="nil"/>
          <w:between w:val="nil"/>
        </w:pBdr>
        <w:spacing w:after="0" w:line="240" w:lineRule="auto"/>
        <w:ind w:left="-2" w:firstLineChars="0" w:firstLine="0"/>
        <w:jc w:val="both"/>
        <w:rPr>
          <w:rFonts w:ascii="Times New Roman" w:eastAsia="Times New Roman" w:hAnsi="Times New Roman" w:cs="Times New Roman"/>
          <w:b/>
          <w:color w:val="000000"/>
        </w:rPr>
      </w:pPr>
    </w:p>
    <w:p w14:paraId="0000001B" w14:textId="55A9EF4D" w:rsidR="00D8005F" w:rsidRDefault="00D8005F">
      <w:pPr>
        <w:suppressAutoHyphens w:val="0"/>
        <w:ind w:leftChars="0" w:left="0" w:firstLineChars="0" w:firstLine="0"/>
        <w:textDirection w:val="lrTb"/>
        <w:textAlignment w:val="auto"/>
        <w:outlineLvl w:val="9"/>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14:paraId="734E32B0" w14:textId="19FB825A" w:rsidR="00BB4838" w:rsidRPr="00092991" w:rsidRDefault="00D8005F" w:rsidP="00F93ED5">
      <w:pPr>
        <w:keepNext/>
        <w:pBdr>
          <w:top w:val="nil"/>
          <w:left w:val="nil"/>
          <w:bottom w:val="nil"/>
          <w:right w:val="nil"/>
          <w:between w:val="nil"/>
        </w:pBdr>
        <w:spacing w:after="0" w:line="240" w:lineRule="auto"/>
        <w:ind w:left="-2" w:firstLineChars="0" w:firstLine="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ANEXO</w:t>
      </w:r>
    </w:p>
    <w:p w14:paraId="0000001E" w14:textId="6B17B979" w:rsidR="00BB4838" w:rsidRDefault="00BB4838" w:rsidP="00F93ED5">
      <w:pPr>
        <w:spacing w:after="0" w:line="240" w:lineRule="auto"/>
        <w:ind w:left="-2" w:firstLineChars="0" w:firstLine="0"/>
        <w:jc w:val="center"/>
        <w:rPr>
          <w:rFonts w:ascii="Times New Roman" w:eastAsia="Times New Roman" w:hAnsi="Times New Roman" w:cs="Times New Roman"/>
          <w:position w:val="0"/>
        </w:rPr>
      </w:pPr>
      <w:bookmarkStart w:id="2" w:name="_heading=h.gjdgxs" w:colFirst="0" w:colLast="0"/>
      <w:bookmarkEnd w:id="2"/>
    </w:p>
    <w:p w14:paraId="083352BE" w14:textId="77777777" w:rsidR="009A3304" w:rsidRPr="008663AE" w:rsidRDefault="009A3304" w:rsidP="00F93ED5">
      <w:pPr>
        <w:spacing w:after="0" w:line="240" w:lineRule="auto"/>
        <w:ind w:left="-2" w:firstLineChars="0" w:firstLine="0"/>
        <w:jc w:val="center"/>
        <w:rPr>
          <w:rFonts w:ascii="Times New Roman" w:eastAsia="Times New Roman" w:hAnsi="Times New Roman" w:cs="Times New Roman"/>
        </w:rPr>
      </w:pPr>
      <w:r>
        <w:rPr>
          <w:rFonts w:ascii="Times New Roman" w:eastAsia="Times New Roman" w:hAnsi="Times New Roman" w:cs="Times New Roman"/>
        </w:rPr>
        <w:object w:dxaOrig="1543" w:dyaOrig="991" w14:anchorId="33F9F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10" o:title=""/>
          </v:shape>
          <o:OLEObject Type="Embed" ProgID="Acrobat.Document.DC" ShapeID="_x0000_i1027" DrawAspect="Icon" ObjectID="_1694370107" r:id="rId11"/>
        </w:object>
      </w:r>
      <w:bookmarkStart w:id="3" w:name="_GoBack"/>
      <w:bookmarkEnd w:id="3"/>
    </w:p>
    <w:sectPr w:rsidR="009A3304" w:rsidRPr="008663AE">
      <w:headerReference w:type="even" r:id="rId12"/>
      <w:headerReference w:type="default" r:id="rId13"/>
      <w:footerReference w:type="even" r:id="rId14"/>
      <w:footerReference w:type="default" r:id="rId15"/>
      <w:headerReference w:type="first" r:id="rId16"/>
      <w:footerReference w:type="first" r:id="rId17"/>
      <w:pgSz w:w="11906" w:h="16838"/>
      <w:pgMar w:top="1134" w:right="1701" w:bottom="1701"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575D4" w14:textId="77777777" w:rsidR="00FE3CAC" w:rsidRDefault="00FE3CAC">
      <w:pPr>
        <w:spacing w:after="0" w:line="240" w:lineRule="auto"/>
        <w:ind w:left="0" w:hanging="2"/>
      </w:pPr>
      <w:r>
        <w:separator/>
      </w:r>
    </w:p>
  </w:endnote>
  <w:endnote w:type="continuationSeparator" w:id="0">
    <w:p w14:paraId="513E52FA" w14:textId="77777777" w:rsidR="00FE3CAC" w:rsidRDefault="00FE3CAC">
      <w:pPr>
        <w:spacing w:after="0" w:line="240" w:lineRule="auto"/>
        <w:ind w:left="0" w:hanging="2"/>
      </w:pPr>
      <w:r>
        <w:continuationSeparator/>
      </w:r>
    </w:p>
  </w:endnote>
  <w:endnote w:type="continuationNotice" w:id="1">
    <w:p w14:paraId="6FAB8CB8" w14:textId="77777777" w:rsidR="00FE3CAC" w:rsidRDefault="00FE3CAC">
      <w:pPr>
        <w:spacing w:after="0"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1DF00" w14:textId="77777777" w:rsidR="00601D53" w:rsidRDefault="00601D53">
    <w:pPr>
      <w:pStyle w:val="Piedepgin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8C921" w14:textId="77777777" w:rsidR="00601D53" w:rsidRDefault="00601D53">
    <w:pPr>
      <w:pStyle w:val="Piedepgina"/>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98637" w14:textId="77777777" w:rsidR="00601D53" w:rsidRDefault="00601D53">
    <w:pPr>
      <w:pStyle w:val="Piedepgina"/>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4FA1E" w14:textId="77777777" w:rsidR="00FE3CAC" w:rsidRDefault="00FE3CAC">
      <w:pPr>
        <w:spacing w:after="0" w:line="240" w:lineRule="auto"/>
        <w:ind w:left="0" w:hanging="2"/>
      </w:pPr>
      <w:r>
        <w:separator/>
      </w:r>
    </w:p>
  </w:footnote>
  <w:footnote w:type="continuationSeparator" w:id="0">
    <w:p w14:paraId="557B6349" w14:textId="77777777" w:rsidR="00FE3CAC" w:rsidRDefault="00FE3CAC">
      <w:pPr>
        <w:spacing w:after="0" w:line="240" w:lineRule="auto"/>
        <w:ind w:left="0" w:hanging="2"/>
      </w:pPr>
      <w:r>
        <w:continuationSeparator/>
      </w:r>
    </w:p>
  </w:footnote>
  <w:footnote w:type="continuationNotice" w:id="1">
    <w:p w14:paraId="0D00801E" w14:textId="77777777" w:rsidR="00FE3CAC" w:rsidRDefault="00FE3CAC">
      <w:pPr>
        <w:spacing w:after="0" w:line="240" w:lineRule="auto"/>
        <w:ind w:left="0" w:hanging="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9F1C4" w14:textId="77777777" w:rsidR="00601D53" w:rsidRDefault="00601D53">
    <w:pPr>
      <w:pStyle w:val="Encabezado"/>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0" w14:textId="77777777" w:rsidR="00601D53" w:rsidRDefault="00601D53">
    <w:pPr>
      <w:pBdr>
        <w:top w:val="nil"/>
        <w:left w:val="nil"/>
        <w:bottom w:val="nil"/>
        <w:right w:val="nil"/>
        <w:between w:val="nil"/>
      </w:pBdr>
      <w:spacing w:after="0"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85E72" w14:textId="77777777" w:rsidR="00601D53" w:rsidRDefault="00601D53">
    <w:pPr>
      <w:pStyle w:val="Encabezad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F6FC2"/>
    <w:multiLevelType w:val="multilevel"/>
    <w:tmpl w:val="B6986B52"/>
    <w:lvl w:ilvl="0">
      <w:start w:val="6"/>
      <w:numFmt w:val="decimal"/>
      <w:lvlText w:val="%1."/>
      <w:lvlJc w:val="left"/>
      <w:pPr>
        <w:tabs>
          <w:tab w:val="num" w:pos="420"/>
        </w:tabs>
        <w:ind w:left="420" w:hanging="420"/>
      </w:pPr>
      <w:rPr>
        <w:rFonts w:cs="Times New Roman" w:hint="default"/>
      </w:rPr>
    </w:lvl>
    <w:lvl w:ilvl="1">
      <w:start w:val="1"/>
      <w:numFmt w:val="decimal"/>
      <w:suff w:val="space"/>
      <w:lvlText w:val="Artículo 9.%2."/>
      <w:lvlJc w:val="left"/>
      <w:pPr>
        <w:ind w:left="721" w:firstLine="698"/>
      </w:pPr>
      <w:rPr>
        <w:rFonts w:ascii="Times New Roman" w:hAnsi="Times New Roman" w:cs="Times New Roman" w:hint="default"/>
        <w:b w:val="0"/>
        <w:bCs w:val="0"/>
        <w:i w:val="0"/>
        <w:iCs w:val="0"/>
        <w:caps w:val="0"/>
        <w:smallCaps w:val="0"/>
        <w:strike w:val="0"/>
        <w:dstrike w:val="0"/>
        <w:noProof w:val="0"/>
        <w:vanish w:val="0"/>
        <w:color w:val="000000"/>
        <w:kern w:val="0"/>
        <w:position w:val="0"/>
        <w:sz w:val="24"/>
        <w:szCs w:val="24"/>
        <w:u w:val="none"/>
        <w:effect w:val="none"/>
        <w:vertAlign w:val="baseline"/>
        <w:em w:val="none"/>
        <w:lang w:val="es-AR"/>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086A0825"/>
    <w:multiLevelType w:val="hybridMultilevel"/>
    <w:tmpl w:val="D2FC8F50"/>
    <w:lvl w:ilvl="0" w:tplc="ED5CAA96">
      <w:start w:val="1"/>
      <w:numFmt w:val="upperRoman"/>
      <w:lvlText w:val="%1."/>
      <w:lvlJc w:val="left"/>
      <w:pPr>
        <w:ind w:left="1645" w:hanging="720"/>
      </w:pPr>
      <w:rPr>
        <w:rFonts w:hint="default"/>
        <w:b/>
      </w:rPr>
    </w:lvl>
    <w:lvl w:ilvl="1" w:tplc="2C0A0019" w:tentative="1">
      <w:start w:val="1"/>
      <w:numFmt w:val="lowerLetter"/>
      <w:lvlText w:val="%2."/>
      <w:lvlJc w:val="left"/>
      <w:pPr>
        <w:ind w:left="2005" w:hanging="360"/>
      </w:pPr>
    </w:lvl>
    <w:lvl w:ilvl="2" w:tplc="2C0A001B" w:tentative="1">
      <w:start w:val="1"/>
      <w:numFmt w:val="lowerRoman"/>
      <w:lvlText w:val="%3."/>
      <w:lvlJc w:val="right"/>
      <w:pPr>
        <w:ind w:left="2725" w:hanging="180"/>
      </w:pPr>
    </w:lvl>
    <w:lvl w:ilvl="3" w:tplc="2C0A000F" w:tentative="1">
      <w:start w:val="1"/>
      <w:numFmt w:val="decimal"/>
      <w:lvlText w:val="%4."/>
      <w:lvlJc w:val="left"/>
      <w:pPr>
        <w:ind w:left="3445" w:hanging="360"/>
      </w:pPr>
    </w:lvl>
    <w:lvl w:ilvl="4" w:tplc="2C0A0019" w:tentative="1">
      <w:start w:val="1"/>
      <w:numFmt w:val="lowerLetter"/>
      <w:lvlText w:val="%5."/>
      <w:lvlJc w:val="left"/>
      <w:pPr>
        <w:ind w:left="4165" w:hanging="360"/>
      </w:pPr>
    </w:lvl>
    <w:lvl w:ilvl="5" w:tplc="2C0A001B" w:tentative="1">
      <w:start w:val="1"/>
      <w:numFmt w:val="lowerRoman"/>
      <w:lvlText w:val="%6."/>
      <w:lvlJc w:val="right"/>
      <w:pPr>
        <w:ind w:left="4885" w:hanging="180"/>
      </w:pPr>
    </w:lvl>
    <w:lvl w:ilvl="6" w:tplc="2C0A000F" w:tentative="1">
      <w:start w:val="1"/>
      <w:numFmt w:val="decimal"/>
      <w:lvlText w:val="%7."/>
      <w:lvlJc w:val="left"/>
      <w:pPr>
        <w:ind w:left="5605" w:hanging="360"/>
      </w:pPr>
    </w:lvl>
    <w:lvl w:ilvl="7" w:tplc="2C0A0019" w:tentative="1">
      <w:start w:val="1"/>
      <w:numFmt w:val="lowerLetter"/>
      <w:lvlText w:val="%8."/>
      <w:lvlJc w:val="left"/>
      <w:pPr>
        <w:ind w:left="6325" w:hanging="360"/>
      </w:pPr>
    </w:lvl>
    <w:lvl w:ilvl="8" w:tplc="2C0A001B" w:tentative="1">
      <w:start w:val="1"/>
      <w:numFmt w:val="lowerRoman"/>
      <w:lvlText w:val="%9."/>
      <w:lvlJc w:val="right"/>
      <w:pPr>
        <w:ind w:left="7045" w:hanging="180"/>
      </w:pPr>
    </w:lvl>
  </w:abstractNum>
  <w:abstractNum w:abstractNumId="2" w15:restartNumberingAfterBreak="0">
    <w:nsid w:val="08FA209E"/>
    <w:multiLevelType w:val="multilevel"/>
    <w:tmpl w:val="149ACF2A"/>
    <w:lvl w:ilvl="0">
      <w:start w:val="1"/>
      <w:numFmt w:val="lower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9B626C"/>
    <w:multiLevelType w:val="hybridMultilevel"/>
    <w:tmpl w:val="ED021532"/>
    <w:lvl w:ilvl="0" w:tplc="9DF438B6">
      <w:start w:val="1"/>
      <w:numFmt w:val="lowerRoman"/>
      <w:lvlText w:val="(%1)"/>
      <w:lvlJc w:val="left"/>
      <w:pPr>
        <w:ind w:left="1285" w:hanging="720"/>
      </w:pPr>
      <w:rPr>
        <w:rFonts w:hint="default"/>
      </w:rPr>
    </w:lvl>
    <w:lvl w:ilvl="1" w:tplc="2C0A0019" w:tentative="1">
      <w:start w:val="1"/>
      <w:numFmt w:val="lowerLetter"/>
      <w:lvlText w:val="%2."/>
      <w:lvlJc w:val="left"/>
      <w:pPr>
        <w:ind w:left="1645" w:hanging="360"/>
      </w:pPr>
    </w:lvl>
    <w:lvl w:ilvl="2" w:tplc="2C0A001B" w:tentative="1">
      <w:start w:val="1"/>
      <w:numFmt w:val="lowerRoman"/>
      <w:lvlText w:val="%3."/>
      <w:lvlJc w:val="right"/>
      <w:pPr>
        <w:ind w:left="2365" w:hanging="180"/>
      </w:pPr>
    </w:lvl>
    <w:lvl w:ilvl="3" w:tplc="2C0A000F" w:tentative="1">
      <w:start w:val="1"/>
      <w:numFmt w:val="decimal"/>
      <w:lvlText w:val="%4."/>
      <w:lvlJc w:val="left"/>
      <w:pPr>
        <w:ind w:left="3085" w:hanging="360"/>
      </w:pPr>
    </w:lvl>
    <w:lvl w:ilvl="4" w:tplc="2C0A0019" w:tentative="1">
      <w:start w:val="1"/>
      <w:numFmt w:val="lowerLetter"/>
      <w:lvlText w:val="%5."/>
      <w:lvlJc w:val="left"/>
      <w:pPr>
        <w:ind w:left="3805" w:hanging="360"/>
      </w:pPr>
    </w:lvl>
    <w:lvl w:ilvl="5" w:tplc="2C0A001B" w:tentative="1">
      <w:start w:val="1"/>
      <w:numFmt w:val="lowerRoman"/>
      <w:lvlText w:val="%6."/>
      <w:lvlJc w:val="right"/>
      <w:pPr>
        <w:ind w:left="4525" w:hanging="180"/>
      </w:pPr>
    </w:lvl>
    <w:lvl w:ilvl="6" w:tplc="2C0A000F" w:tentative="1">
      <w:start w:val="1"/>
      <w:numFmt w:val="decimal"/>
      <w:lvlText w:val="%7."/>
      <w:lvlJc w:val="left"/>
      <w:pPr>
        <w:ind w:left="5245" w:hanging="360"/>
      </w:pPr>
    </w:lvl>
    <w:lvl w:ilvl="7" w:tplc="2C0A0019" w:tentative="1">
      <w:start w:val="1"/>
      <w:numFmt w:val="lowerLetter"/>
      <w:lvlText w:val="%8."/>
      <w:lvlJc w:val="left"/>
      <w:pPr>
        <w:ind w:left="5965" w:hanging="360"/>
      </w:pPr>
    </w:lvl>
    <w:lvl w:ilvl="8" w:tplc="2C0A001B" w:tentative="1">
      <w:start w:val="1"/>
      <w:numFmt w:val="lowerRoman"/>
      <w:lvlText w:val="%9."/>
      <w:lvlJc w:val="right"/>
      <w:pPr>
        <w:ind w:left="6685" w:hanging="180"/>
      </w:pPr>
    </w:lvl>
  </w:abstractNum>
  <w:abstractNum w:abstractNumId="4" w15:restartNumberingAfterBreak="0">
    <w:nsid w:val="12527AFA"/>
    <w:multiLevelType w:val="hybridMultilevel"/>
    <w:tmpl w:val="A60E0BD2"/>
    <w:lvl w:ilvl="0" w:tplc="F0C0BDD2">
      <w:start w:val="1"/>
      <w:numFmt w:val="lowerRoman"/>
      <w:lvlText w:val="(%1)"/>
      <w:lvlJc w:val="left"/>
      <w:pPr>
        <w:ind w:left="1573" w:hanging="720"/>
      </w:pPr>
      <w:rPr>
        <w:rFonts w:hint="default"/>
        <w:i w:val="0"/>
      </w:rPr>
    </w:lvl>
    <w:lvl w:ilvl="1" w:tplc="2C0A0019">
      <w:start w:val="1"/>
      <w:numFmt w:val="lowerLetter"/>
      <w:lvlText w:val="%2."/>
      <w:lvlJc w:val="left"/>
      <w:pPr>
        <w:ind w:left="1933" w:hanging="360"/>
      </w:pPr>
    </w:lvl>
    <w:lvl w:ilvl="2" w:tplc="2C0A001B" w:tentative="1">
      <w:start w:val="1"/>
      <w:numFmt w:val="lowerRoman"/>
      <w:lvlText w:val="%3."/>
      <w:lvlJc w:val="right"/>
      <w:pPr>
        <w:ind w:left="2653" w:hanging="180"/>
      </w:pPr>
    </w:lvl>
    <w:lvl w:ilvl="3" w:tplc="2C0A000F" w:tentative="1">
      <w:start w:val="1"/>
      <w:numFmt w:val="decimal"/>
      <w:lvlText w:val="%4."/>
      <w:lvlJc w:val="left"/>
      <w:pPr>
        <w:ind w:left="3373" w:hanging="360"/>
      </w:pPr>
    </w:lvl>
    <w:lvl w:ilvl="4" w:tplc="2C0A0019" w:tentative="1">
      <w:start w:val="1"/>
      <w:numFmt w:val="lowerLetter"/>
      <w:lvlText w:val="%5."/>
      <w:lvlJc w:val="left"/>
      <w:pPr>
        <w:ind w:left="4093" w:hanging="360"/>
      </w:pPr>
    </w:lvl>
    <w:lvl w:ilvl="5" w:tplc="2C0A001B" w:tentative="1">
      <w:start w:val="1"/>
      <w:numFmt w:val="lowerRoman"/>
      <w:lvlText w:val="%6."/>
      <w:lvlJc w:val="right"/>
      <w:pPr>
        <w:ind w:left="4813" w:hanging="180"/>
      </w:pPr>
    </w:lvl>
    <w:lvl w:ilvl="6" w:tplc="2C0A000F" w:tentative="1">
      <w:start w:val="1"/>
      <w:numFmt w:val="decimal"/>
      <w:lvlText w:val="%7."/>
      <w:lvlJc w:val="left"/>
      <w:pPr>
        <w:ind w:left="5533" w:hanging="360"/>
      </w:pPr>
    </w:lvl>
    <w:lvl w:ilvl="7" w:tplc="2C0A0019" w:tentative="1">
      <w:start w:val="1"/>
      <w:numFmt w:val="lowerLetter"/>
      <w:lvlText w:val="%8."/>
      <w:lvlJc w:val="left"/>
      <w:pPr>
        <w:ind w:left="6253" w:hanging="360"/>
      </w:pPr>
    </w:lvl>
    <w:lvl w:ilvl="8" w:tplc="2C0A001B" w:tentative="1">
      <w:start w:val="1"/>
      <w:numFmt w:val="lowerRoman"/>
      <w:lvlText w:val="%9."/>
      <w:lvlJc w:val="right"/>
      <w:pPr>
        <w:ind w:left="6973" w:hanging="180"/>
      </w:pPr>
    </w:lvl>
  </w:abstractNum>
  <w:abstractNum w:abstractNumId="5" w15:restartNumberingAfterBreak="0">
    <w:nsid w:val="1ECB051C"/>
    <w:multiLevelType w:val="hybridMultilevel"/>
    <w:tmpl w:val="8C2E479C"/>
    <w:lvl w:ilvl="0" w:tplc="3A0A10A2">
      <w:start w:val="1"/>
      <w:numFmt w:val="lowerRoman"/>
      <w:lvlText w:val="(%1)"/>
      <w:lvlJc w:val="left"/>
      <w:pPr>
        <w:ind w:left="1595" w:hanging="720"/>
      </w:pPr>
      <w:rPr>
        <w:rFonts w:hint="default"/>
      </w:rPr>
    </w:lvl>
    <w:lvl w:ilvl="1" w:tplc="2C0A0019">
      <w:start w:val="1"/>
      <w:numFmt w:val="lowerLetter"/>
      <w:lvlText w:val="%2."/>
      <w:lvlJc w:val="left"/>
      <w:pPr>
        <w:ind w:left="1955" w:hanging="360"/>
      </w:pPr>
    </w:lvl>
    <w:lvl w:ilvl="2" w:tplc="2C0A001B" w:tentative="1">
      <w:start w:val="1"/>
      <w:numFmt w:val="lowerRoman"/>
      <w:lvlText w:val="%3."/>
      <w:lvlJc w:val="right"/>
      <w:pPr>
        <w:ind w:left="2675" w:hanging="180"/>
      </w:pPr>
    </w:lvl>
    <w:lvl w:ilvl="3" w:tplc="2C0A000F" w:tentative="1">
      <w:start w:val="1"/>
      <w:numFmt w:val="decimal"/>
      <w:lvlText w:val="%4."/>
      <w:lvlJc w:val="left"/>
      <w:pPr>
        <w:ind w:left="3395" w:hanging="360"/>
      </w:pPr>
    </w:lvl>
    <w:lvl w:ilvl="4" w:tplc="2C0A0019" w:tentative="1">
      <w:start w:val="1"/>
      <w:numFmt w:val="lowerLetter"/>
      <w:lvlText w:val="%5."/>
      <w:lvlJc w:val="left"/>
      <w:pPr>
        <w:ind w:left="4115" w:hanging="360"/>
      </w:pPr>
    </w:lvl>
    <w:lvl w:ilvl="5" w:tplc="2C0A001B" w:tentative="1">
      <w:start w:val="1"/>
      <w:numFmt w:val="lowerRoman"/>
      <w:lvlText w:val="%6."/>
      <w:lvlJc w:val="right"/>
      <w:pPr>
        <w:ind w:left="4835" w:hanging="180"/>
      </w:pPr>
    </w:lvl>
    <w:lvl w:ilvl="6" w:tplc="2C0A000F" w:tentative="1">
      <w:start w:val="1"/>
      <w:numFmt w:val="decimal"/>
      <w:lvlText w:val="%7."/>
      <w:lvlJc w:val="left"/>
      <w:pPr>
        <w:ind w:left="5555" w:hanging="360"/>
      </w:pPr>
    </w:lvl>
    <w:lvl w:ilvl="7" w:tplc="2C0A0019" w:tentative="1">
      <w:start w:val="1"/>
      <w:numFmt w:val="lowerLetter"/>
      <w:lvlText w:val="%8."/>
      <w:lvlJc w:val="left"/>
      <w:pPr>
        <w:ind w:left="6275" w:hanging="360"/>
      </w:pPr>
    </w:lvl>
    <w:lvl w:ilvl="8" w:tplc="2C0A001B" w:tentative="1">
      <w:start w:val="1"/>
      <w:numFmt w:val="lowerRoman"/>
      <w:lvlText w:val="%9."/>
      <w:lvlJc w:val="right"/>
      <w:pPr>
        <w:ind w:left="6995" w:hanging="180"/>
      </w:pPr>
    </w:lvl>
  </w:abstractNum>
  <w:abstractNum w:abstractNumId="6" w15:restartNumberingAfterBreak="0">
    <w:nsid w:val="29281DF5"/>
    <w:multiLevelType w:val="hybridMultilevel"/>
    <w:tmpl w:val="D324A1EC"/>
    <w:lvl w:ilvl="0" w:tplc="D82E0212">
      <w:start w:val="1"/>
      <w:numFmt w:val="lowerLetter"/>
      <w:lvlText w:val="(%1)"/>
      <w:lvlJc w:val="left"/>
      <w:pPr>
        <w:ind w:left="1494" w:hanging="360"/>
      </w:pPr>
      <w:rPr>
        <w:rFonts w:hint="default"/>
      </w:rPr>
    </w:lvl>
    <w:lvl w:ilvl="1" w:tplc="2C0A0019" w:tentative="1">
      <w:start w:val="1"/>
      <w:numFmt w:val="lowerLetter"/>
      <w:lvlText w:val="%2."/>
      <w:lvlJc w:val="left"/>
      <w:pPr>
        <w:ind w:left="2214" w:hanging="360"/>
      </w:pPr>
    </w:lvl>
    <w:lvl w:ilvl="2" w:tplc="2C0A001B" w:tentative="1">
      <w:start w:val="1"/>
      <w:numFmt w:val="lowerRoman"/>
      <w:lvlText w:val="%3."/>
      <w:lvlJc w:val="right"/>
      <w:pPr>
        <w:ind w:left="2934" w:hanging="180"/>
      </w:pPr>
    </w:lvl>
    <w:lvl w:ilvl="3" w:tplc="2C0A000F" w:tentative="1">
      <w:start w:val="1"/>
      <w:numFmt w:val="decimal"/>
      <w:lvlText w:val="%4."/>
      <w:lvlJc w:val="left"/>
      <w:pPr>
        <w:ind w:left="3654" w:hanging="360"/>
      </w:pPr>
    </w:lvl>
    <w:lvl w:ilvl="4" w:tplc="2C0A0019" w:tentative="1">
      <w:start w:val="1"/>
      <w:numFmt w:val="lowerLetter"/>
      <w:lvlText w:val="%5."/>
      <w:lvlJc w:val="left"/>
      <w:pPr>
        <w:ind w:left="4374" w:hanging="360"/>
      </w:pPr>
    </w:lvl>
    <w:lvl w:ilvl="5" w:tplc="2C0A001B" w:tentative="1">
      <w:start w:val="1"/>
      <w:numFmt w:val="lowerRoman"/>
      <w:lvlText w:val="%6."/>
      <w:lvlJc w:val="right"/>
      <w:pPr>
        <w:ind w:left="5094" w:hanging="180"/>
      </w:pPr>
    </w:lvl>
    <w:lvl w:ilvl="6" w:tplc="2C0A000F" w:tentative="1">
      <w:start w:val="1"/>
      <w:numFmt w:val="decimal"/>
      <w:lvlText w:val="%7."/>
      <w:lvlJc w:val="left"/>
      <w:pPr>
        <w:ind w:left="5814" w:hanging="360"/>
      </w:pPr>
    </w:lvl>
    <w:lvl w:ilvl="7" w:tplc="2C0A0019" w:tentative="1">
      <w:start w:val="1"/>
      <w:numFmt w:val="lowerLetter"/>
      <w:lvlText w:val="%8."/>
      <w:lvlJc w:val="left"/>
      <w:pPr>
        <w:ind w:left="6534" w:hanging="360"/>
      </w:pPr>
    </w:lvl>
    <w:lvl w:ilvl="8" w:tplc="2C0A001B" w:tentative="1">
      <w:start w:val="1"/>
      <w:numFmt w:val="lowerRoman"/>
      <w:lvlText w:val="%9."/>
      <w:lvlJc w:val="right"/>
      <w:pPr>
        <w:ind w:left="7254" w:hanging="180"/>
      </w:pPr>
    </w:lvl>
  </w:abstractNum>
  <w:abstractNum w:abstractNumId="7" w15:restartNumberingAfterBreak="0">
    <w:nsid w:val="30D80725"/>
    <w:multiLevelType w:val="hybridMultilevel"/>
    <w:tmpl w:val="8A102A1A"/>
    <w:lvl w:ilvl="0" w:tplc="83F23A82">
      <w:start w:val="1"/>
      <w:numFmt w:val="lowerRoman"/>
      <w:lvlText w:val="(%1)"/>
      <w:lvlJc w:val="right"/>
      <w:pPr>
        <w:tabs>
          <w:tab w:val="num" w:pos="720"/>
        </w:tabs>
        <w:ind w:left="720" w:hanging="360"/>
      </w:pPr>
    </w:lvl>
    <w:lvl w:ilvl="1" w:tplc="09543076" w:tentative="1">
      <w:start w:val="1"/>
      <w:numFmt w:val="lowerRoman"/>
      <w:lvlText w:val="(%2)"/>
      <w:lvlJc w:val="right"/>
      <w:pPr>
        <w:tabs>
          <w:tab w:val="num" w:pos="1440"/>
        </w:tabs>
        <w:ind w:left="1440" w:hanging="360"/>
      </w:pPr>
    </w:lvl>
    <w:lvl w:ilvl="2" w:tplc="6838A1C0" w:tentative="1">
      <w:start w:val="1"/>
      <w:numFmt w:val="lowerRoman"/>
      <w:lvlText w:val="(%3)"/>
      <w:lvlJc w:val="right"/>
      <w:pPr>
        <w:tabs>
          <w:tab w:val="num" w:pos="2160"/>
        </w:tabs>
        <w:ind w:left="2160" w:hanging="360"/>
      </w:pPr>
    </w:lvl>
    <w:lvl w:ilvl="3" w:tplc="DF5C5DF4" w:tentative="1">
      <w:start w:val="1"/>
      <w:numFmt w:val="lowerRoman"/>
      <w:lvlText w:val="(%4)"/>
      <w:lvlJc w:val="right"/>
      <w:pPr>
        <w:tabs>
          <w:tab w:val="num" w:pos="2880"/>
        </w:tabs>
        <w:ind w:left="2880" w:hanging="360"/>
      </w:pPr>
    </w:lvl>
    <w:lvl w:ilvl="4" w:tplc="B7C0B182" w:tentative="1">
      <w:start w:val="1"/>
      <w:numFmt w:val="lowerRoman"/>
      <w:lvlText w:val="(%5)"/>
      <w:lvlJc w:val="right"/>
      <w:pPr>
        <w:tabs>
          <w:tab w:val="num" w:pos="3600"/>
        </w:tabs>
        <w:ind w:left="3600" w:hanging="360"/>
      </w:pPr>
    </w:lvl>
    <w:lvl w:ilvl="5" w:tplc="48D8D2B6" w:tentative="1">
      <w:start w:val="1"/>
      <w:numFmt w:val="lowerRoman"/>
      <w:lvlText w:val="(%6)"/>
      <w:lvlJc w:val="right"/>
      <w:pPr>
        <w:tabs>
          <w:tab w:val="num" w:pos="4320"/>
        </w:tabs>
        <w:ind w:left="4320" w:hanging="360"/>
      </w:pPr>
    </w:lvl>
    <w:lvl w:ilvl="6" w:tplc="51F22A0E" w:tentative="1">
      <w:start w:val="1"/>
      <w:numFmt w:val="lowerRoman"/>
      <w:lvlText w:val="(%7)"/>
      <w:lvlJc w:val="right"/>
      <w:pPr>
        <w:tabs>
          <w:tab w:val="num" w:pos="5040"/>
        </w:tabs>
        <w:ind w:left="5040" w:hanging="360"/>
      </w:pPr>
    </w:lvl>
    <w:lvl w:ilvl="7" w:tplc="C53C28B8" w:tentative="1">
      <w:start w:val="1"/>
      <w:numFmt w:val="lowerRoman"/>
      <w:lvlText w:val="(%8)"/>
      <w:lvlJc w:val="right"/>
      <w:pPr>
        <w:tabs>
          <w:tab w:val="num" w:pos="5760"/>
        </w:tabs>
        <w:ind w:left="5760" w:hanging="360"/>
      </w:pPr>
    </w:lvl>
    <w:lvl w:ilvl="8" w:tplc="7A1ABBC8" w:tentative="1">
      <w:start w:val="1"/>
      <w:numFmt w:val="lowerRoman"/>
      <w:lvlText w:val="(%9)"/>
      <w:lvlJc w:val="right"/>
      <w:pPr>
        <w:tabs>
          <w:tab w:val="num" w:pos="6480"/>
        </w:tabs>
        <w:ind w:left="6480" w:hanging="360"/>
      </w:pPr>
    </w:lvl>
  </w:abstractNum>
  <w:abstractNum w:abstractNumId="8" w15:restartNumberingAfterBreak="0">
    <w:nsid w:val="31024C3B"/>
    <w:multiLevelType w:val="hybridMultilevel"/>
    <w:tmpl w:val="B25014EA"/>
    <w:lvl w:ilvl="0" w:tplc="DBD2B7B8">
      <w:start w:val="1"/>
      <w:numFmt w:val="bullet"/>
      <w:lvlText w:val="-"/>
      <w:lvlJc w:val="left"/>
      <w:pPr>
        <w:ind w:left="1285" w:hanging="360"/>
      </w:pPr>
      <w:rPr>
        <w:rFonts w:ascii="Times New Roman" w:eastAsia="Times New Roman" w:hAnsi="Times New Roman" w:cs="Times New Roman" w:hint="default"/>
        <w:color w:val="auto"/>
      </w:rPr>
    </w:lvl>
    <w:lvl w:ilvl="1" w:tplc="2C0A0003" w:tentative="1">
      <w:start w:val="1"/>
      <w:numFmt w:val="bullet"/>
      <w:lvlText w:val="o"/>
      <w:lvlJc w:val="left"/>
      <w:pPr>
        <w:ind w:left="2005" w:hanging="360"/>
      </w:pPr>
      <w:rPr>
        <w:rFonts w:ascii="Courier New" w:hAnsi="Courier New" w:cs="Courier New" w:hint="default"/>
      </w:rPr>
    </w:lvl>
    <w:lvl w:ilvl="2" w:tplc="2C0A0005" w:tentative="1">
      <w:start w:val="1"/>
      <w:numFmt w:val="bullet"/>
      <w:lvlText w:val=""/>
      <w:lvlJc w:val="left"/>
      <w:pPr>
        <w:ind w:left="2725" w:hanging="360"/>
      </w:pPr>
      <w:rPr>
        <w:rFonts w:ascii="Wingdings" w:hAnsi="Wingdings" w:hint="default"/>
      </w:rPr>
    </w:lvl>
    <w:lvl w:ilvl="3" w:tplc="2C0A0001" w:tentative="1">
      <w:start w:val="1"/>
      <w:numFmt w:val="bullet"/>
      <w:lvlText w:val=""/>
      <w:lvlJc w:val="left"/>
      <w:pPr>
        <w:ind w:left="3445" w:hanging="360"/>
      </w:pPr>
      <w:rPr>
        <w:rFonts w:ascii="Symbol" w:hAnsi="Symbol" w:hint="default"/>
      </w:rPr>
    </w:lvl>
    <w:lvl w:ilvl="4" w:tplc="2C0A0003" w:tentative="1">
      <w:start w:val="1"/>
      <w:numFmt w:val="bullet"/>
      <w:lvlText w:val="o"/>
      <w:lvlJc w:val="left"/>
      <w:pPr>
        <w:ind w:left="4165" w:hanging="360"/>
      </w:pPr>
      <w:rPr>
        <w:rFonts w:ascii="Courier New" w:hAnsi="Courier New" w:cs="Courier New" w:hint="default"/>
      </w:rPr>
    </w:lvl>
    <w:lvl w:ilvl="5" w:tplc="2C0A0005" w:tentative="1">
      <w:start w:val="1"/>
      <w:numFmt w:val="bullet"/>
      <w:lvlText w:val=""/>
      <w:lvlJc w:val="left"/>
      <w:pPr>
        <w:ind w:left="4885" w:hanging="360"/>
      </w:pPr>
      <w:rPr>
        <w:rFonts w:ascii="Wingdings" w:hAnsi="Wingdings" w:hint="default"/>
      </w:rPr>
    </w:lvl>
    <w:lvl w:ilvl="6" w:tplc="2C0A0001" w:tentative="1">
      <w:start w:val="1"/>
      <w:numFmt w:val="bullet"/>
      <w:lvlText w:val=""/>
      <w:lvlJc w:val="left"/>
      <w:pPr>
        <w:ind w:left="5605" w:hanging="360"/>
      </w:pPr>
      <w:rPr>
        <w:rFonts w:ascii="Symbol" w:hAnsi="Symbol" w:hint="default"/>
      </w:rPr>
    </w:lvl>
    <w:lvl w:ilvl="7" w:tplc="2C0A0003" w:tentative="1">
      <w:start w:val="1"/>
      <w:numFmt w:val="bullet"/>
      <w:lvlText w:val="o"/>
      <w:lvlJc w:val="left"/>
      <w:pPr>
        <w:ind w:left="6325" w:hanging="360"/>
      </w:pPr>
      <w:rPr>
        <w:rFonts w:ascii="Courier New" w:hAnsi="Courier New" w:cs="Courier New" w:hint="default"/>
      </w:rPr>
    </w:lvl>
    <w:lvl w:ilvl="8" w:tplc="2C0A0005" w:tentative="1">
      <w:start w:val="1"/>
      <w:numFmt w:val="bullet"/>
      <w:lvlText w:val=""/>
      <w:lvlJc w:val="left"/>
      <w:pPr>
        <w:ind w:left="7045" w:hanging="360"/>
      </w:pPr>
      <w:rPr>
        <w:rFonts w:ascii="Wingdings" w:hAnsi="Wingdings" w:hint="default"/>
      </w:rPr>
    </w:lvl>
  </w:abstractNum>
  <w:abstractNum w:abstractNumId="9" w15:restartNumberingAfterBreak="0">
    <w:nsid w:val="35343A90"/>
    <w:multiLevelType w:val="hybridMultilevel"/>
    <w:tmpl w:val="D430F082"/>
    <w:lvl w:ilvl="0" w:tplc="1D42C93E">
      <w:start w:val="1"/>
      <w:numFmt w:val="decimal"/>
      <w:lvlText w:val="(%1)"/>
      <w:lvlJc w:val="left"/>
      <w:pPr>
        <w:ind w:left="925" w:hanging="360"/>
      </w:pPr>
      <w:rPr>
        <w:rFonts w:hint="default"/>
      </w:rPr>
    </w:lvl>
    <w:lvl w:ilvl="1" w:tplc="2C0A0019" w:tentative="1">
      <w:start w:val="1"/>
      <w:numFmt w:val="lowerLetter"/>
      <w:lvlText w:val="%2."/>
      <w:lvlJc w:val="left"/>
      <w:pPr>
        <w:ind w:left="1645" w:hanging="360"/>
      </w:pPr>
    </w:lvl>
    <w:lvl w:ilvl="2" w:tplc="2C0A001B" w:tentative="1">
      <w:start w:val="1"/>
      <w:numFmt w:val="lowerRoman"/>
      <w:lvlText w:val="%3."/>
      <w:lvlJc w:val="right"/>
      <w:pPr>
        <w:ind w:left="2365" w:hanging="180"/>
      </w:pPr>
    </w:lvl>
    <w:lvl w:ilvl="3" w:tplc="2C0A000F" w:tentative="1">
      <w:start w:val="1"/>
      <w:numFmt w:val="decimal"/>
      <w:lvlText w:val="%4."/>
      <w:lvlJc w:val="left"/>
      <w:pPr>
        <w:ind w:left="3085" w:hanging="360"/>
      </w:pPr>
    </w:lvl>
    <w:lvl w:ilvl="4" w:tplc="2C0A0019" w:tentative="1">
      <w:start w:val="1"/>
      <w:numFmt w:val="lowerLetter"/>
      <w:lvlText w:val="%5."/>
      <w:lvlJc w:val="left"/>
      <w:pPr>
        <w:ind w:left="3805" w:hanging="360"/>
      </w:pPr>
    </w:lvl>
    <w:lvl w:ilvl="5" w:tplc="2C0A001B" w:tentative="1">
      <w:start w:val="1"/>
      <w:numFmt w:val="lowerRoman"/>
      <w:lvlText w:val="%6."/>
      <w:lvlJc w:val="right"/>
      <w:pPr>
        <w:ind w:left="4525" w:hanging="180"/>
      </w:pPr>
    </w:lvl>
    <w:lvl w:ilvl="6" w:tplc="2C0A000F" w:tentative="1">
      <w:start w:val="1"/>
      <w:numFmt w:val="decimal"/>
      <w:lvlText w:val="%7."/>
      <w:lvlJc w:val="left"/>
      <w:pPr>
        <w:ind w:left="5245" w:hanging="360"/>
      </w:pPr>
    </w:lvl>
    <w:lvl w:ilvl="7" w:tplc="2C0A0019" w:tentative="1">
      <w:start w:val="1"/>
      <w:numFmt w:val="lowerLetter"/>
      <w:lvlText w:val="%8."/>
      <w:lvlJc w:val="left"/>
      <w:pPr>
        <w:ind w:left="5965" w:hanging="360"/>
      </w:pPr>
    </w:lvl>
    <w:lvl w:ilvl="8" w:tplc="2C0A001B" w:tentative="1">
      <w:start w:val="1"/>
      <w:numFmt w:val="lowerRoman"/>
      <w:lvlText w:val="%9."/>
      <w:lvlJc w:val="right"/>
      <w:pPr>
        <w:ind w:left="6685" w:hanging="180"/>
      </w:pPr>
    </w:lvl>
  </w:abstractNum>
  <w:abstractNum w:abstractNumId="10" w15:restartNumberingAfterBreak="0">
    <w:nsid w:val="36A933E2"/>
    <w:multiLevelType w:val="hybridMultilevel"/>
    <w:tmpl w:val="19121832"/>
    <w:lvl w:ilvl="0" w:tplc="B58C32BE">
      <w:start w:val="1"/>
      <w:numFmt w:val="upperRoman"/>
      <w:lvlText w:val="(%1)"/>
      <w:lvlJc w:val="left"/>
      <w:pPr>
        <w:ind w:left="1428" w:hanging="720"/>
      </w:pPr>
      <w:rPr>
        <w:rFonts w:hint="default"/>
        <w:i w:val="0"/>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1" w15:restartNumberingAfterBreak="0">
    <w:nsid w:val="3C4322C2"/>
    <w:multiLevelType w:val="hybridMultilevel"/>
    <w:tmpl w:val="35FC5B78"/>
    <w:lvl w:ilvl="0" w:tplc="64EC343C">
      <w:start w:val="1"/>
      <w:numFmt w:val="lowerLetter"/>
      <w:lvlText w:val="(%1)"/>
      <w:lvlJc w:val="left"/>
      <w:pPr>
        <w:ind w:left="914" w:hanging="360"/>
      </w:pPr>
      <w:rPr>
        <w:rFonts w:hint="default"/>
      </w:rPr>
    </w:lvl>
    <w:lvl w:ilvl="1" w:tplc="2C0A0019" w:tentative="1">
      <w:start w:val="1"/>
      <w:numFmt w:val="lowerLetter"/>
      <w:lvlText w:val="%2."/>
      <w:lvlJc w:val="left"/>
      <w:pPr>
        <w:ind w:left="1634" w:hanging="360"/>
      </w:pPr>
    </w:lvl>
    <w:lvl w:ilvl="2" w:tplc="2C0A001B" w:tentative="1">
      <w:start w:val="1"/>
      <w:numFmt w:val="lowerRoman"/>
      <w:lvlText w:val="%3."/>
      <w:lvlJc w:val="right"/>
      <w:pPr>
        <w:ind w:left="2354" w:hanging="180"/>
      </w:pPr>
    </w:lvl>
    <w:lvl w:ilvl="3" w:tplc="2C0A000F" w:tentative="1">
      <w:start w:val="1"/>
      <w:numFmt w:val="decimal"/>
      <w:lvlText w:val="%4."/>
      <w:lvlJc w:val="left"/>
      <w:pPr>
        <w:ind w:left="3074" w:hanging="360"/>
      </w:pPr>
    </w:lvl>
    <w:lvl w:ilvl="4" w:tplc="2C0A0019" w:tentative="1">
      <w:start w:val="1"/>
      <w:numFmt w:val="lowerLetter"/>
      <w:lvlText w:val="%5."/>
      <w:lvlJc w:val="left"/>
      <w:pPr>
        <w:ind w:left="3794" w:hanging="360"/>
      </w:pPr>
    </w:lvl>
    <w:lvl w:ilvl="5" w:tplc="2C0A001B" w:tentative="1">
      <w:start w:val="1"/>
      <w:numFmt w:val="lowerRoman"/>
      <w:lvlText w:val="%6."/>
      <w:lvlJc w:val="right"/>
      <w:pPr>
        <w:ind w:left="4514" w:hanging="180"/>
      </w:pPr>
    </w:lvl>
    <w:lvl w:ilvl="6" w:tplc="2C0A000F" w:tentative="1">
      <w:start w:val="1"/>
      <w:numFmt w:val="decimal"/>
      <w:lvlText w:val="%7."/>
      <w:lvlJc w:val="left"/>
      <w:pPr>
        <w:ind w:left="5234" w:hanging="360"/>
      </w:pPr>
    </w:lvl>
    <w:lvl w:ilvl="7" w:tplc="2C0A0019" w:tentative="1">
      <w:start w:val="1"/>
      <w:numFmt w:val="lowerLetter"/>
      <w:lvlText w:val="%8."/>
      <w:lvlJc w:val="left"/>
      <w:pPr>
        <w:ind w:left="5954" w:hanging="360"/>
      </w:pPr>
    </w:lvl>
    <w:lvl w:ilvl="8" w:tplc="2C0A001B" w:tentative="1">
      <w:start w:val="1"/>
      <w:numFmt w:val="lowerRoman"/>
      <w:lvlText w:val="%9."/>
      <w:lvlJc w:val="right"/>
      <w:pPr>
        <w:ind w:left="6674" w:hanging="180"/>
      </w:pPr>
    </w:lvl>
  </w:abstractNum>
  <w:abstractNum w:abstractNumId="12" w15:restartNumberingAfterBreak="0">
    <w:nsid w:val="475B2334"/>
    <w:multiLevelType w:val="hybridMultilevel"/>
    <w:tmpl w:val="724C3908"/>
    <w:lvl w:ilvl="0" w:tplc="4E0C7464">
      <w:start w:val="1"/>
      <w:numFmt w:val="bullet"/>
      <w:lvlText w:val="-"/>
      <w:lvlJc w:val="left"/>
      <w:pPr>
        <w:tabs>
          <w:tab w:val="num" w:pos="720"/>
        </w:tabs>
        <w:ind w:left="720" w:hanging="360"/>
      </w:pPr>
      <w:rPr>
        <w:rFonts w:ascii="Times New Roman" w:hAnsi="Times New Roman" w:hint="default"/>
      </w:rPr>
    </w:lvl>
    <w:lvl w:ilvl="1" w:tplc="B394E464" w:tentative="1">
      <w:start w:val="1"/>
      <w:numFmt w:val="bullet"/>
      <w:lvlText w:val="-"/>
      <w:lvlJc w:val="left"/>
      <w:pPr>
        <w:tabs>
          <w:tab w:val="num" w:pos="1440"/>
        </w:tabs>
        <w:ind w:left="1440" w:hanging="360"/>
      </w:pPr>
      <w:rPr>
        <w:rFonts w:ascii="Times New Roman" w:hAnsi="Times New Roman" w:hint="default"/>
      </w:rPr>
    </w:lvl>
    <w:lvl w:ilvl="2" w:tplc="503A11B0" w:tentative="1">
      <w:start w:val="1"/>
      <w:numFmt w:val="bullet"/>
      <w:lvlText w:val="-"/>
      <w:lvlJc w:val="left"/>
      <w:pPr>
        <w:tabs>
          <w:tab w:val="num" w:pos="2160"/>
        </w:tabs>
        <w:ind w:left="2160" w:hanging="360"/>
      </w:pPr>
      <w:rPr>
        <w:rFonts w:ascii="Times New Roman" w:hAnsi="Times New Roman" w:hint="default"/>
      </w:rPr>
    </w:lvl>
    <w:lvl w:ilvl="3" w:tplc="CDBE8F38" w:tentative="1">
      <w:start w:val="1"/>
      <w:numFmt w:val="bullet"/>
      <w:lvlText w:val="-"/>
      <w:lvlJc w:val="left"/>
      <w:pPr>
        <w:tabs>
          <w:tab w:val="num" w:pos="2880"/>
        </w:tabs>
        <w:ind w:left="2880" w:hanging="360"/>
      </w:pPr>
      <w:rPr>
        <w:rFonts w:ascii="Times New Roman" w:hAnsi="Times New Roman" w:hint="default"/>
      </w:rPr>
    </w:lvl>
    <w:lvl w:ilvl="4" w:tplc="F18E9AA6" w:tentative="1">
      <w:start w:val="1"/>
      <w:numFmt w:val="bullet"/>
      <w:lvlText w:val="-"/>
      <w:lvlJc w:val="left"/>
      <w:pPr>
        <w:tabs>
          <w:tab w:val="num" w:pos="3600"/>
        </w:tabs>
        <w:ind w:left="3600" w:hanging="360"/>
      </w:pPr>
      <w:rPr>
        <w:rFonts w:ascii="Times New Roman" w:hAnsi="Times New Roman" w:hint="default"/>
      </w:rPr>
    </w:lvl>
    <w:lvl w:ilvl="5" w:tplc="4942D7BC" w:tentative="1">
      <w:start w:val="1"/>
      <w:numFmt w:val="bullet"/>
      <w:lvlText w:val="-"/>
      <w:lvlJc w:val="left"/>
      <w:pPr>
        <w:tabs>
          <w:tab w:val="num" w:pos="4320"/>
        </w:tabs>
        <w:ind w:left="4320" w:hanging="360"/>
      </w:pPr>
      <w:rPr>
        <w:rFonts w:ascii="Times New Roman" w:hAnsi="Times New Roman" w:hint="default"/>
      </w:rPr>
    </w:lvl>
    <w:lvl w:ilvl="6" w:tplc="BEB22A0A" w:tentative="1">
      <w:start w:val="1"/>
      <w:numFmt w:val="bullet"/>
      <w:lvlText w:val="-"/>
      <w:lvlJc w:val="left"/>
      <w:pPr>
        <w:tabs>
          <w:tab w:val="num" w:pos="5040"/>
        </w:tabs>
        <w:ind w:left="5040" w:hanging="360"/>
      </w:pPr>
      <w:rPr>
        <w:rFonts w:ascii="Times New Roman" w:hAnsi="Times New Roman" w:hint="default"/>
      </w:rPr>
    </w:lvl>
    <w:lvl w:ilvl="7" w:tplc="46708B96" w:tentative="1">
      <w:start w:val="1"/>
      <w:numFmt w:val="bullet"/>
      <w:lvlText w:val="-"/>
      <w:lvlJc w:val="left"/>
      <w:pPr>
        <w:tabs>
          <w:tab w:val="num" w:pos="5760"/>
        </w:tabs>
        <w:ind w:left="5760" w:hanging="360"/>
      </w:pPr>
      <w:rPr>
        <w:rFonts w:ascii="Times New Roman" w:hAnsi="Times New Roman" w:hint="default"/>
      </w:rPr>
    </w:lvl>
    <w:lvl w:ilvl="8" w:tplc="8560281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C367B7E"/>
    <w:multiLevelType w:val="hybridMultilevel"/>
    <w:tmpl w:val="CA90AC6E"/>
    <w:lvl w:ilvl="0" w:tplc="8D66FF32">
      <w:start w:val="1"/>
      <w:numFmt w:val="bullet"/>
      <w:lvlText w:val=""/>
      <w:lvlJc w:val="left"/>
      <w:pPr>
        <w:ind w:left="1636" w:hanging="360"/>
      </w:pPr>
      <w:rPr>
        <w:rFonts w:ascii="Symbol" w:eastAsia="Times New Roman" w:hAnsi="Symbol" w:cs="Times New Roman" w:hint="default"/>
      </w:rPr>
    </w:lvl>
    <w:lvl w:ilvl="1" w:tplc="2C0A0003" w:tentative="1">
      <w:start w:val="1"/>
      <w:numFmt w:val="bullet"/>
      <w:lvlText w:val="o"/>
      <w:lvlJc w:val="left"/>
      <w:pPr>
        <w:ind w:left="2356" w:hanging="360"/>
      </w:pPr>
      <w:rPr>
        <w:rFonts w:ascii="Courier New" w:hAnsi="Courier New" w:cs="Courier New" w:hint="default"/>
      </w:rPr>
    </w:lvl>
    <w:lvl w:ilvl="2" w:tplc="2C0A0005" w:tentative="1">
      <w:start w:val="1"/>
      <w:numFmt w:val="bullet"/>
      <w:lvlText w:val=""/>
      <w:lvlJc w:val="left"/>
      <w:pPr>
        <w:ind w:left="3076" w:hanging="360"/>
      </w:pPr>
      <w:rPr>
        <w:rFonts w:ascii="Wingdings" w:hAnsi="Wingdings" w:hint="default"/>
      </w:rPr>
    </w:lvl>
    <w:lvl w:ilvl="3" w:tplc="2C0A0001" w:tentative="1">
      <w:start w:val="1"/>
      <w:numFmt w:val="bullet"/>
      <w:lvlText w:val=""/>
      <w:lvlJc w:val="left"/>
      <w:pPr>
        <w:ind w:left="3796" w:hanging="360"/>
      </w:pPr>
      <w:rPr>
        <w:rFonts w:ascii="Symbol" w:hAnsi="Symbol" w:hint="default"/>
      </w:rPr>
    </w:lvl>
    <w:lvl w:ilvl="4" w:tplc="2C0A0003" w:tentative="1">
      <w:start w:val="1"/>
      <w:numFmt w:val="bullet"/>
      <w:lvlText w:val="o"/>
      <w:lvlJc w:val="left"/>
      <w:pPr>
        <w:ind w:left="4516" w:hanging="360"/>
      </w:pPr>
      <w:rPr>
        <w:rFonts w:ascii="Courier New" w:hAnsi="Courier New" w:cs="Courier New" w:hint="default"/>
      </w:rPr>
    </w:lvl>
    <w:lvl w:ilvl="5" w:tplc="2C0A0005" w:tentative="1">
      <w:start w:val="1"/>
      <w:numFmt w:val="bullet"/>
      <w:lvlText w:val=""/>
      <w:lvlJc w:val="left"/>
      <w:pPr>
        <w:ind w:left="5236" w:hanging="360"/>
      </w:pPr>
      <w:rPr>
        <w:rFonts w:ascii="Wingdings" w:hAnsi="Wingdings" w:hint="default"/>
      </w:rPr>
    </w:lvl>
    <w:lvl w:ilvl="6" w:tplc="2C0A0001" w:tentative="1">
      <w:start w:val="1"/>
      <w:numFmt w:val="bullet"/>
      <w:lvlText w:val=""/>
      <w:lvlJc w:val="left"/>
      <w:pPr>
        <w:ind w:left="5956" w:hanging="360"/>
      </w:pPr>
      <w:rPr>
        <w:rFonts w:ascii="Symbol" w:hAnsi="Symbol" w:hint="default"/>
      </w:rPr>
    </w:lvl>
    <w:lvl w:ilvl="7" w:tplc="2C0A0003" w:tentative="1">
      <w:start w:val="1"/>
      <w:numFmt w:val="bullet"/>
      <w:lvlText w:val="o"/>
      <w:lvlJc w:val="left"/>
      <w:pPr>
        <w:ind w:left="6676" w:hanging="360"/>
      </w:pPr>
      <w:rPr>
        <w:rFonts w:ascii="Courier New" w:hAnsi="Courier New" w:cs="Courier New" w:hint="default"/>
      </w:rPr>
    </w:lvl>
    <w:lvl w:ilvl="8" w:tplc="2C0A0005" w:tentative="1">
      <w:start w:val="1"/>
      <w:numFmt w:val="bullet"/>
      <w:lvlText w:val=""/>
      <w:lvlJc w:val="left"/>
      <w:pPr>
        <w:ind w:left="7396" w:hanging="360"/>
      </w:pPr>
      <w:rPr>
        <w:rFonts w:ascii="Wingdings" w:hAnsi="Wingdings" w:hint="default"/>
      </w:rPr>
    </w:lvl>
  </w:abstractNum>
  <w:abstractNum w:abstractNumId="14" w15:restartNumberingAfterBreak="0">
    <w:nsid w:val="6DAE039C"/>
    <w:multiLevelType w:val="hybridMultilevel"/>
    <w:tmpl w:val="55BEEDB2"/>
    <w:lvl w:ilvl="0" w:tplc="7E1A4FA0">
      <w:start w:val="1"/>
      <w:numFmt w:val="lowerLetter"/>
      <w:lvlText w:val="(%1)"/>
      <w:lvlJc w:val="left"/>
      <w:pPr>
        <w:ind w:left="1211" w:hanging="360"/>
      </w:pPr>
      <w:rPr>
        <w:rFonts w:hint="default"/>
        <w:color w:val="auto"/>
      </w:rPr>
    </w:lvl>
    <w:lvl w:ilvl="1" w:tplc="2C0A0019" w:tentative="1">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abstractNum w:abstractNumId="15" w15:restartNumberingAfterBreak="0">
    <w:nsid w:val="6EE52712"/>
    <w:multiLevelType w:val="hybridMultilevel"/>
    <w:tmpl w:val="3B28BA96"/>
    <w:lvl w:ilvl="0" w:tplc="AA224E8C">
      <w:start w:val="1"/>
      <w:numFmt w:val="lowerRoman"/>
      <w:lvlText w:val="(%1)"/>
      <w:lvlJc w:val="left"/>
      <w:pPr>
        <w:ind w:left="1350" w:hanging="720"/>
      </w:pPr>
      <w:rPr>
        <w:rFonts w:ascii="Times New Roman" w:hAnsi="Times New Roman" w:cs="Times New Roman" w:hint="default"/>
      </w:rPr>
    </w:lvl>
    <w:lvl w:ilvl="1" w:tplc="2C0A0019" w:tentative="1">
      <w:start w:val="1"/>
      <w:numFmt w:val="lowerLetter"/>
      <w:lvlText w:val="%2."/>
      <w:lvlJc w:val="left"/>
      <w:pPr>
        <w:ind w:left="1648" w:hanging="360"/>
      </w:pPr>
    </w:lvl>
    <w:lvl w:ilvl="2" w:tplc="2C0A001B" w:tentative="1">
      <w:start w:val="1"/>
      <w:numFmt w:val="lowerRoman"/>
      <w:lvlText w:val="%3."/>
      <w:lvlJc w:val="right"/>
      <w:pPr>
        <w:ind w:left="2368" w:hanging="180"/>
      </w:pPr>
    </w:lvl>
    <w:lvl w:ilvl="3" w:tplc="2C0A000F" w:tentative="1">
      <w:start w:val="1"/>
      <w:numFmt w:val="decimal"/>
      <w:lvlText w:val="%4."/>
      <w:lvlJc w:val="left"/>
      <w:pPr>
        <w:ind w:left="3088" w:hanging="360"/>
      </w:pPr>
    </w:lvl>
    <w:lvl w:ilvl="4" w:tplc="2C0A0019" w:tentative="1">
      <w:start w:val="1"/>
      <w:numFmt w:val="lowerLetter"/>
      <w:lvlText w:val="%5."/>
      <w:lvlJc w:val="left"/>
      <w:pPr>
        <w:ind w:left="3808" w:hanging="360"/>
      </w:pPr>
    </w:lvl>
    <w:lvl w:ilvl="5" w:tplc="2C0A001B" w:tentative="1">
      <w:start w:val="1"/>
      <w:numFmt w:val="lowerRoman"/>
      <w:lvlText w:val="%6."/>
      <w:lvlJc w:val="right"/>
      <w:pPr>
        <w:ind w:left="4528" w:hanging="180"/>
      </w:pPr>
    </w:lvl>
    <w:lvl w:ilvl="6" w:tplc="2C0A000F" w:tentative="1">
      <w:start w:val="1"/>
      <w:numFmt w:val="decimal"/>
      <w:lvlText w:val="%7."/>
      <w:lvlJc w:val="left"/>
      <w:pPr>
        <w:ind w:left="5248" w:hanging="360"/>
      </w:pPr>
    </w:lvl>
    <w:lvl w:ilvl="7" w:tplc="2C0A0019" w:tentative="1">
      <w:start w:val="1"/>
      <w:numFmt w:val="lowerLetter"/>
      <w:lvlText w:val="%8."/>
      <w:lvlJc w:val="left"/>
      <w:pPr>
        <w:ind w:left="5968" w:hanging="360"/>
      </w:pPr>
    </w:lvl>
    <w:lvl w:ilvl="8" w:tplc="2C0A001B" w:tentative="1">
      <w:start w:val="1"/>
      <w:numFmt w:val="lowerRoman"/>
      <w:lvlText w:val="%9."/>
      <w:lvlJc w:val="right"/>
      <w:pPr>
        <w:ind w:left="6688" w:hanging="180"/>
      </w:pPr>
    </w:lvl>
  </w:abstractNum>
  <w:abstractNum w:abstractNumId="16" w15:restartNumberingAfterBreak="0">
    <w:nsid w:val="7D946084"/>
    <w:multiLevelType w:val="hybridMultilevel"/>
    <w:tmpl w:val="661E1566"/>
    <w:lvl w:ilvl="0" w:tplc="64EC343C">
      <w:start w:val="1"/>
      <w:numFmt w:val="lowerLetter"/>
      <w:lvlText w:val="(%1)"/>
      <w:lvlJc w:val="left"/>
      <w:pPr>
        <w:ind w:left="1211" w:hanging="360"/>
      </w:pPr>
      <w:rPr>
        <w:rFonts w:hint="default"/>
      </w:rPr>
    </w:lvl>
    <w:lvl w:ilvl="1" w:tplc="2C0A0019" w:tentative="1">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abstractNum w:abstractNumId="17" w15:restartNumberingAfterBreak="0">
    <w:nsid w:val="7DE75A2F"/>
    <w:multiLevelType w:val="hybridMultilevel"/>
    <w:tmpl w:val="C90C7B9C"/>
    <w:lvl w:ilvl="0" w:tplc="9E12B870">
      <w:start w:val="1"/>
      <w:numFmt w:val="lowerRoman"/>
      <w:lvlText w:val="(%1)"/>
      <w:lvlJc w:val="left"/>
      <w:pPr>
        <w:ind w:left="718" w:hanging="360"/>
      </w:pPr>
      <w:rPr>
        <w:rFonts w:cs="Times New Roman" w:hint="default"/>
        <w:b/>
        <w:color w:val="auto"/>
      </w:rPr>
    </w:lvl>
    <w:lvl w:ilvl="1" w:tplc="2C0A0019" w:tentative="1">
      <w:start w:val="1"/>
      <w:numFmt w:val="lowerLetter"/>
      <w:lvlText w:val="%2."/>
      <w:lvlJc w:val="left"/>
      <w:pPr>
        <w:ind w:left="1438" w:hanging="360"/>
      </w:pPr>
    </w:lvl>
    <w:lvl w:ilvl="2" w:tplc="2C0A001B" w:tentative="1">
      <w:start w:val="1"/>
      <w:numFmt w:val="lowerRoman"/>
      <w:lvlText w:val="%3."/>
      <w:lvlJc w:val="right"/>
      <w:pPr>
        <w:ind w:left="2158" w:hanging="180"/>
      </w:pPr>
    </w:lvl>
    <w:lvl w:ilvl="3" w:tplc="2C0A000F" w:tentative="1">
      <w:start w:val="1"/>
      <w:numFmt w:val="decimal"/>
      <w:lvlText w:val="%4."/>
      <w:lvlJc w:val="left"/>
      <w:pPr>
        <w:ind w:left="2878" w:hanging="360"/>
      </w:pPr>
    </w:lvl>
    <w:lvl w:ilvl="4" w:tplc="2C0A0019" w:tentative="1">
      <w:start w:val="1"/>
      <w:numFmt w:val="lowerLetter"/>
      <w:lvlText w:val="%5."/>
      <w:lvlJc w:val="left"/>
      <w:pPr>
        <w:ind w:left="3598" w:hanging="360"/>
      </w:pPr>
    </w:lvl>
    <w:lvl w:ilvl="5" w:tplc="2C0A001B" w:tentative="1">
      <w:start w:val="1"/>
      <w:numFmt w:val="lowerRoman"/>
      <w:lvlText w:val="%6."/>
      <w:lvlJc w:val="right"/>
      <w:pPr>
        <w:ind w:left="4318" w:hanging="180"/>
      </w:pPr>
    </w:lvl>
    <w:lvl w:ilvl="6" w:tplc="2C0A000F" w:tentative="1">
      <w:start w:val="1"/>
      <w:numFmt w:val="decimal"/>
      <w:lvlText w:val="%7."/>
      <w:lvlJc w:val="left"/>
      <w:pPr>
        <w:ind w:left="5038" w:hanging="360"/>
      </w:pPr>
    </w:lvl>
    <w:lvl w:ilvl="7" w:tplc="2C0A0019" w:tentative="1">
      <w:start w:val="1"/>
      <w:numFmt w:val="lowerLetter"/>
      <w:lvlText w:val="%8."/>
      <w:lvlJc w:val="left"/>
      <w:pPr>
        <w:ind w:left="5758" w:hanging="360"/>
      </w:pPr>
    </w:lvl>
    <w:lvl w:ilvl="8" w:tplc="2C0A001B" w:tentative="1">
      <w:start w:val="1"/>
      <w:numFmt w:val="lowerRoman"/>
      <w:lvlText w:val="%9."/>
      <w:lvlJc w:val="right"/>
      <w:pPr>
        <w:ind w:left="6478" w:hanging="180"/>
      </w:pPr>
    </w:lvl>
  </w:abstractNum>
  <w:num w:numId="1">
    <w:abstractNumId w:val="17"/>
  </w:num>
  <w:num w:numId="2">
    <w:abstractNumId w:val="12"/>
  </w:num>
  <w:num w:numId="3">
    <w:abstractNumId w:val="7"/>
  </w:num>
  <w:num w:numId="4">
    <w:abstractNumId w:val="9"/>
  </w:num>
  <w:num w:numId="5">
    <w:abstractNumId w:val="8"/>
  </w:num>
  <w:num w:numId="6">
    <w:abstractNumId w:val="3"/>
  </w:num>
  <w:num w:numId="7">
    <w:abstractNumId w:val="5"/>
  </w:num>
  <w:num w:numId="8">
    <w:abstractNumId w:val="1"/>
  </w:num>
  <w:num w:numId="9">
    <w:abstractNumId w:val="4"/>
  </w:num>
  <w:num w:numId="10">
    <w:abstractNumId w:val="6"/>
  </w:num>
  <w:num w:numId="11">
    <w:abstractNumId w:val="11"/>
  </w:num>
  <w:num w:numId="12">
    <w:abstractNumId w:val="0"/>
  </w:num>
  <w:num w:numId="13">
    <w:abstractNumId w:val="2"/>
  </w:num>
  <w:num w:numId="14">
    <w:abstractNumId w:val="14"/>
  </w:num>
  <w:num w:numId="15">
    <w:abstractNumId w:val="15"/>
  </w:num>
  <w:num w:numId="16">
    <w:abstractNumId w:val="16"/>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838"/>
    <w:rsid w:val="00000EA2"/>
    <w:rsid w:val="00002EF7"/>
    <w:rsid w:val="00003E01"/>
    <w:rsid w:val="00004FA1"/>
    <w:rsid w:val="00007233"/>
    <w:rsid w:val="00010B28"/>
    <w:rsid w:val="00010F99"/>
    <w:rsid w:val="00011006"/>
    <w:rsid w:val="00013E86"/>
    <w:rsid w:val="000227CA"/>
    <w:rsid w:val="00022827"/>
    <w:rsid w:val="00023A53"/>
    <w:rsid w:val="00024133"/>
    <w:rsid w:val="00024587"/>
    <w:rsid w:val="000247EB"/>
    <w:rsid w:val="00025730"/>
    <w:rsid w:val="00025EA5"/>
    <w:rsid w:val="00030E2A"/>
    <w:rsid w:val="000317A4"/>
    <w:rsid w:val="000319B5"/>
    <w:rsid w:val="00031F6D"/>
    <w:rsid w:val="0003216D"/>
    <w:rsid w:val="00032A09"/>
    <w:rsid w:val="00032BA2"/>
    <w:rsid w:val="0003485D"/>
    <w:rsid w:val="0003647A"/>
    <w:rsid w:val="00037899"/>
    <w:rsid w:val="00037F13"/>
    <w:rsid w:val="00040468"/>
    <w:rsid w:val="00041E2A"/>
    <w:rsid w:val="0004210C"/>
    <w:rsid w:val="00042C9F"/>
    <w:rsid w:val="000430F3"/>
    <w:rsid w:val="0004670C"/>
    <w:rsid w:val="00047015"/>
    <w:rsid w:val="00047C2B"/>
    <w:rsid w:val="00050A11"/>
    <w:rsid w:val="00053969"/>
    <w:rsid w:val="0005396B"/>
    <w:rsid w:val="00055A99"/>
    <w:rsid w:val="00056B1C"/>
    <w:rsid w:val="00061723"/>
    <w:rsid w:val="00061A4B"/>
    <w:rsid w:val="00063F21"/>
    <w:rsid w:val="00064E84"/>
    <w:rsid w:val="0007191D"/>
    <w:rsid w:val="000744F6"/>
    <w:rsid w:val="000756A0"/>
    <w:rsid w:val="0007590D"/>
    <w:rsid w:val="000779BE"/>
    <w:rsid w:val="0008245D"/>
    <w:rsid w:val="00082FA3"/>
    <w:rsid w:val="000833EA"/>
    <w:rsid w:val="00087A68"/>
    <w:rsid w:val="000901DF"/>
    <w:rsid w:val="00092991"/>
    <w:rsid w:val="00094D91"/>
    <w:rsid w:val="000A0BBE"/>
    <w:rsid w:val="000A1210"/>
    <w:rsid w:val="000A1811"/>
    <w:rsid w:val="000A203D"/>
    <w:rsid w:val="000A4CD5"/>
    <w:rsid w:val="000A74DC"/>
    <w:rsid w:val="000A7EAC"/>
    <w:rsid w:val="000A7F84"/>
    <w:rsid w:val="000B037A"/>
    <w:rsid w:val="000B1387"/>
    <w:rsid w:val="000B196F"/>
    <w:rsid w:val="000B1FD2"/>
    <w:rsid w:val="000B2806"/>
    <w:rsid w:val="000B3767"/>
    <w:rsid w:val="000C569E"/>
    <w:rsid w:val="000C6881"/>
    <w:rsid w:val="000C698A"/>
    <w:rsid w:val="000C7F18"/>
    <w:rsid w:val="000D01F5"/>
    <w:rsid w:val="000D0846"/>
    <w:rsid w:val="000D0F7E"/>
    <w:rsid w:val="000D574C"/>
    <w:rsid w:val="000D7F98"/>
    <w:rsid w:val="000E035D"/>
    <w:rsid w:val="000E11DF"/>
    <w:rsid w:val="000E1F89"/>
    <w:rsid w:val="000E3622"/>
    <w:rsid w:val="000E4EC8"/>
    <w:rsid w:val="000F063A"/>
    <w:rsid w:val="000F1B8A"/>
    <w:rsid w:val="000F42FD"/>
    <w:rsid w:val="000F6163"/>
    <w:rsid w:val="000F77FE"/>
    <w:rsid w:val="001006DB"/>
    <w:rsid w:val="001022E1"/>
    <w:rsid w:val="00102DA9"/>
    <w:rsid w:val="00104E16"/>
    <w:rsid w:val="00104EF6"/>
    <w:rsid w:val="00105B77"/>
    <w:rsid w:val="00106090"/>
    <w:rsid w:val="001062EF"/>
    <w:rsid w:val="00110232"/>
    <w:rsid w:val="0011176E"/>
    <w:rsid w:val="00113D44"/>
    <w:rsid w:val="00114551"/>
    <w:rsid w:val="00115E91"/>
    <w:rsid w:val="001162E4"/>
    <w:rsid w:val="0011729A"/>
    <w:rsid w:val="001242EF"/>
    <w:rsid w:val="0012434B"/>
    <w:rsid w:val="00126A54"/>
    <w:rsid w:val="001300C3"/>
    <w:rsid w:val="00130B87"/>
    <w:rsid w:val="00131ACF"/>
    <w:rsid w:val="00133A0D"/>
    <w:rsid w:val="0013656A"/>
    <w:rsid w:val="001446E1"/>
    <w:rsid w:val="001450BF"/>
    <w:rsid w:val="00146F91"/>
    <w:rsid w:val="00147222"/>
    <w:rsid w:val="001528A1"/>
    <w:rsid w:val="00160E40"/>
    <w:rsid w:val="00162133"/>
    <w:rsid w:val="001622A6"/>
    <w:rsid w:val="00162A37"/>
    <w:rsid w:val="001632F0"/>
    <w:rsid w:val="00163747"/>
    <w:rsid w:val="00165410"/>
    <w:rsid w:val="00166600"/>
    <w:rsid w:val="0017061A"/>
    <w:rsid w:val="00170D97"/>
    <w:rsid w:val="00172AC3"/>
    <w:rsid w:val="00175F8D"/>
    <w:rsid w:val="001760E8"/>
    <w:rsid w:val="0018083A"/>
    <w:rsid w:val="00183D7C"/>
    <w:rsid w:val="00187817"/>
    <w:rsid w:val="00190665"/>
    <w:rsid w:val="00191847"/>
    <w:rsid w:val="00191BF4"/>
    <w:rsid w:val="0019413F"/>
    <w:rsid w:val="00195F2C"/>
    <w:rsid w:val="00195F44"/>
    <w:rsid w:val="001A35E9"/>
    <w:rsid w:val="001A3B99"/>
    <w:rsid w:val="001A42C1"/>
    <w:rsid w:val="001A6CC9"/>
    <w:rsid w:val="001A7317"/>
    <w:rsid w:val="001B09D4"/>
    <w:rsid w:val="001B467C"/>
    <w:rsid w:val="001C0857"/>
    <w:rsid w:val="001C0A7C"/>
    <w:rsid w:val="001C288B"/>
    <w:rsid w:val="001C2C1F"/>
    <w:rsid w:val="001C3D30"/>
    <w:rsid w:val="001C77EA"/>
    <w:rsid w:val="001D1AA2"/>
    <w:rsid w:val="001D1AEC"/>
    <w:rsid w:val="001D2073"/>
    <w:rsid w:val="001D2320"/>
    <w:rsid w:val="001E0B28"/>
    <w:rsid w:val="001E1A19"/>
    <w:rsid w:val="001E2777"/>
    <w:rsid w:val="001E5F43"/>
    <w:rsid w:val="001E644A"/>
    <w:rsid w:val="001F0AAF"/>
    <w:rsid w:val="001F17F2"/>
    <w:rsid w:val="001F2497"/>
    <w:rsid w:val="001F5FA6"/>
    <w:rsid w:val="001F651A"/>
    <w:rsid w:val="001F6574"/>
    <w:rsid w:val="001F71D4"/>
    <w:rsid w:val="002005B0"/>
    <w:rsid w:val="00200738"/>
    <w:rsid w:val="00200CB4"/>
    <w:rsid w:val="0020113E"/>
    <w:rsid w:val="002019FA"/>
    <w:rsid w:val="002027D9"/>
    <w:rsid w:val="002078FE"/>
    <w:rsid w:val="00212245"/>
    <w:rsid w:val="00214269"/>
    <w:rsid w:val="00223738"/>
    <w:rsid w:val="00223E01"/>
    <w:rsid w:val="00224A2D"/>
    <w:rsid w:val="00225EDF"/>
    <w:rsid w:val="0022711B"/>
    <w:rsid w:val="00227445"/>
    <w:rsid w:val="0023175C"/>
    <w:rsid w:val="00232035"/>
    <w:rsid w:val="00233BC8"/>
    <w:rsid w:val="00235BA4"/>
    <w:rsid w:val="002367BC"/>
    <w:rsid w:val="00237DF2"/>
    <w:rsid w:val="00240DC6"/>
    <w:rsid w:val="002416CC"/>
    <w:rsid w:val="00241D60"/>
    <w:rsid w:val="00242A52"/>
    <w:rsid w:val="00243B65"/>
    <w:rsid w:val="002460EF"/>
    <w:rsid w:val="00246754"/>
    <w:rsid w:val="00247246"/>
    <w:rsid w:val="00251EF7"/>
    <w:rsid w:val="00253EF2"/>
    <w:rsid w:val="00253F58"/>
    <w:rsid w:val="00256B3E"/>
    <w:rsid w:val="00260BFC"/>
    <w:rsid w:val="00262388"/>
    <w:rsid w:val="002625AD"/>
    <w:rsid w:val="00262E03"/>
    <w:rsid w:val="00264D33"/>
    <w:rsid w:val="00266457"/>
    <w:rsid w:val="00273F26"/>
    <w:rsid w:val="00274451"/>
    <w:rsid w:val="00274B65"/>
    <w:rsid w:val="00276A4C"/>
    <w:rsid w:val="00281618"/>
    <w:rsid w:val="00281AE4"/>
    <w:rsid w:val="002832B3"/>
    <w:rsid w:val="00283975"/>
    <w:rsid w:val="00285414"/>
    <w:rsid w:val="0028555B"/>
    <w:rsid w:val="002910DD"/>
    <w:rsid w:val="002918A4"/>
    <w:rsid w:val="00293135"/>
    <w:rsid w:val="002939BE"/>
    <w:rsid w:val="00294E56"/>
    <w:rsid w:val="0029714D"/>
    <w:rsid w:val="002A0C4D"/>
    <w:rsid w:val="002A23B9"/>
    <w:rsid w:val="002A40F8"/>
    <w:rsid w:val="002A4563"/>
    <w:rsid w:val="002A4905"/>
    <w:rsid w:val="002B0D5B"/>
    <w:rsid w:val="002B1E15"/>
    <w:rsid w:val="002B4A3C"/>
    <w:rsid w:val="002B5AC6"/>
    <w:rsid w:val="002B5AFC"/>
    <w:rsid w:val="002B760D"/>
    <w:rsid w:val="002C035B"/>
    <w:rsid w:val="002C0AAC"/>
    <w:rsid w:val="002C0D7D"/>
    <w:rsid w:val="002C2503"/>
    <w:rsid w:val="002C4197"/>
    <w:rsid w:val="002D0F76"/>
    <w:rsid w:val="002D2723"/>
    <w:rsid w:val="002D4490"/>
    <w:rsid w:val="002D46F5"/>
    <w:rsid w:val="002D6100"/>
    <w:rsid w:val="002D66E8"/>
    <w:rsid w:val="002E1454"/>
    <w:rsid w:val="002E18ED"/>
    <w:rsid w:val="002E1DC6"/>
    <w:rsid w:val="002E2D5B"/>
    <w:rsid w:val="002E6F9C"/>
    <w:rsid w:val="002E700E"/>
    <w:rsid w:val="002F2614"/>
    <w:rsid w:val="002F6BE9"/>
    <w:rsid w:val="002F73F2"/>
    <w:rsid w:val="002F74C9"/>
    <w:rsid w:val="002F7BB2"/>
    <w:rsid w:val="00301638"/>
    <w:rsid w:val="00301ABE"/>
    <w:rsid w:val="00302712"/>
    <w:rsid w:val="00302D17"/>
    <w:rsid w:val="0030475A"/>
    <w:rsid w:val="00304FFE"/>
    <w:rsid w:val="003053A0"/>
    <w:rsid w:val="00307836"/>
    <w:rsid w:val="00310976"/>
    <w:rsid w:val="00311E5F"/>
    <w:rsid w:val="0031304C"/>
    <w:rsid w:val="0031307F"/>
    <w:rsid w:val="00313266"/>
    <w:rsid w:val="0031439C"/>
    <w:rsid w:val="00316148"/>
    <w:rsid w:val="0031640E"/>
    <w:rsid w:val="00316944"/>
    <w:rsid w:val="0032028C"/>
    <w:rsid w:val="00321942"/>
    <w:rsid w:val="003221AE"/>
    <w:rsid w:val="00326838"/>
    <w:rsid w:val="003313D2"/>
    <w:rsid w:val="00333FA9"/>
    <w:rsid w:val="00334085"/>
    <w:rsid w:val="00341E6E"/>
    <w:rsid w:val="00344CB1"/>
    <w:rsid w:val="00346A91"/>
    <w:rsid w:val="003503E4"/>
    <w:rsid w:val="003507FE"/>
    <w:rsid w:val="003512A2"/>
    <w:rsid w:val="00351D5E"/>
    <w:rsid w:val="00352BE1"/>
    <w:rsid w:val="00355909"/>
    <w:rsid w:val="00361629"/>
    <w:rsid w:val="00362013"/>
    <w:rsid w:val="003623BC"/>
    <w:rsid w:val="00362953"/>
    <w:rsid w:val="0036691F"/>
    <w:rsid w:val="003729FD"/>
    <w:rsid w:val="00380521"/>
    <w:rsid w:val="003814DD"/>
    <w:rsid w:val="0038241B"/>
    <w:rsid w:val="00384714"/>
    <w:rsid w:val="00386B52"/>
    <w:rsid w:val="0038723F"/>
    <w:rsid w:val="003922CD"/>
    <w:rsid w:val="003932D4"/>
    <w:rsid w:val="00394B54"/>
    <w:rsid w:val="00395334"/>
    <w:rsid w:val="00397A0F"/>
    <w:rsid w:val="003A1437"/>
    <w:rsid w:val="003A1A02"/>
    <w:rsid w:val="003A2363"/>
    <w:rsid w:val="003A333C"/>
    <w:rsid w:val="003B241B"/>
    <w:rsid w:val="003B3425"/>
    <w:rsid w:val="003C4D71"/>
    <w:rsid w:val="003C7232"/>
    <w:rsid w:val="003D0410"/>
    <w:rsid w:val="003D074D"/>
    <w:rsid w:val="003D18A5"/>
    <w:rsid w:val="003D2F10"/>
    <w:rsid w:val="003D347A"/>
    <w:rsid w:val="003D5140"/>
    <w:rsid w:val="003D6142"/>
    <w:rsid w:val="003D7641"/>
    <w:rsid w:val="003E04DA"/>
    <w:rsid w:val="003E0790"/>
    <w:rsid w:val="003E13B9"/>
    <w:rsid w:val="003E3984"/>
    <w:rsid w:val="003E61C2"/>
    <w:rsid w:val="003E7F77"/>
    <w:rsid w:val="003F110E"/>
    <w:rsid w:val="003F14C4"/>
    <w:rsid w:val="003F3517"/>
    <w:rsid w:val="003F38A7"/>
    <w:rsid w:val="003F4161"/>
    <w:rsid w:val="003F5406"/>
    <w:rsid w:val="003F685D"/>
    <w:rsid w:val="004011DE"/>
    <w:rsid w:val="00403C9B"/>
    <w:rsid w:val="00405068"/>
    <w:rsid w:val="004055B7"/>
    <w:rsid w:val="004056CC"/>
    <w:rsid w:val="00405F0A"/>
    <w:rsid w:val="00411FF3"/>
    <w:rsid w:val="0041296B"/>
    <w:rsid w:val="004219E8"/>
    <w:rsid w:val="004221A4"/>
    <w:rsid w:val="004262D5"/>
    <w:rsid w:val="00426AA2"/>
    <w:rsid w:val="004270E8"/>
    <w:rsid w:val="004308F1"/>
    <w:rsid w:val="00432A97"/>
    <w:rsid w:val="00433943"/>
    <w:rsid w:val="004339B2"/>
    <w:rsid w:val="0043425A"/>
    <w:rsid w:val="00435D72"/>
    <w:rsid w:val="00437479"/>
    <w:rsid w:val="004377FB"/>
    <w:rsid w:val="00440CB3"/>
    <w:rsid w:val="0044146A"/>
    <w:rsid w:val="004414A2"/>
    <w:rsid w:val="004439AB"/>
    <w:rsid w:val="00444058"/>
    <w:rsid w:val="00446963"/>
    <w:rsid w:val="004475F4"/>
    <w:rsid w:val="00452B0E"/>
    <w:rsid w:val="00454931"/>
    <w:rsid w:val="004565B6"/>
    <w:rsid w:val="00460121"/>
    <w:rsid w:val="00467895"/>
    <w:rsid w:val="00467CFC"/>
    <w:rsid w:val="004711F9"/>
    <w:rsid w:val="0047144F"/>
    <w:rsid w:val="00472148"/>
    <w:rsid w:val="00476BD3"/>
    <w:rsid w:val="00477608"/>
    <w:rsid w:val="00481E90"/>
    <w:rsid w:val="00482DA9"/>
    <w:rsid w:val="004832C4"/>
    <w:rsid w:val="00484BCB"/>
    <w:rsid w:val="00484EBA"/>
    <w:rsid w:val="0048599A"/>
    <w:rsid w:val="0048618D"/>
    <w:rsid w:val="00487829"/>
    <w:rsid w:val="00487D4A"/>
    <w:rsid w:val="00487E9F"/>
    <w:rsid w:val="00490558"/>
    <w:rsid w:val="00491D63"/>
    <w:rsid w:val="004925ED"/>
    <w:rsid w:val="00495F8F"/>
    <w:rsid w:val="00496758"/>
    <w:rsid w:val="004A0F4E"/>
    <w:rsid w:val="004A37B1"/>
    <w:rsid w:val="004A46AE"/>
    <w:rsid w:val="004B4263"/>
    <w:rsid w:val="004B55CB"/>
    <w:rsid w:val="004B5F0F"/>
    <w:rsid w:val="004B689F"/>
    <w:rsid w:val="004C0B5C"/>
    <w:rsid w:val="004C1700"/>
    <w:rsid w:val="004C18C2"/>
    <w:rsid w:val="004D20A7"/>
    <w:rsid w:val="004D365C"/>
    <w:rsid w:val="004D63B0"/>
    <w:rsid w:val="004D77A7"/>
    <w:rsid w:val="004E112C"/>
    <w:rsid w:val="004E151E"/>
    <w:rsid w:val="004E2059"/>
    <w:rsid w:val="004E3C1A"/>
    <w:rsid w:val="004E43C7"/>
    <w:rsid w:val="004E7C62"/>
    <w:rsid w:val="004F038F"/>
    <w:rsid w:val="004F05C0"/>
    <w:rsid w:val="004F12C2"/>
    <w:rsid w:val="004F1BF5"/>
    <w:rsid w:val="004F2C47"/>
    <w:rsid w:val="004F3995"/>
    <w:rsid w:val="004F4703"/>
    <w:rsid w:val="004F4D87"/>
    <w:rsid w:val="004F4DD6"/>
    <w:rsid w:val="00500746"/>
    <w:rsid w:val="00500C00"/>
    <w:rsid w:val="00501B5E"/>
    <w:rsid w:val="00502355"/>
    <w:rsid w:val="00511434"/>
    <w:rsid w:val="00511850"/>
    <w:rsid w:val="00513545"/>
    <w:rsid w:val="00513682"/>
    <w:rsid w:val="00516089"/>
    <w:rsid w:val="00517B0D"/>
    <w:rsid w:val="0052005B"/>
    <w:rsid w:val="00523125"/>
    <w:rsid w:val="00523952"/>
    <w:rsid w:val="00523E04"/>
    <w:rsid w:val="00525ACD"/>
    <w:rsid w:val="00527ACA"/>
    <w:rsid w:val="005306F2"/>
    <w:rsid w:val="005328D2"/>
    <w:rsid w:val="00534DAF"/>
    <w:rsid w:val="00536087"/>
    <w:rsid w:val="00536BBF"/>
    <w:rsid w:val="005416CD"/>
    <w:rsid w:val="00541C4B"/>
    <w:rsid w:val="005436F7"/>
    <w:rsid w:val="00543B83"/>
    <w:rsid w:val="00543F6A"/>
    <w:rsid w:val="005446D2"/>
    <w:rsid w:val="005500EB"/>
    <w:rsid w:val="0055089D"/>
    <w:rsid w:val="005522B4"/>
    <w:rsid w:val="00555D8E"/>
    <w:rsid w:val="00556471"/>
    <w:rsid w:val="00557887"/>
    <w:rsid w:val="00560708"/>
    <w:rsid w:val="00563EF9"/>
    <w:rsid w:val="005658D1"/>
    <w:rsid w:val="00566749"/>
    <w:rsid w:val="00566920"/>
    <w:rsid w:val="0057062D"/>
    <w:rsid w:val="00571DA7"/>
    <w:rsid w:val="00572502"/>
    <w:rsid w:val="00575A87"/>
    <w:rsid w:val="005804DD"/>
    <w:rsid w:val="00580DE0"/>
    <w:rsid w:val="00581923"/>
    <w:rsid w:val="005835CC"/>
    <w:rsid w:val="00584BCB"/>
    <w:rsid w:val="005857F0"/>
    <w:rsid w:val="00592A61"/>
    <w:rsid w:val="00593EC3"/>
    <w:rsid w:val="00595499"/>
    <w:rsid w:val="00596918"/>
    <w:rsid w:val="00596F72"/>
    <w:rsid w:val="005A1147"/>
    <w:rsid w:val="005A1AE6"/>
    <w:rsid w:val="005A50EA"/>
    <w:rsid w:val="005A5E2A"/>
    <w:rsid w:val="005B3076"/>
    <w:rsid w:val="005B76C0"/>
    <w:rsid w:val="005C20E8"/>
    <w:rsid w:val="005C388C"/>
    <w:rsid w:val="005C5AE2"/>
    <w:rsid w:val="005D132B"/>
    <w:rsid w:val="005D18EC"/>
    <w:rsid w:val="005D334A"/>
    <w:rsid w:val="005D425F"/>
    <w:rsid w:val="005D47BA"/>
    <w:rsid w:val="005D5C5C"/>
    <w:rsid w:val="005E0734"/>
    <w:rsid w:val="005E5B30"/>
    <w:rsid w:val="005E7B9F"/>
    <w:rsid w:val="005F18E9"/>
    <w:rsid w:val="005F5D74"/>
    <w:rsid w:val="005F67EE"/>
    <w:rsid w:val="005F7484"/>
    <w:rsid w:val="00601C07"/>
    <w:rsid w:val="00601D53"/>
    <w:rsid w:val="00601DD9"/>
    <w:rsid w:val="006027BA"/>
    <w:rsid w:val="006034C9"/>
    <w:rsid w:val="00605918"/>
    <w:rsid w:val="006071BD"/>
    <w:rsid w:val="00607B33"/>
    <w:rsid w:val="00610A6E"/>
    <w:rsid w:val="00614805"/>
    <w:rsid w:val="00615AE2"/>
    <w:rsid w:val="00622E59"/>
    <w:rsid w:val="00625B49"/>
    <w:rsid w:val="00625D2C"/>
    <w:rsid w:val="00625EC1"/>
    <w:rsid w:val="00626DBF"/>
    <w:rsid w:val="0062702E"/>
    <w:rsid w:val="006271DC"/>
    <w:rsid w:val="00632644"/>
    <w:rsid w:val="0063264B"/>
    <w:rsid w:val="00635B54"/>
    <w:rsid w:val="00640AC2"/>
    <w:rsid w:val="006414A1"/>
    <w:rsid w:val="00642A28"/>
    <w:rsid w:val="00644C0F"/>
    <w:rsid w:val="00647F4C"/>
    <w:rsid w:val="00650555"/>
    <w:rsid w:val="006508D0"/>
    <w:rsid w:val="00651FA8"/>
    <w:rsid w:val="006525A6"/>
    <w:rsid w:val="00653620"/>
    <w:rsid w:val="00657D6C"/>
    <w:rsid w:val="0066304B"/>
    <w:rsid w:val="006748D5"/>
    <w:rsid w:val="00676F11"/>
    <w:rsid w:val="006807BD"/>
    <w:rsid w:val="006829BB"/>
    <w:rsid w:val="00685118"/>
    <w:rsid w:val="0068636C"/>
    <w:rsid w:val="006863EA"/>
    <w:rsid w:val="006872A9"/>
    <w:rsid w:val="00691EC4"/>
    <w:rsid w:val="006955FC"/>
    <w:rsid w:val="00696792"/>
    <w:rsid w:val="00696ED6"/>
    <w:rsid w:val="006A2346"/>
    <w:rsid w:val="006A4775"/>
    <w:rsid w:val="006A5848"/>
    <w:rsid w:val="006A7198"/>
    <w:rsid w:val="006B2F36"/>
    <w:rsid w:val="006B364A"/>
    <w:rsid w:val="006B4F44"/>
    <w:rsid w:val="006B6091"/>
    <w:rsid w:val="006B6B70"/>
    <w:rsid w:val="006B7765"/>
    <w:rsid w:val="006C2060"/>
    <w:rsid w:val="006C7B1C"/>
    <w:rsid w:val="006D0612"/>
    <w:rsid w:val="006D2ABB"/>
    <w:rsid w:val="006D3800"/>
    <w:rsid w:val="006D3DFC"/>
    <w:rsid w:val="006D3E6B"/>
    <w:rsid w:val="006D4CD9"/>
    <w:rsid w:val="006D5769"/>
    <w:rsid w:val="006D64AD"/>
    <w:rsid w:val="006E0BC3"/>
    <w:rsid w:val="006E121B"/>
    <w:rsid w:val="006E27BE"/>
    <w:rsid w:val="006E4344"/>
    <w:rsid w:val="006E448E"/>
    <w:rsid w:val="006E59B1"/>
    <w:rsid w:val="006E5F68"/>
    <w:rsid w:val="006F3BC6"/>
    <w:rsid w:val="006F6D8C"/>
    <w:rsid w:val="00700AEC"/>
    <w:rsid w:val="007035D8"/>
    <w:rsid w:val="007040B8"/>
    <w:rsid w:val="00707A57"/>
    <w:rsid w:val="007145BE"/>
    <w:rsid w:val="007169A4"/>
    <w:rsid w:val="00717AFC"/>
    <w:rsid w:val="00720409"/>
    <w:rsid w:val="007214B2"/>
    <w:rsid w:val="00721A4E"/>
    <w:rsid w:val="007231F3"/>
    <w:rsid w:val="00723B95"/>
    <w:rsid w:val="00723C8A"/>
    <w:rsid w:val="00724AE0"/>
    <w:rsid w:val="00726644"/>
    <w:rsid w:val="00726C8A"/>
    <w:rsid w:val="007272FD"/>
    <w:rsid w:val="0072782B"/>
    <w:rsid w:val="00732317"/>
    <w:rsid w:val="007336C5"/>
    <w:rsid w:val="00735BF9"/>
    <w:rsid w:val="00740007"/>
    <w:rsid w:val="0074010D"/>
    <w:rsid w:val="00741651"/>
    <w:rsid w:val="00742621"/>
    <w:rsid w:val="00743FF1"/>
    <w:rsid w:val="00744FCC"/>
    <w:rsid w:val="00745F37"/>
    <w:rsid w:val="007550BF"/>
    <w:rsid w:val="0075783A"/>
    <w:rsid w:val="00763905"/>
    <w:rsid w:val="0076405B"/>
    <w:rsid w:val="00765E20"/>
    <w:rsid w:val="00765F73"/>
    <w:rsid w:val="00770BCC"/>
    <w:rsid w:val="00780440"/>
    <w:rsid w:val="00781841"/>
    <w:rsid w:val="00785973"/>
    <w:rsid w:val="00791D2F"/>
    <w:rsid w:val="00792904"/>
    <w:rsid w:val="00792A34"/>
    <w:rsid w:val="00793B54"/>
    <w:rsid w:val="00797FB2"/>
    <w:rsid w:val="007A2267"/>
    <w:rsid w:val="007A22AA"/>
    <w:rsid w:val="007A3861"/>
    <w:rsid w:val="007A416A"/>
    <w:rsid w:val="007A47A8"/>
    <w:rsid w:val="007A4D3C"/>
    <w:rsid w:val="007A745E"/>
    <w:rsid w:val="007A7475"/>
    <w:rsid w:val="007A7DFC"/>
    <w:rsid w:val="007B2791"/>
    <w:rsid w:val="007B4DC6"/>
    <w:rsid w:val="007B63E4"/>
    <w:rsid w:val="007B7B7B"/>
    <w:rsid w:val="007C028B"/>
    <w:rsid w:val="007C0CED"/>
    <w:rsid w:val="007C13D7"/>
    <w:rsid w:val="007C17C5"/>
    <w:rsid w:val="007C1900"/>
    <w:rsid w:val="007C3157"/>
    <w:rsid w:val="007D2591"/>
    <w:rsid w:val="007D2B95"/>
    <w:rsid w:val="007D3FF6"/>
    <w:rsid w:val="007D409C"/>
    <w:rsid w:val="007D571C"/>
    <w:rsid w:val="007D6A72"/>
    <w:rsid w:val="007D6CB0"/>
    <w:rsid w:val="007D6CBC"/>
    <w:rsid w:val="007E3891"/>
    <w:rsid w:val="007E3B1D"/>
    <w:rsid w:val="007E3D69"/>
    <w:rsid w:val="007E4051"/>
    <w:rsid w:val="007E4E55"/>
    <w:rsid w:val="007E5FFF"/>
    <w:rsid w:val="007F0C82"/>
    <w:rsid w:val="007F1B72"/>
    <w:rsid w:val="007F3554"/>
    <w:rsid w:val="007F3AF4"/>
    <w:rsid w:val="007F7167"/>
    <w:rsid w:val="00803570"/>
    <w:rsid w:val="00811DF8"/>
    <w:rsid w:val="00812CBE"/>
    <w:rsid w:val="00814761"/>
    <w:rsid w:val="0081747A"/>
    <w:rsid w:val="008175F0"/>
    <w:rsid w:val="0082456F"/>
    <w:rsid w:val="00830EC9"/>
    <w:rsid w:val="00831398"/>
    <w:rsid w:val="00836C06"/>
    <w:rsid w:val="00837B4F"/>
    <w:rsid w:val="00837CDB"/>
    <w:rsid w:val="008421D6"/>
    <w:rsid w:val="00842733"/>
    <w:rsid w:val="008433DA"/>
    <w:rsid w:val="00845CFC"/>
    <w:rsid w:val="00847414"/>
    <w:rsid w:val="0085169E"/>
    <w:rsid w:val="00852739"/>
    <w:rsid w:val="00852E76"/>
    <w:rsid w:val="0085354A"/>
    <w:rsid w:val="0085485E"/>
    <w:rsid w:val="008579DD"/>
    <w:rsid w:val="00862CD5"/>
    <w:rsid w:val="008655AA"/>
    <w:rsid w:val="008663AE"/>
    <w:rsid w:val="00866A34"/>
    <w:rsid w:val="008707FE"/>
    <w:rsid w:val="00874DA4"/>
    <w:rsid w:val="00881E29"/>
    <w:rsid w:val="00883612"/>
    <w:rsid w:val="00883B11"/>
    <w:rsid w:val="00885103"/>
    <w:rsid w:val="00886A58"/>
    <w:rsid w:val="00887DAC"/>
    <w:rsid w:val="0089160C"/>
    <w:rsid w:val="00892203"/>
    <w:rsid w:val="00894158"/>
    <w:rsid w:val="0089484A"/>
    <w:rsid w:val="00895164"/>
    <w:rsid w:val="00897EDF"/>
    <w:rsid w:val="008A1436"/>
    <w:rsid w:val="008A2A62"/>
    <w:rsid w:val="008A6104"/>
    <w:rsid w:val="008A6E3F"/>
    <w:rsid w:val="008A7745"/>
    <w:rsid w:val="008A7BDD"/>
    <w:rsid w:val="008B0831"/>
    <w:rsid w:val="008B0CEA"/>
    <w:rsid w:val="008B119C"/>
    <w:rsid w:val="008B1970"/>
    <w:rsid w:val="008B1B41"/>
    <w:rsid w:val="008C299A"/>
    <w:rsid w:val="008C39F0"/>
    <w:rsid w:val="008C5B28"/>
    <w:rsid w:val="008C5C15"/>
    <w:rsid w:val="008D0968"/>
    <w:rsid w:val="008D3C67"/>
    <w:rsid w:val="008D4393"/>
    <w:rsid w:val="008D5127"/>
    <w:rsid w:val="008D63D9"/>
    <w:rsid w:val="008E1E3B"/>
    <w:rsid w:val="008E25F1"/>
    <w:rsid w:val="008E2B05"/>
    <w:rsid w:val="008E2C10"/>
    <w:rsid w:val="008E2C4A"/>
    <w:rsid w:val="008E7056"/>
    <w:rsid w:val="008E7217"/>
    <w:rsid w:val="008E78A0"/>
    <w:rsid w:val="008F06D3"/>
    <w:rsid w:val="008F1C81"/>
    <w:rsid w:val="008F232B"/>
    <w:rsid w:val="008F416D"/>
    <w:rsid w:val="008F5F45"/>
    <w:rsid w:val="008F61E1"/>
    <w:rsid w:val="008F6309"/>
    <w:rsid w:val="008F7B0A"/>
    <w:rsid w:val="00903F66"/>
    <w:rsid w:val="0090560C"/>
    <w:rsid w:val="0090695F"/>
    <w:rsid w:val="00906D63"/>
    <w:rsid w:val="00912490"/>
    <w:rsid w:val="00913992"/>
    <w:rsid w:val="00914733"/>
    <w:rsid w:val="0091546A"/>
    <w:rsid w:val="009201DD"/>
    <w:rsid w:val="00920711"/>
    <w:rsid w:val="00922096"/>
    <w:rsid w:val="00922390"/>
    <w:rsid w:val="009234C0"/>
    <w:rsid w:val="0092381E"/>
    <w:rsid w:val="00923DC7"/>
    <w:rsid w:val="0092549E"/>
    <w:rsid w:val="00930E4B"/>
    <w:rsid w:val="00930F48"/>
    <w:rsid w:val="00933E27"/>
    <w:rsid w:val="00934543"/>
    <w:rsid w:val="009359FD"/>
    <w:rsid w:val="00941EF9"/>
    <w:rsid w:val="009421CB"/>
    <w:rsid w:val="0094233F"/>
    <w:rsid w:val="00942528"/>
    <w:rsid w:val="009444AE"/>
    <w:rsid w:val="0095021D"/>
    <w:rsid w:val="00950469"/>
    <w:rsid w:val="00950AF8"/>
    <w:rsid w:val="00952A08"/>
    <w:rsid w:val="009573B9"/>
    <w:rsid w:val="00960988"/>
    <w:rsid w:val="00960F49"/>
    <w:rsid w:val="009625B1"/>
    <w:rsid w:val="009633E2"/>
    <w:rsid w:val="00964870"/>
    <w:rsid w:val="00966A78"/>
    <w:rsid w:val="009671AA"/>
    <w:rsid w:val="00975718"/>
    <w:rsid w:val="009759D4"/>
    <w:rsid w:val="00975BAE"/>
    <w:rsid w:val="009763C9"/>
    <w:rsid w:val="00980D6E"/>
    <w:rsid w:val="00982032"/>
    <w:rsid w:val="0098560E"/>
    <w:rsid w:val="00986971"/>
    <w:rsid w:val="00990005"/>
    <w:rsid w:val="00990D63"/>
    <w:rsid w:val="00993D29"/>
    <w:rsid w:val="009943B2"/>
    <w:rsid w:val="00994733"/>
    <w:rsid w:val="00994739"/>
    <w:rsid w:val="00994847"/>
    <w:rsid w:val="00996F33"/>
    <w:rsid w:val="009A06AE"/>
    <w:rsid w:val="009A25C5"/>
    <w:rsid w:val="009A2BDA"/>
    <w:rsid w:val="009A2F14"/>
    <w:rsid w:val="009A3304"/>
    <w:rsid w:val="009A46DE"/>
    <w:rsid w:val="009B2625"/>
    <w:rsid w:val="009B65FD"/>
    <w:rsid w:val="009C0107"/>
    <w:rsid w:val="009C1031"/>
    <w:rsid w:val="009C20EE"/>
    <w:rsid w:val="009C2184"/>
    <w:rsid w:val="009C2A02"/>
    <w:rsid w:val="009C4056"/>
    <w:rsid w:val="009C4611"/>
    <w:rsid w:val="009C4F07"/>
    <w:rsid w:val="009C5584"/>
    <w:rsid w:val="009C6ABB"/>
    <w:rsid w:val="009D31D2"/>
    <w:rsid w:val="009D4970"/>
    <w:rsid w:val="009D59C9"/>
    <w:rsid w:val="009D681F"/>
    <w:rsid w:val="009D7A7D"/>
    <w:rsid w:val="009E080E"/>
    <w:rsid w:val="009E1D90"/>
    <w:rsid w:val="009E1FAA"/>
    <w:rsid w:val="009E2B2E"/>
    <w:rsid w:val="009E37BA"/>
    <w:rsid w:val="009E56EF"/>
    <w:rsid w:val="009E6887"/>
    <w:rsid w:val="009F0E93"/>
    <w:rsid w:val="009F2539"/>
    <w:rsid w:val="009F3353"/>
    <w:rsid w:val="009F3383"/>
    <w:rsid w:val="009F41E1"/>
    <w:rsid w:val="009F69CD"/>
    <w:rsid w:val="00A02A1D"/>
    <w:rsid w:val="00A02B9C"/>
    <w:rsid w:val="00A1055C"/>
    <w:rsid w:val="00A11EEF"/>
    <w:rsid w:val="00A14163"/>
    <w:rsid w:val="00A15AF0"/>
    <w:rsid w:val="00A178F7"/>
    <w:rsid w:val="00A21FA0"/>
    <w:rsid w:val="00A233FF"/>
    <w:rsid w:val="00A27322"/>
    <w:rsid w:val="00A27529"/>
    <w:rsid w:val="00A30013"/>
    <w:rsid w:val="00A31ACC"/>
    <w:rsid w:val="00A359E5"/>
    <w:rsid w:val="00A359F0"/>
    <w:rsid w:val="00A36CA4"/>
    <w:rsid w:val="00A4058F"/>
    <w:rsid w:val="00A44111"/>
    <w:rsid w:val="00A4599A"/>
    <w:rsid w:val="00A47B94"/>
    <w:rsid w:val="00A5212B"/>
    <w:rsid w:val="00A52218"/>
    <w:rsid w:val="00A52AE7"/>
    <w:rsid w:val="00A52F4C"/>
    <w:rsid w:val="00A52FBE"/>
    <w:rsid w:val="00A53F48"/>
    <w:rsid w:val="00A54571"/>
    <w:rsid w:val="00A62B2B"/>
    <w:rsid w:val="00A659E5"/>
    <w:rsid w:val="00A665B5"/>
    <w:rsid w:val="00A673A7"/>
    <w:rsid w:val="00A67AA2"/>
    <w:rsid w:val="00A7112F"/>
    <w:rsid w:val="00A721F4"/>
    <w:rsid w:val="00A75678"/>
    <w:rsid w:val="00A779B8"/>
    <w:rsid w:val="00A77D1E"/>
    <w:rsid w:val="00A813B5"/>
    <w:rsid w:val="00A81684"/>
    <w:rsid w:val="00A826A0"/>
    <w:rsid w:val="00A868EC"/>
    <w:rsid w:val="00A90DE7"/>
    <w:rsid w:val="00A91463"/>
    <w:rsid w:val="00A94011"/>
    <w:rsid w:val="00A94CB3"/>
    <w:rsid w:val="00A9688B"/>
    <w:rsid w:val="00AA0CF3"/>
    <w:rsid w:val="00AA327D"/>
    <w:rsid w:val="00AA3963"/>
    <w:rsid w:val="00AA426B"/>
    <w:rsid w:val="00AA6724"/>
    <w:rsid w:val="00AA7E93"/>
    <w:rsid w:val="00AB0B39"/>
    <w:rsid w:val="00AB172E"/>
    <w:rsid w:val="00AB3509"/>
    <w:rsid w:val="00AB42B4"/>
    <w:rsid w:val="00AB4985"/>
    <w:rsid w:val="00AB5413"/>
    <w:rsid w:val="00AB597F"/>
    <w:rsid w:val="00AC013A"/>
    <w:rsid w:val="00AC25F1"/>
    <w:rsid w:val="00AC5C14"/>
    <w:rsid w:val="00AC6868"/>
    <w:rsid w:val="00AC74F8"/>
    <w:rsid w:val="00AD06D5"/>
    <w:rsid w:val="00AD1CB1"/>
    <w:rsid w:val="00AE0B02"/>
    <w:rsid w:val="00AE1CD7"/>
    <w:rsid w:val="00AE2279"/>
    <w:rsid w:val="00AE279A"/>
    <w:rsid w:val="00AE2D4F"/>
    <w:rsid w:val="00AE3DAD"/>
    <w:rsid w:val="00AE6E38"/>
    <w:rsid w:val="00AE76AB"/>
    <w:rsid w:val="00AF066D"/>
    <w:rsid w:val="00AF27E4"/>
    <w:rsid w:val="00AF2A62"/>
    <w:rsid w:val="00AF491C"/>
    <w:rsid w:val="00AF5935"/>
    <w:rsid w:val="00B068AC"/>
    <w:rsid w:val="00B06F8E"/>
    <w:rsid w:val="00B1360B"/>
    <w:rsid w:val="00B14F2D"/>
    <w:rsid w:val="00B15711"/>
    <w:rsid w:val="00B21395"/>
    <w:rsid w:val="00B22280"/>
    <w:rsid w:val="00B226EB"/>
    <w:rsid w:val="00B22FD7"/>
    <w:rsid w:val="00B23D25"/>
    <w:rsid w:val="00B24B6C"/>
    <w:rsid w:val="00B258AD"/>
    <w:rsid w:val="00B3005B"/>
    <w:rsid w:val="00B30738"/>
    <w:rsid w:val="00B32C8B"/>
    <w:rsid w:val="00B32DAE"/>
    <w:rsid w:val="00B33E97"/>
    <w:rsid w:val="00B34D7D"/>
    <w:rsid w:val="00B35D6E"/>
    <w:rsid w:val="00B36820"/>
    <w:rsid w:val="00B36A02"/>
    <w:rsid w:val="00B37255"/>
    <w:rsid w:val="00B37A4D"/>
    <w:rsid w:val="00B40075"/>
    <w:rsid w:val="00B416A8"/>
    <w:rsid w:val="00B429A1"/>
    <w:rsid w:val="00B43896"/>
    <w:rsid w:val="00B459EF"/>
    <w:rsid w:val="00B45B86"/>
    <w:rsid w:val="00B45F0F"/>
    <w:rsid w:val="00B46ED1"/>
    <w:rsid w:val="00B47403"/>
    <w:rsid w:val="00B47A3A"/>
    <w:rsid w:val="00B47CA9"/>
    <w:rsid w:val="00B522EA"/>
    <w:rsid w:val="00B56132"/>
    <w:rsid w:val="00B61C98"/>
    <w:rsid w:val="00B64292"/>
    <w:rsid w:val="00B71FE6"/>
    <w:rsid w:val="00B759F7"/>
    <w:rsid w:val="00B77211"/>
    <w:rsid w:val="00B8473F"/>
    <w:rsid w:val="00B85869"/>
    <w:rsid w:val="00B8663C"/>
    <w:rsid w:val="00B87282"/>
    <w:rsid w:val="00B87CF0"/>
    <w:rsid w:val="00B90F48"/>
    <w:rsid w:val="00B92425"/>
    <w:rsid w:val="00B93BFB"/>
    <w:rsid w:val="00BA0BE9"/>
    <w:rsid w:val="00BA144E"/>
    <w:rsid w:val="00BA1BE2"/>
    <w:rsid w:val="00BA3289"/>
    <w:rsid w:val="00BA3F7D"/>
    <w:rsid w:val="00BA6A47"/>
    <w:rsid w:val="00BB0766"/>
    <w:rsid w:val="00BB1738"/>
    <w:rsid w:val="00BB4838"/>
    <w:rsid w:val="00BB5689"/>
    <w:rsid w:val="00BB6C1F"/>
    <w:rsid w:val="00BC090F"/>
    <w:rsid w:val="00BC1554"/>
    <w:rsid w:val="00BC164A"/>
    <w:rsid w:val="00BC1BED"/>
    <w:rsid w:val="00BC214C"/>
    <w:rsid w:val="00BC3E25"/>
    <w:rsid w:val="00BC43A4"/>
    <w:rsid w:val="00BC512D"/>
    <w:rsid w:val="00BC681C"/>
    <w:rsid w:val="00BC6D73"/>
    <w:rsid w:val="00BC7357"/>
    <w:rsid w:val="00BD0462"/>
    <w:rsid w:val="00BD059A"/>
    <w:rsid w:val="00BD3A1E"/>
    <w:rsid w:val="00BD3F7E"/>
    <w:rsid w:val="00BD5E05"/>
    <w:rsid w:val="00BD6677"/>
    <w:rsid w:val="00BD748A"/>
    <w:rsid w:val="00BD7771"/>
    <w:rsid w:val="00BE0012"/>
    <w:rsid w:val="00BE0494"/>
    <w:rsid w:val="00BE15B1"/>
    <w:rsid w:val="00BE1E6A"/>
    <w:rsid w:val="00BE2ABC"/>
    <w:rsid w:val="00BE2EC8"/>
    <w:rsid w:val="00BE3752"/>
    <w:rsid w:val="00BE4704"/>
    <w:rsid w:val="00BE483D"/>
    <w:rsid w:val="00BE7684"/>
    <w:rsid w:val="00BF2EBC"/>
    <w:rsid w:val="00BF344D"/>
    <w:rsid w:val="00BF5190"/>
    <w:rsid w:val="00C01B1F"/>
    <w:rsid w:val="00C0249C"/>
    <w:rsid w:val="00C02DC6"/>
    <w:rsid w:val="00C05101"/>
    <w:rsid w:val="00C07562"/>
    <w:rsid w:val="00C114E8"/>
    <w:rsid w:val="00C13576"/>
    <w:rsid w:val="00C13AAC"/>
    <w:rsid w:val="00C14A55"/>
    <w:rsid w:val="00C155B3"/>
    <w:rsid w:val="00C158BC"/>
    <w:rsid w:val="00C170C2"/>
    <w:rsid w:val="00C1721D"/>
    <w:rsid w:val="00C2054A"/>
    <w:rsid w:val="00C21064"/>
    <w:rsid w:val="00C21941"/>
    <w:rsid w:val="00C24A82"/>
    <w:rsid w:val="00C25DAA"/>
    <w:rsid w:val="00C279BA"/>
    <w:rsid w:val="00C31D2D"/>
    <w:rsid w:val="00C34002"/>
    <w:rsid w:val="00C360CB"/>
    <w:rsid w:val="00C37F17"/>
    <w:rsid w:val="00C401BA"/>
    <w:rsid w:val="00C4065F"/>
    <w:rsid w:val="00C430B2"/>
    <w:rsid w:val="00C44615"/>
    <w:rsid w:val="00C4475B"/>
    <w:rsid w:val="00C44E03"/>
    <w:rsid w:val="00C4573A"/>
    <w:rsid w:val="00C46041"/>
    <w:rsid w:val="00C508AD"/>
    <w:rsid w:val="00C51D18"/>
    <w:rsid w:val="00C526C9"/>
    <w:rsid w:val="00C539EA"/>
    <w:rsid w:val="00C54470"/>
    <w:rsid w:val="00C54836"/>
    <w:rsid w:val="00C57373"/>
    <w:rsid w:val="00C61C85"/>
    <w:rsid w:val="00C649E3"/>
    <w:rsid w:val="00C64A9B"/>
    <w:rsid w:val="00C661ED"/>
    <w:rsid w:val="00C67694"/>
    <w:rsid w:val="00C7081D"/>
    <w:rsid w:val="00C71580"/>
    <w:rsid w:val="00C71924"/>
    <w:rsid w:val="00C71C95"/>
    <w:rsid w:val="00C740E1"/>
    <w:rsid w:val="00C75560"/>
    <w:rsid w:val="00C77DB5"/>
    <w:rsid w:val="00C77DFB"/>
    <w:rsid w:val="00C80582"/>
    <w:rsid w:val="00C8073D"/>
    <w:rsid w:val="00C8122C"/>
    <w:rsid w:val="00C82C95"/>
    <w:rsid w:val="00C83505"/>
    <w:rsid w:val="00C83E9B"/>
    <w:rsid w:val="00C84C18"/>
    <w:rsid w:val="00C84FA3"/>
    <w:rsid w:val="00C84FC8"/>
    <w:rsid w:val="00C920DE"/>
    <w:rsid w:val="00C9424F"/>
    <w:rsid w:val="00C96950"/>
    <w:rsid w:val="00C96B40"/>
    <w:rsid w:val="00C97827"/>
    <w:rsid w:val="00CA01ED"/>
    <w:rsid w:val="00CA1CB3"/>
    <w:rsid w:val="00CA35C3"/>
    <w:rsid w:val="00CA66DA"/>
    <w:rsid w:val="00CB159C"/>
    <w:rsid w:val="00CB186D"/>
    <w:rsid w:val="00CB3F5F"/>
    <w:rsid w:val="00CB7C84"/>
    <w:rsid w:val="00CC05E5"/>
    <w:rsid w:val="00CC620A"/>
    <w:rsid w:val="00CD0426"/>
    <w:rsid w:val="00CD0E6F"/>
    <w:rsid w:val="00CD2773"/>
    <w:rsid w:val="00CD47E1"/>
    <w:rsid w:val="00CD5386"/>
    <w:rsid w:val="00CD5502"/>
    <w:rsid w:val="00CE3B9A"/>
    <w:rsid w:val="00CE3FA5"/>
    <w:rsid w:val="00CE76BE"/>
    <w:rsid w:val="00CF1CAF"/>
    <w:rsid w:val="00CF26B1"/>
    <w:rsid w:val="00CF2C93"/>
    <w:rsid w:val="00CF2F9C"/>
    <w:rsid w:val="00CF35C9"/>
    <w:rsid w:val="00CF4345"/>
    <w:rsid w:val="00D0045D"/>
    <w:rsid w:val="00D01FB4"/>
    <w:rsid w:val="00D02A44"/>
    <w:rsid w:val="00D03256"/>
    <w:rsid w:val="00D04C86"/>
    <w:rsid w:val="00D06012"/>
    <w:rsid w:val="00D106B9"/>
    <w:rsid w:val="00D13DC1"/>
    <w:rsid w:val="00D15A8F"/>
    <w:rsid w:val="00D16EBB"/>
    <w:rsid w:val="00D213B0"/>
    <w:rsid w:val="00D22E63"/>
    <w:rsid w:val="00D23AC5"/>
    <w:rsid w:val="00D241E9"/>
    <w:rsid w:val="00D2553C"/>
    <w:rsid w:val="00D2729E"/>
    <w:rsid w:val="00D27D0C"/>
    <w:rsid w:val="00D3494C"/>
    <w:rsid w:val="00D35344"/>
    <w:rsid w:val="00D3603C"/>
    <w:rsid w:val="00D41061"/>
    <w:rsid w:val="00D4207E"/>
    <w:rsid w:val="00D43F30"/>
    <w:rsid w:val="00D4560C"/>
    <w:rsid w:val="00D465D8"/>
    <w:rsid w:val="00D468DA"/>
    <w:rsid w:val="00D518BE"/>
    <w:rsid w:val="00D5275D"/>
    <w:rsid w:val="00D532DE"/>
    <w:rsid w:val="00D54B2E"/>
    <w:rsid w:val="00D54B39"/>
    <w:rsid w:val="00D55F41"/>
    <w:rsid w:val="00D57421"/>
    <w:rsid w:val="00D60D4C"/>
    <w:rsid w:val="00D64CD3"/>
    <w:rsid w:val="00D65166"/>
    <w:rsid w:val="00D65B2D"/>
    <w:rsid w:val="00D6600B"/>
    <w:rsid w:val="00D673C8"/>
    <w:rsid w:val="00D70C80"/>
    <w:rsid w:val="00D71C08"/>
    <w:rsid w:val="00D72A60"/>
    <w:rsid w:val="00D72FF1"/>
    <w:rsid w:val="00D744C7"/>
    <w:rsid w:val="00D74F82"/>
    <w:rsid w:val="00D76AFE"/>
    <w:rsid w:val="00D8005F"/>
    <w:rsid w:val="00D81D13"/>
    <w:rsid w:val="00D84639"/>
    <w:rsid w:val="00D85461"/>
    <w:rsid w:val="00D86336"/>
    <w:rsid w:val="00D8770C"/>
    <w:rsid w:val="00D92D5E"/>
    <w:rsid w:val="00D9449C"/>
    <w:rsid w:val="00D94506"/>
    <w:rsid w:val="00D950A7"/>
    <w:rsid w:val="00D9528C"/>
    <w:rsid w:val="00D97578"/>
    <w:rsid w:val="00DA126F"/>
    <w:rsid w:val="00DA35DF"/>
    <w:rsid w:val="00DA3610"/>
    <w:rsid w:val="00DA4BB2"/>
    <w:rsid w:val="00DA544B"/>
    <w:rsid w:val="00DA616A"/>
    <w:rsid w:val="00DB4FA2"/>
    <w:rsid w:val="00DB6E23"/>
    <w:rsid w:val="00DB78EB"/>
    <w:rsid w:val="00DC013F"/>
    <w:rsid w:val="00DC0606"/>
    <w:rsid w:val="00DC1800"/>
    <w:rsid w:val="00DC306A"/>
    <w:rsid w:val="00DC36E2"/>
    <w:rsid w:val="00DC4202"/>
    <w:rsid w:val="00DC43B3"/>
    <w:rsid w:val="00DC4EBE"/>
    <w:rsid w:val="00DD2FD6"/>
    <w:rsid w:val="00DD37D4"/>
    <w:rsid w:val="00DD6EFB"/>
    <w:rsid w:val="00DD7CC5"/>
    <w:rsid w:val="00DE1041"/>
    <w:rsid w:val="00DE40FE"/>
    <w:rsid w:val="00DE5B2E"/>
    <w:rsid w:val="00DE69B0"/>
    <w:rsid w:val="00DE748C"/>
    <w:rsid w:val="00DE76BA"/>
    <w:rsid w:val="00DF0046"/>
    <w:rsid w:val="00DF0891"/>
    <w:rsid w:val="00DF0D4C"/>
    <w:rsid w:val="00DF15ED"/>
    <w:rsid w:val="00DF1841"/>
    <w:rsid w:val="00DF1C0D"/>
    <w:rsid w:val="00DF2A43"/>
    <w:rsid w:val="00DF3C10"/>
    <w:rsid w:val="00DF4FB7"/>
    <w:rsid w:val="00DF5D81"/>
    <w:rsid w:val="00DF5F0D"/>
    <w:rsid w:val="00DF6DED"/>
    <w:rsid w:val="00DF7A87"/>
    <w:rsid w:val="00E00100"/>
    <w:rsid w:val="00E015F4"/>
    <w:rsid w:val="00E02C4A"/>
    <w:rsid w:val="00E056B7"/>
    <w:rsid w:val="00E0702A"/>
    <w:rsid w:val="00E101C4"/>
    <w:rsid w:val="00E13149"/>
    <w:rsid w:val="00E14AFC"/>
    <w:rsid w:val="00E15449"/>
    <w:rsid w:val="00E15C82"/>
    <w:rsid w:val="00E16D7D"/>
    <w:rsid w:val="00E200E3"/>
    <w:rsid w:val="00E202D9"/>
    <w:rsid w:val="00E2035E"/>
    <w:rsid w:val="00E20D11"/>
    <w:rsid w:val="00E21BC1"/>
    <w:rsid w:val="00E23F06"/>
    <w:rsid w:val="00E25AFC"/>
    <w:rsid w:val="00E25B8E"/>
    <w:rsid w:val="00E27892"/>
    <w:rsid w:val="00E308F0"/>
    <w:rsid w:val="00E3639F"/>
    <w:rsid w:val="00E36EA0"/>
    <w:rsid w:val="00E379D9"/>
    <w:rsid w:val="00E44681"/>
    <w:rsid w:val="00E45EF1"/>
    <w:rsid w:val="00E5249D"/>
    <w:rsid w:val="00E527F4"/>
    <w:rsid w:val="00E52EBC"/>
    <w:rsid w:val="00E5447E"/>
    <w:rsid w:val="00E560D0"/>
    <w:rsid w:val="00E56E7C"/>
    <w:rsid w:val="00E62126"/>
    <w:rsid w:val="00E623E1"/>
    <w:rsid w:val="00E646D6"/>
    <w:rsid w:val="00E64E44"/>
    <w:rsid w:val="00E67181"/>
    <w:rsid w:val="00E81F14"/>
    <w:rsid w:val="00E83D7E"/>
    <w:rsid w:val="00E845DF"/>
    <w:rsid w:val="00E84642"/>
    <w:rsid w:val="00E86A0D"/>
    <w:rsid w:val="00E8723B"/>
    <w:rsid w:val="00E91638"/>
    <w:rsid w:val="00E93799"/>
    <w:rsid w:val="00E94CF3"/>
    <w:rsid w:val="00E968E3"/>
    <w:rsid w:val="00E977CA"/>
    <w:rsid w:val="00E97AEA"/>
    <w:rsid w:val="00E97E8D"/>
    <w:rsid w:val="00EA10EA"/>
    <w:rsid w:val="00EA193D"/>
    <w:rsid w:val="00EA20B7"/>
    <w:rsid w:val="00EA2987"/>
    <w:rsid w:val="00EA3355"/>
    <w:rsid w:val="00EA4FFF"/>
    <w:rsid w:val="00EA7FCF"/>
    <w:rsid w:val="00EB149A"/>
    <w:rsid w:val="00EB1510"/>
    <w:rsid w:val="00EB2C20"/>
    <w:rsid w:val="00EB3FA3"/>
    <w:rsid w:val="00EB4675"/>
    <w:rsid w:val="00EB4E73"/>
    <w:rsid w:val="00EB5996"/>
    <w:rsid w:val="00EB7EB4"/>
    <w:rsid w:val="00EC071E"/>
    <w:rsid w:val="00EC193C"/>
    <w:rsid w:val="00EC1BBD"/>
    <w:rsid w:val="00EC2F5C"/>
    <w:rsid w:val="00EC58C8"/>
    <w:rsid w:val="00ED25E9"/>
    <w:rsid w:val="00ED2907"/>
    <w:rsid w:val="00ED2AE7"/>
    <w:rsid w:val="00ED4A32"/>
    <w:rsid w:val="00ED4FA1"/>
    <w:rsid w:val="00EE1261"/>
    <w:rsid w:val="00EE2662"/>
    <w:rsid w:val="00EE39E3"/>
    <w:rsid w:val="00EE48BC"/>
    <w:rsid w:val="00EE4B2A"/>
    <w:rsid w:val="00EE4D45"/>
    <w:rsid w:val="00EE5BD1"/>
    <w:rsid w:val="00EE6B85"/>
    <w:rsid w:val="00EE6EE1"/>
    <w:rsid w:val="00EF009E"/>
    <w:rsid w:val="00EF013D"/>
    <w:rsid w:val="00EF58B6"/>
    <w:rsid w:val="00EF5992"/>
    <w:rsid w:val="00EF6EEA"/>
    <w:rsid w:val="00EF7D05"/>
    <w:rsid w:val="00F00706"/>
    <w:rsid w:val="00F04556"/>
    <w:rsid w:val="00F0485D"/>
    <w:rsid w:val="00F05024"/>
    <w:rsid w:val="00F069B4"/>
    <w:rsid w:val="00F076F2"/>
    <w:rsid w:val="00F104E9"/>
    <w:rsid w:val="00F11A08"/>
    <w:rsid w:val="00F14946"/>
    <w:rsid w:val="00F15E7D"/>
    <w:rsid w:val="00F2078F"/>
    <w:rsid w:val="00F20E89"/>
    <w:rsid w:val="00F21855"/>
    <w:rsid w:val="00F23FF3"/>
    <w:rsid w:val="00F24136"/>
    <w:rsid w:val="00F24DB4"/>
    <w:rsid w:val="00F25891"/>
    <w:rsid w:val="00F26728"/>
    <w:rsid w:val="00F2723E"/>
    <w:rsid w:val="00F31F79"/>
    <w:rsid w:val="00F33914"/>
    <w:rsid w:val="00F35E18"/>
    <w:rsid w:val="00F35F5E"/>
    <w:rsid w:val="00F36BC3"/>
    <w:rsid w:val="00F43580"/>
    <w:rsid w:val="00F460A5"/>
    <w:rsid w:val="00F46B88"/>
    <w:rsid w:val="00F476BF"/>
    <w:rsid w:val="00F51500"/>
    <w:rsid w:val="00F52C8C"/>
    <w:rsid w:val="00F53443"/>
    <w:rsid w:val="00F54AA5"/>
    <w:rsid w:val="00F54BE7"/>
    <w:rsid w:val="00F5645C"/>
    <w:rsid w:val="00F57356"/>
    <w:rsid w:val="00F61563"/>
    <w:rsid w:val="00F61F68"/>
    <w:rsid w:val="00F61F7E"/>
    <w:rsid w:val="00F631CF"/>
    <w:rsid w:val="00F63B41"/>
    <w:rsid w:val="00F64915"/>
    <w:rsid w:val="00F64F95"/>
    <w:rsid w:val="00F654CD"/>
    <w:rsid w:val="00F66991"/>
    <w:rsid w:val="00F76649"/>
    <w:rsid w:val="00F77139"/>
    <w:rsid w:val="00F8135C"/>
    <w:rsid w:val="00F83383"/>
    <w:rsid w:val="00F8347C"/>
    <w:rsid w:val="00F86464"/>
    <w:rsid w:val="00F906C6"/>
    <w:rsid w:val="00F90CBD"/>
    <w:rsid w:val="00F93ED5"/>
    <w:rsid w:val="00F9631E"/>
    <w:rsid w:val="00FA1E5B"/>
    <w:rsid w:val="00FA2BC6"/>
    <w:rsid w:val="00FA2F2B"/>
    <w:rsid w:val="00FA3C80"/>
    <w:rsid w:val="00FA66C8"/>
    <w:rsid w:val="00FA7587"/>
    <w:rsid w:val="00FB1B88"/>
    <w:rsid w:val="00FB44D7"/>
    <w:rsid w:val="00FB4529"/>
    <w:rsid w:val="00FB561F"/>
    <w:rsid w:val="00FB5C45"/>
    <w:rsid w:val="00FB610E"/>
    <w:rsid w:val="00FB6E57"/>
    <w:rsid w:val="00FB73A2"/>
    <w:rsid w:val="00FC0E6F"/>
    <w:rsid w:val="00FC4C12"/>
    <w:rsid w:val="00FC50E2"/>
    <w:rsid w:val="00FC5498"/>
    <w:rsid w:val="00FC569F"/>
    <w:rsid w:val="00FC5FAD"/>
    <w:rsid w:val="00FC7367"/>
    <w:rsid w:val="00FD1D13"/>
    <w:rsid w:val="00FD2256"/>
    <w:rsid w:val="00FD6301"/>
    <w:rsid w:val="00FE1617"/>
    <w:rsid w:val="00FE2214"/>
    <w:rsid w:val="00FE285F"/>
    <w:rsid w:val="00FE29E7"/>
    <w:rsid w:val="00FE3CAC"/>
    <w:rsid w:val="00FE3F23"/>
    <w:rsid w:val="00FE4D11"/>
    <w:rsid w:val="00FE6549"/>
    <w:rsid w:val="00FE6923"/>
    <w:rsid w:val="00FF1C89"/>
    <w:rsid w:val="00FF2A4E"/>
    <w:rsid w:val="00FF3E5F"/>
    <w:rsid w:val="00FF4491"/>
    <w:rsid w:val="00FF4C79"/>
    <w:rsid w:val="00FF5E7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B8ACC0"/>
  <w15:docId w15:val="{D75C6043-57FC-49C8-BC9D-D073A6AA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qFormat/>
    <w:pPr>
      <w:keepNext/>
      <w:spacing w:after="0" w:line="240" w:lineRule="auto"/>
      <w:jc w:val="center"/>
      <w:outlineLvl w:val="2"/>
    </w:pPr>
    <w:rPr>
      <w:rFonts w:ascii="Book Antiqua" w:eastAsia="Times New Roman" w:hAnsi="Book Antiqua" w:cs="Times New Roman"/>
      <w:b/>
      <w:bCs/>
      <w:szCs w:val="24"/>
      <w:lang w:val="es-MX" w:eastAsia="es-ES"/>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qFormat/>
    <w:pPr>
      <w:spacing w:after="0" w:line="240" w:lineRule="auto"/>
    </w:pPr>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pPr>
      <w:spacing w:after="0" w:line="240" w:lineRule="auto"/>
    </w:pPr>
  </w:style>
  <w:style w:type="character" w:customStyle="1" w:styleId="PiedepginaCar">
    <w:name w:val="Pie de página Car"/>
    <w:basedOn w:val="Fuentedeprrafopredeter"/>
    <w:rPr>
      <w:w w:val="100"/>
      <w:position w:val="-1"/>
      <w:effect w:val="none"/>
      <w:vertAlign w:val="baseline"/>
      <w:cs w:val="0"/>
      <w:em w:val="none"/>
    </w:rPr>
  </w:style>
  <w:style w:type="paragraph" w:styleId="Textodeglobo">
    <w:name w:val="Balloon Text"/>
    <w:basedOn w:val="Normal"/>
    <w:qFormat/>
    <w:pPr>
      <w:spacing w:after="0" w:line="240" w:lineRule="auto"/>
    </w:pPr>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character" w:customStyle="1" w:styleId="Ttulo3Car">
    <w:name w:val="Título 3 Car"/>
    <w:rPr>
      <w:rFonts w:ascii="Book Antiqua" w:eastAsia="Times New Roman" w:hAnsi="Book Antiqua" w:cs="Times New Roman"/>
      <w:b/>
      <w:bCs/>
      <w:w w:val="100"/>
      <w:position w:val="-1"/>
      <w:szCs w:val="24"/>
      <w:effect w:val="none"/>
      <w:vertAlign w:val="baseline"/>
      <w:cs w:val="0"/>
      <w:em w:val="none"/>
      <w:lang w:val="es-MX" w:eastAsia="es-ES"/>
    </w:rPr>
  </w:style>
  <w:style w:type="character" w:customStyle="1" w:styleId="TextoindependienteCar">
    <w:name w:val="Texto independiente Car"/>
    <w:aliases w:val="Body Text Char Char Char Car"/>
    <w:rPr>
      <w:rFonts w:ascii="Book Antiqua" w:hAnsi="Book Antiqua"/>
      <w:w w:val="100"/>
      <w:position w:val="-1"/>
      <w:szCs w:val="24"/>
      <w:u w:val="single"/>
      <w:effect w:val="none"/>
      <w:vertAlign w:val="baseline"/>
      <w:cs w:val="0"/>
      <w:em w:val="none"/>
      <w:lang w:val="es-AR" w:eastAsia="es-ES"/>
    </w:rPr>
  </w:style>
  <w:style w:type="paragraph" w:customStyle="1" w:styleId="Textoindependiente1">
    <w:name w:val="Texto independiente1"/>
    <w:aliases w:val="Body Text Char Char Char"/>
    <w:basedOn w:val="Normal"/>
    <w:qFormat/>
    <w:pPr>
      <w:spacing w:after="0" w:line="240" w:lineRule="auto"/>
    </w:pPr>
    <w:rPr>
      <w:rFonts w:ascii="Book Antiqua" w:hAnsi="Book Antiqua"/>
      <w:szCs w:val="24"/>
      <w:u w:val="single"/>
      <w:lang w:val="es-AR" w:eastAsia="es-ES"/>
    </w:rPr>
  </w:style>
  <w:style w:type="character" w:customStyle="1" w:styleId="BodyTextChar1">
    <w:name w:val="Body Text Char1"/>
    <w:basedOn w:val="Fuentedeprrafopredeter"/>
    <w:rPr>
      <w:w w:val="100"/>
      <w:position w:val="-1"/>
      <w:effect w:val="none"/>
      <w:vertAlign w:val="baseline"/>
      <w:cs w:val="0"/>
      <w:em w:val="none"/>
    </w:rPr>
  </w:style>
  <w:style w:type="paragraph" w:styleId="Sangradetextonormal">
    <w:name w:val="Body Text Indent"/>
    <w:basedOn w:val="Normal"/>
    <w:qFormat/>
    <w:pPr>
      <w:spacing w:after="0" w:line="240" w:lineRule="auto"/>
      <w:ind w:left="4678" w:hanging="425"/>
      <w:jc w:val="both"/>
    </w:pPr>
    <w:rPr>
      <w:rFonts w:ascii="Times New Roman" w:eastAsia="Times New Roman" w:hAnsi="Times New Roman" w:cs="Times New Roman"/>
      <w:b/>
      <w:sz w:val="24"/>
      <w:szCs w:val="20"/>
      <w:lang w:val="es-AR" w:eastAsia="es-ES"/>
    </w:rPr>
  </w:style>
  <w:style w:type="character" w:customStyle="1" w:styleId="SangradetextonormalCar">
    <w:name w:val="Sangría de texto normal Car"/>
    <w:rPr>
      <w:rFonts w:ascii="Times New Roman" w:eastAsia="Times New Roman" w:hAnsi="Times New Roman" w:cs="Times New Roman"/>
      <w:b/>
      <w:w w:val="100"/>
      <w:position w:val="-1"/>
      <w:sz w:val="24"/>
      <w:szCs w:val="20"/>
      <w:effect w:val="none"/>
      <w:vertAlign w:val="baseline"/>
      <w:cs w:val="0"/>
      <w:em w:val="none"/>
      <w:lang w:val="es-AR" w:eastAsia="es-ES"/>
    </w:rPr>
  </w:style>
  <w:style w:type="paragraph" w:customStyle="1" w:styleId="BodyText21">
    <w:name w:val="Body Text 21"/>
    <w:basedOn w:val="Normal"/>
    <w:pPr>
      <w:spacing w:after="0" w:line="240" w:lineRule="auto"/>
    </w:pPr>
    <w:rPr>
      <w:rFonts w:ascii="Times New Roman" w:eastAsia="Times New Roman" w:hAnsi="Times New Roman" w:cs="Times New Roman"/>
      <w:sz w:val="24"/>
      <w:szCs w:val="20"/>
      <w:lang w:val="en-US" w:eastAsia="es-ES"/>
    </w:rPr>
  </w:style>
  <w:style w:type="paragraph" w:styleId="Prrafodelista">
    <w:name w:val="List Paragraph"/>
    <w:aliases w:val="lp"/>
    <w:basedOn w:val="Normal"/>
    <w:uiPriority w:val="34"/>
    <w:qFormat/>
    <w:pPr>
      <w:ind w:left="720"/>
      <w:contextualSpacing/>
    </w:pPr>
  </w:style>
  <w:style w:type="paragraph" w:styleId="NormalWeb">
    <w:name w:val="Normal (Web)"/>
    <w:basedOn w:val="Normal"/>
    <w:qFormat/>
    <w:rPr>
      <w:rFonts w:ascii="Times New Roman" w:hAnsi="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notapie">
    <w:name w:val="footnote text"/>
    <w:basedOn w:val="Normal"/>
    <w:link w:val="TextonotapieCar"/>
    <w:uiPriority w:val="99"/>
    <w:semiHidden/>
    <w:unhideWhenUsed/>
    <w:rsid w:val="00AE279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E279A"/>
    <w:rPr>
      <w:position w:val="-1"/>
      <w:sz w:val="20"/>
      <w:szCs w:val="20"/>
      <w:lang w:eastAsia="en-US"/>
    </w:rPr>
  </w:style>
  <w:style w:type="character" w:styleId="Refdenotaalpie">
    <w:name w:val="footnote reference"/>
    <w:basedOn w:val="Fuentedeprrafopredeter"/>
    <w:uiPriority w:val="99"/>
    <w:semiHidden/>
    <w:unhideWhenUsed/>
    <w:rsid w:val="00AE279A"/>
    <w:rPr>
      <w:vertAlign w:val="superscript"/>
    </w:rPr>
  </w:style>
  <w:style w:type="character" w:styleId="Hipervnculo">
    <w:name w:val="Hyperlink"/>
    <w:basedOn w:val="Fuentedeprrafopredeter"/>
    <w:uiPriority w:val="99"/>
    <w:unhideWhenUsed/>
    <w:rsid w:val="00EE39E3"/>
    <w:rPr>
      <w:color w:val="0000FF" w:themeColor="hyperlink"/>
      <w:u w:val="single"/>
    </w:rPr>
  </w:style>
  <w:style w:type="paragraph" w:customStyle="1" w:styleId="BHTexto">
    <w:name w:val="BH Texto"/>
    <w:basedOn w:val="Normal"/>
    <w:link w:val="BHTextoCar"/>
    <w:qFormat/>
    <w:rsid w:val="00294E56"/>
    <w:pPr>
      <w:suppressAutoHyphens w:val="0"/>
      <w:autoSpaceDE w:val="0"/>
      <w:autoSpaceDN w:val="0"/>
      <w:adjustRightInd w:val="0"/>
      <w:spacing w:before="120" w:after="120" w:line="240" w:lineRule="auto"/>
      <w:ind w:leftChars="0" w:left="0" w:firstLineChars="0" w:firstLine="0"/>
      <w:jc w:val="both"/>
      <w:textDirection w:val="lrTb"/>
      <w:textAlignment w:val="auto"/>
      <w:outlineLvl w:val="9"/>
    </w:pPr>
    <w:rPr>
      <w:rFonts w:ascii="Times New Roman" w:hAnsi="Times New Roman" w:cs="Times New Roman"/>
      <w:position w:val="0"/>
      <w:sz w:val="20"/>
      <w:szCs w:val="20"/>
      <w:lang w:eastAsia="x-none"/>
    </w:rPr>
  </w:style>
  <w:style w:type="character" w:customStyle="1" w:styleId="BHTextoCar">
    <w:name w:val="BH Texto Car"/>
    <w:link w:val="BHTexto"/>
    <w:rsid w:val="00294E56"/>
    <w:rPr>
      <w:rFonts w:ascii="Times New Roman" w:hAnsi="Times New Roman" w:cs="Times New Roman"/>
      <w:sz w:val="20"/>
      <w:szCs w:val="20"/>
      <w:lang w:eastAsia="x-none"/>
    </w:rPr>
  </w:style>
  <w:style w:type="paragraph" w:styleId="Revisin">
    <w:name w:val="Revision"/>
    <w:hidden/>
    <w:uiPriority w:val="99"/>
    <w:semiHidden/>
    <w:rsid w:val="00BF2EBC"/>
    <w:pPr>
      <w:spacing w:after="0" w:line="240" w:lineRule="auto"/>
    </w:pPr>
    <w:rPr>
      <w:position w:val="-1"/>
      <w:lang w:eastAsia="en-US"/>
    </w:rPr>
  </w:style>
  <w:style w:type="table" w:styleId="Tablaconcuadrcula">
    <w:name w:val="Table Grid"/>
    <w:basedOn w:val="Tablanormal"/>
    <w:uiPriority w:val="39"/>
    <w:rsid w:val="00960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aliases w:val=".BT,5,BT,Body Bullet,Body Text CIM,Body Text Proposal2,Body Text cont,Body Text1,Bodytext,Borrador,Corpo de texto2,Ctrl+1,S&amp;S-First Line-1&quot;,a,b,bb,bd,body text,bt wide,ts"/>
    <w:basedOn w:val="Normal"/>
    <w:link w:val="TextoindependienteCar1"/>
    <w:rsid w:val="00F631CF"/>
    <w:pPr>
      <w:suppressAutoHyphens w:val="0"/>
      <w:spacing w:after="120"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es-ES"/>
    </w:rPr>
  </w:style>
  <w:style w:type="character" w:customStyle="1" w:styleId="TextoindependienteCar1">
    <w:name w:val="Texto independiente Car1"/>
    <w:aliases w:val=".BT Car,5 Car,BT Car,Body Bullet Car,Body Text CIM Car,Body Text Proposal2 Car,Body Text cont Car,Body Text1 Car,Bodytext Car,Borrador Car,Corpo de texto2 Car,Ctrl+1 Car,S&amp;S-First Line-1&quot; Car,a Car,b Car,bb Car,bd Car,ts Car"/>
    <w:basedOn w:val="Fuentedeprrafopredeter"/>
    <w:link w:val="Textoindependiente"/>
    <w:rsid w:val="00F631CF"/>
    <w:rPr>
      <w:rFonts w:ascii="Times New Roman" w:eastAsia="Times New Roman" w:hAnsi="Times New Roman" w:cs="Times New Roman"/>
      <w:sz w:val="24"/>
      <w:szCs w:val="24"/>
      <w:lang w:eastAsia="es-ES"/>
    </w:rPr>
  </w:style>
  <w:style w:type="paragraph" w:customStyle="1" w:styleId="SUBTITULO1">
    <w:name w:val="SUBTITULO 1"/>
    <w:basedOn w:val="Puesto"/>
    <w:next w:val="Normal"/>
    <w:qFormat/>
    <w:rsid w:val="00302712"/>
    <w:pPr>
      <w:keepNext w:val="0"/>
      <w:keepLines w:val="0"/>
      <w:widowControl w:val="0"/>
      <w:tabs>
        <w:tab w:val="left" w:pos="-720"/>
      </w:tabs>
      <w:overflowPunct w:val="0"/>
      <w:autoSpaceDE w:val="0"/>
      <w:autoSpaceDN w:val="0"/>
      <w:adjustRightInd w:val="0"/>
      <w:spacing w:before="0" w:after="240" w:line="240" w:lineRule="auto"/>
      <w:ind w:leftChars="0" w:left="0" w:firstLineChars="0" w:firstLine="0"/>
      <w:textDirection w:val="lrTb"/>
      <w:textAlignment w:val="auto"/>
      <w:outlineLvl w:val="9"/>
    </w:pPr>
    <w:rPr>
      <w:rFonts w:ascii="Times New Roman" w:eastAsia="Times New Roman" w:hAnsi="Times New Roman" w:cs="Times New Roman"/>
      <w:b w:val="0"/>
      <w:spacing w:val="-3"/>
      <w:position w:val="0"/>
      <w:sz w:val="24"/>
      <w:szCs w:val="24"/>
      <w:lang w:val="en-US"/>
    </w:rPr>
  </w:style>
  <w:style w:type="paragraph" w:customStyle="1" w:styleId="PDE1">
    <w:name w:val="PDE1"/>
    <w:basedOn w:val="Normal"/>
    <w:link w:val="PDE1Car"/>
    <w:qFormat/>
    <w:rsid w:val="00302712"/>
    <w:pPr>
      <w:suppressAutoHyphens w:val="0"/>
      <w:autoSpaceDE w:val="0"/>
      <w:autoSpaceDN w:val="0"/>
      <w:adjustRightInd w:val="0"/>
      <w:spacing w:after="0" w:line="240" w:lineRule="auto"/>
      <w:ind w:leftChars="0" w:left="0" w:firstLineChars="0" w:firstLine="1418"/>
      <w:textDirection w:val="lrTb"/>
      <w:textAlignment w:val="auto"/>
      <w:outlineLvl w:val="9"/>
    </w:pPr>
    <w:rPr>
      <w:rFonts w:ascii="Times New Roman" w:eastAsia="Times New Roman" w:hAnsi="Times New Roman" w:cs="Times New Roman"/>
      <w:position w:val="0"/>
      <w:sz w:val="24"/>
      <w:szCs w:val="20"/>
      <w:u w:val="single"/>
    </w:rPr>
  </w:style>
  <w:style w:type="character" w:customStyle="1" w:styleId="PDE1Car">
    <w:name w:val="PDE1 Car"/>
    <w:basedOn w:val="Fuentedeprrafopredeter"/>
    <w:link w:val="PDE1"/>
    <w:rsid w:val="00302712"/>
    <w:rPr>
      <w:rFonts w:ascii="Times New Roman" w:eastAsia="Times New Roman" w:hAnsi="Times New Roman" w:cs="Times New Roman"/>
      <w:sz w:val="24"/>
      <w:szCs w:val="20"/>
      <w:u w:val="single"/>
      <w:lang w:eastAsia="en-US"/>
    </w:rPr>
  </w:style>
  <w:style w:type="paragraph" w:styleId="Textoindependienteprimerasangra">
    <w:name w:val="Body Text First Indent"/>
    <w:basedOn w:val="Textoindependiente"/>
    <w:link w:val="TextoindependienteprimerasangraCar"/>
    <w:rsid w:val="00923DC7"/>
    <w:pPr>
      <w:ind w:firstLine="210"/>
    </w:pPr>
    <w:rPr>
      <w:lang w:val="es-AR"/>
    </w:rPr>
  </w:style>
  <w:style w:type="character" w:customStyle="1" w:styleId="TextoindependienteprimerasangraCar">
    <w:name w:val="Texto independiente primera sangría Car"/>
    <w:basedOn w:val="TextoindependienteCar1"/>
    <w:link w:val="Textoindependienteprimerasangra"/>
    <w:rsid w:val="00923DC7"/>
    <w:rPr>
      <w:rFonts w:ascii="Times New Roman" w:eastAsia="Times New Roman" w:hAnsi="Times New Roman" w:cs="Times New Roman"/>
      <w:sz w:val="24"/>
      <w:szCs w:val="24"/>
      <w:lang w:val="es-AR" w:eastAsia="es-ES"/>
    </w:rPr>
  </w:style>
  <w:style w:type="paragraph" w:customStyle="1" w:styleId="ESPECIAL">
    <w:name w:val="ESPECIAL"/>
    <w:basedOn w:val="Normal"/>
    <w:link w:val="ESPECIALCar"/>
    <w:qFormat/>
    <w:rsid w:val="00923DC7"/>
    <w:pPr>
      <w:widowControl w:val="0"/>
      <w:tabs>
        <w:tab w:val="left" w:pos="795"/>
      </w:tabs>
      <w:suppressAutoHyphens w:val="0"/>
      <w:autoSpaceDE w:val="0"/>
      <w:autoSpaceDN w:val="0"/>
      <w:adjustRightInd w:val="0"/>
      <w:spacing w:after="240" w:line="240" w:lineRule="auto"/>
      <w:ind w:leftChars="0" w:left="0" w:firstLineChars="0" w:firstLine="1418"/>
      <w:textDirection w:val="lrTb"/>
      <w:textAlignment w:val="auto"/>
      <w:outlineLvl w:val="9"/>
    </w:pPr>
    <w:rPr>
      <w:rFonts w:ascii="Times New Roman" w:eastAsia="Times New Roman" w:hAnsi="Times New Roman" w:cs="Times New Roman"/>
      <w:position w:val="0"/>
      <w:sz w:val="24"/>
      <w:szCs w:val="20"/>
    </w:rPr>
  </w:style>
  <w:style w:type="character" w:customStyle="1" w:styleId="ESPECIALCar">
    <w:name w:val="ESPECIAL Car"/>
    <w:basedOn w:val="Fuentedeprrafopredeter"/>
    <w:link w:val="ESPECIAL"/>
    <w:rsid w:val="00923DC7"/>
    <w:rPr>
      <w:rFonts w:ascii="Times New Roman" w:eastAsia="Times New Roman" w:hAnsi="Times New Roman" w:cs="Times New Roman"/>
      <w:sz w:val="24"/>
      <w:szCs w:val="20"/>
      <w:lang w:eastAsia="en-US"/>
    </w:rPr>
  </w:style>
  <w:style w:type="character" w:styleId="Refdecomentario">
    <w:name w:val="annotation reference"/>
    <w:basedOn w:val="Fuentedeprrafopredeter"/>
    <w:uiPriority w:val="99"/>
    <w:semiHidden/>
    <w:unhideWhenUsed/>
    <w:rsid w:val="00950AF8"/>
    <w:rPr>
      <w:sz w:val="16"/>
      <w:szCs w:val="16"/>
    </w:rPr>
  </w:style>
  <w:style w:type="paragraph" w:styleId="Textocomentario">
    <w:name w:val="annotation text"/>
    <w:basedOn w:val="Normal"/>
    <w:link w:val="TextocomentarioCar"/>
    <w:uiPriority w:val="99"/>
    <w:semiHidden/>
    <w:unhideWhenUsed/>
    <w:rsid w:val="00950A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50AF8"/>
    <w:rPr>
      <w:position w:val="-1"/>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950AF8"/>
    <w:rPr>
      <w:b/>
      <w:bCs/>
    </w:rPr>
  </w:style>
  <w:style w:type="character" w:customStyle="1" w:styleId="AsuntodelcomentarioCar">
    <w:name w:val="Asunto del comentario Car"/>
    <w:basedOn w:val="TextocomentarioCar"/>
    <w:link w:val="Asuntodelcomentario"/>
    <w:uiPriority w:val="99"/>
    <w:semiHidden/>
    <w:rsid w:val="00950AF8"/>
    <w:rPr>
      <w:b/>
      <w:bCs/>
      <w:position w:val="-1"/>
      <w:sz w:val="20"/>
      <w:szCs w:val="20"/>
      <w:lang w:eastAsia="en-US"/>
    </w:rPr>
  </w:style>
  <w:style w:type="character" w:customStyle="1" w:styleId="DTPunctuation">
    <w:name w:val="DT Punctuation"/>
    <w:basedOn w:val="Fuentedeprrafopredeter"/>
    <w:uiPriority w:val="99"/>
    <w:rsid w:val="00BA0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00116">
      <w:bodyDiv w:val="1"/>
      <w:marLeft w:val="0"/>
      <w:marRight w:val="0"/>
      <w:marTop w:val="0"/>
      <w:marBottom w:val="0"/>
      <w:divBdr>
        <w:top w:val="none" w:sz="0" w:space="0" w:color="auto"/>
        <w:left w:val="none" w:sz="0" w:space="0" w:color="auto"/>
        <w:bottom w:val="none" w:sz="0" w:space="0" w:color="auto"/>
        <w:right w:val="none" w:sz="0" w:space="0" w:color="auto"/>
      </w:divBdr>
    </w:div>
    <w:div w:id="124584372">
      <w:bodyDiv w:val="1"/>
      <w:marLeft w:val="0"/>
      <w:marRight w:val="0"/>
      <w:marTop w:val="0"/>
      <w:marBottom w:val="0"/>
      <w:divBdr>
        <w:top w:val="none" w:sz="0" w:space="0" w:color="auto"/>
        <w:left w:val="none" w:sz="0" w:space="0" w:color="auto"/>
        <w:bottom w:val="none" w:sz="0" w:space="0" w:color="auto"/>
        <w:right w:val="none" w:sz="0" w:space="0" w:color="auto"/>
      </w:divBdr>
    </w:div>
    <w:div w:id="204561749">
      <w:bodyDiv w:val="1"/>
      <w:marLeft w:val="0"/>
      <w:marRight w:val="0"/>
      <w:marTop w:val="0"/>
      <w:marBottom w:val="0"/>
      <w:divBdr>
        <w:top w:val="none" w:sz="0" w:space="0" w:color="auto"/>
        <w:left w:val="none" w:sz="0" w:space="0" w:color="auto"/>
        <w:bottom w:val="none" w:sz="0" w:space="0" w:color="auto"/>
        <w:right w:val="none" w:sz="0" w:space="0" w:color="auto"/>
      </w:divBdr>
    </w:div>
    <w:div w:id="254048568">
      <w:bodyDiv w:val="1"/>
      <w:marLeft w:val="0"/>
      <w:marRight w:val="0"/>
      <w:marTop w:val="0"/>
      <w:marBottom w:val="0"/>
      <w:divBdr>
        <w:top w:val="none" w:sz="0" w:space="0" w:color="auto"/>
        <w:left w:val="none" w:sz="0" w:space="0" w:color="auto"/>
        <w:bottom w:val="none" w:sz="0" w:space="0" w:color="auto"/>
        <w:right w:val="none" w:sz="0" w:space="0" w:color="auto"/>
      </w:divBdr>
      <w:divsChild>
        <w:div w:id="1288976572">
          <w:marLeft w:val="446"/>
          <w:marRight w:val="0"/>
          <w:marTop w:val="0"/>
          <w:marBottom w:val="0"/>
          <w:divBdr>
            <w:top w:val="none" w:sz="0" w:space="0" w:color="auto"/>
            <w:left w:val="none" w:sz="0" w:space="0" w:color="auto"/>
            <w:bottom w:val="none" w:sz="0" w:space="0" w:color="auto"/>
            <w:right w:val="none" w:sz="0" w:space="0" w:color="auto"/>
          </w:divBdr>
        </w:div>
      </w:divsChild>
    </w:div>
    <w:div w:id="286013109">
      <w:bodyDiv w:val="1"/>
      <w:marLeft w:val="0"/>
      <w:marRight w:val="0"/>
      <w:marTop w:val="0"/>
      <w:marBottom w:val="0"/>
      <w:divBdr>
        <w:top w:val="none" w:sz="0" w:space="0" w:color="auto"/>
        <w:left w:val="none" w:sz="0" w:space="0" w:color="auto"/>
        <w:bottom w:val="none" w:sz="0" w:space="0" w:color="auto"/>
        <w:right w:val="none" w:sz="0" w:space="0" w:color="auto"/>
      </w:divBdr>
    </w:div>
    <w:div w:id="542861480">
      <w:bodyDiv w:val="1"/>
      <w:marLeft w:val="0"/>
      <w:marRight w:val="0"/>
      <w:marTop w:val="0"/>
      <w:marBottom w:val="0"/>
      <w:divBdr>
        <w:top w:val="none" w:sz="0" w:space="0" w:color="auto"/>
        <w:left w:val="none" w:sz="0" w:space="0" w:color="auto"/>
        <w:bottom w:val="none" w:sz="0" w:space="0" w:color="auto"/>
        <w:right w:val="none" w:sz="0" w:space="0" w:color="auto"/>
      </w:divBdr>
      <w:divsChild>
        <w:div w:id="826818981">
          <w:marLeft w:val="706"/>
          <w:marRight w:val="0"/>
          <w:marTop w:val="0"/>
          <w:marBottom w:val="0"/>
          <w:divBdr>
            <w:top w:val="none" w:sz="0" w:space="0" w:color="auto"/>
            <w:left w:val="none" w:sz="0" w:space="0" w:color="auto"/>
            <w:bottom w:val="none" w:sz="0" w:space="0" w:color="auto"/>
            <w:right w:val="none" w:sz="0" w:space="0" w:color="auto"/>
          </w:divBdr>
        </w:div>
        <w:div w:id="948661600">
          <w:marLeft w:val="706"/>
          <w:marRight w:val="0"/>
          <w:marTop w:val="0"/>
          <w:marBottom w:val="0"/>
          <w:divBdr>
            <w:top w:val="none" w:sz="0" w:space="0" w:color="auto"/>
            <w:left w:val="none" w:sz="0" w:space="0" w:color="auto"/>
            <w:bottom w:val="none" w:sz="0" w:space="0" w:color="auto"/>
            <w:right w:val="none" w:sz="0" w:space="0" w:color="auto"/>
          </w:divBdr>
        </w:div>
      </w:divsChild>
    </w:div>
    <w:div w:id="585386278">
      <w:bodyDiv w:val="1"/>
      <w:marLeft w:val="0"/>
      <w:marRight w:val="0"/>
      <w:marTop w:val="0"/>
      <w:marBottom w:val="0"/>
      <w:divBdr>
        <w:top w:val="none" w:sz="0" w:space="0" w:color="auto"/>
        <w:left w:val="none" w:sz="0" w:space="0" w:color="auto"/>
        <w:bottom w:val="none" w:sz="0" w:space="0" w:color="auto"/>
        <w:right w:val="none" w:sz="0" w:space="0" w:color="auto"/>
      </w:divBdr>
    </w:div>
    <w:div w:id="633603964">
      <w:bodyDiv w:val="1"/>
      <w:marLeft w:val="0"/>
      <w:marRight w:val="0"/>
      <w:marTop w:val="0"/>
      <w:marBottom w:val="0"/>
      <w:divBdr>
        <w:top w:val="none" w:sz="0" w:space="0" w:color="auto"/>
        <w:left w:val="none" w:sz="0" w:space="0" w:color="auto"/>
        <w:bottom w:val="none" w:sz="0" w:space="0" w:color="auto"/>
        <w:right w:val="none" w:sz="0" w:space="0" w:color="auto"/>
      </w:divBdr>
    </w:div>
    <w:div w:id="699476996">
      <w:bodyDiv w:val="1"/>
      <w:marLeft w:val="0"/>
      <w:marRight w:val="0"/>
      <w:marTop w:val="0"/>
      <w:marBottom w:val="0"/>
      <w:divBdr>
        <w:top w:val="none" w:sz="0" w:space="0" w:color="auto"/>
        <w:left w:val="none" w:sz="0" w:space="0" w:color="auto"/>
        <w:bottom w:val="none" w:sz="0" w:space="0" w:color="auto"/>
        <w:right w:val="none" w:sz="0" w:space="0" w:color="auto"/>
      </w:divBdr>
    </w:div>
    <w:div w:id="1260526318">
      <w:bodyDiv w:val="1"/>
      <w:marLeft w:val="0"/>
      <w:marRight w:val="0"/>
      <w:marTop w:val="0"/>
      <w:marBottom w:val="0"/>
      <w:divBdr>
        <w:top w:val="none" w:sz="0" w:space="0" w:color="auto"/>
        <w:left w:val="none" w:sz="0" w:space="0" w:color="auto"/>
        <w:bottom w:val="none" w:sz="0" w:space="0" w:color="auto"/>
        <w:right w:val="none" w:sz="0" w:space="0" w:color="auto"/>
      </w:divBdr>
    </w:div>
    <w:div w:id="1518158053">
      <w:bodyDiv w:val="1"/>
      <w:marLeft w:val="0"/>
      <w:marRight w:val="0"/>
      <w:marTop w:val="0"/>
      <w:marBottom w:val="0"/>
      <w:divBdr>
        <w:top w:val="none" w:sz="0" w:space="0" w:color="auto"/>
        <w:left w:val="none" w:sz="0" w:space="0" w:color="auto"/>
        <w:bottom w:val="none" w:sz="0" w:space="0" w:color="auto"/>
        <w:right w:val="none" w:sz="0" w:space="0" w:color="auto"/>
      </w:divBdr>
    </w:div>
    <w:div w:id="1619491115">
      <w:bodyDiv w:val="1"/>
      <w:marLeft w:val="0"/>
      <w:marRight w:val="0"/>
      <w:marTop w:val="0"/>
      <w:marBottom w:val="0"/>
      <w:divBdr>
        <w:top w:val="none" w:sz="0" w:space="0" w:color="auto"/>
        <w:left w:val="none" w:sz="0" w:space="0" w:color="auto"/>
        <w:bottom w:val="none" w:sz="0" w:space="0" w:color="auto"/>
        <w:right w:val="none" w:sz="0" w:space="0" w:color="auto"/>
      </w:divBdr>
    </w:div>
    <w:div w:id="1634795858">
      <w:bodyDiv w:val="1"/>
      <w:marLeft w:val="0"/>
      <w:marRight w:val="0"/>
      <w:marTop w:val="0"/>
      <w:marBottom w:val="0"/>
      <w:divBdr>
        <w:top w:val="none" w:sz="0" w:space="0" w:color="auto"/>
        <w:left w:val="none" w:sz="0" w:space="0" w:color="auto"/>
        <w:bottom w:val="none" w:sz="0" w:space="0" w:color="auto"/>
        <w:right w:val="none" w:sz="0" w:space="0" w:color="auto"/>
      </w:divBdr>
    </w:div>
    <w:div w:id="1852329782">
      <w:bodyDiv w:val="1"/>
      <w:marLeft w:val="0"/>
      <w:marRight w:val="0"/>
      <w:marTop w:val="0"/>
      <w:marBottom w:val="0"/>
      <w:divBdr>
        <w:top w:val="none" w:sz="0" w:space="0" w:color="auto"/>
        <w:left w:val="none" w:sz="0" w:space="0" w:color="auto"/>
        <w:bottom w:val="none" w:sz="0" w:space="0" w:color="auto"/>
        <w:right w:val="none" w:sz="0" w:space="0" w:color="auto"/>
      </w:divBdr>
    </w:div>
    <w:div w:id="1975334006">
      <w:bodyDiv w:val="1"/>
      <w:marLeft w:val="0"/>
      <w:marRight w:val="0"/>
      <w:marTop w:val="0"/>
      <w:marBottom w:val="0"/>
      <w:divBdr>
        <w:top w:val="none" w:sz="0" w:space="0" w:color="auto"/>
        <w:left w:val="none" w:sz="0" w:space="0" w:color="auto"/>
        <w:bottom w:val="none" w:sz="0" w:space="0" w:color="auto"/>
        <w:right w:val="none" w:sz="0" w:space="0" w:color="auto"/>
      </w:divBdr>
      <w:divsChild>
        <w:div w:id="602418918">
          <w:marLeft w:val="446"/>
          <w:marRight w:val="0"/>
          <w:marTop w:val="0"/>
          <w:marBottom w:val="0"/>
          <w:divBdr>
            <w:top w:val="none" w:sz="0" w:space="0" w:color="auto"/>
            <w:left w:val="none" w:sz="0" w:space="0" w:color="auto"/>
            <w:bottom w:val="none" w:sz="0" w:space="0" w:color="auto"/>
            <w:right w:val="none" w:sz="0" w:space="0" w:color="auto"/>
          </w:divBdr>
        </w:div>
        <w:div w:id="1743410799">
          <w:marLeft w:val="70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ri.tglt.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6/5vwxk4JJHlfdyZT9LZnRX9qQ==">AMUW2mXvS8zi40O1qq/W9x5pJHjrFzTLe0zwCwh3/xbSKLbtIR3+ARVxU+9GbPqrmazqFcR1Obk09+OzDcn+KI5IfRIt0GWv3wemI52+E9/T/Y6lI29zWMxYj7iXev4kPsfvNSeswGlR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F62DF8-4BA2-42D2-9B2B-E8BAD7548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12355</Words>
  <Characters>67955</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Santiago Vega Olmos</dc:creator>
  <cp:lastModifiedBy>Jose Maria Krasnansky Simari</cp:lastModifiedBy>
  <cp:revision>7</cp:revision>
  <cp:lastPrinted>2021-09-29T00:33:00Z</cp:lastPrinted>
  <dcterms:created xsi:type="dcterms:W3CDTF">2021-09-29T00:03:00Z</dcterms:created>
  <dcterms:modified xsi:type="dcterms:W3CDTF">2021-09-29T00:35:00Z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0x010100501D19C8CAA1EF4583F5726C0B720D6C</vt:lpwstr>
  </property>
</Properties>
</file>