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9CA4" w14:textId="77777777" w:rsidR="006A722F" w:rsidRPr="00A610E9" w:rsidRDefault="006A722F" w:rsidP="00CE71BF">
      <w:pPr>
        <w:spacing w:after="0" w:line="276" w:lineRule="auto"/>
        <w:contextualSpacing/>
        <w:jc w:val="both"/>
        <w:rPr>
          <w:rFonts w:ascii="Arial" w:hAnsi="Arial" w:cs="Arial"/>
          <w:lang w:val="es-419"/>
        </w:rPr>
      </w:pPr>
    </w:p>
    <w:p w14:paraId="207E2795" w14:textId="77777777" w:rsidR="006A722F" w:rsidRPr="00A610E9" w:rsidRDefault="006A722F" w:rsidP="00CE71BF">
      <w:pPr>
        <w:spacing w:after="0" w:line="276" w:lineRule="auto"/>
        <w:contextualSpacing/>
        <w:jc w:val="right"/>
        <w:rPr>
          <w:rFonts w:ascii="Arial" w:hAnsi="Arial" w:cs="Arial"/>
          <w:lang w:val="es-419"/>
        </w:rPr>
      </w:pPr>
    </w:p>
    <w:p w14:paraId="171912D4" w14:textId="00323093" w:rsidR="00852042" w:rsidRPr="00A610E9" w:rsidRDefault="00D2318B" w:rsidP="00CE71BF">
      <w:pPr>
        <w:spacing w:after="0" w:line="276" w:lineRule="auto"/>
        <w:contextualSpacing/>
        <w:jc w:val="right"/>
        <w:rPr>
          <w:rFonts w:ascii="Arial" w:hAnsi="Arial" w:cs="Arial"/>
          <w:lang w:val="es-419"/>
        </w:rPr>
      </w:pPr>
      <w:r w:rsidRPr="00A610E9">
        <w:rPr>
          <w:rFonts w:ascii="Arial" w:hAnsi="Arial" w:cs="Arial"/>
          <w:lang w:val="es-419"/>
        </w:rPr>
        <w:t>Ciudad Autónoma de Buenos Aires, 27 de abril de 2022</w:t>
      </w:r>
    </w:p>
    <w:p w14:paraId="4377BAC0" w14:textId="63442CB8" w:rsidR="00D2318B" w:rsidRPr="00A610E9" w:rsidRDefault="00D2318B" w:rsidP="00CE71BF">
      <w:pPr>
        <w:spacing w:after="0" w:line="276" w:lineRule="auto"/>
        <w:contextualSpacing/>
        <w:jc w:val="both"/>
        <w:rPr>
          <w:rFonts w:ascii="Arial" w:hAnsi="Arial" w:cs="Arial"/>
          <w:lang w:val="es-419"/>
        </w:rPr>
      </w:pPr>
    </w:p>
    <w:p w14:paraId="497467EF" w14:textId="755AEFCA" w:rsidR="00D2318B" w:rsidRPr="00A610E9" w:rsidRDefault="00D2318B" w:rsidP="00CE71BF">
      <w:pPr>
        <w:spacing w:after="0" w:line="276" w:lineRule="auto"/>
        <w:contextualSpacing/>
        <w:jc w:val="both"/>
        <w:rPr>
          <w:rFonts w:ascii="Arial" w:hAnsi="Arial" w:cs="Arial"/>
          <w:lang w:val="es-419"/>
        </w:rPr>
      </w:pPr>
      <w:r w:rsidRPr="00A610E9">
        <w:rPr>
          <w:rFonts w:ascii="Arial" w:hAnsi="Arial" w:cs="Arial"/>
          <w:lang w:val="es-419"/>
        </w:rPr>
        <w:t>Sres.</w:t>
      </w:r>
    </w:p>
    <w:p w14:paraId="3CAE0F08" w14:textId="0A84F2CB" w:rsidR="00D2318B" w:rsidRPr="00A610E9" w:rsidRDefault="00D2318B" w:rsidP="00CE71BF">
      <w:pPr>
        <w:spacing w:after="0" w:line="276" w:lineRule="auto"/>
        <w:contextualSpacing/>
        <w:jc w:val="both"/>
        <w:rPr>
          <w:rFonts w:ascii="Arial" w:hAnsi="Arial" w:cs="Arial"/>
          <w:b/>
          <w:bCs/>
          <w:lang w:val="es-419"/>
        </w:rPr>
      </w:pPr>
      <w:r w:rsidRPr="00A610E9">
        <w:rPr>
          <w:rFonts w:ascii="Arial" w:hAnsi="Arial" w:cs="Arial"/>
          <w:b/>
          <w:bCs/>
          <w:lang w:val="es-419"/>
        </w:rPr>
        <w:t>COMISIÓN NACIONAL DE VALORES</w:t>
      </w:r>
    </w:p>
    <w:p w14:paraId="04EB7400" w14:textId="17733824" w:rsidR="002C03F7" w:rsidRPr="00A610E9" w:rsidRDefault="002C03F7" w:rsidP="00CE71BF">
      <w:pPr>
        <w:spacing w:after="0" w:line="276" w:lineRule="auto"/>
        <w:contextualSpacing/>
        <w:jc w:val="both"/>
        <w:rPr>
          <w:rFonts w:ascii="Arial" w:hAnsi="Arial" w:cs="Arial"/>
          <w:lang w:val="es-419"/>
        </w:rPr>
      </w:pPr>
      <w:r w:rsidRPr="00A610E9">
        <w:rPr>
          <w:rFonts w:ascii="Arial" w:hAnsi="Arial" w:cs="Arial"/>
          <w:lang w:val="es-419"/>
        </w:rPr>
        <w:t>Ciudad Autónoma de Buenos Aires</w:t>
      </w:r>
    </w:p>
    <w:p w14:paraId="3A3D7487" w14:textId="10B7F48C" w:rsidR="002C03F7" w:rsidRPr="00A610E9" w:rsidRDefault="002C03F7" w:rsidP="00CE71BF">
      <w:pPr>
        <w:spacing w:after="0" w:line="276" w:lineRule="auto"/>
        <w:contextualSpacing/>
        <w:jc w:val="both"/>
        <w:rPr>
          <w:rFonts w:ascii="Arial" w:hAnsi="Arial" w:cs="Arial"/>
          <w:u w:val="single"/>
          <w:lang w:val="es-419"/>
        </w:rPr>
      </w:pPr>
      <w:r w:rsidRPr="00A610E9">
        <w:rPr>
          <w:rFonts w:ascii="Arial" w:hAnsi="Arial" w:cs="Arial"/>
          <w:u w:val="single"/>
          <w:lang w:val="es-419"/>
        </w:rPr>
        <w:t>Presente</w:t>
      </w:r>
    </w:p>
    <w:p w14:paraId="7C2D5DCC" w14:textId="73744B20" w:rsidR="002C03F7" w:rsidRPr="00A610E9" w:rsidRDefault="002C03F7" w:rsidP="00CE71BF">
      <w:pPr>
        <w:spacing w:after="0" w:line="276" w:lineRule="auto"/>
        <w:contextualSpacing/>
        <w:jc w:val="both"/>
        <w:rPr>
          <w:rFonts w:ascii="Arial" w:hAnsi="Arial" w:cs="Arial"/>
          <w:lang w:val="es-419"/>
        </w:rPr>
      </w:pPr>
    </w:p>
    <w:p w14:paraId="4F72F9BE" w14:textId="20EA76A4" w:rsidR="002C03F7" w:rsidRPr="00A610E9" w:rsidRDefault="002C03F7" w:rsidP="00CE71BF">
      <w:pPr>
        <w:spacing w:after="0" w:line="276" w:lineRule="auto"/>
        <w:contextualSpacing/>
        <w:jc w:val="both"/>
        <w:rPr>
          <w:rFonts w:ascii="Arial" w:hAnsi="Arial" w:cs="Arial"/>
          <w:lang w:val="es-419"/>
        </w:rPr>
      </w:pPr>
      <w:r w:rsidRPr="00A610E9">
        <w:rPr>
          <w:rFonts w:ascii="Arial" w:hAnsi="Arial" w:cs="Arial"/>
          <w:lang w:val="es-419"/>
        </w:rPr>
        <w:t>Sres.</w:t>
      </w:r>
    </w:p>
    <w:p w14:paraId="5DD63A7B" w14:textId="6935A135" w:rsidR="002C03F7" w:rsidRPr="00A610E9" w:rsidRDefault="002C03F7" w:rsidP="00CE71BF">
      <w:pPr>
        <w:spacing w:after="0" w:line="276" w:lineRule="auto"/>
        <w:contextualSpacing/>
        <w:jc w:val="both"/>
        <w:rPr>
          <w:rFonts w:ascii="Arial" w:hAnsi="Arial" w:cs="Arial"/>
          <w:b/>
          <w:bCs/>
          <w:lang w:val="es-419"/>
        </w:rPr>
      </w:pPr>
      <w:r w:rsidRPr="00A610E9">
        <w:rPr>
          <w:rFonts w:ascii="Arial" w:hAnsi="Arial" w:cs="Arial"/>
          <w:b/>
          <w:bCs/>
          <w:lang w:val="es-419"/>
        </w:rPr>
        <w:t>BOLSAS Y MERCADOS ARGENTINOS</w:t>
      </w:r>
    </w:p>
    <w:p w14:paraId="4045A6FB" w14:textId="63848974" w:rsidR="002C03F7" w:rsidRPr="00A610E9" w:rsidRDefault="002C03F7" w:rsidP="00CE71BF">
      <w:pPr>
        <w:spacing w:after="0" w:line="276" w:lineRule="auto"/>
        <w:contextualSpacing/>
        <w:jc w:val="both"/>
        <w:rPr>
          <w:rFonts w:ascii="Arial" w:hAnsi="Arial" w:cs="Arial"/>
          <w:lang w:val="es-419"/>
        </w:rPr>
      </w:pPr>
      <w:r w:rsidRPr="00A610E9">
        <w:rPr>
          <w:rFonts w:ascii="Arial" w:hAnsi="Arial" w:cs="Arial"/>
          <w:lang w:val="es-419"/>
        </w:rPr>
        <w:t>Ciudad Autónoma de Buenos Aires</w:t>
      </w:r>
    </w:p>
    <w:p w14:paraId="6E9A1655" w14:textId="00B127BB" w:rsidR="002C03F7" w:rsidRPr="00A610E9" w:rsidRDefault="002C03F7" w:rsidP="00CE71BF">
      <w:pPr>
        <w:spacing w:after="0" w:line="276" w:lineRule="auto"/>
        <w:contextualSpacing/>
        <w:jc w:val="both"/>
        <w:rPr>
          <w:rFonts w:ascii="Arial" w:hAnsi="Arial" w:cs="Arial"/>
          <w:u w:val="single"/>
          <w:lang w:val="es-419"/>
        </w:rPr>
      </w:pPr>
      <w:r w:rsidRPr="00A610E9">
        <w:rPr>
          <w:rFonts w:ascii="Arial" w:hAnsi="Arial" w:cs="Arial"/>
          <w:u w:val="single"/>
          <w:lang w:val="es-419"/>
        </w:rPr>
        <w:t>Presente</w:t>
      </w:r>
    </w:p>
    <w:p w14:paraId="431E64C2" w14:textId="10818A7D" w:rsidR="002C03F7" w:rsidRPr="00A610E9" w:rsidRDefault="002C03F7" w:rsidP="00CE71BF">
      <w:pPr>
        <w:spacing w:after="0" w:line="276" w:lineRule="auto"/>
        <w:contextualSpacing/>
        <w:jc w:val="both"/>
        <w:rPr>
          <w:rFonts w:ascii="Arial" w:hAnsi="Arial" w:cs="Arial"/>
          <w:i/>
          <w:iCs/>
          <w:u w:val="single"/>
          <w:lang w:val="es-419"/>
        </w:rPr>
      </w:pPr>
    </w:p>
    <w:p w14:paraId="3B328339" w14:textId="77777777" w:rsidR="00EC4DB6" w:rsidRPr="00A610E9" w:rsidRDefault="00EC4DB6" w:rsidP="00CE71BF">
      <w:pPr>
        <w:spacing w:after="0" w:line="276" w:lineRule="auto"/>
        <w:contextualSpacing/>
        <w:jc w:val="both"/>
        <w:rPr>
          <w:rFonts w:ascii="Arial" w:hAnsi="Arial" w:cs="Arial"/>
          <w:i/>
          <w:iCs/>
          <w:lang w:val="es-419"/>
        </w:rPr>
      </w:pPr>
      <w:r w:rsidRPr="00A610E9">
        <w:rPr>
          <w:rFonts w:ascii="Arial" w:hAnsi="Arial" w:cs="Arial"/>
          <w:i/>
          <w:iCs/>
          <w:lang w:val="es-419"/>
        </w:rPr>
        <w:tab/>
      </w:r>
      <w:r w:rsidRPr="00A610E9">
        <w:rPr>
          <w:rFonts w:ascii="Arial" w:hAnsi="Arial" w:cs="Arial"/>
          <w:i/>
          <w:iCs/>
          <w:lang w:val="es-419"/>
        </w:rPr>
        <w:tab/>
      </w:r>
      <w:r w:rsidRPr="00A610E9">
        <w:rPr>
          <w:rFonts w:ascii="Arial" w:hAnsi="Arial" w:cs="Arial"/>
          <w:i/>
          <w:iCs/>
          <w:lang w:val="es-419"/>
        </w:rPr>
        <w:tab/>
      </w:r>
      <w:r w:rsidRPr="00A610E9">
        <w:rPr>
          <w:rFonts w:ascii="Arial" w:hAnsi="Arial" w:cs="Arial"/>
          <w:i/>
          <w:iCs/>
          <w:lang w:val="es-419"/>
        </w:rPr>
        <w:tab/>
      </w:r>
      <w:r w:rsidRPr="00A610E9">
        <w:rPr>
          <w:rFonts w:ascii="Arial" w:hAnsi="Arial" w:cs="Arial"/>
          <w:i/>
          <w:iCs/>
          <w:lang w:val="es-419"/>
        </w:rPr>
        <w:tab/>
      </w:r>
    </w:p>
    <w:p w14:paraId="409DDA7E" w14:textId="53C6C292" w:rsidR="006A722F" w:rsidRPr="0049224D" w:rsidRDefault="006A722F" w:rsidP="00CE71BF">
      <w:pPr>
        <w:spacing w:after="0" w:line="276" w:lineRule="auto"/>
        <w:ind w:left="3119"/>
        <w:contextualSpacing/>
        <w:jc w:val="both"/>
        <w:rPr>
          <w:rFonts w:ascii="Arial" w:hAnsi="Arial" w:cs="Arial"/>
          <w:bCs/>
        </w:rPr>
      </w:pPr>
      <w:r w:rsidRPr="0049224D">
        <w:rPr>
          <w:rFonts w:ascii="Arial" w:hAnsi="Arial" w:cs="Arial"/>
          <w:bCs/>
          <w:i/>
          <w:iCs/>
          <w:u w:val="single"/>
        </w:rPr>
        <w:t xml:space="preserve">Ref.: TGLT S.A. – </w:t>
      </w:r>
      <w:r w:rsidR="00A610E9" w:rsidRPr="0049224D">
        <w:rPr>
          <w:rFonts w:ascii="Arial" w:hAnsi="Arial" w:cs="Arial"/>
          <w:bCs/>
          <w:i/>
          <w:iCs/>
          <w:u w:val="single"/>
        </w:rPr>
        <w:t xml:space="preserve">Síntesis de la </w:t>
      </w:r>
      <w:r w:rsidRPr="0049224D">
        <w:rPr>
          <w:rFonts w:ascii="Arial" w:hAnsi="Arial" w:cs="Arial"/>
          <w:bCs/>
          <w:i/>
          <w:iCs/>
          <w:u w:val="single"/>
        </w:rPr>
        <w:t>Asamblea General Ordinaria de Accionistas de TGLT S.A. celebrada el 26 de abril de 2022</w:t>
      </w:r>
      <w:r w:rsidRPr="0049224D">
        <w:rPr>
          <w:rFonts w:ascii="Arial" w:hAnsi="Arial" w:cs="Arial"/>
          <w:bCs/>
        </w:rPr>
        <w:t xml:space="preserve">. </w:t>
      </w:r>
    </w:p>
    <w:p w14:paraId="50660B60" w14:textId="3A9CA82E" w:rsidR="00CE661F" w:rsidRPr="00A610E9" w:rsidRDefault="00CE661F" w:rsidP="00CE71BF">
      <w:pPr>
        <w:spacing w:after="0" w:line="276" w:lineRule="auto"/>
        <w:contextualSpacing/>
        <w:jc w:val="both"/>
        <w:rPr>
          <w:rFonts w:ascii="Arial" w:hAnsi="Arial" w:cs="Arial"/>
          <w:bCs/>
          <w:smallCaps/>
        </w:rPr>
      </w:pPr>
    </w:p>
    <w:p w14:paraId="54AA889B" w14:textId="319B54E4" w:rsidR="00EC4DB6" w:rsidRPr="00A610E9" w:rsidRDefault="00EC4DB6" w:rsidP="00CE71BF">
      <w:pPr>
        <w:spacing w:after="0" w:line="276" w:lineRule="auto"/>
        <w:contextualSpacing/>
        <w:jc w:val="both"/>
        <w:rPr>
          <w:rFonts w:ascii="Arial" w:hAnsi="Arial" w:cs="Arial"/>
          <w:bCs/>
          <w:smallCaps/>
        </w:rPr>
      </w:pPr>
    </w:p>
    <w:p w14:paraId="5F32BDF0" w14:textId="7509F034" w:rsidR="00AC6856" w:rsidRDefault="00AC6856" w:rsidP="00CE71BF">
      <w:pPr>
        <w:spacing w:after="0" w:line="276" w:lineRule="auto"/>
        <w:contextualSpacing/>
        <w:jc w:val="both"/>
        <w:rPr>
          <w:rFonts w:ascii="Arial" w:hAnsi="Arial" w:cs="Arial"/>
          <w:bCs/>
        </w:rPr>
      </w:pPr>
      <w:r w:rsidRPr="00A610E9">
        <w:rPr>
          <w:rFonts w:ascii="Arial" w:hAnsi="Arial" w:cs="Arial"/>
          <w:bCs/>
        </w:rPr>
        <w:t xml:space="preserve">De mi consideración: </w:t>
      </w:r>
    </w:p>
    <w:p w14:paraId="1950E4B1" w14:textId="77777777" w:rsidR="00D5261D" w:rsidRPr="00A610E9" w:rsidRDefault="00D5261D" w:rsidP="00CE71BF">
      <w:pPr>
        <w:spacing w:after="0" w:line="276" w:lineRule="auto"/>
        <w:contextualSpacing/>
        <w:jc w:val="both"/>
        <w:rPr>
          <w:rFonts w:ascii="Arial" w:hAnsi="Arial" w:cs="Arial"/>
          <w:bCs/>
        </w:rPr>
      </w:pPr>
    </w:p>
    <w:p w14:paraId="75B8A779" w14:textId="0BF41D0A" w:rsidR="00AC6856" w:rsidRDefault="00AC6856" w:rsidP="00CE71BF">
      <w:pPr>
        <w:spacing w:after="0" w:line="276" w:lineRule="auto"/>
        <w:ind w:firstLine="1985"/>
        <w:contextualSpacing/>
        <w:jc w:val="both"/>
        <w:rPr>
          <w:rFonts w:ascii="Arial" w:hAnsi="Arial" w:cs="Arial"/>
          <w:bCs/>
        </w:rPr>
      </w:pPr>
      <w:r w:rsidRPr="00A610E9">
        <w:rPr>
          <w:rFonts w:ascii="Arial" w:hAnsi="Arial" w:cs="Arial"/>
          <w:bCs/>
        </w:rPr>
        <w:t xml:space="preserve">Me dirijo a </w:t>
      </w:r>
      <w:r w:rsidR="0017330E" w:rsidRPr="00A610E9">
        <w:rPr>
          <w:rFonts w:ascii="Arial" w:hAnsi="Arial" w:cs="Arial"/>
          <w:bCs/>
        </w:rPr>
        <w:t>la Comisión Nacional de Valores (“</w:t>
      </w:r>
      <w:r w:rsidR="0017330E" w:rsidRPr="0049224D">
        <w:rPr>
          <w:rFonts w:ascii="Arial" w:hAnsi="Arial" w:cs="Arial"/>
          <w:bCs/>
          <w:u w:val="single"/>
        </w:rPr>
        <w:t>CNV</w:t>
      </w:r>
      <w:r w:rsidR="0017330E" w:rsidRPr="00A610E9">
        <w:rPr>
          <w:rFonts w:ascii="Arial" w:hAnsi="Arial" w:cs="Arial"/>
          <w:bCs/>
        </w:rPr>
        <w:t>”)</w:t>
      </w:r>
      <w:r w:rsidR="00A610E9">
        <w:rPr>
          <w:rFonts w:ascii="Arial" w:hAnsi="Arial" w:cs="Arial"/>
          <w:bCs/>
        </w:rPr>
        <w:t xml:space="preserve"> y a </w:t>
      </w:r>
      <w:r w:rsidR="00A610E9" w:rsidRPr="00A610E9">
        <w:rPr>
          <w:rFonts w:ascii="Arial" w:hAnsi="Arial" w:cs="Arial"/>
          <w:bCs/>
        </w:rPr>
        <w:t>Bolsas y Mercados Argentinos (“</w:t>
      </w:r>
      <w:proofErr w:type="spellStart"/>
      <w:r w:rsidR="00A610E9" w:rsidRPr="0049224D">
        <w:rPr>
          <w:rFonts w:ascii="Arial" w:hAnsi="Arial" w:cs="Arial"/>
          <w:bCs/>
          <w:u w:val="single"/>
        </w:rPr>
        <w:t>ByMA</w:t>
      </w:r>
      <w:proofErr w:type="spellEnd"/>
      <w:r w:rsidR="00A610E9" w:rsidRPr="00A610E9">
        <w:rPr>
          <w:rFonts w:ascii="Arial" w:hAnsi="Arial" w:cs="Arial"/>
          <w:bCs/>
        </w:rPr>
        <w:t>”)</w:t>
      </w:r>
      <w:r w:rsidR="0017330E" w:rsidRPr="00A610E9">
        <w:rPr>
          <w:rFonts w:ascii="Arial" w:hAnsi="Arial" w:cs="Arial"/>
          <w:bCs/>
        </w:rPr>
        <w:t xml:space="preserve">, en mi carácter de </w:t>
      </w:r>
      <w:proofErr w:type="gramStart"/>
      <w:r w:rsidR="0017330E" w:rsidRPr="00A610E9">
        <w:rPr>
          <w:rFonts w:ascii="Arial" w:hAnsi="Arial" w:cs="Arial"/>
          <w:bCs/>
        </w:rPr>
        <w:t>Responsable</w:t>
      </w:r>
      <w:proofErr w:type="gramEnd"/>
      <w:r w:rsidR="0017330E" w:rsidRPr="00A610E9">
        <w:rPr>
          <w:rFonts w:ascii="Arial" w:hAnsi="Arial" w:cs="Arial"/>
          <w:bCs/>
        </w:rPr>
        <w:t xml:space="preserve"> de Relaciones con el Mercado de </w:t>
      </w:r>
      <w:r w:rsidR="0017330E" w:rsidRPr="00A610E9">
        <w:rPr>
          <w:rFonts w:ascii="Arial" w:hAnsi="Arial" w:cs="Arial"/>
          <w:b/>
        </w:rPr>
        <w:t>TGLT S.A</w:t>
      </w:r>
      <w:r w:rsidR="0017330E" w:rsidRPr="00A610E9">
        <w:rPr>
          <w:rFonts w:ascii="Arial" w:hAnsi="Arial" w:cs="Arial"/>
          <w:bCs/>
        </w:rPr>
        <w:t>. (en adelante, la “</w:t>
      </w:r>
      <w:r w:rsidR="0017330E" w:rsidRPr="0049224D">
        <w:rPr>
          <w:rFonts w:ascii="Arial" w:hAnsi="Arial" w:cs="Arial"/>
          <w:bCs/>
          <w:u w:val="single"/>
        </w:rPr>
        <w:t>Sociedad</w:t>
      </w:r>
      <w:r w:rsidR="0017330E" w:rsidRPr="00A610E9">
        <w:rPr>
          <w:rFonts w:ascii="Arial" w:hAnsi="Arial" w:cs="Arial"/>
          <w:bCs/>
        </w:rPr>
        <w:t>”)</w:t>
      </w:r>
      <w:r w:rsidR="00FA34D2" w:rsidRPr="00A610E9">
        <w:rPr>
          <w:rFonts w:ascii="Arial" w:hAnsi="Arial" w:cs="Arial"/>
          <w:bCs/>
        </w:rPr>
        <w:t xml:space="preserve">, en cumplimiento de lo dispuesto por el artículo 4°, Capitulo II, Titulo II de las Normas de la CNV y el artículo 79 del Reglamento de Listado de </w:t>
      </w:r>
      <w:proofErr w:type="spellStart"/>
      <w:r w:rsidR="00FA34D2" w:rsidRPr="00A610E9">
        <w:rPr>
          <w:rFonts w:ascii="Arial" w:hAnsi="Arial" w:cs="Arial"/>
          <w:bCs/>
        </w:rPr>
        <w:t>ByMA</w:t>
      </w:r>
      <w:proofErr w:type="spellEnd"/>
      <w:r w:rsidR="00FA34D2" w:rsidRPr="00A610E9">
        <w:rPr>
          <w:rFonts w:ascii="Arial" w:hAnsi="Arial" w:cs="Arial"/>
          <w:bCs/>
        </w:rPr>
        <w:t>.</w:t>
      </w:r>
    </w:p>
    <w:p w14:paraId="2502BC99" w14:textId="77777777" w:rsidR="00D5261D" w:rsidRPr="00A610E9" w:rsidRDefault="00D5261D" w:rsidP="00CE71BF">
      <w:pPr>
        <w:spacing w:after="0" w:line="276" w:lineRule="auto"/>
        <w:contextualSpacing/>
        <w:jc w:val="both"/>
        <w:rPr>
          <w:rFonts w:ascii="Arial" w:hAnsi="Arial" w:cs="Arial"/>
          <w:bCs/>
        </w:rPr>
      </w:pPr>
    </w:p>
    <w:p w14:paraId="0974D330" w14:textId="1D2CE865" w:rsidR="00FA34D2" w:rsidRPr="00A610E9" w:rsidRDefault="00FA34D2" w:rsidP="00CE71BF">
      <w:pPr>
        <w:spacing w:after="0" w:line="276" w:lineRule="auto"/>
        <w:ind w:firstLine="2127"/>
        <w:contextualSpacing/>
        <w:jc w:val="both"/>
        <w:rPr>
          <w:rFonts w:ascii="Arial" w:hAnsi="Arial" w:cs="Arial"/>
          <w:bCs/>
        </w:rPr>
      </w:pPr>
      <w:r w:rsidRPr="00A610E9">
        <w:rPr>
          <w:rFonts w:ascii="Arial" w:hAnsi="Arial" w:cs="Arial"/>
          <w:bCs/>
        </w:rPr>
        <w:t xml:space="preserve">Al respecto, se transcribe a continuación una síntesis de lo resuelto por la Asamblea General Ordinaria de Accionistas de la Sociedad celebrada el día </w:t>
      </w:r>
      <w:r w:rsidR="00B1244C" w:rsidRPr="00A610E9">
        <w:rPr>
          <w:rFonts w:ascii="Arial" w:hAnsi="Arial" w:cs="Arial"/>
          <w:bCs/>
        </w:rPr>
        <w:t>26 de abril de 2022 (en adelante, la “</w:t>
      </w:r>
      <w:r w:rsidR="00B1244C" w:rsidRPr="00A610E9">
        <w:rPr>
          <w:rFonts w:ascii="Arial" w:hAnsi="Arial" w:cs="Arial"/>
          <w:bCs/>
          <w:u w:val="single"/>
        </w:rPr>
        <w:t>Asamblea</w:t>
      </w:r>
      <w:r w:rsidR="00B1244C" w:rsidRPr="00A610E9">
        <w:rPr>
          <w:rFonts w:ascii="Arial" w:hAnsi="Arial" w:cs="Arial"/>
          <w:bCs/>
        </w:rPr>
        <w:t>”)</w:t>
      </w:r>
      <w:r w:rsidR="003F2560" w:rsidRPr="00A610E9">
        <w:rPr>
          <w:rFonts w:ascii="Arial" w:hAnsi="Arial" w:cs="Arial"/>
          <w:bCs/>
        </w:rPr>
        <w:t>:</w:t>
      </w:r>
    </w:p>
    <w:p w14:paraId="5EDC268F" w14:textId="3EC01ACF" w:rsidR="003F2560" w:rsidRPr="00A610E9" w:rsidRDefault="003F2560" w:rsidP="00CE71BF">
      <w:pPr>
        <w:spacing w:after="0" w:line="276" w:lineRule="auto"/>
        <w:contextualSpacing/>
        <w:jc w:val="both"/>
        <w:rPr>
          <w:rFonts w:ascii="Arial" w:hAnsi="Arial" w:cs="Arial"/>
          <w:bCs/>
        </w:rPr>
      </w:pPr>
    </w:p>
    <w:p w14:paraId="62FA106E" w14:textId="434803DE" w:rsidR="00D410AA" w:rsidRPr="0049224D" w:rsidRDefault="003F2560" w:rsidP="00CE71BF">
      <w:pPr>
        <w:numPr>
          <w:ilvl w:val="0"/>
          <w:numId w:val="1"/>
        </w:numPr>
        <w:spacing w:after="0" w:line="276" w:lineRule="auto"/>
        <w:contextualSpacing/>
        <w:jc w:val="both"/>
        <w:rPr>
          <w:rFonts w:ascii="Arial" w:hAnsi="Arial" w:cs="Arial"/>
          <w:b/>
          <w:bCs/>
        </w:rPr>
      </w:pPr>
      <w:r w:rsidRPr="00A610E9">
        <w:rPr>
          <w:rFonts w:ascii="Arial" w:hAnsi="Arial" w:cs="Arial"/>
          <w:bCs/>
        </w:rPr>
        <w:t xml:space="preserve"> </w:t>
      </w:r>
      <w:r w:rsidR="00D410AA" w:rsidRPr="00A610E9">
        <w:rPr>
          <w:rFonts w:ascii="Arial" w:hAnsi="Arial" w:cs="Arial"/>
          <w:b/>
          <w:bCs/>
          <w:u w:val="single"/>
        </w:rPr>
        <w:t>Designación de accionistas para aprobar y firmar el acta de Asamblea</w:t>
      </w:r>
      <w:r w:rsidR="00D410AA" w:rsidRPr="00A610E9">
        <w:rPr>
          <w:rFonts w:ascii="Arial" w:hAnsi="Arial" w:cs="Arial"/>
          <w:bCs/>
        </w:rPr>
        <w:t>.</w:t>
      </w:r>
    </w:p>
    <w:p w14:paraId="3CC93B1C" w14:textId="77777777" w:rsidR="0049224D" w:rsidRPr="00A610E9" w:rsidRDefault="0049224D" w:rsidP="00CE71BF">
      <w:pPr>
        <w:spacing w:after="0" w:line="276" w:lineRule="auto"/>
        <w:ind w:left="720"/>
        <w:contextualSpacing/>
        <w:jc w:val="both"/>
        <w:rPr>
          <w:rFonts w:ascii="Arial" w:hAnsi="Arial" w:cs="Arial"/>
          <w:b/>
          <w:bCs/>
        </w:rPr>
      </w:pPr>
    </w:p>
    <w:p w14:paraId="64B35A90" w14:textId="4EC457A8" w:rsidR="005C572E" w:rsidRPr="00A610E9" w:rsidRDefault="00B20436" w:rsidP="00CE71BF">
      <w:pPr>
        <w:spacing w:after="0" w:line="276" w:lineRule="auto"/>
        <w:contextualSpacing/>
        <w:jc w:val="both"/>
        <w:rPr>
          <w:rFonts w:ascii="Arial" w:hAnsi="Arial" w:cs="Arial"/>
        </w:rPr>
      </w:pPr>
      <w:r w:rsidRPr="00A610E9">
        <w:rPr>
          <w:rFonts w:ascii="Arial" w:hAnsi="Arial" w:cs="Arial"/>
        </w:rPr>
        <w:t xml:space="preserve">La Asamblea por mayoría </w:t>
      </w:r>
      <w:r w:rsidR="00DD614A" w:rsidRPr="00A610E9">
        <w:rPr>
          <w:rFonts w:ascii="Arial" w:hAnsi="Arial" w:cs="Arial"/>
        </w:rPr>
        <w:t xml:space="preserve">absoluta </w:t>
      </w:r>
      <w:r w:rsidR="006F5EA7" w:rsidRPr="00A610E9">
        <w:rPr>
          <w:rFonts w:ascii="Arial" w:hAnsi="Arial" w:cs="Arial"/>
        </w:rPr>
        <w:t>de votos computables resolvió</w:t>
      </w:r>
      <w:r w:rsidR="0049224D">
        <w:rPr>
          <w:rFonts w:ascii="Arial" w:hAnsi="Arial" w:cs="Arial"/>
        </w:rPr>
        <w:t xml:space="preserve"> </w:t>
      </w:r>
      <w:r w:rsidR="00B61F9D">
        <w:rPr>
          <w:rFonts w:ascii="Arial" w:hAnsi="Arial" w:cs="Arial"/>
        </w:rPr>
        <w:t xml:space="preserve">designar </w:t>
      </w:r>
      <w:r w:rsidR="009E7E3B">
        <w:rPr>
          <w:rFonts w:ascii="Arial" w:hAnsi="Arial" w:cs="Arial"/>
        </w:rPr>
        <w:t xml:space="preserve">al </w:t>
      </w:r>
      <w:r w:rsidR="009E7E3B">
        <w:rPr>
          <w:rFonts w:ascii="Arial" w:hAnsi="Arial" w:cs="Arial"/>
          <w:color w:val="000000"/>
          <w:szCs w:val="24"/>
        </w:rPr>
        <w:t>apoderado del Banco Santander Río S.A. en su carácter de representante del accionista</w:t>
      </w:r>
      <w:r w:rsidR="009E7E3B" w:rsidRPr="005D3179">
        <w:rPr>
          <w:rFonts w:ascii="Arial" w:hAnsi="Arial" w:cs="Arial"/>
          <w:color w:val="000000"/>
          <w:szCs w:val="24"/>
        </w:rPr>
        <w:t xml:space="preserve"> Bank </w:t>
      </w:r>
      <w:proofErr w:type="spellStart"/>
      <w:r w:rsidR="009E7E3B" w:rsidRPr="005D3179">
        <w:rPr>
          <w:rFonts w:ascii="Arial" w:hAnsi="Arial" w:cs="Arial"/>
          <w:color w:val="000000"/>
          <w:szCs w:val="24"/>
        </w:rPr>
        <w:t>of</w:t>
      </w:r>
      <w:proofErr w:type="spellEnd"/>
      <w:r w:rsidR="009E7E3B" w:rsidRPr="005D3179">
        <w:rPr>
          <w:rFonts w:ascii="Arial" w:hAnsi="Arial" w:cs="Arial"/>
          <w:color w:val="000000"/>
          <w:szCs w:val="24"/>
        </w:rPr>
        <w:t xml:space="preserve"> New York Mellon</w:t>
      </w:r>
      <w:r w:rsidR="009E7E3B">
        <w:rPr>
          <w:rFonts w:ascii="Arial" w:hAnsi="Arial" w:cs="Arial"/>
          <w:color w:val="000000"/>
          <w:szCs w:val="24"/>
        </w:rPr>
        <w:t>,</w:t>
      </w:r>
      <w:r w:rsidR="009E7E3B" w:rsidRPr="005D3179">
        <w:rPr>
          <w:rFonts w:ascii="Arial" w:hAnsi="Arial" w:cs="Arial"/>
          <w:color w:val="000000"/>
          <w:szCs w:val="24"/>
        </w:rPr>
        <w:t xml:space="preserve"> </w:t>
      </w:r>
      <w:r w:rsidR="009E7E3B">
        <w:rPr>
          <w:rFonts w:ascii="Arial" w:hAnsi="Arial" w:cs="Arial"/>
          <w:color w:val="000000"/>
          <w:szCs w:val="24"/>
        </w:rPr>
        <w:t>y la representante del accionista</w:t>
      </w:r>
      <w:r w:rsidR="009E7E3B" w:rsidRPr="005D3179">
        <w:rPr>
          <w:rFonts w:ascii="Arial" w:hAnsi="Arial" w:cs="Arial"/>
          <w:color w:val="000000"/>
          <w:szCs w:val="24"/>
        </w:rPr>
        <w:t xml:space="preserve"> IRSA Propiedades Comerciales S.A.</w:t>
      </w:r>
      <w:r w:rsidR="00332D02">
        <w:rPr>
          <w:rFonts w:ascii="Arial" w:hAnsi="Arial" w:cs="Arial"/>
          <w:color w:val="000000"/>
          <w:szCs w:val="24"/>
        </w:rPr>
        <w:t>,</w:t>
      </w:r>
      <w:r w:rsidR="009E7E3B" w:rsidRPr="005D3179">
        <w:rPr>
          <w:rFonts w:ascii="Arial" w:hAnsi="Arial" w:cs="Arial"/>
          <w:color w:val="000000"/>
          <w:szCs w:val="24"/>
        </w:rPr>
        <w:t xml:space="preserve"> para que suscriban el acta correspondiente a la presente Asamblea</w:t>
      </w:r>
      <w:r w:rsidR="0064508C" w:rsidRPr="00A610E9">
        <w:rPr>
          <w:rFonts w:ascii="Arial" w:hAnsi="Arial" w:cs="Arial"/>
        </w:rPr>
        <w:t>.</w:t>
      </w:r>
    </w:p>
    <w:p w14:paraId="3A4B0891" w14:textId="6B946C41" w:rsidR="0064508C" w:rsidRPr="00A610E9" w:rsidRDefault="0064508C" w:rsidP="00CE71BF">
      <w:pPr>
        <w:spacing w:after="0" w:line="276" w:lineRule="auto"/>
        <w:ind w:left="708"/>
        <w:contextualSpacing/>
        <w:jc w:val="both"/>
        <w:rPr>
          <w:rFonts w:ascii="Arial" w:hAnsi="Arial" w:cs="Arial"/>
        </w:rPr>
      </w:pPr>
    </w:p>
    <w:p w14:paraId="3BDFB873" w14:textId="3D958E7A" w:rsidR="000858E7" w:rsidRDefault="000858E7" w:rsidP="00CE71BF">
      <w:pPr>
        <w:pStyle w:val="Prrafodelista"/>
        <w:numPr>
          <w:ilvl w:val="0"/>
          <w:numId w:val="1"/>
        </w:numPr>
        <w:spacing w:after="0" w:line="276" w:lineRule="auto"/>
        <w:jc w:val="both"/>
        <w:rPr>
          <w:rFonts w:ascii="Arial" w:hAnsi="Arial" w:cs="Arial"/>
          <w:bCs/>
        </w:rPr>
      </w:pPr>
      <w:r w:rsidRPr="00A610E9">
        <w:rPr>
          <w:rFonts w:ascii="Arial" w:hAnsi="Arial" w:cs="Arial"/>
          <w:b/>
          <w:u w:val="single"/>
        </w:rPr>
        <w:t xml:space="preserve">Consideración de la Memoria y Reseña Informativa, Inventario, los Estados de Situación Financiera Individuales, los Estados de Resultado y Otro Resultado Integral Individuales, el Estado de Cambios en el Patrimonio Neto Individual, los Estados de Flujos de Efectivo Individuales, las Notas a los Estados Financieros Individuales, los Estados de Situación Financiera Consolidados, el Estado de Cambios en el Patrimonio Neto Consolidado, el Dictamen del Auditor, el Informe de la Comisión Fiscalizadora, e Información Adicional requerida por el Art. </w:t>
      </w:r>
      <w:proofErr w:type="spellStart"/>
      <w:r w:rsidRPr="00A610E9">
        <w:rPr>
          <w:rFonts w:ascii="Arial" w:hAnsi="Arial" w:cs="Arial"/>
          <w:b/>
          <w:u w:val="single"/>
        </w:rPr>
        <w:t>N°</w:t>
      </w:r>
      <w:proofErr w:type="spellEnd"/>
      <w:r w:rsidRPr="00A610E9">
        <w:rPr>
          <w:rFonts w:ascii="Arial" w:hAnsi="Arial" w:cs="Arial"/>
          <w:b/>
          <w:u w:val="single"/>
        </w:rPr>
        <w:t xml:space="preserve"> 68 del Reglamento de la </w:t>
      </w:r>
      <w:r w:rsidRPr="00A610E9">
        <w:rPr>
          <w:rFonts w:ascii="Arial" w:hAnsi="Arial" w:cs="Arial"/>
          <w:b/>
          <w:u w:val="single"/>
        </w:rPr>
        <w:lastRenderedPageBreak/>
        <w:t>Bolsa de Comercio de Buenos Aires, correspondientes al ejercicio económico concluido el 31 de diciembre de 2021</w:t>
      </w:r>
      <w:r w:rsidRPr="00A610E9">
        <w:rPr>
          <w:rFonts w:ascii="Arial" w:hAnsi="Arial" w:cs="Arial"/>
          <w:bCs/>
        </w:rPr>
        <w:t>.</w:t>
      </w:r>
    </w:p>
    <w:p w14:paraId="2D87C4C0" w14:textId="77777777" w:rsidR="0049224D" w:rsidRPr="00A610E9" w:rsidRDefault="0049224D" w:rsidP="00CE71BF">
      <w:pPr>
        <w:pStyle w:val="Prrafodelista"/>
        <w:spacing w:after="0" w:line="276" w:lineRule="auto"/>
        <w:jc w:val="both"/>
        <w:rPr>
          <w:rFonts w:ascii="Arial" w:hAnsi="Arial" w:cs="Arial"/>
          <w:bCs/>
        </w:rPr>
      </w:pPr>
    </w:p>
    <w:p w14:paraId="6F49050C" w14:textId="60CEE5CE" w:rsidR="00C90193" w:rsidRPr="00A610E9" w:rsidRDefault="00061242" w:rsidP="00CE71BF">
      <w:pPr>
        <w:spacing w:after="0" w:line="276" w:lineRule="auto"/>
        <w:contextualSpacing/>
        <w:jc w:val="both"/>
        <w:rPr>
          <w:rFonts w:ascii="Arial" w:hAnsi="Arial" w:cs="Arial"/>
        </w:rPr>
      </w:pPr>
      <w:r w:rsidRPr="00A610E9">
        <w:rPr>
          <w:rFonts w:ascii="Arial" w:hAnsi="Arial" w:cs="Arial"/>
        </w:rPr>
        <w:t xml:space="preserve">La Asamblea por mayoría </w:t>
      </w:r>
      <w:r w:rsidR="00317061" w:rsidRPr="00A610E9">
        <w:rPr>
          <w:rFonts w:ascii="Arial" w:hAnsi="Arial" w:cs="Arial"/>
        </w:rPr>
        <w:t>absoluta</w:t>
      </w:r>
      <w:r w:rsidRPr="00A610E9">
        <w:rPr>
          <w:rFonts w:ascii="Arial" w:hAnsi="Arial" w:cs="Arial"/>
        </w:rPr>
        <w:t xml:space="preserve"> de votos computables resolvió</w:t>
      </w:r>
      <w:r w:rsidR="006768FC">
        <w:rPr>
          <w:rFonts w:ascii="Arial" w:hAnsi="Arial" w:cs="Arial"/>
        </w:rPr>
        <w:t xml:space="preserve"> la</w:t>
      </w:r>
      <w:r w:rsidRPr="00A610E9">
        <w:rPr>
          <w:rFonts w:ascii="Arial" w:hAnsi="Arial" w:cs="Arial"/>
        </w:rPr>
        <w:t xml:space="preserve"> </w:t>
      </w:r>
      <w:r w:rsidR="000769C6" w:rsidRPr="00A610E9">
        <w:rPr>
          <w:rFonts w:ascii="Arial" w:hAnsi="Arial" w:cs="Arial"/>
        </w:rPr>
        <w:t xml:space="preserve">aprobación de la Memoria y Reseña Informativa, Inventario, los Estados de Situación Financiera Individuales, los Estados de Resultado y Otro Resultado Integral Individuales, el Estado de Cambios en el Patrimonio Neto Individual, los Estados de Flujos de Efectivo Individuales, las Notas a los Estados Financieros Individuales, los Estados de Situación Financiera Consolidados, el Estado de Cambios en el Patrimonio Neto Consolidado, el Dictamen del Auditor, el Informe de la Comisión Fiscalizadora, e Información Adicional requerida por el Art. </w:t>
      </w:r>
      <w:proofErr w:type="spellStart"/>
      <w:r w:rsidR="000769C6" w:rsidRPr="00A610E9">
        <w:rPr>
          <w:rFonts w:ascii="Arial" w:hAnsi="Arial" w:cs="Arial"/>
        </w:rPr>
        <w:t>N°</w:t>
      </w:r>
      <w:proofErr w:type="spellEnd"/>
      <w:r w:rsidR="000769C6" w:rsidRPr="00A610E9">
        <w:rPr>
          <w:rFonts w:ascii="Arial" w:hAnsi="Arial" w:cs="Arial"/>
        </w:rPr>
        <w:t xml:space="preserve"> 68 del Reglamento de la Bolsa de Comercio de Buenos Aires, correspondientes al ejercicio económico concluido el 31 de diciembre de 2021</w:t>
      </w:r>
      <w:r w:rsidR="00206710" w:rsidRPr="00A610E9">
        <w:rPr>
          <w:rFonts w:ascii="Arial" w:hAnsi="Arial" w:cs="Arial"/>
        </w:rPr>
        <w:t>.</w:t>
      </w:r>
    </w:p>
    <w:p w14:paraId="0C0EE822" w14:textId="77777777" w:rsidR="007320AE" w:rsidRPr="00A610E9" w:rsidRDefault="007320AE" w:rsidP="00CE71BF">
      <w:pPr>
        <w:spacing w:after="0" w:line="276" w:lineRule="auto"/>
        <w:ind w:left="360"/>
        <w:contextualSpacing/>
        <w:jc w:val="both"/>
        <w:rPr>
          <w:rFonts w:ascii="Arial" w:hAnsi="Arial" w:cs="Arial"/>
        </w:rPr>
      </w:pPr>
    </w:p>
    <w:p w14:paraId="32EC1015" w14:textId="7C52EA7F" w:rsidR="007320AE" w:rsidRDefault="007320AE" w:rsidP="00CE71BF">
      <w:pPr>
        <w:numPr>
          <w:ilvl w:val="0"/>
          <w:numId w:val="1"/>
        </w:numPr>
        <w:spacing w:after="0" w:line="276" w:lineRule="auto"/>
        <w:contextualSpacing/>
        <w:jc w:val="both"/>
        <w:rPr>
          <w:rFonts w:ascii="Arial" w:hAnsi="Arial" w:cs="Arial"/>
        </w:rPr>
      </w:pPr>
      <w:r w:rsidRPr="00A610E9">
        <w:rPr>
          <w:rFonts w:ascii="Arial" w:hAnsi="Arial" w:cs="Arial"/>
          <w:b/>
          <w:bCs/>
          <w:u w:val="single"/>
        </w:rPr>
        <w:t>Consideración del resultado del ejercicio (pérdida) correspondientes al ejercicio finalizado el 31 de diciembre de 2021 y su destino. Desafectación parcial de la cuenta prima de emisión para la absorción de las pérdidas</w:t>
      </w:r>
      <w:r w:rsidRPr="00A610E9">
        <w:rPr>
          <w:rFonts w:ascii="Arial" w:hAnsi="Arial" w:cs="Arial"/>
        </w:rPr>
        <w:t>.</w:t>
      </w:r>
    </w:p>
    <w:p w14:paraId="13FB021A" w14:textId="77777777" w:rsidR="006768FC" w:rsidRPr="00A610E9" w:rsidRDefault="006768FC" w:rsidP="00CE71BF">
      <w:pPr>
        <w:spacing w:after="0" w:line="276" w:lineRule="auto"/>
        <w:ind w:left="720"/>
        <w:contextualSpacing/>
        <w:jc w:val="both"/>
        <w:rPr>
          <w:rFonts w:ascii="Arial" w:hAnsi="Arial" w:cs="Arial"/>
        </w:rPr>
      </w:pPr>
    </w:p>
    <w:p w14:paraId="60069A5A" w14:textId="31E88603" w:rsidR="00260DA3" w:rsidRPr="00A610E9" w:rsidRDefault="00127A09" w:rsidP="00CE71BF">
      <w:pPr>
        <w:spacing w:after="0" w:line="276" w:lineRule="auto"/>
        <w:contextualSpacing/>
        <w:jc w:val="both"/>
        <w:rPr>
          <w:rFonts w:ascii="Arial" w:hAnsi="Arial" w:cs="Arial"/>
        </w:rPr>
      </w:pPr>
      <w:r>
        <w:rPr>
          <w:rFonts w:ascii="Arial" w:hAnsi="Arial" w:cs="Arial"/>
        </w:rPr>
        <w:t>La</w:t>
      </w:r>
      <w:r w:rsidR="00191D57" w:rsidRPr="00A610E9">
        <w:rPr>
          <w:rFonts w:ascii="Arial" w:hAnsi="Arial" w:cs="Arial"/>
        </w:rPr>
        <w:t xml:space="preserve"> Asamblea por mayoría </w:t>
      </w:r>
      <w:r w:rsidR="00E16F52" w:rsidRPr="00A610E9">
        <w:rPr>
          <w:rFonts w:ascii="Arial" w:hAnsi="Arial" w:cs="Arial"/>
        </w:rPr>
        <w:t>absoluta</w:t>
      </w:r>
      <w:r w:rsidR="00D12175" w:rsidRPr="00A610E9">
        <w:rPr>
          <w:rFonts w:ascii="Arial" w:hAnsi="Arial" w:cs="Arial"/>
        </w:rPr>
        <w:t xml:space="preserve"> de votos computables resolvió</w:t>
      </w:r>
      <w:r w:rsidR="00FC5355" w:rsidRPr="00A610E9">
        <w:rPr>
          <w:rFonts w:ascii="Arial" w:hAnsi="Arial" w:cs="Arial"/>
        </w:rPr>
        <w:t xml:space="preserve">: </w:t>
      </w:r>
      <w:r w:rsidRPr="00D64957">
        <w:rPr>
          <w:rFonts w:ascii="Arial" w:hAnsi="Arial" w:cs="Arial"/>
        </w:rPr>
        <w:t>(i)</w:t>
      </w:r>
      <w:r>
        <w:rPr>
          <w:rFonts w:ascii="Arial" w:hAnsi="Arial" w:cs="Arial"/>
        </w:rPr>
        <w:t xml:space="preserve"> desafectar</w:t>
      </w:r>
      <w:r w:rsidR="00260DA3" w:rsidRPr="00A610E9">
        <w:rPr>
          <w:rFonts w:ascii="Arial" w:hAnsi="Arial" w:cs="Arial"/>
        </w:rPr>
        <w:t xml:space="preserve"> parcialmente la cuenta </w:t>
      </w:r>
      <w:r w:rsidR="00260DA3" w:rsidRPr="00A610E9">
        <w:rPr>
          <w:rFonts w:ascii="Arial" w:hAnsi="Arial" w:cs="Arial"/>
          <w:i/>
          <w:iCs/>
        </w:rPr>
        <w:t>Prima de Emisión</w:t>
      </w:r>
      <w:r w:rsidR="00260DA3" w:rsidRPr="00A610E9">
        <w:rPr>
          <w:rFonts w:ascii="Arial" w:hAnsi="Arial" w:cs="Arial"/>
        </w:rPr>
        <w:t xml:space="preserve"> por la suma de AR$2.998.510.000; </w:t>
      </w:r>
      <w:r w:rsidR="00260DA3" w:rsidRPr="00D64957">
        <w:rPr>
          <w:rFonts w:ascii="Arial" w:hAnsi="Arial" w:cs="Arial"/>
        </w:rPr>
        <w:t>(</w:t>
      </w:r>
      <w:proofErr w:type="spellStart"/>
      <w:r w:rsidR="00260DA3" w:rsidRPr="00D64957">
        <w:rPr>
          <w:rFonts w:ascii="Arial" w:hAnsi="Arial" w:cs="Arial"/>
        </w:rPr>
        <w:t>ii</w:t>
      </w:r>
      <w:proofErr w:type="spellEnd"/>
      <w:r w:rsidR="00260DA3" w:rsidRPr="00D64957">
        <w:rPr>
          <w:rFonts w:ascii="Arial" w:hAnsi="Arial" w:cs="Arial"/>
        </w:rPr>
        <w:t>)</w:t>
      </w:r>
      <w:r w:rsidR="00260DA3" w:rsidRPr="00A610E9">
        <w:rPr>
          <w:rFonts w:ascii="Arial" w:hAnsi="Arial" w:cs="Arial"/>
        </w:rPr>
        <w:t xml:space="preserve"> </w:t>
      </w:r>
      <w:r>
        <w:rPr>
          <w:rFonts w:ascii="Arial" w:hAnsi="Arial" w:cs="Arial"/>
        </w:rPr>
        <w:t>destinar</w:t>
      </w:r>
      <w:r w:rsidR="00260DA3" w:rsidRPr="00A610E9">
        <w:rPr>
          <w:rFonts w:ascii="Arial" w:hAnsi="Arial" w:cs="Arial"/>
        </w:rPr>
        <w:t xml:space="preserve"> el saldo que fue desafectado a la absorción de la totalidad de las pérdidas; y </w:t>
      </w:r>
      <w:r w:rsidR="00260DA3" w:rsidRPr="00D64957">
        <w:rPr>
          <w:rFonts w:ascii="Arial" w:hAnsi="Arial" w:cs="Arial"/>
        </w:rPr>
        <w:t>(</w:t>
      </w:r>
      <w:proofErr w:type="spellStart"/>
      <w:r w:rsidR="00260DA3" w:rsidRPr="00D64957">
        <w:rPr>
          <w:rFonts w:ascii="Arial" w:hAnsi="Arial" w:cs="Arial"/>
        </w:rPr>
        <w:t>iii</w:t>
      </w:r>
      <w:proofErr w:type="spellEnd"/>
      <w:r w:rsidR="00260DA3" w:rsidRPr="00D64957">
        <w:rPr>
          <w:rFonts w:ascii="Arial" w:hAnsi="Arial" w:cs="Arial"/>
        </w:rPr>
        <w:t>)</w:t>
      </w:r>
      <w:r w:rsidR="00260DA3" w:rsidRPr="00A610E9">
        <w:rPr>
          <w:rFonts w:ascii="Arial" w:hAnsi="Arial" w:cs="Arial"/>
          <w:i/>
          <w:iCs/>
        </w:rPr>
        <w:t xml:space="preserve"> </w:t>
      </w:r>
      <w:r>
        <w:rPr>
          <w:rFonts w:ascii="Arial" w:hAnsi="Arial" w:cs="Arial"/>
        </w:rPr>
        <w:t>dejar</w:t>
      </w:r>
      <w:r w:rsidR="00260DA3" w:rsidRPr="00A610E9">
        <w:rPr>
          <w:rFonts w:ascii="Arial" w:hAnsi="Arial" w:cs="Arial"/>
        </w:rPr>
        <w:t xml:space="preserve"> constancia que, luego de la absorción de las pérdidas según lo propuesto en </w:t>
      </w:r>
      <w:r w:rsidR="00260DA3" w:rsidRPr="00A610E9">
        <w:rPr>
          <w:rFonts w:ascii="Arial" w:hAnsi="Arial" w:cs="Arial"/>
          <w:i/>
          <w:iCs/>
        </w:rPr>
        <w:t>(</w:t>
      </w:r>
      <w:proofErr w:type="spellStart"/>
      <w:r w:rsidR="00260DA3" w:rsidRPr="00A610E9">
        <w:rPr>
          <w:rFonts w:ascii="Arial" w:hAnsi="Arial" w:cs="Arial"/>
          <w:i/>
          <w:iCs/>
        </w:rPr>
        <w:t>ii</w:t>
      </w:r>
      <w:proofErr w:type="spellEnd"/>
      <w:r w:rsidR="00260DA3" w:rsidRPr="00A610E9">
        <w:rPr>
          <w:rFonts w:ascii="Arial" w:hAnsi="Arial" w:cs="Arial"/>
          <w:i/>
          <w:iCs/>
        </w:rPr>
        <w:t>)</w:t>
      </w:r>
      <w:r w:rsidR="00260DA3" w:rsidRPr="00A610E9">
        <w:rPr>
          <w:rFonts w:ascii="Arial" w:hAnsi="Arial" w:cs="Arial"/>
        </w:rPr>
        <w:t xml:space="preserve">, el saldo remanente en la cuenta </w:t>
      </w:r>
      <w:r w:rsidR="00260DA3" w:rsidRPr="00A610E9">
        <w:rPr>
          <w:rFonts w:ascii="Arial" w:hAnsi="Arial" w:cs="Arial"/>
          <w:i/>
          <w:iCs/>
        </w:rPr>
        <w:t xml:space="preserve">Prima de Emisión </w:t>
      </w:r>
      <w:r w:rsidR="00260DA3" w:rsidRPr="00A610E9">
        <w:rPr>
          <w:rFonts w:ascii="Arial" w:hAnsi="Arial" w:cs="Arial"/>
        </w:rPr>
        <w:t>sería de AR$2.529.065.000</w:t>
      </w:r>
      <w:r w:rsidR="00206710" w:rsidRPr="00A610E9">
        <w:rPr>
          <w:rFonts w:ascii="Arial" w:hAnsi="Arial" w:cs="Arial"/>
        </w:rPr>
        <w:t>.</w:t>
      </w:r>
    </w:p>
    <w:p w14:paraId="6AB419F1" w14:textId="1A541815" w:rsidR="00206710" w:rsidRPr="00A610E9" w:rsidRDefault="00206710" w:rsidP="00CE71BF">
      <w:pPr>
        <w:spacing w:after="0" w:line="276" w:lineRule="auto"/>
        <w:ind w:left="708"/>
        <w:contextualSpacing/>
        <w:jc w:val="both"/>
        <w:rPr>
          <w:rFonts w:ascii="Arial" w:hAnsi="Arial" w:cs="Arial"/>
        </w:rPr>
      </w:pPr>
    </w:p>
    <w:p w14:paraId="272C95D4" w14:textId="4069E6EC" w:rsidR="00206710" w:rsidRDefault="009E42EC" w:rsidP="00CE71BF">
      <w:pPr>
        <w:pStyle w:val="Prrafodelista"/>
        <w:numPr>
          <w:ilvl w:val="0"/>
          <w:numId w:val="1"/>
        </w:numPr>
        <w:spacing w:after="0" w:line="276" w:lineRule="auto"/>
        <w:jc w:val="both"/>
        <w:rPr>
          <w:rFonts w:ascii="Arial" w:hAnsi="Arial" w:cs="Arial"/>
        </w:rPr>
      </w:pPr>
      <w:r w:rsidRPr="00A610E9">
        <w:rPr>
          <w:rFonts w:ascii="Arial" w:hAnsi="Arial" w:cs="Arial"/>
          <w:b/>
          <w:bCs/>
          <w:u w:val="single"/>
        </w:rPr>
        <w:t>Consideración de la gestión de los miembros del Directorio y de la Comisión Fiscalizadora correspondientes al ejercicio económico finalizado el 31 de diciembre de 2021 y hasta la fecha de la Asamblea</w:t>
      </w:r>
      <w:r w:rsidRPr="00A610E9">
        <w:rPr>
          <w:rFonts w:ascii="Arial" w:hAnsi="Arial" w:cs="Arial"/>
        </w:rPr>
        <w:t>.</w:t>
      </w:r>
    </w:p>
    <w:p w14:paraId="39CCD0AA" w14:textId="77777777" w:rsidR="00127A09" w:rsidRPr="00A610E9" w:rsidRDefault="00127A09" w:rsidP="00CE71BF">
      <w:pPr>
        <w:pStyle w:val="Prrafodelista"/>
        <w:spacing w:after="0" w:line="276" w:lineRule="auto"/>
        <w:jc w:val="both"/>
        <w:rPr>
          <w:rFonts w:ascii="Arial" w:hAnsi="Arial" w:cs="Arial"/>
        </w:rPr>
      </w:pPr>
    </w:p>
    <w:p w14:paraId="79E2123A" w14:textId="79431D54" w:rsidR="00BA5E38" w:rsidRPr="00A610E9" w:rsidRDefault="00BA5E38" w:rsidP="00CE71BF">
      <w:pPr>
        <w:spacing w:after="0" w:line="276" w:lineRule="auto"/>
        <w:contextualSpacing/>
        <w:jc w:val="both"/>
        <w:rPr>
          <w:rFonts w:ascii="Arial" w:hAnsi="Arial" w:cs="Arial"/>
        </w:rPr>
      </w:pPr>
      <w:r w:rsidRPr="00A610E9">
        <w:rPr>
          <w:rFonts w:ascii="Arial" w:hAnsi="Arial" w:cs="Arial"/>
        </w:rPr>
        <w:t xml:space="preserve">La Asamblea por mayoría </w:t>
      </w:r>
      <w:r w:rsidR="00637306" w:rsidRPr="00A610E9">
        <w:rPr>
          <w:rFonts w:ascii="Arial" w:hAnsi="Arial" w:cs="Arial"/>
        </w:rPr>
        <w:t>absoluta</w:t>
      </w:r>
      <w:r w:rsidR="00902871" w:rsidRPr="00A610E9">
        <w:rPr>
          <w:rFonts w:ascii="Arial" w:hAnsi="Arial" w:cs="Arial"/>
        </w:rPr>
        <w:t xml:space="preserve"> de votos computables resolvió aprobar la gestión de los miembros del Directorio y de la Comisión Fiscalizadora</w:t>
      </w:r>
      <w:r w:rsidR="00004754" w:rsidRPr="00A610E9">
        <w:rPr>
          <w:rFonts w:ascii="Arial" w:hAnsi="Arial" w:cs="Arial"/>
        </w:rPr>
        <w:t xml:space="preserve"> de la Sociedad correspondiente al ejercicio </w:t>
      </w:r>
      <w:r w:rsidR="00662FCC" w:rsidRPr="00A610E9">
        <w:rPr>
          <w:rFonts w:ascii="Arial" w:hAnsi="Arial" w:cs="Arial"/>
        </w:rPr>
        <w:t>económico finalizado el 31 de diciembre de 2021</w:t>
      </w:r>
      <w:r w:rsidR="008B0B5A" w:rsidRPr="00A610E9">
        <w:rPr>
          <w:rFonts w:ascii="Arial" w:hAnsi="Arial" w:cs="Arial"/>
        </w:rPr>
        <w:t>.</w:t>
      </w:r>
    </w:p>
    <w:p w14:paraId="1EC93CF5" w14:textId="2934447E" w:rsidR="00662FCC" w:rsidRPr="00A610E9" w:rsidRDefault="00662FCC" w:rsidP="00CE71BF">
      <w:pPr>
        <w:pStyle w:val="Prrafodelista"/>
        <w:spacing w:after="0" w:line="276" w:lineRule="auto"/>
        <w:jc w:val="both"/>
        <w:rPr>
          <w:rFonts w:ascii="Arial" w:hAnsi="Arial" w:cs="Arial"/>
        </w:rPr>
      </w:pPr>
    </w:p>
    <w:p w14:paraId="5534662C" w14:textId="22C34BBA" w:rsidR="00662FCC" w:rsidRPr="00A610E9" w:rsidRDefault="0093600C" w:rsidP="00CE71BF">
      <w:pPr>
        <w:pStyle w:val="Prrafodelista"/>
        <w:numPr>
          <w:ilvl w:val="0"/>
          <w:numId w:val="1"/>
        </w:numPr>
        <w:spacing w:after="0" w:line="276" w:lineRule="auto"/>
        <w:jc w:val="both"/>
        <w:rPr>
          <w:rFonts w:ascii="Arial" w:hAnsi="Arial" w:cs="Arial"/>
        </w:rPr>
      </w:pPr>
      <w:r w:rsidRPr="00A610E9">
        <w:rPr>
          <w:rFonts w:ascii="Arial" w:hAnsi="Arial" w:cs="Arial"/>
          <w:b/>
          <w:bCs/>
          <w:u w:val="single"/>
        </w:rPr>
        <w:t>Consideración de las remuneraciones al Directorio (las cuales ascienden a $9.051.401,92) y a la Comisión Fiscalizadora (las cuales ascienden a $5.524.474,20), correspondientes al ejercicio económico finalizado el 31 de diciembre de 2021 el cual arrojó quebranto computable en los términos de las Normas de la CNV</w:t>
      </w:r>
      <w:r w:rsidRPr="00A610E9">
        <w:rPr>
          <w:rFonts w:ascii="Arial" w:hAnsi="Arial" w:cs="Arial"/>
        </w:rPr>
        <w:t>.</w:t>
      </w:r>
    </w:p>
    <w:p w14:paraId="25BE5CFD" w14:textId="77777777" w:rsidR="00796A3A" w:rsidRDefault="00796A3A" w:rsidP="00CE71BF">
      <w:pPr>
        <w:spacing w:after="0" w:line="276" w:lineRule="auto"/>
        <w:contextualSpacing/>
        <w:jc w:val="both"/>
        <w:rPr>
          <w:rFonts w:ascii="Arial" w:hAnsi="Arial" w:cs="Arial"/>
        </w:rPr>
      </w:pPr>
    </w:p>
    <w:p w14:paraId="18D2F815" w14:textId="52998505" w:rsidR="004F2478" w:rsidRPr="001F2A9E" w:rsidRDefault="004F2478" w:rsidP="00CE71BF">
      <w:pPr>
        <w:spacing w:after="0" w:line="276" w:lineRule="auto"/>
        <w:contextualSpacing/>
        <w:jc w:val="both"/>
        <w:rPr>
          <w:rFonts w:ascii="Arial" w:hAnsi="Arial" w:cs="Arial"/>
        </w:rPr>
      </w:pPr>
      <w:r w:rsidRPr="001F2A9E">
        <w:rPr>
          <w:rFonts w:ascii="Arial" w:hAnsi="Arial" w:cs="Arial"/>
        </w:rPr>
        <w:t xml:space="preserve">La Asamblea por mayoría </w:t>
      </w:r>
      <w:r w:rsidR="005027E2" w:rsidRPr="001F2A9E">
        <w:rPr>
          <w:rFonts w:ascii="Arial" w:hAnsi="Arial" w:cs="Arial"/>
        </w:rPr>
        <w:t>absoluta</w:t>
      </w:r>
      <w:r w:rsidRPr="001F2A9E">
        <w:rPr>
          <w:rFonts w:ascii="Arial" w:hAnsi="Arial" w:cs="Arial"/>
        </w:rPr>
        <w:t xml:space="preserve"> de votos computables resolvió</w:t>
      </w:r>
      <w:r w:rsidR="007A0D2C" w:rsidRPr="001F2A9E">
        <w:rPr>
          <w:rFonts w:ascii="Arial" w:hAnsi="Arial" w:cs="Arial"/>
          <w:color w:val="000000"/>
        </w:rPr>
        <w:t>: (i) aprobar los honorarios abonados a los Directores Independientes de la Sociedad correspondientes al ejercicio económico finalizado el 31 de diciembre de 2021 el cual arrojó quebranto computable en los términos de las Normas de la CNV, por la suma de $9.051.401,92; ello así, en virtud de las funciones desempeñadas y considerando las responsabilidades asumidas por los referidos funcionarios, el tiempo dedicado a sus funciones, su competencia y reputación profesional y los valores de sus servicios en el mercado; y (</w:t>
      </w:r>
      <w:proofErr w:type="spellStart"/>
      <w:r w:rsidR="007A0D2C" w:rsidRPr="001F2A9E">
        <w:rPr>
          <w:rFonts w:ascii="Arial" w:hAnsi="Arial" w:cs="Arial"/>
          <w:color w:val="000000"/>
        </w:rPr>
        <w:t>ii</w:t>
      </w:r>
      <w:proofErr w:type="spellEnd"/>
      <w:r w:rsidR="007A0D2C" w:rsidRPr="001F2A9E">
        <w:rPr>
          <w:rFonts w:ascii="Arial" w:hAnsi="Arial" w:cs="Arial"/>
          <w:color w:val="000000"/>
        </w:rPr>
        <w:t>) aprobar la remuneración a la Comisión Fiscalizadora correspondiente al ejercicio económico finalizado el 31 de diciembre de 2021 el cual arrojó quebranto computable en los términos de las Normas de la CNV, en la suma global de $5.524.474,20</w:t>
      </w:r>
      <w:r w:rsidR="008B0B5A" w:rsidRPr="001F2A9E">
        <w:rPr>
          <w:rFonts w:ascii="Arial" w:hAnsi="Arial" w:cs="Arial"/>
        </w:rPr>
        <w:t>.</w:t>
      </w:r>
    </w:p>
    <w:p w14:paraId="27E4BF28" w14:textId="77777777" w:rsidR="008B0B5A" w:rsidRPr="001F2A9E" w:rsidRDefault="008B0B5A" w:rsidP="00CE71BF">
      <w:pPr>
        <w:pStyle w:val="Prrafodelista"/>
        <w:spacing w:after="0" w:line="276" w:lineRule="auto"/>
        <w:jc w:val="both"/>
        <w:rPr>
          <w:rFonts w:ascii="Arial" w:hAnsi="Arial" w:cs="Arial"/>
        </w:rPr>
      </w:pPr>
    </w:p>
    <w:p w14:paraId="0D863288" w14:textId="7CCDC65C" w:rsidR="008B0B5A" w:rsidRPr="001F2A9E" w:rsidRDefault="008B0B5A" w:rsidP="00CE71BF">
      <w:pPr>
        <w:pStyle w:val="Prrafodelista"/>
        <w:numPr>
          <w:ilvl w:val="0"/>
          <w:numId w:val="1"/>
        </w:numPr>
        <w:spacing w:after="0" w:line="276" w:lineRule="auto"/>
        <w:jc w:val="both"/>
        <w:rPr>
          <w:rFonts w:ascii="Arial" w:hAnsi="Arial" w:cs="Arial"/>
        </w:rPr>
      </w:pPr>
      <w:r w:rsidRPr="001F2A9E">
        <w:rPr>
          <w:rFonts w:ascii="Arial" w:hAnsi="Arial" w:cs="Arial"/>
          <w:b/>
          <w:bCs/>
          <w:u w:val="single"/>
        </w:rPr>
        <w:t>Consideración de adelantos de honorarios de los directores para el año 2022</w:t>
      </w:r>
      <w:r w:rsidRPr="001F2A9E">
        <w:rPr>
          <w:rFonts w:ascii="Arial" w:hAnsi="Arial" w:cs="Arial"/>
        </w:rPr>
        <w:t xml:space="preserve">. </w:t>
      </w:r>
    </w:p>
    <w:p w14:paraId="7D3FC4CF" w14:textId="77777777" w:rsidR="00DD678B" w:rsidRPr="001F2A9E" w:rsidRDefault="00DD678B" w:rsidP="00CE71BF">
      <w:pPr>
        <w:pStyle w:val="Prrafodelista"/>
        <w:spacing w:after="0" w:line="276" w:lineRule="auto"/>
        <w:jc w:val="both"/>
        <w:rPr>
          <w:rFonts w:ascii="Arial" w:hAnsi="Arial" w:cs="Arial"/>
        </w:rPr>
      </w:pPr>
    </w:p>
    <w:p w14:paraId="1633B1FA" w14:textId="5D7A6731" w:rsidR="008B0B5A" w:rsidRPr="001F2A9E" w:rsidRDefault="00AE0D6D" w:rsidP="00CE71BF">
      <w:pPr>
        <w:spacing w:after="0" w:line="276" w:lineRule="auto"/>
        <w:contextualSpacing/>
        <w:jc w:val="both"/>
        <w:rPr>
          <w:rFonts w:ascii="Arial" w:hAnsi="Arial" w:cs="Arial"/>
        </w:rPr>
      </w:pPr>
      <w:r w:rsidRPr="001F2A9E">
        <w:rPr>
          <w:rFonts w:ascii="Arial" w:hAnsi="Arial" w:cs="Arial"/>
        </w:rPr>
        <w:t xml:space="preserve">La Asamblea por mayoría </w:t>
      </w:r>
      <w:r w:rsidR="00071C5E" w:rsidRPr="001F2A9E">
        <w:rPr>
          <w:rFonts w:ascii="Arial" w:hAnsi="Arial" w:cs="Arial"/>
        </w:rPr>
        <w:t xml:space="preserve">absoluta </w:t>
      </w:r>
      <w:r w:rsidRPr="001F2A9E">
        <w:rPr>
          <w:rFonts w:ascii="Arial" w:hAnsi="Arial" w:cs="Arial"/>
        </w:rPr>
        <w:t>de votos computables resolvió</w:t>
      </w:r>
      <w:r w:rsidR="007C7A6A" w:rsidRPr="001F2A9E">
        <w:rPr>
          <w:rFonts w:ascii="Arial" w:hAnsi="Arial" w:cs="Arial"/>
        </w:rPr>
        <w:t xml:space="preserve"> </w:t>
      </w:r>
      <w:r w:rsidR="00F24D3E" w:rsidRPr="001F2A9E">
        <w:rPr>
          <w:rFonts w:ascii="Arial" w:hAnsi="Arial" w:cs="Arial"/>
        </w:rPr>
        <w:t>autorizar el pago de anticipos mensuales de honorarios a los miembros del Directorio –“</w:t>
      </w:r>
      <w:r w:rsidR="00F24D3E" w:rsidRPr="001F2A9E">
        <w:rPr>
          <w:rFonts w:ascii="Arial" w:hAnsi="Arial" w:cs="Arial"/>
          <w:i/>
          <w:iCs/>
        </w:rPr>
        <w:t>ad referéndum</w:t>
      </w:r>
      <w:r w:rsidR="00F24D3E" w:rsidRPr="001F2A9E">
        <w:rPr>
          <w:rFonts w:ascii="Arial" w:hAnsi="Arial" w:cs="Arial"/>
        </w:rPr>
        <w:t>” de lo que resuelva la Asamblea que considere los estados financieros por el ejercicio que concluirá el 31 de diciembre de 2022– en la suma de: (a) AR$ 360.000 mensuales a cada uno, honorarios que serán pagaderos desde el 1° de abril de 2022 y hasta el 30 de septiembre de 2022; y (b) AR$ 450.000 mensuales a cada uno, honorarios que serán pagaderos desde el 1° de octubre de 2022 y hasta el 31 de marzo de 2023</w:t>
      </w:r>
      <w:r w:rsidR="004E1A87" w:rsidRPr="001F2A9E">
        <w:rPr>
          <w:rFonts w:ascii="Arial" w:hAnsi="Arial" w:cs="Arial"/>
        </w:rPr>
        <w:t>.</w:t>
      </w:r>
    </w:p>
    <w:p w14:paraId="76F59E1E" w14:textId="314BF965" w:rsidR="004E1A87" w:rsidRPr="001F2A9E" w:rsidRDefault="004E1A87" w:rsidP="00CE71BF">
      <w:pPr>
        <w:pStyle w:val="Prrafodelista"/>
        <w:spacing w:after="0" w:line="276" w:lineRule="auto"/>
        <w:jc w:val="both"/>
        <w:rPr>
          <w:rFonts w:ascii="Arial" w:hAnsi="Arial" w:cs="Arial"/>
        </w:rPr>
      </w:pPr>
    </w:p>
    <w:p w14:paraId="0D6A21D3" w14:textId="66796B52" w:rsidR="00B601B5" w:rsidRPr="001F2A9E" w:rsidRDefault="00B601B5" w:rsidP="00CE71BF">
      <w:pPr>
        <w:pStyle w:val="Prrafodelista"/>
        <w:numPr>
          <w:ilvl w:val="0"/>
          <w:numId w:val="1"/>
        </w:numPr>
        <w:spacing w:after="0" w:line="276" w:lineRule="auto"/>
        <w:jc w:val="both"/>
        <w:rPr>
          <w:rFonts w:ascii="Arial" w:hAnsi="Arial" w:cs="Arial"/>
        </w:rPr>
      </w:pPr>
      <w:r w:rsidRPr="001F2A9E">
        <w:rPr>
          <w:rFonts w:ascii="Arial" w:hAnsi="Arial" w:cs="Arial"/>
          <w:b/>
          <w:bCs/>
          <w:u w:val="single"/>
        </w:rPr>
        <w:t xml:space="preserve">Designación de miembros de la Comisión Fiscalizadora por vencimiento de los mandatos. Consideración de la renovación de los mandatos de los </w:t>
      </w:r>
      <w:bookmarkStart w:id="0" w:name="_Hlk99635253"/>
      <w:r w:rsidRPr="001F2A9E">
        <w:rPr>
          <w:rFonts w:ascii="Arial" w:hAnsi="Arial" w:cs="Arial"/>
          <w:b/>
          <w:bCs/>
          <w:u w:val="single"/>
        </w:rPr>
        <w:t xml:space="preserve">Sres. </w:t>
      </w:r>
      <w:bookmarkStart w:id="1" w:name="_Hlk101792472"/>
      <w:r w:rsidRPr="001F2A9E">
        <w:rPr>
          <w:rFonts w:ascii="Arial" w:hAnsi="Arial" w:cs="Arial"/>
          <w:b/>
          <w:bCs/>
          <w:u w:val="single"/>
        </w:rPr>
        <w:t>Ignacio Fabián Gajst, Ignacio Arrieta y Fernando Gustavo Sasiain como Síndicos Titulares; y Silvana Elisa Celso, Adriana Tucci y Alfredo Germán Klein como Síndicos Suplentes</w:t>
      </w:r>
      <w:bookmarkEnd w:id="0"/>
      <w:bookmarkEnd w:id="1"/>
      <w:r w:rsidRPr="001F2A9E">
        <w:rPr>
          <w:rFonts w:ascii="Arial" w:hAnsi="Arial" w:cs="Arial"/>
        </w:rPr>
        <w:t xml:space="preserve">. </w:t>
      </w:r>
    </w:p>
    <w:p w14:paraId="27F65913" w14:textId="77777777" w:rsidR="007C7A6A" w:rsidRPr="001F2A9E" w:rsidRDefault="007C7A6A" w:rsidP="00CE71BF">
      <w:pPr>
        <w:spacing w:after="0" w:line="276" w:lineRule="auto"/>
        <w:contextualSpacing/>
        <w:jc w:val="both"/>
        <w:rPr>
          <w:rFonts w:ascii="Arial" w:hAnsi="Arial" w:cs="Arial"/>
        </w:rPr>
      </w:pPr>
    </w:p>
    <w:p w14:paraId="2ACA8533" w14:textId="58A32587" w:rsidR="004B6421" w:rsidRPr="00A610E9" w:rsidRDefault="004B6421" w:rsidP="00CE71BF">
      <w:pPr>
        <w:spacing w:after="0" w:line="276" w:lineRule="auto"/>
        <w:contextualSpacing/>
        <w:jc w:val="both"/>
        <w:rPr>
          <w:rFonts w:ascii="Arial" w:hAnsi="Arial" w:cs="Arial"/>
        </w:rPr>
      </w:pPr>
      <w:r w:rsidRPr="001F2A9E">
        <w:rPr>
          <w:rFonts w:ascii="Arial" w:hAnsi="Arial" w:cs="Arial"/>
        </w:rPr>
        <w:t xml:space="preserve">La Asamblea por mayoría </w:t>
      </w:r>
      <w:r w:rsidR="003B7981" w:rsidRPr="001F2A9E">
        <w:rPr>
          <w:rFonts w:ascii="Arial" w:hAnsi="Arial" w:cs="Arial"/>
        </w:rPr>
        <w:t>absoluta</w:t>
      </w:r>
      <w:r w:rsidRPr="001F2A9E">
        <w:rPr>
          <w:rFonts w:ascii="Arial" w:hAnsi="Arial" w:cs="Arial"/>
        </w:rPr>
        <w:t xml:space="preserve"> de votos computables resolvió</w:t>
      </w:r>
      <w:r w:rsidR="007C7A6A" w:rsidRPr="001F2A9E">
        <w:rPr>
          <w:rFonts w:ascii="Arial" w:hAnsi="Arial" w:cs="Arial"/>
        </w:rPr>
        <w:t xml:space="preserve"> d</w:t>
      </w:r>
      <w:r w:rsidR="00A815CD" w:rsidRPr="001F2A9E">
        <w:rPr>
          <w:rFonts w:ascii="Arial" w:hAnsi="Arial" w:cs="Arial"/>
        </w:rPr>
        <w:t>esignar a los Sres. Ignacio Fabián Gajst, Ignacio Arrieta y Fernando Gustavo Sasiain como Síndicos</w:t>
      </w:r>
      <w:r w:rsidR="00A815CD" w:rsidRPr="00A610E9">
        <w:rPr>
          <w:rFonts w:ascii="Arial" w:hAnsi="Arial" w:cs="Arial"/>
        </w:rPr>
        <w:t xml:space="preserve"> Titulares; y Silvana Elisa Celso, Adriana Tucci y Alfredo Germán Klein como Síndicos Suplentes. </w:t>
      </w:r>
    </w:p>
    <w:p w14:paraId="38DB4D2D" w14:textId="77777777" w:rsidR="00E27755" w:rsidRPr="00A610E9" w:rsidRDefault="00E27755" w:rsidP="00CE71BF">
      <w:pPr>
        <w:spacing w:after="0" w:line="276" w:lineRule="auto"/>
        <w:contextualSpacing/>
        <w:jc w:val="both"/>
        <w:rPr>
          <w:rFonts w:ascii="Arial" w:hAnsi="Arial" w:cs="Arial"/>
          <w:b/>
          <w:bCs/>
          <w:u w:val="single"/>
        </w:rPr>
      </w:pPr>
    </w:p>
    <w:p w14:paraId="502C92AF" w14:textId="64AFDEDF" w:rsidR="00E27755" w:rsidRPr="00A610E9" w:rsidRDefault="00E27755" w:rsidP="00CE71BF">
      <w:pPr>
        <w:pStyle w:val="Prrafodelista"/>
        <w:numPr>
          <w:ilvl w:val="0"/>
          <w:numId w:val="1"/>
        </w:numPr>
        <w:spacing w:after="0" w:line="276" w:lineRule="auto"/>
        <w:jc w:val="both"/>
        <w:rPr>
          <w:rFonts w:ascii="Arial" w:hAnsi="Arial" w:cs="Arial"/>
          <w:b/>
          <w:bCs/>
          <w:u w:val="single"/>
        </w:rPr>
      </w:pPr>
      <w:r w:rsidRPr="00A610E9">
        <w:rPr>
          <w:rFonts w:ascii="Arial" w:hAnsi="Arial" w:cs="Arial"/>
          <w:b/>
          <w:bCs/>
          <w:u w:val="single"/>
        </w:rPr>
        <w:t>Consideración de la retribución del Contador Público Nacional que auditó los Estados Financieros al 31 de diciembre de 2021</w:t>
      </w:r>
      <w:r w:rsidRPr="00A610E9">
        <w:rPr>
          <w:rFonts w:ascii="Arial" w:hAnsi="Arial" w:cs="Arial"/>
        </w:rPr>
        <w:t>.</w:t>
      </w:r>
    </w:p>
    <w:p w14:paraId="79872D29" w14:textId="77777777" w:rsidR="003F2E27" w:rsidRDefault="003F2E27" w:rsidP="00CE71BF">
      <w:pPr>
        <w:spacing w:after="0" w:line="276" w:lineRule="auto"/>
        <w:contextualSpacing/>
        <w:jc w:val="both"/>
        <w:rPr>
          <w:rFonts w:ascii="Arial" w:hAnsi="Arial" w:cs="Arial"/>
        </w:rPr>
      </w:pPr>
    </w:p>
    <w:p w14:paraId="5E62AE66" w14:textId="11490924" w:rsidR="00FC46F9" w:rsidRPr="00A610E9" w:rsidRDefault="00FC46F9" w:rsidP="00CE71BF">
      <w:pPr>
        <w:spacing w:after="0" w:line="276" w:lineRule="auto"/>
        <w:contextualSpacing/>
        <w:jc w:val="both"/>
        <w:rPr>
          <w:rFonts w:ascii="Arial" w:hAnsi="Arial" w:cs="Arial"/>
        </w:rPr>
      </w:pPr>
      <w:r w:rsidRPr="00A610E9">
        <w:rPr>
          <w:rFonts w:ascii="Arial" w:hAnsi="Arial" w:cs="Arial"/>
        </w:rPr>
        <w:t xml:space="preserve">La Asamblea por mayoría </w:t>
      </w:r>
      <w:r w:rsidR="00753631" w:rsidRPr="00A610E9">
        <w:rPr>
          <w:rFonts w:ascii="Arial" w:hAnsi="Arial" w:cs="Arial"/>
        </w:rPr>
        <w:t>absoluta</w:t>
      </w:r>
      <w:r w:rsidRPr="00A610E9">
        <w:rPr>
          <w:rFonts w:ascii="Arial" w:hAnsi="Arial" w:cs="Arial"/>
        </w:rPr>
        <w:t xml:space="preserve"> de votos computables resolvió</w:t>
      </w:r>
      <w:r w:rsidR="00370569" w:rsidRPr="00A610E9">
        <w:rPr>
          <w:rFonts w:ascii="Arial" w:hAnsi="Arial" w:cs="Arial"/>
        </w:rPr>
        <w:t xml:space="preserve"> </w:t>
      </w:r>
      <w:r w:rsidR="00730CD7" w:rsidRPr="00A610E9">
        <w:rPr>
          <w:rFonts w:ascii="Arial" w:hAnsi="Arial" w:cs="Arial"/>
        </w:rPr>
        <w:t>aprobar la remuneración al contador certificante por las tareas correspondientes al ejercicio finalizado el 31 de diciembre de 2021, la cual asciende a AR$10.525.900.</w:t>
      </w:r>
    </w:p>
    <w:p w14:paraId="156DBB0A" w14:textId="2DAD30F2" w:rsidR="00855E00" w:rsidRPr="00A610E9" w:rsidRDefault="00855E00" w:rsidP="00CE71BF">
      <w:pPr>
        <w:pStyle w:val="Prrafodelista"/>
        <w:spacing w:after="0" w:line="276" w:lineRule="auto"/>
        <w:jc w:val="both"/>
        <w:rPr>
          <w:rFonts w:ascii="Arial" w:hAnsi="Arial" w:cs="Arial"/>
        </w:rPr>
      </w:pPr>
    </w:p>
    <w:p w14:paraId="56BC8EB9" w14:textId="3C22C44E" w:rsidR="009A5101" w:rsidRPr="00A610E9" w:rsidRDefault="00613CEF" w:rsidP="00CE71BF">
      <w:pPr>
        <w:pStyle w:val="Prrafodelista"/>
        <w:numPr>
          <w:ilvl w:val="0"/>
          <w:numId w:val="1"/>
        </w:numPr>
        <w:spacing w:after="0" w:line="276" w:lineRule="auto"/>
        <w:jc w:val="both"/>
        <w:rPr>
          <w:rFonts w:ascii="Arial" w:hAnsi="Arial" w:cs="Arial"/>
          <w:b/>
          <w:bCs/>
          <w:u w:val="single"/>
        </w:rPr>
      </w:pPr>
      <w:r w:rsidRPr="00A610E9">
        <w:rPr>
          <w:rFonts w:ascii="Arial" w:hAnsi="Arial" w:cs="Arial"/>
          <w:b/>
          <w:bCs/>
          <w:u w:val="single"/>
        </w:rPr>
        <w:t>Designación del Contador Público Nacional para desempeñar las funciones de auditoría externa para el ejercicio a finalizar el 31 de diciembre de 2022 y determinación de su retribución</w:t>
      </w:r>
      <w:r w:rsidRPr="00A610E9">
        <w:rPr>
          <w:rFonts w:ascii="Arial" w:hAnsi="Arial" w:cs="Arial"/>
        </w:rPr>
        <w:t>.</w:t>
      </w:r>
    </w:p>
    <w:p w14:paraId="581EE147" w14:textId="77777777" w:rsidR="003F2E27" w:rsidRDefault="003F2E27" w:rsidP="00CE71BF">
      <w:pPr>
        <w:spacing w:after="0" w:line="276" w:lineRule="auto"/>
        <w:contextualSpacing/>
        <w:jc w:val="both"/>
        <w:rPr>
          <w:rFonts w:ascii="Arial" w:hAnsi="Arial" w:cs="Arial"/>
        </w:rPr>
      </w:pPr>
    </w:p>
    <w:p w14:paraId="39A74F56" w14:textId="47F77E9C" w:rsidR="00D5561C" w:rsidRPr="00A610E9" w:rsidRDefault="00D5561C" w:rsidP="00CE71BF">
      <w:pPr>
        <w:spacing w:after="0" w:line="276" w:lineRule="auto"/>
        <w:contextualSpacing/>
        <w:jc w:val="both"/>
        <w:rPr>
          <w:rFonts w:ascii="Arial" w:hAnsi="Arial" w:cs="Arial"/>
        </w:rPr>
      </w:pPr>
      <w:r w:rsidRPr="00A610E9">
        <w:rPr>
          <w:rFonts w:ascii="Arial" w:hAnsi="Arial" w:cs="Arial"/>
        </w:rPr>
        <w:t>La Asamblea por mayoría</w:t>
      </w:r>
      <w:r w:rsidR="00777F91" w:rsidRPr="00A610E9">
        <w:rPr>
          <w:rFonts w:ascii="Arial" w:hAnsi="Arial" w:cs="Arial"/>
        </w:rPr>
        <w:t xml:space="preserve"> absoluta</w:t>
      </w:r>
      <w:r w:rsidRPr="00A610E9">
        <w:rPr>
          <w:rFonts w:ascii="Arial" w:hAnsi="Arial" w:cs="Arial"/>
        </w:rPr>
        <w:t xml:space="preserve"> de votos computables resolvió</w:t>
      </w:r>
      <w:r w:rsidR="003F2E27">
        <w:rPr>
          <w:rFonts w:ascii="Arial" w:hAnsi="Arial" w:cs="Arial"/>
        </w:rPr>
        <w:t xml:space="preserve"> d</w:t>
      </w:r>
      <w:r w:rsidR="001D0BFC" w:rsidRPr="00A610E9">
        <w:rPr>
          <w:rFonts w:ascii="Arial" w:hAnsi="Arial" w:cs="Arial"/>
        </w:rPr>
        <w:t xml:space="preserve">esignar a la firma Adler, </w:t>
      </w:r>
      <w:proofErr w:type="spellStart"/>
      <w:r w:rsidR="001D0BFC" w:rsidRPr="00A610E9">
        <w:rPr>
          <w:rFonts w:ascii="Arial" w:hAnsi="Arial" w:cs="Arial"/>
        </w:rPr>
        <w:t>Hasenclever</w:t>
      </w:r>
      <w:proofErr w:type="spellEnd"/>
      <w:r w:rsidR="001D0BFC" w:rsidRPr="00A610E9">
        <w:rPr>
          <w:rFonts w:ascii="Arial" w:hAnsi="Arial" w:cs="Arial"/>
        </w:rPr>
        <w:t xml:space="preserve"> &amp; Asociados S.R.L., firma miembro de Grant Thornton International, y en particular como contador certificante titular al Sr. Fernando Toros, y al Sr. Gabriel </w:t>
      </w:r>
      <w:proofErr w:type="spellStart"/>
      <w:r w:rsidR="001D0BFC" w:rsidRPr="00A610E9">
        <w:rPr>
          <w:rFonts w:ascii="Arial" w:hAnsi="Arial" w:cs="Arial"/>
        </w:rPr>
        <w:t>Righini</w:t>
      </w:r>
      <w:proofErr w:type="spellEnd"/>
      <w:r w:rsidR="001D0BFC" w:rsidRPr="00A610E9">
        <w:rPr>
          <w:rFonts w:ascii="Arial" w:hAnsi="Arial" w:cs="Arial"/>
        </w:rPr>
        <w:t xml:space="preserve"> como contador certificante suplente para el ejercicio que finalizará el 31 de diciembre de 2022</w:t>
      </w:r>
      <w:r w:rsidR="00F51CB1" w:rsidRPr="00A610E9">
        <w:rPr>
          <w:rFonts w:ascii="Arial" w:hAnsi="Arial" w:cs="Arial"/>
        </w:rPr>
        <w:t>.</w:t>
      </w:r>
    </w:p>
    <w:p w14:paraId="4143A041" w14:textId="5A67ABFD" w:rsidR="00F51CB1" w:rsidRPr="00A610E9" w:rsidRDefault="00F51CB1" w:rsidP="00CE71BF">
      <w:pPr>
        <w:spacing w:after="0" w:line="276" w:lineRule="auto"/>
        <w:ind w:left="708"/>
        <w:contextualSpacing/>
        <w:jc w:val="both"/>
        <w:rPr>
          <w:rFonts w:ascii="Arial" w:hAnsi="Arial" w:cs="Arial"/>
        </w:rPr>
      </w:pPr>
    </w:p>
    <w:p w14:paraId="623740C7" w14:textId="67D5CB4D" w:rsidR="00D46937" w:rsidRPr="00A610E9" w:rsidRDefault="00D46937" w:rsidP="00CE71BF">
      <w:pPr>
        <w:numPr>
          <w:ilvl w:val="0"/>
          <w:numId w:val="1"/>
        </w:numPr>
        <w:spacing w:after="0" w:line="276" w:lineRule="auto"/>
        <w:contextualSpacing/>
        <w:jc w:val="both"/>
        <w:rPr>
          <w:rFonts w:ascii="Arial" w:hAnsi="Arial" w:cs="Arial"/>
        </w:rPr>
      </w:pPr>
      <w:r w:rsidRPr="00A610E9">
        <w:rPr>
          <w:rFonts w:ascii="Arial" w:hAnsi="Arial" w:cs="Arial"/>
          <w:b/>
          <w:bCs/>
          <w:u w:val="single"/>
        </w:rPr>
        <w:t>Consideración del presupuesto del Comité de Auditoría para el año 2022</w:t>
      </w:r>
      <w:r w:rsidRPr="00A610E9">
        <w:rPr>
          <w:rFonts w:ascii="Arial" w:hAnsi="Arial" w:cs="Arial"/>
        </w:rPr>
        <w:t>.</w:t>
      </w:r>
    </w:p>
    <w:p w14:paraId="1123EB73" w14:textId="77777777" w:rsidR="003F2E27" w:rsidRDefault="003F2E27" w:rsidP="00CE71BF">
      <w:pPr>
        <w:spacing w:after="0" w:line="276" w:lineRule="auto"/>
        <w:contextualSpacing/>
        <w:jc w:val="both"/>
        <w:rPr>
          <w:rFonts w:ascii="Arial" w:hAnsi="Arial" w:cs="Arial"/>
        </w:rPr>
      </w:pPr>
    </w:p>
    <w:p w14:paraId="283488F2" w14:textId="71B322B2" w:rsidR="003C38D4" w:rsidRPr="00A610E9" w:rsidRDefault="00FD25A2" w:rsidP="00CE71BF">
      <w:pPr>
        <w:spacing w:after="0" w:line="276" w:lineRule="auto"/>
        <w:contextualSpacing/>
        <w:jc w:val="both"/>
        <w:rPr>
          <w:rFonts w:ascii="Arial" w:hAnsi="Arial" w:cs="Arial"/>
        </w:rPr>
      </w:pPr>
      <w:r w:rsidRPr="00A610E9">
        <w:rPr>
          <w:rFonts w:ascii="Arial" w:hAnsi="Arial" w:cs="Arial"/>
        </w:rPr>
        <w:t xml:space="preserve">La Asamblea por mayoría </w:t>
      </w:r>
      <w:r w:rsidR="007E1A91" w:rsidRPr="00A610E9">
        <w:rPr>
          <w:rFonts w:ascii="Arial" w:hAnsi="Arial" w:cs="Arial"/>
        </w:rPr>
        <w:t>absoluta</w:t>
      </w:r>
      <w:r w:rsidRPr="00A610E9">
        <w:rPr>
          <w:rFonts w:ascii="Arial" w:hAnsi="Arial" w:cs="Arial"/>
        </w:rPr>
        <w:t xml:space="preserve"> de votos computables resolvió</w:t>
      </w:r>
      <w:r w:rsidR="003F2E27">
        <w:rPr>
          <w:rFonts w:ascii="Arial" w:hAnsi="Arial" w:cs="Arial"/>
        </w:rPr>
        <w:t xml:space="preserve"> a</w:t>
      </w:r>
      <w:r w:rsidR="00466788" w:rsidRPr="00A610E9">
        <w:rPr>
          <w:rFonts w:ascii="Arial" w:hAnsi="Arial" w:cs="Arial"/>
        </w:rPr>
        <w:t xml:space="preserve">probar </w:t>
      </w:r>
      <w:r w:rsidR="00D9629C">
        <w:rPr>
          <w:rFonts w:ascii="Arial" w:hAnsi="Arial" w:cs="Arial"/>
        </w:rPr>
        <w:t xml:space="preserve">un </w:t>
      </w:r>
      <w:r w:rsidR="00466788" w:rsidRPr="00A610E9">
        <w:rPr>
          <w:rFonts w:ascii="Arial" w:hAnsi="Arial" w:cs="Arial"/>
        </w:rPr>
        <w:t xml:space="preserve">presupuesto </w:t>
      </w:r>
      <w:r w:rsidR="00D9629C">
        <w:rPr>
          <w:rFonts w:ascii="Arial" w:hAnsi="Arial" w:cs="Arial"/>
        </w:rPr>
        <w:t>para</w:t>
      </w:r>
      <w:r w:rsidR="00466788" w:rsidRPr="00A610E9">
        <w:rPr>
          <w:rFonts w:ascii="Arial" w:hAnsi="Arial" w:cs="Arial"/>
        </w:rPr>
        <w:t xml:space="preserve"> Comité de Auditoría correspondiente al ejercicio 2022</w:t>
      </w:r>
      <w:r w:rsidR="00D9629C">
        <w:rPr>
          <w:rFonts w:ascii="Arial" w:hAnsi="Arial" w:cs="Arial"/>
        </w:rPr>
        <w:t>, que</w:t>
      </w:r>
      <w:r w:rsidR="00466788" w:rsidRPr="00A610E9">
        <w:rPr>
          <w:rFonts w:ascii="Arial" w:hAnsi="Arial" w:cs="Arial"/>
        </w:rPr>
        <w:t xml:space="preserve"> asciend</w:t>
      </w:r>
      <w:r w:rsidR="00D9629C">
        <w:rPr>
          <w:rFonts w:ascii="Arial" w:hAnsi="Arial" w:cs="Arial"/>
        </w:rPr>
        <w:t>e</w:t>
      </w:r>
      <w:r w:rsidR="00466788" w:rsidRPr="00A610E9">
        <w:rPr>
          <w:rFonts w:ascii="Arial" w:hAnsi="Arial" w:cs="Arial"/>
        </w:rPr>
        <w:t xml:space="preserve"> a la suma de AR$487.360.</w:t>
      </w:r>
    </w:p>
    <w:p w14:paraId="7660CF85" w14:textId="77777777" w:rsidR="004A1B25" w:rsidRPr="00A610E9" w:rsidRDefault="004A1B25" w:rsidP="00CE71BF">
      <w:pPr>
        <w:spacing w:after="0" w:line="276" w:lineRule="auto"/>
        <w:contextualSpacing/>
        <w:jc w:val="both"/>
        <w:rPr>
          <w:rFonts w:ascii="Arial" w:hAnsi="Arial" w:cs="Arial"/>
        </w:rPr>
      </w:pPr>
    </w:p>
    <w:p w14:paraId="7B0613BB" w14:textId="07A91B4D" w:rsidR="004A1B25" w:rsidRPr="00A610E9" w:rsidRDefault="004A1B25" w:rsidP="00CE71BF">
      <w:pPr>
        <w:pStyle w:val="Prrafodelista"/>
        <w:numPr>
          <w:ilvl w:val="0"/>
          <w:numId w:val="1"/>
        </w:numPr>
        <w:spacing w:after="0" w:line="276" w:lineRule="auto"/>
        <w:jc w:val="both"/>
        <w:rPr>
          <w:rFonts w:ascii="Arial" w:hAnsi="Arial" w:cs="Arial"/>
        </w:rPr>
      </w:pPr>
      <w:r w:rsidRPr="00A610E9">
        <w:rPr>
          <w:rFonts w:ascii="Arial" w:hAnsi="Arial" w:cs="Arial"/>
          <w:b/>
          <w:bCs/>
        </w:rPr>
        <w:lastRenderedPageBreak/>
        <w:t xml:space="preserve"> </w:t>
      </w:r>
      <w:r w:rsidRPr="00A610E9">
        <w:rPr>
          <w:rFonts w:ascii="Arial" w:hAnsi="Arial" w:cs="Arial"/>
          <w:b/>
          <w:bCs/>
          <w:u w:val="single"/>
        </w:rPr>
        <w:t xml:space="preserve">Confirmación de lo actuado por la Comisión Fiscalizadora, conforme a lo previsto por el artículo 258 de la Ley 19.550, en la designación efectuada con fecha 16 de julio de 2021 del Sr. Daniel Antúnez como director suplente y en la designación efectuada con fecha 27 de septiembre de 2021 del Sr. Roberto </w:t>
      </w:r>
      <w:proofErr w:type="spellStart"/>
      <w:r w:rsidRPr="00A610E9">
        <w:rPr>
          <w:rFonts w:ascii="Arial" w:hAnsi="Arial" w:cs="Arial"/>
          <w:b/>
          <w:bCs/>
          <w:u w:val="single"/>
        </w:rPr>
        <w:t>Apelbaum</w:t>
      </w:r>
      <w:proofErr w:type="spellEnd"/>
      <w:r w:rsidRPr="00A610E9">
        <w:rPr>
          <w:rFonts w:ascii="Arial" w:hAnsi="Arial" w:cs="Arial"/>
          <w:b/>
          <w:bCs/>
          <w:u w:val="single"/>
        </w:rPr>
        <w:t xml:space="preserve"> como </w:t>
      </w:r>
      <w:proofErr w:type="gramStart"/>
      <w:r w:rsidRPr="00A610E9">
        <w:rPr>
          <w:rFonts w:ascii="Arial" w:hAnsi="Arial" w:cs="Arial"/>
          <w:b/>
          <w:bCs/>
          <w:u w:val="single"/>
        </w:rPr>
        <w:t>Director</w:t>
      </w:r>
      <w:proofErr w:type="gramEnd"/>
      <w:r w:rsidRPr="00A610E9">
        <w:rPr>
          <w:rFonts w:ascii="Arial" w:hAnsi="Arial" w:cs="Arial"/>
          <w:b/>
          <w:bCs/>
          <w:u w:val="single"/>
        </w:rPr>
        <w:t xml:space="preserve"> Titular</w:t>
      </w:r>
      <w:r w:rsidRPr="00A610E9">
        <w:rPr>
          <w:rFonts w:ascii="Arial" w:hAnsi="Arial" w:cs="Arial"/>
        </w:rPr>
        <w:t>.</w:t>
      </w:r>
    </w:p>
    <w:p w14:paraId="2199EB45" w14:textId="77777777" w:rsidR="00D06CE5" w:rsidRDefault="00D06CE5" w:rsidP="00CE71BF">
      <w:pPr>
        <w:spacing w:after="0" w:line="276" w:lineRule="auto"/>
        <w:contextualSpacing/>
        <w:jc w:val="both"/>
        <w:rPr>
          <w:rFonts w:ascii="Arial" w:hAnsi="Arial" w:cs="Arial"/>
        </w:rPr>
      </w:pPr>
    </w:p>
    <w:p w14:paraId="4F7CB221" w14:textId="05C1396C" w:rsidR="009811DA" w:rsidRPr="00A610E9" w:rsidRDefault="00A44EBC" w:rsidP="00CE71BF">
      <w:pPr>
        <w:spacing w:after="0" w:line="276" w:lineRule="auto"/>
        <w:contextualSpacing/>
        <w:jc w:val="both"/>
        <w:rPr>
          <w:rFonts w:ascii="Arial" w:hAnsi="Arial" w:cs="Arial"/>
        </w:rPr>
      </w:pPr>
      <w:r w:rsidRPr="00A610E9">
        <w:rPr>
          <w:rFonts w:ascii="Arial" w:hAnsi="Arial" w:cs="Arial"/>
        </w:rPr>
        <w:t xml:space="preserve">La Asamblea por mayoría </w:t>
      </w:r>
      <w:r w:rsidR="004F73B4" w:rsidRPr="00A610E9">
        <w:rPr>
          <w:rFonts w:ascii="Arial" w:hAnsi="Arial" w:cs="Arial"/>
        </w:rPr>
        <w:t>absoluta</w:t>
      </w:r>
      <w:r w:rsidRPr="00A610E9">
        <w:rPr>
          <w:rFonts w:ascii="Arial" w:hAnsi="Arial" w:cs="Arial"/>
        </w:rPr>
        <w:t xml:space="preserve"> de votos computables resolvió</w:t>
      </w:r>
      <w:r w:rsidR="0056099E">
        <w:rPr>
          <w:rFonts w:ascii="Arial" w:hAnsi="Arial" w:cs="Arial"/>
        </w:rPr>
        <w:t xml:space="preserve"> r</w:t>
      </w:r>
      <w:r w:rsidR="00F00867" w:rsidRPr="00A610E9">
        <w:rPr>
          <w:rFonts w:ascii="Arial" w:hAnsi="Arial" w:cs="Arial"/>
        </w:rPr>
        <w:t xml:space="preserve">atificar la designación de los Sres. Daniel Antúnez como director suplente –la cual fuere resuelta en los términos del artículo 258 de la LGS mediante reunión de Comisión Fiscalizadora del 16 de julio de 2021− y Roberto </w:t>
      </w:r>
      <w:proofErr w:type="spellStart"/>
      <w:r w:rsidR="00F00867" w:rsidRPr="00A610E9">
        <w:rPr>
          <w:rFonts w:ascii="Arial" w:hAnsi="Arial" w:cs="Arial"/>
        </w:rPr>
        <w:t>Apelbaum</w:t>
      </w:r>
      <w:proofErr w:type="spellEnd"/>
      <w:r w:rsidR="00F00867" w:rsidRPr="00A610E9">
        <w:rPr>
          <w:rFonts w:ascii="Arial" w:hAnsi="Arial" w:cs="Arial"/>
        </w:rPr>
        <w:t xml:space="preserve"> como director titular −resuelta en los términos del artículo 258 de la LGS mediante reunión de Comisión Fiscalizadora del 27 de septiembre de 2021−, dejando constancia que ambos revisten el carácter de “</w:t>
      </w:r>
      <w:r w:rsidR="00F00867" w:rsidRPr="00A610E9">
        <w:rPr>
          <w:rFonts w:ascii="Arial" w:hAnsi="Arial" w:cs="Arial"/>
          <w:i/>
          <w:iCs/>
        </w:rPr>
        <w:t>no independientes</w:t>
      </w:r>
      <w:r w:rsidR="00F00867" w:rsidRPr="00A610E9">
        <w:rPr>
          <w:rFonts w:ascii="Arial" w:hAnsi="Arial" w:cs="Arial"/>
        </w:rPr>
        <w:t>”</w:t>
      </w:r>
      <w:r w:rsidR="00783AF3" w:rsidRPr="00A610E9">
        <w:rPr>
          <w:rFonts w:ascii="Arial" w:hAnsi="Arial" w:cs="Arial"/>
        </w:rPr>
        <w:t>.</w:t>
      </w:r>
    </w:p>
    <w:p w14:paraId="381EC604" w14:textId="0F9F4F3D" w:rsidR="00783AF3" w:rsidRPr="00A610E9" w:rsidRDefault="00783AF3" w:rsidP="00CE71BF">
      <w:pPr>
        <w:pStyle w:val="Prrafodelista"/>
        <w:spacing w:after="0" w:line="276" w:lineRule="auto"/>
        <w:jc w:val="both"/>
        <w:rPr>
          <w:rFonts w:ascii="Arial" w:hAnsi="Arial" w:cs="Arial"/>
        </w:rPr>
      </w:pPr>
    </w:p>
    <w:p w14:paraId="22F60106" w14:textId="77777777" w:rsidR="006C17A1" w:rsidRPr="00A610E9" w:rsidRDefault="006C17A1" w:rsidP="00CE71BF">
      <w:pPr>
        <w:pStyle w:val="Prrafodelista"/>
        <w:numPr>
          <w:ilvl w:val="0"/>
          <w:numId w:val="1"/>
        </w:numPr>
        <w:spacing w:after="0" w:line="276" w:lineRule="auto"/>
        <w:jc w:val="both"/>
        <w:rPr>
          <w:rFonts w:ascii="Arial" w:hAnsi="Arial" w:cs="Arial"/>
        </w:rPr>
      </w:pPr>
      <w:r w:rsidRPr="00A610E9">
        <w:rPr>
          <w:rFonts w:ascii="Arial" w:hAnsi="Arial" w:cs="Arial"/>
          <w:b/>
          <w:bCs/>
          <w:u w:val="single"/>
        </w:rPr>
        <w:t>Otorgamiento de autorizaciones para la realización de los trámites y presentaciones necesarias para la obtención de las inscripciones correspondientes</w:t>
      </w:r>
      <w:r w:rsidRPr="00A610E9">
        <w:rPr>
          <w:rFonts w:ascii="Arial" w:hAnsi="Arial" w:cs="Arial"/>
        </w:rPr>
        <w:t xml:space="preserve">. </w:t>
      </w:r>
    </w:p>
    <w:p w14:paraId="3896BCAF" w14:textId="77777777" w:rsidR="00D06CE5" w:rsidRDefault="00D06CE5" w:rsidP="00CE71BF">
      <w:pPr>
        <w:spacing w:after="0" w:line="276" w:lineRule="auto"/>
        <w:contextualSpacing/>
        <w:jc w:val="both"/>
        <w:rPr>
          <w:rFonts w:ascii="Arial" w:hAnsi="Arial" w:cs="Arial"/>
        </w:rPr>
      </w:pPr>
    </w:p>
    <w:p w14:paraId="6AD0E16A" w14:textId="2AC4CC25" w:rsidR="006C17A1" w:rsidRPr="00A610E9" w:rsidRDefault="006C17A1" w:rsidP="00CE71BF">
      <w:pPr>
        <w:spacing w:after="0" w:line="276" w:lineRule="auto"/>
        <w:contextualSpacing/>
        <w:jc w:val="both"/>
        <w:rPr>
          <w:rFonts w:ascii="Arial" w:hAnsi="Arial" w:cs="Arial"/>
        </w:rPr>
      </w:pPr>
      <w:r w:rsidRPr="00A610E9">
        <w:rPr>
          <w:rFonts w:ascii="Arial" w:hAnsi="Arial" w:cs="Arial"/>
        </w:rPr>
        <w:t xml:space="preserve">La Asamblea por mayoría </w:t>
      </w:r>
      <w:r w:rsidR="00A40029" w:rsidRPr="00A610E9">
        <w:rPr>
          <w:rFonts w:ascii="Arial" w:hAnsi="Arial" w:cs="Arial"/>
        </w:rPr>
        <w:t>absoluta</w:t>
      </w:r>
      <w:r w:rsidRPr="00A610E9">
        <w:rPr>
          <w:rFonts w:ascii="Arial" w:hAnsi="Arial" w:cs="Arial"/>
        </w:rPr>
        <w:t xml:space="preserve"> de votos computables resolvió</w:t>
      </w:r>
      <w:r w:rsidR="0056099E">
        <w:rPr>
          <w:rFonts w:ascii="Arial" w:hAnsi="Arial" w:cs="Arial"/>
        </w:rPr>
        <w:t xml:space="preserve"> a</w:t>
      </w:r>
      <w:r w:rsidR="001B2A29" w:rsidRPr="00A610E9">
        <w:rPr>
          <w:rFonts w:ascii="Arial" w:hAnsi="Arial" w:cs="Arial"/>
        </w:rPr>
        <w:t xml:space="preserve">utorizar </w:t>
      </w:r>
      <w:r w:rsidR="0099779C" w:rsidRPr="00A610E9">
        <w:rPr>
          <w:rFonts w:ascii="Arial" w:hAnsi="Arial" w:cs="Arial"/>
        </w:rPr>
        <w:t xml:space="preserve">a </w:t>
      </w:r>
      <w:r w:rsidR="00975869" w:rsidRPr="00A610E9">
        <w:rPr>
          <w:rFonts w:ascii="Arial" w:hAnsi="Arial" w:cs="Arial"/>
        </w:rPr>
        <w:t>Daniel Antunez, Camila Corradini, Victoria Bengochea, Ignacio Martin Meggiolaro, Karina Gabriela Damiano, Jean Daniel Moreteau, Victoria Mazzurco, Matías Lucena Teplixke, Facundo Suarez Echeverria, Lucas Ricardo Tomkinson, Pilar Arrigo y/o quienes ellos designen para que, actuando indistintamente cualquiera de ellos, realicen cuanto trámite sea necesario ante los organismos correspondientes, a los efectos de inscribir y/o realizar todas aquellas presentaciones que puedan corresponder respecto de las resoluciones que se aprueben en la Asamblea de Accionistas.</w:t>
      </w:r>
    </w:p>
    <w:p w14:paraId="5905A6F6" w14:textId="48E31398" w:rsidR="0054156E" w:rsidRPr="00A610E9" w:rsidRDefault="0054156E" w:rsidP="00CE71BF">
      <w:pPr>
        <w:pStyle w:val="Prrafodelista"/>
        <w:spacing w:after="0" w:line="276" w:lineRule="auto"/>
        <w:jc w:val="center"/>
        <w:rPr>
          <w:rFonts w:ascii="Arial" w:hAnsi="Arial" w:cs="Arial"/>
        </w:rPr>
      </w:pPr>
    </w:p>
    <w:p w14:paraId="4B2E8572" w14:textId="6B5B17AC" w:rsidR="002D2A49" w:rsidRPr="00A610E9" w:rsidRDefault="002D2A49" w:rsidP="00CE71BF">
      <w:pPr>
        <w:pStyle w:val="Prrafodelista"/>
        <w:spacing w:after="0" w:line="276" w:lineRule="auto"/>
        <w:jc w:val="center"/>
        <w:rPr>
          <w:rFonts w:ascii="Arial" w:hAnsi="Arial" w:cs="Arial"/>
        </w:rPr>
      </w:pPr>
      <w:r w:rsidRPr="00A610E9">
        <w:rPr>
          <w:rFonts w:ascii="Arial" w:hAnsi="Arial" w:cs="Arial"/>
        </w:rPr>
        <w:t>Sin otro particular, saludo a Uds. muy atentamente.</w:t>
      </w:r>
    </w:p>
    <w:p w14:paraId="0113B032" w14:textId="77777777" w:rsidR="002D2A49" w:rsidRPr="00A610E9" w:rsidRDefault="002D2A49" w:rsidP="00CE71BF">
      <w:pPr>
        <w:pStyle w:val="Prrafodelista"/>
        <w:spacing w:after="0" w:line="276" w:lineRule="auto"/>
        <w:jc w:val="both"/>
        <w:rPr>
          <w:rFonts w:ascii="Arial" w:hAnsi="Arial" w:cs="Arial"/>
        </w:rPr>
      </w:pPr>
    </w:p>
    <w:p w14:paraId="7C21A614" w14:textId="77777777" w:rsidR="006C1E3C" w:rsidRPr="00A610E9" w:rsidRDefault="006C1E3C" w:rsidP="00CE71BF">
      <w:pPr>
        <w:pStyle w:val="Textoindependiente"/>
        <w:kinsoku w:val="0"/>
        <w:overflowPunct w:val="0"/>
        <w:spacing w:line="276" w:lineRule="auto"/>
        <w:contextualSpacing/>
        <w:jc w:val="both"/>
        <w:rPr>
          <w:rFonts w:ascii="Arial" w:hAnsi="Arial" w:cs="Arial"/>
          <w:i w:val="0"/>
          <w:iCs w:val="0"/>
          <w:sz w:val="22"/>
          <w:szCs w:val="22"/>
        </w:rPr>
      </w:pPr>
    </w:p>
    <w:p w14:paraId="611A4741" w14:textId="77777777" w:rsidR="00D52D1B" w:rsidRDefault="00D52D1B" w:rsidP="00CE71BF">
      <w:pPr>
        <w:pStyle w:val="Textoindependiente"/>
        <w:kinsoku w:val="0"/>
        <w:overflowPunct w:val="0"/>
        <w:spacing w:line="276" w:lineRule="auto"/>
        <w:ind w:right="1303"/>
        <w:contextualSpacing/>
        <w:rPr>
          <w:rFonts w:ascii="Arial" w:hAnsi="Arial" w:cs="Arial"/>
          <w:i w:val="0"/>
          <w:iCs w:val="0"/>
          <w:sz w:val="22"/>
          <w:szCs w:val="22"/>
        </w:rPr>
      </w:pPr>
    </w:p>
    <w:p w14:paraId="458D32E9" w14:textId="445F9F85" w:rsidR="00D52D1B" w:rsidRDefault="00D52D1B" w:rsidP="00CE71BF">
      <w:pPr>
        <w:pStyle w:val="Textoindependiente"/>
        <w:kinsoku w:val="0"/>
        <w:overflowPunct w:val="0"/>
        <w:spacing w:line="276" w:lineRule="auto"/>
        <w:ind w:right="1303"/>
        <w:contextualSpacing/>
        <w:jc w:val="center"/>
        <w:rPr>
          <w:rFonts w:ascii="Arial" w:hAnsi="Arial" w:cs="Arial"/>
          <w:i w:val="0"/>
          <w:iCs w:val="0"/>
          <w:sz w:val="22"/>
          <w:szCs w:val="22"/>
        </w:rPr>
      </w:pPr>
      <w:r>
        <w:rPr>
          <w:rFonts w:ascii="Arial" w:hAnsi="Arial" w:cs="Arial"/>
          <w:i w:val="0"/>
          <w:iCs w:val="0"/>
          <w:sz w:val="22"/>
          <w:szCs w:val="22"/>
        </w:rPr>
        <w:t>_____________________</w:t>
      </w:r>
    </w:p>
    <w:p w14:paraId="77EA0487" w14:textId="50D480D6" w:rsidR="006C1E3C" w:rsidRPr="00A610E9" w:rsidRDefault="00D52D1B" w:rsidP="00CE71BF">
      <w:pPr>
        <w:pStyle w:val="Textoindependiente"/>
        <w:kinsoku w:val="0"/>
        <w:overflowPunct w:val="0"/>
        <w:spacing w:line="276" w:lineRule="auto"/>
        <w:ind w:right="1303"/>
        <w:contextualSpacing/>
        <w:jc w:val="center"/>
        <w:rPr>
          <w:rFonts w:ascii="Arial" w:hAnsi="Arial" w:cs="Arial"/>
          <w:i w:val="0"/>
          <w:iCs w:val="0"/>
          <w:sz w:val="22"/>
          <w:szCs w:val="22"/>
        </w:rPr>
      </w:pPr>
      <w:r>
        <w:rPr>
          <w:rFonts w:ascii="Arial" w:hAnsi="Arial" w:cs="Arial"/>
          <w:i w:val="0"/>
          <w:iCs w:val="0"/>
          <w:sz w:val="22"/>
          <w:szCs w:val="22"/>
        </w:rPr>
        <w:t xml:space="preserve">Diego </w:t>
      </w:r>
      <w:proofErr w:type="spellStart"/>
      <w:r>
        <w:rPr>
          <w:rFonts w:ascii="Arial" w:hAnsi="Arial" w:cs="Arial"/>
          <w:i w:val="0"/>
          <w:iCs w:val="0"/>
          <w:sz w:val="22"/>
          <w:szCs w:val="22"/>
        </w:rPr>
        <w:t>Celaá</w:t>
      </w:r>
      <w:proofErr w:type="spellEnd"/>
    </w:p>
    <w:p w14:paraId="67BCA26E" w14:textId="77777777" w:rsidR="006C1E3C" w:rsidRPr="00A610E9" w:rsidRDefault="006C1E3C" w:rsidP="00CE71BF">
      <w:pPr>
        <w:pStyle w:val="Textoindependiente"/>
        <w:kinsoku w:val="0"/>
        <w:overflowPunct w:val="0"/>
        <w:spacing w:line="276" w:lineRule="auto"/>
        <w:ind w:right="1303"/>
        <w:contextualSpacing/>
        <w:jc w:val="center"/>
        <w:rPr>
          <w:rFonts w:ascii="Arial" w:hAnsi="Arial" w:cs="Arial"/>
          <w:i w:val="0"/>
          <w:iCs w:val="0"/>
          <w:sz w:val="22"/>
          <w:szCs w:val="22"/>
        </w:rPr>
      </w:pPr>
      <w:r w:rsidRPr="00A610E9">
        <w:rPr>
          <w:rFonts w:ascii="Arial" w:hAnsi="Arial" w:cs="Arial"/>
          <w:i w:val="0"/>
          <w:iCs w:val="0"/>
          <w:sz w:val="22"/>
          <w:szCs w:val="22"/>
        </w:rPr>
        <w:t>Responsable de Relaciones con el Mercado</w:t>
      </w:r>
    </w:p>
    <w:p w14:paraId="723962EB" w14:textId="77777777" w:rsidR="00541196" w:rsidRPr="00A610E9" w:rsidRDefault="00541196" w:rsidP="00A610E9">
      <w:pPr>
        <w:spacing w:after="0" w:line="276" w:lineRule="auto"/>
        <w:contextualSpacing/>
        <w:rPr>
          <w:rFonts w:ascii="Arial" w:hAnsi="Arial" w:cs="Arial"/>
          <w:bCs/>
          <w:lang w:val="es-419"/>
        </w:rPr>
      </w:pPr>
    </w:p>
    <w:sectPr w:rsidR="00541196" w:rsidRPr="00A610E9" w:rsidSect="009873DB">
      <w:headerReference w:type="default" r:id="rId7"/>
      <w:pgSz w:w="11906" w:h="16838" w:code="9"/>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73C5A" w14:textId="77777777" w:rsidR="00AF4C0A" w:rsidRDefault="00AF4C0A" w:rsidP="00CE661F">
      <w:pPr>
        <w:spacing w:after="0" w:line="240" w:lineRule="auto"/>
      </w:pPr>
      <w:r>
        <w:separator/>
      </w:r>
    </w:p>
  </w:endnote>
  <w:endnote w:type="continuationSeparator" w:id="0">
    <w:p w14:paraId="739B80A1" w14:textId="77777777" w:rsidR="00AF4C0A" w:rsidRDefault="00AF4C0A" w:rsidP="00CE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5DA0" w14:textId="77777777" w:rsidR="00AF4C0A" w:rsidRDefault="00AF4C0A" w:rsidP="00CE661F">
      <w:pPr>
        <w:spacing w:after="0" w:line="240" w:lineRule="auto"/>
      </w:pPr>
      <w:r>
        <w:separator/>
      </w:r>
    </w:p>
  </w:footnote>
  <w:footnote w:type="continuationSeparator" w:id="0">
    <w:p w14:paraId="0709B225" w14:textId="77777777" w:rsidR="00AF4C0A" w:rsidRDefault="00AF4C0A" w:rsidP="00CE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6902" w14:textId="50A71032" w:rsidR="00CE661F" w:rsidRDefault="00D72537">
    <w:pPr>
      <w:pStyle w:val="Encabezado"/>
    </w:pPr>
    <w:r>
      <w:rPr>
        <w:noProof/>
      </w:rPr>
      <w:drawing>
        <wp:anchor distT="0" distB="0" distL="114300" distR="114300" simplePos="0" relativeHeight="251658240" behindDoc="1" locked="0" layoutInCell="1" allowOverlap="1" wp14:anchorId="1CF71336" wp14:editId="7A455A9D">
          <wp:simplePos x="0" y="0"/>
          <wp:positionH relativeFrom="rightMargin">
            <wp:align>left</wp:align>
          </wp:positionH>
          <wp:positionV relativeFrom="paragraph">
            <wp:posOffset>6350</wp:posOffset>
          </wp:positionV>
          <wp:extent cx="666750" cy="671830"/>
          <wp:effectExtent l="0" t="0" r="0" b="0"/>
          <wp:wrapTight wrapText="bothSides">
            <wp:wrapPolygon edited="0">
              <wp:start x="0" y="0"/>
              <wp:lineTo x="0" y="20824"/>
              <wp:lineTo x="20983" y="20824"/>
              <wp:lineTo x="20983" y="0"/>
              <wp:lineTo x="0" y="0"/>
            </wp:wrapPolygon>
          </wp:wrapTight>
          <wp:docPr id="21" name="Imagen 2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84E4C" w14:textId="6B1646CD" w:rsidR="00CE661F" w:rsidRDefault="00CE66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4E49"/>
    <w:multiLevelType w:val="hybridMultilevel"/>
    <w:tmpl w:val="EE52834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1741371"/>
    <w:multiLevelType w:val="hybridMultilevel"/>
    <w:tmpl w:val="EE52834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A36424"/>
    <w:multiLevelType w:val="hybridMultilevel"/>
    <w:tmpl w:val="A978E3DC"/>
    <w:lvl w:ilvl="0" w:tplc="EB363336">
      <w:start w:val="1"/>
      <w:numFmt w:val="decimal"/>
      <w:lvlText w:val="%1)"/>
      <w:lvlJc w:val="left"/>
      <w:pPr>
        <w:ind w:left="720" w:hanging="360"/>
      </w:pPr>
      <w:rPr>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81012833">
    <w:abstractNumId w:val="2"/>
  </w:num>
  <w:num w:numId="2" w16cid:durableId="72362994">
    <w:abstractNumId w:val="0"/>
  </w:num>
  <w:num w:numId="3" w16cid:durableId="24171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D0"/>
    <w:rsid w:val="00004754"/>
    <w:rsid w:val="000314F2"/>
    <w:rsid w:val="00057DF4"/>
    <w:rsid w:val="00061242"/>
    <w:rsid w:val="00071C5E"/>
    <w:rsid w:val="000769C6"/>
    <w:rsid w:val="000858E7"/>
    <w:rsid w:val="00094D26"/>
    <w:rsid w:val="000B4222"/>
    <w:rsid w:val="000C7FFE"/>
    <w:rsid w:val="00126BED"/>
    <w:rsid w:val="00127A09"/>
    <w:rsid w:val="00136C20"/>
    <w:rsid w:val="00146884"/>
    <w:rsid w:val="0017330E"/>
    <w:rsid w:val="00191D57"/>
    <w:rsid w:val="001B2A29"/>
    <w:rsid w:val="001B7158"/>
    <w:rsid w:val="001D0300"/>
    <w:rsid w:val="001D0BFC"/>
    <w:rsid w:val="001F2A9E"/>
    <w:rsid w:val="001F7F6E"/>
    <w:rsid w:val="00206710"/>
    <w:rsid w:val="00227708"/>
    <w:rsid w:val="002303AA"/>
    <w:rsid w:val="00231713"/>
    <w:rsid w:val="00260DA3"/>
    <w:rsid w:val="00271C66"/>
    <w:rsid w:val="00273EC4"/>
    <w:rsid w:val="002C03F7"/>
    <w:rsid w:val="002C3C50"/>
    <w:rsid w:val="002D2A49"/>
    <w:rsid w:val="003076D2"/>
    <w:rsid w:val="00313D8C"/>
    <w:rsid w:val="00317061"/>
    <w:rsid w:val="00326F8E"/>
    <w:rsid w:val="00332D02"/>
    <w:rsid w:val="00370569"/>
    <w:rsid w:val="00377563"/>
    <w:rsid w:val="003B7727"/>
    <w:rsid w:val="003B7981"/>
    <w:rsid w:val="003C38D4"/>
    <w:rsid w:val="003F04B8"/>
    <w:rsid w:val="003F2560"/>
    <w:rsid w:val="003F2E27"/>
    <w:rsid w:val="004226E0"/>
    <w:rsid w:val="00442C91"/>
    <w:rsid w:val="004538AA"/>
    <w:rsid w:val="0045662C"/>
    <w:rsid w:val="00466788"/>
    <w:rsid w:val="0049224D"/>
    <w:rsid w:val="0049618A"/>
    <w:rsid w:val="004A1B25"/>
    <w:rsid w:val="004B62CC"/>
    <w:rsid w:val="004B6421"/>
    <w:rsid w:val="004E1A87"/>
    <w:rsid w:val="004F2478"/>
    <w:rsid w:val="004F73B4"/>
    <w:rsid w:val="00500006"/>
    <w:rsid w:val="005027E2"/>
    <w:rsid w:val="00507E52"/>
    <w:rsid w:val="0051360D"/>
    <w:rsid w:val="005220DC"/>
    <w:rsid w:val="00532E80"/>
    <w:rsid w:val="00541196"/>
    <w:rsid w:val="0054156E"/>
    <w:rsid w:val="0056099E"/>
    <w:rsid w:val="00590C13"/>
    <w:rsid w:val="005918D0"/>
    <w:rsid w:val="005A501A"/>
    <w:rsid w:val="005A7E02"/>
    <w:rsid w:val="005C572E"/>
    <w:rsid w:val="005D0EBF"/>
    <w:rsid w:val="005D68D6"/>
    <w:rsid w:val="005D7626"/>
    <w:rsid w:val="005F0923"/>
    <w:rsid w:val="005F42A2"/>
    <w:rsid w:val="00613CEF"/>
    <w:rsid w:val="00627D8E"/>
    <w:rsid w:val="006336C7"/>
    <w:rsid w:val="00635608"/>
    <w:rsid w:val="00637306"/>
    <w:rsid w:val="0064508C"/>
    <w:rsid w:val="00662FCC"/>
    <w:rsid w:val="006768FC"/>
    <w:rsid w:val="006A722F"/>
    <w:rsid w:val="006C17A1"/>
    <w:rsid w:val="006C1E3C"/>
    <w:rsid w:val="006D399C"/>
    <w:rsid w:val="006F5535"/>
    <w:rsid w:val="006F5EA7"/>
    <w:rsid w:val="00700A63"/>
    <w:rsid w:val="00704EEC"/>
    <w:rsid w:val="00722C61"/>
    <w:rsid w:val="00730CD7"/>
    <w:rsid w:val="007320AE"/>
    <w:rsid w:val="00753631"/>
    <w:rsid w:val="00777F91"/>
    <w:rsid w:val="00783AF3"/>
    <w:rsid w:val="00787933"/>
    <w:rsid w:val="00796A3A"/>
    <w:rsid w:val="007A0D2C"/>
    <w:rsid w:val="007C7A6A"/>
    <w:rsid w:val="007E1A91"/>
    <w:rsid w:val="007E7EFE"/>
    <w:rsid w:val="00813FA2"/>
    <w:rsid w:val="008222DE"/>
    <w:rsid w:val="00852042"/>
    <w:rsid w:val="00855E00"/>
    <w:rsid w:val="0088535E"/>
    <w:rsid w:val="008A753E"/>
    <w:rsid w:val="008B0B5A"/>
    <w:rsid w:val="008E2D5F"/>
    <w:rsid w:val="00902871"/>
    <w:rsid w:val="00925861"/>
    <w:rsid w:val="0093600C"/>
    <w:rsid w:val="00950BEA"/>
    <w:rsid w:val="00957CAC"/>
    <w:rsid w:val="00971F3E"/>
    <w:rsid w:val="00972BC3"/>
    <w:rsid w:val="00975869"/>
    <w:rsid w:val="00980E58"/>
    <w:rsid w:val="009811DA"/>
    <w:rsid w:val="009873DB"/>
    <w:rsid w:val="009934C1"/>
    <w:rsid w:val="0099779C"/>
    <w:rsid w:val="009A5101"/>
    <w:rsid w:val="009B13D8"/>
    <w:rsid w:val="009D37D6"/>
    <w:rsid w:val="009E42EC"/>
    <w:rsid w:val="009E7E3B"/>
    <w:rsid w:val="009F26DB"/>
    <w:rsid w:val="00A04804"/>
    <w:rsid w:val="00A11187"/>
    <w:rsid w:val="00A20FA3"/>
    <w:rsid w:val="00A23B91"/>
    <w:rsid w:val="00A40029"/>
    <w:rsid w:val="00A44EBC"/>
    <w:rsid w:val="00A57F52"/>
    <w:rsid w:val="00A610E9"/>
    <w:rsid w:val="00A73301"/>
    <w:rsid w:val="00A815CD"/>
    <w:rsid w:val="00AC3B46"/>
    <w:rsid w:val="00AC6856"/>
    <w:rsid w:val="00AE0D6D"/>
    <w:rsid w:val="00AE30B2"/>
    <w:rsid w:val="00AF12BD"/>
    <w:rsid w:val="00AF4C0A"/>
    <w:rsid w:val="00B034F6"/>
    <w:rsid w:val="00B1244C"/>
    <w:rsid w:val="00B20436"/>
    <w:rsid w:val="00B25C11"/>
    <w:rsid w:val="00B4354B"/>
    <w:rsid w:val="00B502BF"/>
    <w:rsid w:val="00B601B5"/>
    <w:rsid w:val="00B61F9D"/>
    <w:rsid w:val="00BA5E38"/>
    <w:rsid w:val="00BC1CF9"/>
    <w:rsid w:val="00BF523E"/>
    <w:rsid w:val="00C3161E"/>
    <w:rsid w:val="00C50158"/>
    <w:rsid w:val="00C90193"/>
    <w:rsid w:val="00C96421"/>
    <w:rsid w:val="00CA3D3F"/>
    <w:rsid w:val="00CB2565"/>
    <w:rsid w:val="00CC02CC"/>
    <w:rsid w:val="00CE661F"/>
    <w:rsid w:val="00CE71BF"/>
    <w:rsid w:val="00D06CE5"/>
    <w:rsid w:val="00D12175"/>
    <w:rsid w:val="00D2318B"/>
    <w:rsid w:val="00D410AA"/>
    <w:rsid w:val="00D46937"/>
    <w:rsid w:val="00D5261D"/>
    <w:rsid w:val="00D52D1B"/>
    <w:rsid w:val="00D5561C"/>
    <w:rsid w:val="00D64957"/>
    <w:rsid w:val="00D72537"/>
    <w:rsid w:val="00D92577"/>
    <w:rsid w:val="00D9629C"/>
    <w:rsid w:val="00DA4B8D"/>
    <w:rsid w:val="00DA6FEF"/>
    <w:rsid w:val="00DB5E3A"/>
    <w:rsid w:val="00DD614A"/>
    <w:rsid w:val="00DD678B"/>
    <w:rsid w:val="00DE1D20"/>
    <w:rsid w:val="00DE4981"/>
    <w:rsid w:val="00DF166C"/>
    <w:rsid w:val="00DF4810"/>
    <w:rsid w:val="00E01E10"/>
    <w:rsid w:val="00E16F52"/>
    <w:rsid w:val="00E27755"/>
    <w:rsid w:val="00E332D0"/>
    <w:rsid w:val="00E42278"/>
    <w:rsid w:val="00E45D1A"/>
    <w:rsid w:val="00E627C7"/>
    <w:rsid w:val="00E63446"/>
    <w:rsid w:val="00E64980"/>
    <w:rsid w:val="00EA2CC3"/>
    <w:rsid w:val="00EB066F"/>
    <w:rsid w:val="00EC4DB6"/>
    <w:rsid w:val="00EC59F0"/>
    <w:rsid w:val="00EE0122"/>
    <w:rsid w:val="00F00867"/>
    <w:rsid w:val="00F24D3E"/>
    <w:rsid w:val="00F51CB1"/>
    <w:rsid w:val="00FA34D2"/>
    <w:rsid w:val="00FC46F9"/>
    <w:rsid w:val="00FC5355"/>
    <w:rsid w:val="00FD25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F7FE3"/>
  <w15:chartTrackingRefBased/>
  <w15:docId w15:val="{8550FE62-00F2-426C-998E-B8AAE409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F5535"/>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CE66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661F"/>
  </w:style>
  <w:style w:type="paragraph" w:styleId="Piedepgina">
    <w:name w:val="footer"/>
    <w:basedOn w:val="Normal"/>
    <w:link w:val="PiedepginaCar"/>
    <w:uiPriority w:val="99"/>
    <w:unhideWhenUsed/>
    <w:rsid w:val="00CE66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661F"/>
  </w:style>
  <w:style w:type="paragraph" w:styleId="Prrafodelista">
    <w:name w:val="List Paragraph"/>
    <w:aliases w:val="lp"/>
    <w:basedOn w:val="Normal"/>
    <w:link w:val="PrrafodelistaCar"/>
    <w:uiPriority w:val="34"/>
    <w:qFormat/>
    <w:rsid w:val="001D0300"/>
    <w:pPr>
      <w:ind w:left="720"/>
      <w:contextualSpacing/>
    </w:pPr>
  </w:style>
  <w:style w:type="character" w:customStyle="1" w:styleId="PrrafodelistaCar">
    <w:name w:val="Párrafo de lista Car"/>
    <w:aliases w:val="lp Car"/>
    <w:basedOn w:val="Fuentedeprrafopredeter"/>
    <w:link w:val="Prrafodelista"/>
    <w:uiPriority w:val="34"/>
    <w:locked/>
    <w:rsid w:val="000858E7"/>
  </w:style>
  <w:style w:type="paragraph" w:styleId="Textoindependiente">
    <w:name w:val="Body Text"/>
    <w:basedOn w:val="Normal"/>
    <w:link w:val="TextoindependienteCar"/>
    <w:uiPriority w:val="1"/>
    <w:qFormat/>
    <w:rsid w:val="006C1E3C"/>
    <w:pPr>
      <w:widowControl w:val="0"/>
      <w:autoSpaceDE w:val="0"/>
      <w:autoSpaceDN w:val="0"/>
      <w:adjustRightInd w:val="0"/>
      <w:spacing w:after="0" w:line="240" w:lineRule="auto"/>
    </w:pPr>
    <w:rPr>
      <w:rFonts w:ascii="Times New Roman" w:eastAsiaTheme="minorEastAsia" w:hAnsi="Times New Roman" w:cs="Times New Roman"/>
      <w:i/>
      <w:iCs/>
      <w:sz w:val="24"/>
      <w:szCs w:val="24"/>
      <w:lang w:eastAsia="es-AR"/>
    </w:rPr>
  </w:style>
  <w:style w:type="character" w:customStyle="1" w:styleId="TextoindependienteCar">
    <w:name w:val="Texto independiente Car"/>
    <w:basedOn w:val="Fuentedeprrafopredeter"/>
    <w:link w:val="Textoindependiente"/>
    <w:uiPriority w:val="1"/>
    <w:rsid w:val="006C1E3C"/>
    <w:rPr>
      <w:rFonts w:ascii="Times New Roman" w:eastAsiaTheme="minorEastAsia" w:hAnsi="Times New Roman" w:cs="Times New Roman"/>
      <w:i/>
      <w:iCs/>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78270">
      <w:bodyDiv w:val="1"/>
      <w:marLeft w:val="0"/>
      <w:marRight w:val="0"/>
      <w:marTop w:val="0"/>
      <w:marBottom w:val="0"/>
      <w:divBdr>
        <w:top w:val="none" w:sz="0" w:space="0" w:color="auto"/>
        <w:left w:val="none" w:sz="0" w:space="0" w:color="auto"/>
        <w:bottom w:val="none" w:sz="0" w:space="0" w:color="auto"/>
        <w:right w:val="none" w:sz="0" w:space="0" w:color="auto"/>
      </w:divBdr>
    </w:div>
    <w:div w:id="10594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Pages>
  <Words>1410</Words>
  <Characters>7755</Characters>
  <Application>Microsoft Office Word</Application>
  <DocSecurity>0</DocSecurity>
  <Lines>64</Lines>
  <Paragraphs>18</Paragraphs>
  <ScaleCrop>false</ScaleCrop>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Mazzurco</dc:creator>
  <cp:keywords/>
  <dc:description/>
  <cp:lastModifiedBy>Victoria Bengochea</cp:lastModifiedBy>
  <cp:revision>203</cp:revision>
  <cp:lastPrinted>2022-04-26T19:07:00Z</cp:lastPrinted>
  <dcterms:created xsi:type="dcterms:W3CDTF">2022-04-25T14:01:00Z</dcterms:created>
  <dcterms:modified xsi:type="dcterms:W3CDTF">2022-04-26T20:52:00Z</dcterms:modified>
</cp:coreProperties>
</file>