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4E3688" w14:textId="77777777" w:rsidR="00DF38A6" w:rsidRPr="00447282" w:rsidRDefault="00DF38A6" w:rsidP="003625DE">
      <w:pPr>
        <w:pStyle w:val="Ttulo3"/>
        <w:rPr>
          <w:rFonts w:ascii="Arial" w:hAnsi="Arial" w:cs="Arial"/>
          <w:b/>
          <w:bCs/>
          <w:sz w:val="22"/>
          <w:szCs w:val="22"/>
          <w:lang w:val="es-AR"/>
        </w:rPr>
      </w:pPr>
    </w:p>
    <w:p w14:paraId="3E7F451E" w14:textId="40CB1216" w:rsidR="003625DE" w:rsidRDefault="003625DE" w:rsidP="003625DE">
      <w:pPr>
        <w:pStyle w:val="Ttulo3"/>
        <w:rPr>
          <w:rFonts w:ascii="Arial" w:hAnsi="Arial" w:cs="Arial"/>
          <w:b/>
          <w:bCs/>
          <w:sz w:val="22"/>
          <w:szCs w:val="22"/>
        </w:rPr>
      </w:pPr>
      <w:r w:rsidRPr="003625DE">
        <w:rPr>
          <w:rFonts w:ascii="Arial" w:hAnsi="Arial" w:cs="Arial"/>
          <w:b/>
          <w:bCs/>
          <w:sz w:val="22"/>
          <w:szCs w:val="22"/>
        </w:rPr>
        <w:t xml:space="preserve">ACTA DE DIRECTORIO </w:t>
      </w:r>
      <w:proofErr w:type="spellStart"/>
      <w:r w:rsidRPr="003625DE">
        <w:rPr>
          <w:rFonts w:ascii="Arial" w:hAnsi="Arial" w:cs="Arial"/>
          <w:b/>
          <w:bCs/>
          <w:sz w:val="22"/>
          <w:szCs w:val="22"/>
        </w:rPr>
        <w:t>N°</w:t>
      </w:r>
      <w:proofErr w:type="spellEnd"/>
      <w:r w:rsidRPr="003625DE">
        <w:rPr>
          <w:rFonts w:ascii="Arial" w:hAnsi="Arial" w:cs="Arial"/>
          <w:b/>
          <w:bCs/>
          <w:sz w:val="22"/>
          <w:szCs w:val="22"/>
        </w:rPr>
        <w:t xml:space="preserve"> </w:t>
      </w:r>
      <w:r w:rsidR="007A16B3">
        <w:rPr>
          <w:rFonts w:ascii="Arial" w:hAnsi="Arial" w:cs="Arial"/>
          <w:b/>
          <w:bCs/>
          <w:sz w:val="22"/>
          <w:szCs w:val="22"/>
        </w:rPr>
        <w:t>1798</w:t>
      </w:r>
      <w:r w:rsidRPr="003625DE">
        <w:rPr>
          <w:rFonts w:ascii="Arial" w:hAnsi="Arial" w:cs="Arial"/>
          <w:b/>
          <w:bCs/>
          <w:sz w:val="22"/>
          <w:szCs w:val="22"/>
        </w:rPr>
        <w:t xml:space="preserve"> </w:t>
      </w:r>
    </w:p>
    <w:p w14:paraId="0E7CD6A4" w14:textId="77777777" w:rsidR="003625DE" w:rsidRPr="003625DE" w:rsidRDefault="003625DE" w:rsidP="003625DE"/>
    <w:p w14:paraId="513A6D91" w14:textId="6E062054" w:rsidR="00D67668" w:rsidRDefault="003625DE" w:rsidP="003625DE">
      <w:pPr>
        <w:pStyle w:val="Ttulo3"/>
        <w:rPr>
          <w:rFonts w:ascii="Arial" w:hAnsi="Arial" w:cs="Arial"/>
          <w:sz w:val="22"/>
          <w:szCs w:val="22"/>
        </w:rPr>
      </w:pPr>
      <w:r w:rsidRPr="003625DE">
        <w:rPr>
          <w:rFonts w:ascii="Arial" w:hAnsi="Arial" w:cs="Arial"/>
          <w:sz w:val="22"/>
          <w:szCs w:val="22"/>
        </w:rPr>
        <w:t xml:space="preserve">En la ciudad de </w:t>
      </w:r>
      <w:r w:rsidR="004375A3">
        <w:rPr>
          <w:rFonts w:ascii="Arial" w:hAnsi="Arial" w:cs="Arial"/>
          <w:sz w:val="22"/>
          <w:szCs w:val="22"/>
        </w:rPr>
        <w:t>Buenos Aires</w:t>
      </w:r>
      <w:r w:rsidRPr="003625DE">
        <w:rPr>
          <w:rFonts w:ascii="Arial" w:hAnsi="Arial" w:cs="Arial"/>
          <w:sz w:val="22"/>
          <w:szCs w:val="22"/>
        </w:rPr>
        <w:t xml:space="preserve">, a los </w:t>
      </w:r>
      <w:r w:rsidR="004375A3">
        <w:rPr>
          <w:rFonts w:ascii="Arial" w:hAnsi="Arial" w:cs="Arial"/>
          <w:sz w:val="22"/>
          <w:szCs w:val="22"/>
        </w:rPr>
        <w:t>10</w:t>
      </w:r>
      <w:r w:rsidRPr="003625DE">
        <w:rPr>
          <w:rFonts w:ascii="Arial" w:hAnsi="Arial" w:cs="Arial"/>
          <w:sz w:val="22"/>
          <w:szCs w:val="22"/>
        </w:rPr>
        <w:t xml:space="preserve"> días del mes de marzo de 202</w:t>
      </w:r>
      <w:r w:rsidR="004375A3">
        <w:rPr>
          <w:rFonts w:ascii="Arial" w:hAnsi="Arial" w:cs="Arial"/>
          <w:sz w:val="22"/>
          <w:szCs w:val="22"/>
        </w:rPr>
        <w:t>5</w:t>
      </w:r>
      <w:r w:rsidRPr="003625DE">
        <w:rPr>
          <w:rFonts w:ascii="Arial" w:hAnsi="Arial" w:cs="Arial"/>
          <w:sz w:val="22"/>
          <w:szCs w:val="22"/>
        </w:rPr>
        <w:t>, siendo las 1</w:t>
      </w:r>
      <w:r w:rsidR="00F70763">
        <w:rPr>
          <w:rFonts w:ascii="Arial" w:hAnsi="Arial" w:cs="Arial"/>
          <w:sz w:val="22"/>
          <w:szCs w:val="22"/>
        </w:rPr>
        <w:t>0</w:t>
      </w:r>
      <w:r w:rsidRPr="003625DE">
        <w:rPr>
          <w:rFonts w:ascii="Arial" w:hAnsi="Arial" w:cs="Arial"/>
          <w:sz w:val="22"/>
          <w:szCs w:val="22"/>
        </w:rPr>
        <w:t xml:space="preserve">.00 horas, se reúnen en </w:t>
      </w:r>
      <w:r w:rsidR="004375A3">
        <w:rPr>
          <w:rFonts w:ascii="Arial" w:hAnsi="Arial" w:cs="Arial"/>
          <w:sz w:val="22"/>
          <w:szCs w:val="22"/>
        </w:rPr>
        <w:t>Av. L. N. Alem 1058, PB, de la Ciudad Autónoma d</w:t>
      </w:r>
      <w:r w:rsidRPr="003625DE">
        <w:rPr>
          <w:rFonts w:ascii="Arial" w:hAnsi="Arial" w:cs="Arial"/>
          <w:sz w:val="22"/>
          <w:szCs w:val="22"/>
        </w:rPr>
        <w:t xml:space="preserve">e Buenos Aires los señores integrantes del Directorio del “Banco del Sol S.A.” (la “Sociedad”) con la asistencia del integrante de la Comisión Fiscalizadora, quienes firman al pie de la presente, luego de constatar la existencia de quórum para sesionar, se declara abierto el acto dando inicio al tratamiento de los puntos del orden del día que se indican a continuación:          </w:t>
      </w:r>
    </w:p>
    <w:p w14:paraId="560966BA" w14:textId="77777777" w:rsidR="00D67668" w:rsidRDefault="00D67668" w:rsidP="003625DE">
      <w:pPr>
        <w:pStyle w:val="Ttulo3"/>
        <w:rPr>
          <w:rFonts w:ascii="Arial" w:hAnsi="Arial" w:cs="Arial"/>
          <w:sz w:val="22"/>
          <w:szCs w:val="22"/>
        </w:rPr>
      </w:pPr>
    </w:p>
    <w:p w14:paraId="41B6CB75" w14:textId="7C8AE192" w:rsidR="00D67668" w:rsidRPr="00315D38" w:rsidRDefault="00D67668" w:rsidP="00D67668">
      <w:pPr>
        <w:pStyle w:val="Prrafodelista"/>
        <w:numPr>
          <w:ilvl w:val="0"/>
          <w:numId w:val="23"/>
        </w:numPr>
        <w:jc w:val="both"/>
        <w:rPr>
          <w:rFonts w:cs="Arial"/>
          <w:lang w:val="es-ES" w:eastAsia="es-ES"/>
        </w:rPr>
      </w:pPr>
      <w:r w:rsidRPr="00315D38">
        <w:rPr>
          <w:rFonts w:cs="Arial"/>
          <w:sz w:val="22"/>
          <w:szCs w:val="22"/>
        </w:rPr>
        <w:t xml:space="preserve">Tratar los Estados Financieros, Estado de Resultados Integrales, </w:t>
      </w:r>
      <w:r w:rsidR="00B91C64" w:rsidRPr="00B91C64">
        <w:rPr>
          <w:rFonts w:cs="Arial"/>
          <w:sz w:val="22"/>
          <w:szCs w:val="22"/>
        </w:rPr>
        <w:t>Estado de Resultados -Ganancia por Acción</w:t>
      </w:r>
      <w:r w:rsidR="00B91C64">
        <w:rPr>
          <w:rFonts w:cs="Arial"/>
          <w:sz w:val="22"/>
          <w:szCs w:val="22"/>
        </w:rPr>
        <w:t>-,</w:t>
      </w:r>
      <w:r w:rsidR="00B91C64" w:rsidRPr="00B91C64">
        <w:rPr>
          <w:rFonts w:cs="Arial"/>
          <w:sz w:val="22"/>
          <w:szCs w:val="22"/>
        </w:rPr>
        <w:t xml:space="preserve"> </w:t>
      </w:r>
      <w:r w:rsidRPr="00315D38">
        <w:rPr>
          <w:rFonts w:cs="Arial"/>
          <w:sz w:val="22"/>
          <w:szCs w:val="22"/>
        </w:rPr>
        <w:t>los Estados de Cambios en el Patrimonio y de Flujo de efectivo, Notas, Anexos, y Memoria del ejercicio terminado el 31 de diciembre de 202</w:t>
      </w:r>
      <w:r w:rsidR="00C12B46">
        <w:rPr>
          <w:rFonts w:cs="Arial"/>
          <w:sz w:val="22"/>
          <w:szCs w:val="22"/>
        </w:rPr>
        <w:t>4</w:t>
      </w:r>
      <w:r w:rsidRPr="00315D38">
        <w:rPr>
          <w:rFonts w:cs="Arial"/>
          <w:sz w:val="22"/>
          <w:szCs w:val="22"/>
        </w:rPr>
        <w:t>, luego de un intercambio de opiniones y de su análisis, los mismos son aprobados por unanimidad en este acto, y se procede a transcribir a continuación la Memoria aprobada</w:t>
      </w:r>
      <w:r w:rsidR="004601EE">
        <w:rPr>
          <w:rFonts w:cs="Arial"/>
          <w:sz w:val="22"/>
          <w:szCs w:val="22"/>
        </w:rPr>
        <w:t xml:space="preserve"> y el </w:t>
      </w:r>
      <w:r w:rsidR="004601EE" w:rsidRPr="004601EE">
        <w:rPr>
          <w:rFonts w:cs="Arial"/>
          <w:sz w:val="22"/>
          <w:szCs w:val="22"/>
        </w:rPr>
        <w:t xml:space="preserve">Informe de </w:t>
      </w:r>
      <w:r w:rsidR="0011319B">
        <w:rPr>
          <w:rFonts w:cs="Arial"/>
          <w:sz w:val="22"/>
          <w:szCs w:val="22"/>
        </w:rPr>
        <w:t xml:space="preserve">la </w:t>
      </w:r>
      <w:r w:rsidR="004601EE" w:rsidRPr="004601EE">
        <w:rPr>
          <w:rFonts w:cs="Arial"/>
          <w:sz w:val="22"/>
          <w:szCs w:val="22"/>
        </w:rPr>
        <w:t>Comisión Fiscalizadora</w:t>
      </w:r>
      <w:r w:rsidRPr="00315D38">
        <w:rPr>
          <w:rFonts w:cs="Arial"/>
          <w:sz w:val="22"/>
          <w:szCs w:val="22"/>
        </w:rPr>
        <w:t>.</w:t>
      </w:r>
    </w:p>
    <w:p w14:paraId="1CA811D6" w14:textId="77777777" w:rsidR="00D67668" w:rsidRPr="00315D38" w:rsidRDefault="00D67668" w:rsidP="00D67668">
      <w:pPr>
        <w:pStyle w:val="Prrafodelista"/>
        <w:jc w:val="both"/>
        <w:rPr>
          <w:rFonts w:cs="Arial"/>
          <w:lang w:val="es-ES" w:eastAsia="es-ES"/>
        </w:rPr>
      </w:pPr>
    </w:p>
    <w:p w14:paraId="642D1399" w14:textId="77777777" w:rsidR="00D67668" w:rsidRPr="00315D38" w:rsidRDefault="00D67668" w:rsidP="00D67668">
      <w:pPr>
        <w:pStyle w:val="Sinespaciado"/>
        <w:rPr>
          <w:rFonts w:ascii="Georgia" w:eastAsia="Times New Roman" w:hAnsi="Georgia" w:cs="Georgia"/>
          <w:b/>
          <w:bCs/>
          <w:color w:val="000000"/>
          <w:sz w:val="20"/>
          <w:szCs w:val="20"/>
        </w:rPr>
      </w:pPr>
    </w:p>
    <w:p w14:paraId="3055C87F" w14:textId="106CB1B0" w:rsidR="00D67668" w:rsidRPr="00315D38" w:rsidRDefault="00D67668" w:rsidP="00D67668">
      <w:pPr>
        <w:pStyle w:val="Sangradetextonormal"/>
        <w:spacing w:line="360" w:lineRule="auto"/>
        <w:ind w:left="0"/>
        <w:jc w:val="center"/>
        <w:rPr>
          <w:rFonts w:ascii="Arial" w:eastAsiaTheme="minorHAnsi" w:hAnsi="Arial" w:cs="Arial"/>
          <w:b/>
          <w:bCs/>
          <w:sz w:val="18"/>
          <w:szCs w:val="18"/>
          <w:lang w:eastAsia="en-US"/>
        </w:rPr>
      </w:pPr>
      <w:r w:rsidRPr="00315D38">
        <w:rPr>
          <w:rFonts w:ascii="Arial" w:eastAsiaTheme="minorHAnsi" w:hAnsi="Arial" w:cs="Arial"/>
          <w:b/>
          <w:bCs/>
          <w:sz w:val="18"/>
          <w:szCs w:val="18"/>
          <w:lang w:eastAsia="en-US"/>
        </w:rPr>
        <w:t>Memoria del Ejercicio 202</w:t>
      </w:r>
      <w:r w:rsidR="00602EAD">
        <w:rPr>
          <w:rFonts w:ascii="Arial" w:eastAsiaTheme="minorHAnsi" w:hAnsi="Arial" w:cs="Arial"/>
          <w:b/>
          <w:bCs/>
          <w:sz w:val="18"/>
          <w:szCs w:val="18"/>
          <w:lang w:eastAsia="en-US"/>
        </w:rPr>
        <w:t>4</w:t>
      </w:r>
    </w:p>
    <w:p w14:paraId="4010DA0A" w14:textId="77777777" w:rsidR="00A81E42" w:rsidRPr="00A81E42" w:rsidRDefault="00A81E42" w:rsidP="00A81E42">
      <w:pPr>
        <w:spacing w:line="360" w:lineRule="auto"/>
        <w:jc w:val="both"/>
        <w:rPr>
          <w:rFonts w:ascii="Arial" w:eastAsia="Calibri" w:hAnsi="Arial" w:cs="Arial"/>
          <w:b/>
          <w:bCs/>
          <w:sz w:val="18"/>
          <w:szCs w:val="18"/>
          <w:lang w:val="es-AR" w:eastAsia="en-US"/>
        </w:rPr>
      </w:pPr>
      <w:r w:rsidRPr="00A81E42">
        <w:rPr>
          <w:rFonts w:ascii="Arial" w:eastAsia="Calibri" w:hAnsi="Arial" w:cs="Arial"/>
          <w:b/>
          <w:bCs/>
          <w:sz w:val="18"/>
          <w:szCs w:val="18"/>
          <w:lang w:val="es-AR" w:eastAsia="en-US"/>
        </w:rPr>
        <w:t>Señores Accionistas</w:t>
      </w:r>
    </w:p>
    <w:p w14:paraId="61898DF1" w14:textId="77777777" w:rsidR="00A81E42" w:rsidRPr="00A81E42" w:rsidRDefault="00A81E42" w:rsidP="00A81E42">
      <w:pPr>
        <w:spacing w:line="256" w:lineRule="auto"/>
        <w:jc w:val="both"/>
        <w:rPr>
          <w:rFonts w:ascii="Arial" w:eastAsia="Calibri" w:hAnsi="Arial" w:cs="Arial"/>
          <w:sz w:val="18"/>
          <w:szCs w:val="18"/>
          <w:lang w:val="es-AR" w:eastAsia="en-US"/>
        </w:rPr>
      </w:pPr>
      <w:r w:rsidRPr="00A81E42">
        <w:rPr>
          <w:rFonts w:ascii="Arial" w:eastAsia="Calibri" w:hAnsi="Arial" w:cs="Arial"/>
          <w:sz w:val="18"/>
          <w:szCs w:val="18"/>
          <w:lang w:val="es-AR" w:eastAsia="en-US"/>
        </w:rPr>
        <w:t>En cumplimiento con lo establecido por la Ley General de Sociedades N°19.550, sus normas modificatorias y el Estatuto Social, tenemos el agrado de poner a consideración de la Asamblea, la Memoria, el Estado de Situación Financiera, el Estado de Resultados, el Estado de Resultados – Ganancia por Acción, el Estado de Otros Resultados Integrales, el Estado de Cambios en el Patrimonio y el Estado de Flujo de Efectivo, con sus notas y anexos correspondientes al ejercicio iniciado el 1° de enero de 2024 y finalizado el 31 de diciembre de 2024.</w:t>
      </w:r>
    </w:p>
    <w:p w14:paraId="75174E5C" w14:textId="77777777" w:rsidR="00A81E42" w:rsidRPr="00A81E42" w:rsidRDefault="00A81E42" w:rsidP="00A81E42">
      <w:pPr>
        <w:spacing w:line="360" w:lineRule="auto"/>
        <w:jc w:val="both"/>
        <w:rPr>
          <w:rFonts w:ascii="Arial" w:eastAsia="Calibri" w:hAnsi="Arial" w:cs="Arial"/>
          <w:b/>
          <w:bCs/>
          <w:sz w:val="18"/>
          <w:szCs w:val="18"/>
          <w:u w:val="single"/>
          <w:lang w:val="es-AR" w:eastAsia="en-US"/>
        </w:rPr>
      </w:pPr>
    </w:p>
    <w:p w14:paraId="1A260A46" w14:textId="77777777" w:rsidR="00A81E42" w:rsidRPr="00A81E42" w:rsidRDefault="00A81E42" w:rsidP="00A81E42">
      <w:pPr>
        <w:spacing w:line="360" w:lineRule="auto"/>
        <w:jc w:val="both"/>
        <w:rPr>
          <w:rFonts w:ascii="Arial" w:eastAsia="Calibri" w:hAnsi="Arial" w:cs="Arial"/>
          <w:b/>
          <w:bCs/>
          <w:sz w:val="18"/>
          <w:szCs w:val="18"/>
          <w:u w:val="single"/>
          <w:lang w:val="es-AR" w:eastAsia="en-US"/>
        </w:rPr>
      </w:pPr>
      <w:r w:rsidRPr="00A81E42">
        <w:rPr>
          <w:rFonts w:ascii="Arial" w:eastAsia="Calibri" w:hAnsi="Arial" w:cs="Arial"/>
          <w:b/>
          <w:bCs/>
          <w:sz w:val="18"/>
          <w:szCs w:val="18"/>
          <w:u w:val="single"/>
          <w:lang w:val="es-AR" w:eastAsia="en-US"/>
        </w:rPr>
        <w:t>El Banco</w:t>
      </w:r>
    </w:p>
    <w:p w14:paraId="4064D3CE" w14:textId="77777777" w:rsidR="00A81E42" w:rsidRPr="00A81E42" w:rsidRDefault="00A81E42" w:rsidP="00A81E42">
      <w:pPr>
        <w:spacing w:after="160" w:line="256" w:lineRule="auto"/>
        <w:jc w:val="both"/>
        <w:rPr>
          <w:rFonts w:ascii="Arial" w:eastAsia="Calibri" w:hAnsi="Arial" w:cs="Arial"/>
          <w:sz w:val="18"/>
          <w:szCs w:val="18"/>
          <w:lang w:val="es-AR" w:eastAsia="en-US"/>
        </w:rPr>
      </w:pPr>
      <w:r w:rsidRPr="00A81E42">
        <w:rPr>
          <w:rFonts w:ascii="Arial" w:eastAsia="Calibri" w:hAnsi="Arial" w:cs="Arial"/>
          <w:sz w:val="18"/>
          <w:szCs w:val="18"/>
          <w:lang w:val="es-AR" w:eastAsia="en-US"/>
        </w:rPr>
        <w:t xml:space="preserve">Banco del Sol S.A. es una entidad bancaria fundada en el año 1994, de larga trayectoria en el sistema financiero y con una gran especialización en la financiación de préstamos de consumo. </w:t>
      </w:r>
    </w:p>
    <w:p w14:paraId="771E5E66" w14:textId="77777777" w:rsidR="00A81E42" w:rsidRPr="00A81E42" w:rsidRDefault="00A81E42" w:rsidP="00A81E42">
      <w:pPr>
        <w:spacing w:after="160" w:line="256" w:lineRule="auto"/>
        <w:jc w:val="both"/>
        <w:rPr>
          <w:rFonts w:ascii="Arial" w:eastAsia="Calibri" w:hAnsi="Arial" w:cs="Arial"/>
          <w:sz w:val="18"/>
          <w:szCs w:val="18"/>
          <w:lang w:val="es-AR" w:eastAsia="en-US"/>
        </w:rPr>
      </w:pPr>
      <w:r w:rsidRPr="00A81E42">
        <w:rPr>
          <w:rFonts w:ascii="Arial" w:eastAsia="Calibri" w:hAnsi="Arial" w:cs="Arial"/>
          <w:sz w:val="18"/>
          <w:szCs w:val="18"/>
          <w:lang w:val="es-AR" w:eastAsia="en-US"/>
        </w:rPr>
        <w:t xml:space="preserve">A partir de 2018 se incorporaron como accionistas Alianza Inversora S.A y Grupo Financiero S.S S.A., ambas compañías pertenecientes al Grupo </w:t>
      </w:r>
      <w:proofErr w:type="spellStart"/>
      <w:r w:rsidRPr="00A81E42">
        <w:rPr>
          <w:rFonts w:ascii="Arial" w:eastAsia="Calibri" w:hAnsi="Arial" w:cs="Arial"/>
          <w:sz w:val="18"/>
          <w:szCs w:val="18"/>
          <w:lang w:val="es-AR" w:eastAsia="en-US"/>
        </w:rPr>
        <w:t>Sancor</w:t>
      </w:r>
      <w:proofErr w:type="spellEnd"/>
      <w:r w:rsidRPr="00A81E42">
        <w:rPr>
          <w:rFonts w:ascii="Arial" w:eastAsia="Calibri" w:hAnsi="Arial" w:cs="Arial"/>
          <w:sz w:val="18"/>
          <w:szCs w:val="18"/>
          <w:lang w:val="es-AR" w:eastAsia="en-US"/>
        </w:rPr>
        <w:t xml:space="preserve"> Seguros (GSS), presentando esta integración una gran oportunidad para el desarrollo y bancarización de las economías regionales, el aprovechamiento de las posibles sinergias con las empresas que lo conforman, su red de proveedores y comercializadores. </w:t>
      </w:r>
    </w:p>
    <w:p w14:paraId="631863B7" w14:textId="77777777" w:rsidR="00A81E42" w:rsidRPr="00A81E42" w:rsidRDefault="00A81E42" w:rsidP="00A81E42">
      <w:pPr>
        <w:spacing w:after="160" w:line="256" w:lineRule="auto"/>
        <w:jc w:val="both"/>
        <w:rPr>
          <w:rFonts w:ascii="Arial" w:eastAsia="Calibri" w:hAnsi="Arial" w:cs="Arial"/>
          <w:sz w:val="18"/>
          <w:szCs w:val="18"/>
          <w:lang w:val="es-AR" w:eastAsia="en-US"/>
        </w:rPr>
      </w:pPr>
      <w:r w:rsidRPr="00A81E42">
        <w:rPr>
          <w:rFonts w:ascii="Arial" w:eastAsia="Calibri" w:hAnsi="Arial" w:cs="Arial"/>
          <w:sz w:val="18"/>
          <w:szCs w:val="18"/>
          <w:lang w:val="es-AR" w:eastAsia="en-US"/>
        </w:rPr>
        <w:t xml:space="preserve">El Grupo </w:t>
      </w:r>
      <w:proofErr w:type="spellStart"/>
      <w:r w:rsidRPr="00A81E42">
        <w:rPr>
          <w:rFonts w:ascii="Arial" w:eastAsia="Calibri" w:hAnsi="Arial" w:cs="Arial"/>
          <w:sz w:val="18"/>
          <w:szCs w:val="18"/>
          <w:lang w:val="es-AR" w:eastAsia="en-US"/>
        </w:rPr>
        <w:t>Sancor</w:t>
      </w:r>
      <w:proofErr w:type="spellEnd"/>
      <w:r w:rsidRPr="00A81E42">
        <w:rPr>
          <w:rFonts w:ascii="Arial" w:eastAsia="Calibri" w:hAnsi="Arial" w:cs="Arial"/>
          <w:sz w:val="18"/>
          <w:szCs w:val="18"/>
          <w:lang w:val="es-AR" w:eastAsia="en-US"/>
        </w:rPr>
        <w:t xml:space="preserve"> Seguros, al que pertenecen Alianza Inversora S.A. y Grupo Financiero S.S S.A., se encuentra conformado por un conjunto de empresas con una profunda inserción en el interior del país y un fuerte compromiso social. Los orígenes del Grupo se remontan al año 1945 a partir de la creación de </w:t>
      </w:r>
      <w:proofErr w:type="spellStart"/>
      <w:r w:rsidRPr="00A81E42">
        <w:rPr>
          <w:rFonts w:ascii="Arial" w:eastAsia="Calibri" w:hAnsi="Arial" w:cs="Arial"/>
          <w:sz w:val="18"/>
          <w:szCs w:val="18"/>
          <w:lang w:val="es-AR" w:eastAsia="en-US"/>
        </w:rPr>
        <w:t>Sancor</w:t>
      </w:r>
      <w:proofErr w:type="spellEnd"/>
      <w:r w:rsidRPr="00A81E42">
        <w:rPr>
          <w:rFonts w:ascii="Arial" w:eastAsia="Calibri" w:hAnsi="Arial" w:cs="Arial"/>
          <w:sz w:val="18"/>
          <w:szCs w:val="18"/>
          <w:lang w:val="es-AR" w:eastAsia="en-US"/>
        </w:rPr>
        <w:t xml:space="preserve"> Cooperativa de Seguros Limitada, habiendo desarrollado a lo largo de sus más de 70 años de existencia un conjunto de fortalezas que le han permitido consolidar su presencia en el mercado nacional, al tiempo que le han posibilitado diversificar y expandir sus actividades en el plano internacional, construyendo dicho proceso sobre las bases de un crecimiento paulatino, sólido, profesional y sostenido. </w:t>
      </w:r>
    </w:p>
    <w:p w14:paraId="39B65CA4" w14:textId="77777777" w:rsidR="00A81E42" w:rsidRPr="00A81E42" w:rsidRDefault="00A81E42" w:rsidP="00A81E42">
      <w:pPr>
        <w:spacing w:after="160" w:line="256" w:lineRule="auto"/>
        <w:jc w:val="both"/>
        <w:rPr>
          <w:rFonts w:ascii="Arial" w:eastAsia="Calibri" w:hAnsi="Arial" w:cs="Arial"/>
          <w:sz w:val="18"/>
          <w:szCs w:val="18"/>
          <w:lang w:val="es-AR" w:eastAsia="en-US"/>
        </w:rPr>
      </w:pPr>
      <w:r w:rsidRPr="00A81E42">
        <w:rPr>
          <w:rFonts w:ascii="Arial" w:eastAsia="Calibri" w:hAnsi="Arial" w:cs="Arial"/>
          <w:sz w:val="18"/>
          <w:szCs w:val="18"/>
          <w:lang w:val="es-AR" w:eastAsia="en-US"/>
        </w:rPr>
        <w:t>A partir de su adquisición por parte de GSS su foco principal apunta a construir un banco digital y de índole federal, siendo el lanzamiento bajo la nueva estrategia realizado en agosto 2020. Si bien el negocio tradicional del banco desde sus inicios se centró en el otorgamiento de préstamos personales a través de mutuales y cooperativas con código de descuento, en los últimos dos años buscó ampliar la oferta de productos incorporando créditos a pymes y préstamos personales de pago voluntario.</w:t>
      </w:r>
    </w:p>
    <w:p w14:paraId="240CCE68" w14:textId="77777777" w:rsidR="00A81E42" w:rsidRPr="00A81E42" w:rsidRDefault="00A81E42" w:rsidP="00A81E42">
      <w:pPr>
        <w:spacing w:line="360" w:lineRule="auto"/>
        <w:jc w:val="both"/>
        <w:rPr>
          <w:rFonts w:ascii="Arial" w:eastAsia="Calibri" w:hAnsi="Arial" w:cs="Arial"/>
          <w:b/>
          <w:bCs/>
          <w:sz w:val="18"/>
          <w:szCs w:val="18"/>
          <w:u w:val="single"/>
          <w:lang w:val="es-AR" w:eastAsia="en-US"/>
        </w:rPr>
      </w:pPr>
    </w:p>
    <w:p w14:paraId="1A57228E" w14:textId="77777777" w:rsidR="00A81E42" w:rsidRPr="00A81E42" w:rsidRDefault="00A81E42" w:rsidP="00A81E42">
      <w:pPr>
        <w:spacing w:line="360" w:lineRule="auto"/>
        <w:jc w:val="both"/>
        <w:rPr>
          <w:rFonts w:ascii="Arial" w:eastAsia="Calibri" w:hAnsi="Arial" w:cs="Arial"/>
          <w:b/>
          <w:bCs/>
          <w:sz w:val="18"/>
          <w:szCs w:val="18"/>
          <w:u w:val="single"/>
          <w:lang w:val="es-AR" w:eastAsia="en-US"/>
        </w:rPr>
      </w:pPr>
      <w:r w:rsidRPr="00A81E42">
        <w:rPr>
          <w:rFonts w:ascii="Arial" w:eastAsia="Calibri" w:hAnsi="Arial" w:cs="Arial"/>
          <w:b/>
          <w:bCs/>
          <w:sz w:val="18"/>
          <w:szCs w:val="18"/>
          <w:u w:val="single"/>
          <w:lang w:val="es-AR" w:eastAsia="en-US"/>
        </w:rPr>
        <w:t xml:space="preserve">Gobierno societario </w:t>
      </w:r>
    </w:p>
    <w:p w14:paraId="1BD572F6" w14:textId="77777777" w:rsidR="00A81E42" w:rsidRPr="00A81E42" w:rsidRDefault="00A81E42" w:rsidP="00A81E42">
      <w:pPr>
        <w:spacing w:after="160" w:line="256" w:lineRule="auto"/>
        <w:jc w:val="both"/>
        <w:rPr>
          <w:rFonts w:ascii="Arial" w:eastAsia="Calibri" w:hAnsi="Arial" w:cs="Arial"/>
          <w:sz w:val="18"/>
          <w:szCs w:val="18"/>
          <w:lang w:val="es-AR" w:eastAsia="en-US"/>
        </w:rPr>
      </w:pPr>
      <w:r w:rsidRPr="00A81E42">
        <w:rPr>
          <w:rFonts w:ascii="Arial" w:eastAsia="Calibri" w:hAnsi="Arial" w:cs="Arial"/>
          <w:sz w:val="18"/>
          <w:szCs w:val="18"/>
          <w:lang w:val="es-AR" w:eastAsia="en-US"/>
        </w:rPr>
        <w:t xml:space="preserve">El Banco, de conformidad con lo establecido en la Resolución 622/2013 (T.O. 2013) de la Comisión Nacional de Valores y resoluciones generales modificatorias, adjunta como Anexo I a la presente Memoria, el Informe Anual sobre el Código de Gobierno Societario. </w:t>
      </w:r>
    </w:p>
    <w:p w14:paraId="66A804E2" w14:textId="77777777" w:rsidR="00A81E42" w:rsidRPr="00A81E42" w:rsidRDefault="00A81E42" w:rsidP="00A81E42">
      <w:pPr>
        <w:spacing w:line="256" w:lineRule="auto"/>
        <w:jc w:val="both"/>
        <w:rPr>
          <w:rFonts w:ascii="Arial" w:eastAsia="Calibri" w:hAnsi="Arial" w:cs="Arial"/>
          <w:sz w:val="18"/>
          <w:szCs w:val="18"/>
          <w:lang w:val="es-AR" w:eastAsia="en-US"/>
        </w:rPr>
      </w:pPr>
    </w:p>
    <w:p w14:paraId="56D030CF" w14:textId="77777777" w:rsidR="00A81E42" w:rsidRPr="00A81E42" w:rsidRDefault="00A81E42" w:rsidP="00A81E42">
      <w:pPr>
        <w:spacing w:line="360" w:lineRule="auto"/>
        <w:jc w:val="both"/>
        <w:rPr>
          <w:rFonts w:ascii="Arial" w:eastAsia="Calibri" w:hAnsi="Arial" w:cs="Arial"/>
          <w:b/>
          <w:bCs/>
          <w:sz w:val="18"/>
          <w:szCs w:val="18"/>
          <w:u w:val="single"/>
          <w:lang w:val="es-AR" w:eastAsia="en-US"/>
        </w:rPr>
      </w:pPr>
      <w:r w:rsidRPr="00A81E42">
        <w:rPr>
          <w:rFonts w:ascii="Arial" w:eastAsia="Calibri" w:hAnsi="Arial" w:cs="Arial"/>
          <w:b/>
          <w:bCs/>
          <w:sz w:val="18"/>
          <w:szCs w:val="18"/>
          <w:u w:val="single"/>
          <w:lang w:val="es-AR" w:eastAsia="en-US"/>
        </w:rPr>
        <w:t>Contexto económico internacional</w:t>
      </w:r>
    </w:p>
    <w:p w14:paraId="0BED65D2" w14:textId="77777777" w:rsidR="00A81E42" w:rsidRPr="00A81E42" w:rsidRDefault="00A81E42" w:rsidP="00A81E42">
      <w:pPr>
        <w:spacing w:line="256" w:lineRule="auto"/>
        <w:jc w:val="both"/>
        <w:rPr>
          <w:rFonts w:ascii="Arial" w:eastAsia="Calibri" w:hAnsi="Arial" w:cs="Arial"/>
          <w:sz w:val="18"/>
          <w:szCs w:val="18"/>
          <w:lang w:val="es-AR" w:eastAsia="en-US"/>
        </w:rPr>
      </w:pPr>
    </w:p>
    <w:p w14:paraId="2D67DCFE" w14:textId="77777777" w:rsidR="00A81E42" w:rsidRPr="00A81E42" w:rsidRDefault="00A81E42" w:rsidP="00A81E42">
      <w:pPr>
        <w:spacing w:line="256" w:lineRule="auto"/>
        <w:jc w:val="both"/>
        <w:rPr>
          <w:rFonts w:ascii="Arial" w:eastAsia="Calibri" w:hAnsi="Arial" w:cs="Arial"/>
          <w:sz w:val="18"/>
          <w:szCs w:val="18"/>
          <w:lang w:val="es-AR" w:eastAsia="en-US"/>
        </w:rPr>
      </w:pPr>
      <w:r w:rsidRPr="00A81E42">
        <w:rPr>
          <w:rFonts w:ascii="Arial" w:eastAsia="Calibri" w:hAnsi="Arial" w:cs="Arial"/>
          <w:sz w:val="18"/>
          <w:szCs w:val="18"/>
          <w:lang w:val="es-AR" w:eastAsia="en-US"/>
        </w:rPr>
        <w:lastRenderedPageBreak/>
        <w:t>El panorama económico a nivel global tendió a mejorar a principios de 2024, fundamentalmente debido a la publicación de indicadores económicos mejores a los esperados en economías desarrolladas (incluyendo aquellos vinculados a la evolución de la inflación), lo que fortaleció las expectativas sobre el eventual inicio de un ciclo de recortes en las tasas de política monetaria. Más recientemente pasó a verificarse un contexto de mayor cautela, con creciente foco en los riesgos existentes.</w:t>
      </w:r>
    </w:p>
    <w:p w14:paraId="0495BC7E" w14:textId="77777777" w:rsidR="00A81E42" w:rsidRPr="00A81E42" w:rsidRDefault="00A81E42" w:rsidP="00A81E42">
      <w:pPr>
        <w:spacing w:line="256" w:lineRule="auto"/>
        <w:jc w:val="both"/>
        <w:rPr>
          <w:rFonts w:ascii="Arial" w:eastAsia="Calibri" w:hAnsi="Arial" w:cs="Arial"/>
          <w:sz w:val="18"/>
          <w:szCs w:val="18"/>
          <w:lang w:val="es-AR" w:eastAsia="en-US"/>
        </w:rPr>
      </w:pPr>
    </w:p>
    <w:p w14:paraId="65F989E6" w14:textId="7F6CD46F" w:rsidR="00D67668" w:rsidRPr="00315D38" w:rsidRDefault="00A81E42" w:rsidP="00A81E42">
      <w:pPr>
        <w:pStyle w:val="Sangradetextonormal"/>
        <w:spacing w:line="257" w:lineRule="auto"/>
        <w:ind w:left="0"/>
        <w:rPr>
          <w:rFonts w:ascii="Arial" w:eastAsiaTheme="minorHAnsi" w:hAnsi="Arial" w:cs="Arial"/>
          <w:b/>
          <w:bCs/>
          <w:sz w:val="18"/>
          <w:szCs w:val="18"/>
          <w:lang w:eastAsia="en-US"/>
        </w:rPr>
      </w:pPr>
      <w:r w:rsidRPr="00A81E42">
        <w:rPr>
          <w:rFonts w:ascii="Arial" w:eastAsia="Calibri" w:hAnsi="Arial" w:cs="Arial"/>
          <w:sz w:val="18"/>
          <w:szCs w:val="18"/>
          <w:lang w:eastAsia="en-US"/>
        </w:rPr>
        <w:t xml:space="preserve">Las perspectivas a nivel internacional tuvieron cierto sesgo positivo, si bien el contexto no ha estado exento de incertidumbre. Los indicadores vinculados a la actividad económica tendieron a mejorar en los </w:t>
      </w:r>
      <w:proofErr w:type="gramStart"/>
      <w:r w:rsidRPr="00A81E42">
        <w:rPr>
          <w:rFonts w:ascii="Arial" w:eastAsia="Calibri" w:hAnsi="Arial" w:cs="Arial"/>
          <w:sz w:val="18"/>
          <w:szCs w:val="18"/>
          <w:lang w:eastAsia="en-US"/>
        </w:rPr>
        <w:t>EEUU</w:t>
      </w:r>
      <w:proofErr w:type="gramEnd"/>
      <w:r w:rsidRPr="00A81E42">
        <w:rPr>
          <w:rFonts w:ascii="Arial" w:eastAsia="Calibri" w:hAnsi="Arial" w:cs="Arial"/>
          <w:sz w:val="18"/>
          <w:szCs w:val="18"/>
          <w:lang w:eastAsia="en-US"/>
        </w:rPr>
        <w:t xml:space="preserve">, lo que, sumado a la continuación en el proceso de desinflación en dicho país, permitieron que en septiembre la Reserva Federal iniciase un ciclo de recortes de tasas de interés. Por su parte, el Banco de Inglaterra realizó su primer recorte de tasas en agosto, al tiempo que el BCE redujo su tasa de política monetaria. En contraste, el Banco de Japón, que en mayo había realizado su primera suba de tasas desde 2007, incrementó en julio nuevamente su tasa de interés. En este escenario, los inversores siguen entonces haciendo foco en la evolución esperada de las tasas de interés de política monetaria en economías desarrolladas. Partiendo de tasas de interés en niveles aún altos en términos históricos, sorpresas respecto a su sendero esperado en los próximos meses pueden eventualmente afectar a los mercados financieros internacionales, con potencial impacto sobre la evolución del nivel de actividad global. Otros factores </w:t>
      </w:r>
      <w:proofErr w:type="gramStart"/>
      <w:r w:rsidRPr="00A81E42">
        <w:rPr>
          <w:rFonts w:ascii="Arial" w:eastAsia="Calibri" w:hAnsi="Arial" w:cs="Arial"/>
          <w:sz w:val="18"/>
          <w:szCs w:val="18"/>
          <w:lang w:eastAsia="en-US"/>
        </w:rPr>
        <w:t>como</w:t>
      </w:r>
      <w:proofErr w:type="gramEnd"/>
      <w:r w:rsidRPr="00A81E42">
        <w:rPr>
          <w:rFonts w:ascii="Arial" w:eastAsia="Calibri" w:hAnsi="Arial" w:cs="Arial"/>
          <w:sz w:val="18"/>
          <w:szCs w:val="18"/>
          <w:lang w:eastAsia="en-US"/>
        </w:rPr>
        <w:t xml:space="preserve"> por ejemplo, eventuales cambios en las políticas económicas de economías desarrolladas o la persistencia de conflictos geopolíticos pueden llegar a generar ajustes en las expectativas y/o renovada incertidumbre, afectando eventualmente los precios de las materias primas, el comercio internacional, el crecimiento esperado y la evolución de los mercados financieros a nivel global.</w:t>
      </w:r>
    </w:p>
    <w:p w14:paraId="0975EB06" w14:textId="77777777" w:rsidR="00D67668" w:rsidRDefault="00D67668" w:rsidP="00D67668">
      <w:pPr>
        <w:jc w:val="both"/>
        <w:rPr>
          <w:rFonts w:ascii="Arial" w:hAnsi="Arial" w:cs="Arial"/>
          <w:sz w:val="18"/>
          <w:szCs w:val="18"/>
        </w:rPr>
      </w:pPr>
    </w:p>
    <w:p w14:paraId="469CA747" w14:textId="77777777" w:rsidR="000A6016" w:rsidRPr="000A6016" w:rsidRDefault="000A6016" w:rsidP="000A6016">
      <w:pPr>
        <w:jc w:val="both"/>
        <w:rPr>
          <w:rFonts w:ascii="Arial" w:hAnsi="Arial" w:cs="Arial"/>
          <w:sz w:val="18"/>
          <w:szCs w:val="18"/>
          <w:lang w:val="es-AR"/>
        </w:rPr>
      </w:pPr>
      <w:r w:rsidRPr="000A6016">
        <w:rPr>
          <w:rFonts w:ascii="Arial" w:hAnsi="Arial" w:cs="Arial"/>
          <w:sz w:val="18"/>
          <w:szCs w:val="18"/>
          <w:lang w:val="es-AR"/>
        </w:rPr>
        <w:t xml:space="preserve">Los mercados accionarios de economías desarrolladas siguieron reflejando un alza en las cotizaciones, destacándose el caso de los </w:t>
      </w:r>
      <w:proofErr w:type="gramStart"/>
      <w:r w:rsidRPr="000A6016">
        <w:rPr>
          <w:rFonts w:ascii="Arial" w:hAnsi="Arial" w:cs="Arial"/>
          <w:sz w:val="18"/>
          <w:szCs w:val="18"/>
          <w:lang w:val="es-AR"/>
        </w:rPr>
        <w:t>EEUU</w:t>
      </w:r>
      <w:proofErr w:type="gramEnd"/>
      <w:r w:rsidRPr="000A6016">
        <w:rPr>
          <w:rFonts w:ascii="Arial" w:hAnsi="Arial" w:cs="Arial"/>
          <w:sz w:val="18"/>
          <w:szCs w:val="18"/>
          <w:lang w:val="es-AR"/>
        </w:rPr>
        <w:t xml:space="preserve">, que se compara favorablemente con las subas más acotadas de las bolsas europeas. En el mercado de monedas el dólar no acumula variaciones relevantes entre mediados de año y fines de noviembre (pese a que a partir de octubre tendió a apreciarse). Respecto a los </w:t>
      </w:r>
      <w:proofErr w:type="spellStart"/>
      <w:r w:rsidRPr="000A6016">
        <w:rPr>
          <w:rFonts w:ascii="Arial" w:hAnsi="Arial" w:cs="Arial"/>
          <w:sz w:val="18"/>
          <w:szCs w:val="18"/>
          <w:lang w:val="es-AR"/>
        </w:rPr>
        <w:t>criptoactivos</w:t>
      </w:r>
      <w:proofErr w:type="spellEnd"/>
      <w:r w:rsidRPr="000A6016">
        <w:rPr>
          <w:rFonts w:ascii="Arial" w:hAnsi="Arial" w:cs="Arial"/>
          <w:sz w:val="18"/>
          <w:szCs w:val="18"/>
          <w:lang w:val="es-AR"/>
        </w:rPr>
        <w:t>, el principal exponente del sector contabiliza desde mediados de año un alza de casi 55%.</w:t>
      </w:r>
    </w:p>
    <w:p w14:paraId="02CA1A79" w14:textId="77777777" w:rsidR="000A6016" w:rsidRPr="000A6016" w:rsidRDefault="000A6016" w:rsidP="000A6016">
      <w:pPr>
        <w:jc w:val="both"/>
        <w:rPr>
          <w:rFonts w:ascii="Arial" w:hAnsi="Arial" w:cs="Arial"/>
          <w:sz w:val="18"/>
          <w:szCs w:val="18"/>
          <w:lang w:val="es-AR"/>
        </w:rPr>
      </w:pPr>
    </w:p>
    <w:p w14:paraId="1E6658F8" w14:textId="77777777" w:rsidR="000A6016" w:rsidRPr="000A6016" w:rsidRDefault="000A6016" w:rsidP="000A6016">
      <w:pPr>
        <w:jc w:val="both"/>
        <w:rPr>
          <w:rFonts w:ascii="Arial" w:hAnsi="Arial" w:cs="Arial"/>
          <w:sz w:val="18"/>
          <w:szCs w:val="18"/>
          <w:lang w:val="es-AR"/>
        </w:rPr>
      </w:pPr>
      <w:r w:rsidRPr="000A6016">
        <w:rPr>
          <w:rFonts w:ascii="Arial" w:hAnsi="Arial" w:cs="Arial"/>
          <w:sz w:val="18"/>
          <w:szCs w:val="18"/>
          <w:lang w:val="es-AR"/>
        </w:rPr>
        <w:t xml:space="preserve">En el caso de los instrumentos financieros de economías emergentes la evolución fue mixta. Las cotizaciones de acciones medidas en dólares caen menos de 1% desde fines de junio. Según el índice EMCI las monedas de países emergentes se depreciaron 5% contra el dólar desde mediados de año (con una variación de casi 7% en el caso del real brasileño). Estas variaciones de precios se dieron en un contexto en el cual se acumulan flujos de portafolio negativos hacia fondos especializados en emergentes en lo que va del segundo semestre. </w:t>
      </w:r>
    </w:p>
    <w:p w14:paraId="576FE0BC" w14:textId="77777777" w:rsidR="000A6016" w:rsidRPr="000A6016" w:rsidRDefault="000A6016" w:rsidP="000A6016">
      <w:pPr>
        <w:jc w:val="both"/>
        <w:rPr>
          <w:rFonts w:ascii="Arial" w:hAnsi="Arial" w:cs="Arial"/>
          <w:sz w:val="18"/>
          <w:szCs w:val="18"/>
          <w:lang w:val="es-AR"/>
        </w:rPr>
      </w:pPr>
    </w:p>
    <w:p w14:paraId="7A0D7771" w14:textId="77777777" w:rsidR="000A6016" w:rsidRPr="000A6016" w:rsidRDefault="000A6016" w:rsidP="000A6016">
      <w:pPr>
        <w:jc w:val="both"/>
        <w:rPr>
          <w:rFonts w:ascii="Arial" w:hAnsi="Arial" w:cs="Arial"/>
          <w:sz w:val="18"/>
          <w:szCs w:val="18"/>
          <w:lang w:val="es-AR"/>
        </w:rPr>
      </w:pPr>
    </w:p>
    <w:p w14:paraId="71AC2082" w14:textId="77777777" w:rsidR="000A6016" w:rsidRPr="000A6016" w:rsidRDefault="000A6016" w:rsidP="000A6016">
      <w:pPr>
        <w:jc w:val="both"/>
        <w:rPr>
          <w:rFonts w:ascii="Arial" w:hAnsi="Arial" w:cs="Arial"/>
          <w:b/>
          <w:bCs/>
          <w:sz w:val="18"/>
          <w:szCs w:val="18"/>
          <w:u w:val="single"/>
          <w:lang w:val="es-AR"/>
        </w:rPr>
      </w:pPr>
      <w:r w:rsidRPr="000A6016">
        <w:rPr>
          <w:rFonts w:ascii="Arial" w:hAnsi="Arial" w:cs="Arial"/>
          <w:b/>
          <w:bCs/>
          <w:sz w:val="18"/>
          <w:szCs w:val="18"/>
          <w:u w:val="single"/>
          <w:lang w:val="es-AR"/>
        </w:rPr>
        <w:t>Contexto económico Nacional</w:t>
      </w:r>
    </w:p>
    <w:p w14:paraId="7368222B" w14:textId="77777777" w:rsidR="000A6016" w:rsidRPr="000A6016" w:rsidRDefault="000A6016" w:rsidP="000A6016">
      <w:pPr>
        <w:jc w:val="both"/>
        <w:rPr>
          <w:rFonts w:ascii="Arial" w:hAnsi="Arial" w:cs="Arial"/>
          <w:sz w:val="18"/>
          <w:szCs w:val="18"/>
          <w:lang w:val="es-AR"/>
        </w:rPr>
      </w:pPr>
    </w:p>
    <w:p w14:paraId="7CF3D111" w14:textId="77777777" w:rsidR="000A6016" w:rsidRPr="000A6016" w:rsidRDefault="000A6016" w:rsidP="000A6016">
      <w:pPr>
        <w:jc w:val="both"/>
        <w:rPr>
          <w:rFonts w:ascii="Arial" w:hAnsi="Arial" w:cs="Arial"/>
          <w:sz w:val="18"/>
          <w:szCs w:val="18"/>
          <w:lang w:val="es-AR"/>
        </w:rPr>
      </w:pPr>
      <w:r w:rsidRPr="000A6016">
        <w:rPr>
          <w:rFonts w:ascii="Arial" w:hAnsi="Arial" w:cs="Arial"/>
          <w:sz w:val="18"/>
          <w:szCs w:val="18"/>
          <w:lang w:val="es-AR"/>
        </w:rPr>
        <w:t xml:space="preserve">A nivel local, durante 2024 se dio un marcado cambio de contexto, en función del programa económico de la nueva administración presentado por el Ministerio de Economía, complementado por el nuevo marco de política monetaria y cambiaria del BCRA. Esto implicó la combinación del objetivo de consolidación fiscal en el corto plazo (eliminando además el financiamiento a través de emisión monetaria y la expansión de los pasivos remunerados resultante de las operaciones de esterilización), la eliminación de distorsiones, restricciones y trabas burocráticas, el sinceramiento del tipo de cambio (como inicio de proceso de liberación de precios y corrección de precios relativos) y el saneamiento de la hoja de balance del BCRA. Esto fue acompañado por medidas específicas, como las modificaciones regulatorias que apuntan a facilitar el acceso al mercado cambiario, la definición de una nueva tasa de política monetaria (tasa de pases pasivos, principal instrumento de absorción tras dejar de realizar licitaciones de </w:t>
      </w:r>
      <w:proofErr w:type="gramStart"/>
      <w:r w:rsidRPr="000A6016">
        <w:rPr>
          <w:rFonts w:ascii="Arial" w:hAnsi="Arial" w:cs="Arial"/>
          <w:sz w:val="18"/>
          <w:szCs w:val="18"/>
          <w:lang w:val="es-AR"/>
        </w:rPr>
        <w:t>LELIQ)y</w:t>
      </w:r>
      <w:proofErr w:type="gramEnd"/>
      <w:r w:rsidRPr="000A6016">
        <w:rPr>
          <w:rFonts w:ascii="Arial" w:hAnsi="Arial" w:cs="Arial"/>
          <w:sz w:val="18"/>
          <w:szCs w:val="18"/>
          <w:lang w:val="es-AR"/>
        </w:rPr>
        <w:t xml:space="preserve"> la eliminación de la tasa mínima para plazos fijos. </w:t>
      </w:r>
    </w:p>
    <w:p w14:paraId="30A86659" w14:textId="77777777" w:rsidR="000A6016" w:rsidRPr="000A6016" w:rsidRDefault="000A6016" w:rsidP="000A6016">
      <w:pPr>
        <w:jc w:val="both"/>
        <w:rPr>
          <w:rFonts w:ascii="Arial" w:hAnsi="Arial" w:cs="Arial"/>
          <w:sz w:val="18"/>
          <w:szCs w:val="18"/>
          <w:lang w:val="es-AR"/>
        </w:rPr>
      </w:pPr>
    </w:p>
    <w:p w14:paraId="476B30D5" w14:textId="77777777" w:rsidR="000A6016" w:rsidRPr="000A6016" w:rsidRDefault="000A6016" w:rsidP="000A6016">
      <w:pPr>
        <w:jc w:val="both"/>
        <w:rPr>
          <w:rFonts w:ascii="Arial" w:hAnsi="Arial" w:cs="Arial"/>
          <w:sz w:val="18"/>
          <w:szCs w:val="18"/>
          <w:lang w:val="es-AR"/>
        </w:rPr>
      </w:pPr>
      <w:r w:rsidRPr="000A6016">
        <w:rPr>
          <w:rFonts w:ascii="Arial" w:hAnsi="Arial" w:cs="Arial"/>
          <w:sz w:val="18"/>
          <w:szCs w:val="18"/>
          <w:lang w:val="es-AR"/>
        </w:rPr>
        <w:t>Durante el segundo semestre se continuó con la implementación del nuevo programa económico, permitiendo el afianzamiento de los equilibrios económicos básicos, y la corrección de precios relativos atrasados. Además de mantener un compromiso firme con el equilibrio fiscal, se avanzó en la reducción o esterilización de factores asociados a la emisión monetaria y en el saneamiento del balance del BCRA, permitiendo un mejor manejo de la política monetaria y facilitando la consolidación del proceso antiinflacionario en marcha. A partir de julio se suspendió la operatoria de pases pasivos del BCRA (la migración desde este instrumento hacia letras del Tesoro había comenzado a mediados de mayo), al tiempo que las LEFI pasaron a ser el principal instrumento de administración de liquidez del sistema bancario. En igual sentido jugó el acuerdo con las entidades financieras para rescindir una parte significativa del saldo de opciones de liquidez sobre títulos públicos nacionales en su cartera.</w:t>
      </w:r>
    </w:p>
    <w:p w14:paraId="763D46AC" w14:textId="77777777" w:rsidR="000A6016" w:rsidRPr="000A6016" w:rsidRDefault="000A6016" w:rsidP="000A6016">
      <w:pPr>
        <w:jc w:val="both"/>
        <w:rPr>
          <w:rFonts w:ascii="Arial" w:hAnsi="Arial" w:cs="Arial"/>
          <w:sz w:val="18"/>
          <w:szCs w:val="18"/>
          <w:lang w:val="es-AR"/>
        </w:rPr>
      </w:pPr>
    </w:p>
    <w:p w14:paraId="27CD38E2" w14:textId="77777777" w:rsidR="000A6016" w:rsidRPr="000A6016" w:rsidRDefault="000A6016" w:rsidP="000A6016">
      <w:pPr>
        <w:jc w:val="both"/>
        <w:rPr>
          <w:rFonts w:ascii="Arial" w:hAnsi="Arial" w:cs="Arial"/>
          <w:sz w:val="18"/>
          <w:szCs w:val="18"/>
          <w:lang w:val="es-AR"/>
        </w:rPr>
      </w:pPr>
      <w:r w:rsidRPr="000A6016">
        <w:rPr>
          <w:rFonts w:ascii="Arial" w:hAnsi="Arial" w:cs="Arial"/>
          <w:sz w:val="18"/>
          <w:szCs w:val="18"/>
          <w:lang w:val="es-AR"/>
        </w:rPr>
        <w:t xml:space="preserve">En julio se anunció la segunda etapa del programa de estabilización, con un nuevo marco de política monetaria que implica limitar la cantidad de pesos de la base monetaria amplia al monto vigente al 30 de abril, sentando las bases para implementar –a futuro— la competencia de monedas. Se estipuló que la esterilización de las compras de reservas internacionales en el mercado de cambios pasaría a realizarse a través de la venta de dólares en los mercados paralelos (incluyendo el MEP y el CCL). También continuaron generando medidas para flexibilizar las regulaciones del mercado de cambios (acortamiento de plazos para el pago de importaciones, aumento del monto no obligado a liquidar por exportaciones de servicios, menores restricciones para acceder al dólar MEP y CCL, entre otros), teniendo como objetivo final de la eliminación total de las restricciones existentes. Otro factor de particular relevancia estuvo dado por </w:t>
      </w:r>
      <w:r w:rsidRPr="000A6016">
        <w:rPr>
          <w:rFonts w:ascii="Arial" w:hAnsi="Arial" w:cs="Arial"/>
          <w:sz w:val="18"/>
          <w:szCs w:val="18"/>
          <w:lang w:val="es-AR"/>
        </w:rPr>
        <w:lastRenderedPageBreak/>
        <w:t>el lanzamiento del Régimen de Regularización de Activos (establecido por Ley 27.743), con particular incidencia sobre los mercados financieros locales en los últimos meses, dada la posibilidad de aplicar fondos desde cuentas especiales de regularización bancaria (CERA) a inversiones elegibles (incluyendo, por ejemplo, instrumentos del mercado de capitales como títulos públicos, acciones, obligaciones negociables, FCI, valores fiduciarios, pagarés bursátiles y cheques de pago diferido). Dada la consolidación a la baja en los registros de la inflación y las expectativas inflacionarias, a principio de noviembre y de diciembre el BCRA decidió recortar la tasa de interés de política monetaria.</w:t>
      </w:r>
    </w:p>
    <w:p w14:paraId="070C0E72" w14:textId="77777777" w:rsidR="000A6016" w:rsidRPr="000A6016" w:rsidRDefault="000A6016" w:rsidP="000A6016">
      <w:pPr>
        <w:jc w:val="both"/>
        <w:rPr>
          <w:rFonts w:ascii="Arial" w:hAnsi="Arial" w:cs="Arial"/>
          <w:sz w:val="18"/>
          <w:szCs w:val="18"/>
          <w:lang w:val="es-AR"/>
        </w:rPr>
      </w:pPr>
    </w:p>
    <w:p w14:paraId="5316372A" w14:textId="5BAFCAAE" w:rsidR="000A6016" w:rsidRDefault="000A6016" w:rsidP="000A6016">
      <w:pPr>
        <w:jc w:val="both"/>
        <w:rPr>
          <w:rFonts w:ascii="Arial" w:hAnsi="Arial" w:cs="Arial"/>
          <w:sz w:val="18"/>
          <w:szCs w:val="18"/>
        </w:rPr>
      </w:pPr>
      <w:r w:rsidRPr="000A6016">
        <w:rPr>
          <w:rFonts w:ascii="Arial" w:hAnsi="Arial" w:cs="Arial"/>
          <w:sz w:val="18"/>
          <w:szCs w:val="18"/>
          <w:lang w:val="es-AR"/>
        </w:rPr>
        <w:t>En un contexto de mejora de los fundamentos macroeconómicos, desde abril de 2024 comenzó a verificarse un repunte del producto, tras la profundización de la recesión en los primeros meses del año. La incipiente recomposición de la actividad muestra heterogeneidad a nivel sectorial, con liderazgo del sector primario (agro, pesca y minería). Se mantiene cierta estabilidad en sectores con crecimiento tendencial (administración pública, enseñanza, salud, servicios públicos) y caídas fuertes a principios de año con posterior tendencia a la recuperación en segmentos con comportamiento más cíclico (industria, construcción, comercio, transporte e intermediación financiera, entre otros). Se espera que estos últimos sectores sean los que más crezcan –en promedio— durante 2025. En el sustento de la expectativa de consolidación del patrón de recuperación del nivel</w:t>
      </w:r>
      <w:r w:rsidR="00587832">
        <w:rPr>
          <w:rFonts w:ascii="Arial" w:hAnsi="Arial" w:cs="Arial"/>
          <w:sz w:val="18"/>
          <w:szCs w:val="18"/>
          <w:lang w:val="es-AR"/>
        </w:rPr>
        <w:t xml:space="preserve"> </w:t>
      </w:r>
      <w:r w:rsidR="00587832" w:rsidRPr="00587832">
        <w:rPr>
          <w:rFonts w:ascii="Arial" w:hAnsi="Arial" w:cs="Arial"/>
          <w:sz w:val="18"/>
          <w:szCs w:val="18"/>
        </w:rPr>
        <w:t>de actividad confluyen la trayectoria esperada descendente de la inflación y de las tasas de interés nominales para los próximos 12 meses</w:t>
      </w:r>
      <w:r w:rsidR="00587832">
        <w:rPr>
          <w:rFonts w:ascii="Arial" w:hAnsi="Arial" w:cs="Arial"/>
          <w:sz w:val="18"/>
          <w:szCs w:val="18"/>
        </w:rPr>
        <w:t>.</w:t>
      </w:r>
    </w:p>
    <w:p w14:paraId="3AC4D4AE" w14:textId="77777777" w:rsidR="00587832" w:rsidRDefault="00587832" w:rsidP="000A6016">
      <w:pPr>
        <w:jc w:val="both"/>
        <w:rPr>
          <w:rFonts w:ascii="Arial" w:hAnsi="Arial" w:cs="Arial"/>
          <w:sz w:val="18"/>
          <w:szCs w:val="18"/>
        </w:rPr>
      </w:pPr>
    </w:p>
    <w:p w14:paraId="58ECAA87" w14:textId="77777777" w:rsidR="00CB3518" w:rsidRPr="00CB3518" w:rsidRDefault="00CB3518" w:rsidP="00CB3518">
      <w:pPr>
        <w:jc w:val="both"/>
        <w:rPr>
          <w:rFonts w:ascii="Arial" w:hAnsi="Arial" w:cs="Arial"/>
          <w:b/>
          <w:bCs/>
          <w:sz w:val="18"/>
          <w:szCs w:val="18"/>
          <w:u w:val="single"/>
          <w:lang w:val="es-AR"/>
        </w:rPr>
      </w:pPr>
      <w:r w:rsidRPr="00CB3518">
        <w:rPr>
          <w:rFonts w:ascii="Arial" w:hAnsi="Arial" w:cs="Arial"/>
          <w:b/>
          <w:bCs/>
          <w:sz w:val="18"/>
          <w:szCs w:val="18"/>
          <w:u w:val="single"/>
          <w:lang w:val="es-AR"/>
        </w:rPr>
        <w:t>El sistema financiero argentino</w:t>
      </w:r>
    </w:p>
    <w:p w14:paraId="0A56F30F" w14:textId="77777777" w:rsidR="00CB3518" w:rsidRPr="00CB3518" w:rsidRDefault="00CB3518" w:rsidP="00CB3518">
      <w:pPr>
        <w:jc w:val="both"/>
        <w:rPr>
          <w:rFonts w:ascii="Arial" w:hAnsi="Arial" w:cs="Arial"/>
          <w:sz w:val="18"/>
          <w:szCs w:val="18"/>
          <w:lang w:val="es-AR"/>
        </w:rPr>
      </w:pPr>
      <w:r w:rsidRPr="00CB3518">
        <w:rPr>
          <w:rFonts w:ascii="Arial" w:hAnsi="Arial" w:cs="Arial"/>
          <w:sz w:val="18"/>
          <w:szCs w:val="18"/>
          <w:lang w:val="es-AR"/>
        </w:rPr>
        <w:t>El sistema financiero argentino se encuentra recorriendo un proceso de transición, en línea con el nuevo rumbo económico iniciado a mediados de diciembre 2023 de la mano de la nueva administración. Tal como se mencionó anteriormente el programa económico tiene foco en la consolidación fiscal, el sinceramiento de los precios de la economía, la eliminación de distorsiones, restricciones y trabas burocráticas, la normalización del comercio exterior y el saneamiento del balance del BCRA. En este marco, entre otros objetivos, se busca generar los incentivos apropiados para que el sistema financiero retome con intensidad su rol de intermediación de recursos financieros con el sector privado. Frente a este desafío, el sistema financiero mantiene un conjunto de características estructurales que llevan a mantener acotado el riesgo sistémico, definiendo un punto de partida relativamente favorable para su potencial expansión: reducida profundidad y apalancamiento en la economía (amplio margen de crecimiento a futuro), predominio de operaciones tradicionales de baja complejidad, sesgo transaccional (acotada transformación de plazos) y baja interconexión directa entre entidades, entre otros. A esto se suman los relativamente elevados márgenes de cobertura sistémicos de liquidez y capital.</w:t>
      </w:r>
    </w:p>
    <w:p w14:paraId="44B73D26" w14:textId="77777777" w:rsidR="00CB3518" w:rsidRPr="00CB3518" w:rsidRDefault="00CB3518" w:rsidP="00CB3518">
      <w:pPr>
        <w:jc w:val="both"/>
        <w:rPr>
          <w:rFonts w:ascii="Arial" w:hAnsi="Arial" w:cs="Arial"/>
          <w:b/>
          <w:bCs/>
          <w:sz w:val="18"/>
          <w:szCs w:val="18"/>
          <w:u w:val="single"/>
          <w:lang w:val="es-AR"/>
        </w:rPr>
      </w:pPr>
    </w:p>
    <w:p w14:paraId="44B1A535" w14:textId="77777777" w:rsidR="00CB3518" w:rsidRPr="00CB3518" w:rsidRDefault="00CB3518" w:rsidP="00CB3518">
      <w:pPr>
        <w:jc w:val="both"/>
        <w:rPr>
          <w:rFonts w:ascii="Arial" w:hAnsi="Arial" w:cs="Arial"/>
          <w:b/>
          <w:bCs/>
          <w:sz w:val="18"/>
          <w:szCs w:val="18"/>
          <w:u w:val="single"/>
          <w:lang w:val="es-AR"/>
        </w:rPr>
      </w:pPr>
      <w:r w:rsidRPr="00CB3518">
        <w:rPr>
          <w:rFonts w:ascii="Arial" w:hAnsi="Arial" w:cs="Arial"/>
          <w:b/>
          <w:bCs/>
          <w:sz w:val="18"/>
          <w:szCs w:val="18"/>
          <w:u w:val="single"/>
          <w:lang w:val="es-AR"/>
        </w:rPr>
        <w:t>Resumen financiero-contable</w:t>
      </w:r>
    </w:p>
    <w:p w14:paraId="6E1BCA40" w14:textId="77777777" w:rsidR="00CB3518" w:rsidRPr="00CB3518" w:rsidRDefault="00CB3518" w:rsidP="00CB3518">
      <w:pPr>
        <w:jc w:val="both"/>
        <w:rPr>
          <w:rFonts w:ascii="Arial" w:hAnsi="Arial" w:cs="Arial"/>
          <w:sz w:val="18"/>
          <w:szCs w:val="18"/>
          <w:lang w:val="es-AR"/>
        </w:rPr>
      </w:pPr>
      <w:r w:rsidRPr="00CB3518">
        <w:rPr>
          <w:rFonts w:ascii="Arial" w:hAnsi="Arial" w:cs="Arial"/>
          <w:sz w:val="18"/>
          <w:szCs w:val="18"/>
          <w:lang w:val="es-AR"/>
        </w:rPr>
        <w:t xml:space="preserve">Las cifras que a continuación se exponen surgen de los Estados Financieros al 31.12.2024 los cuales han sido preparados de acuerdo con las Normas Internacionales de Información Financiera vigentes y los lineamientos establecidos por el BCRA. Es importante destacar que las cifras expuestas en los Estados Financieros han sido </w:t>
      </w:r>
      <w:proofErr w:type="spellStart"/>
      <w:r w:rsidRPr="00CB3518">
        <w:rPr>
          <w:rFonts w:ascii="Arial" w:hAnsi="Arial" w:cs="Arial"/>
          <w:sz w:val="18"/>
          <w:szCs w:val="18"/>
          <w:lang w:val="es-AR"/>
        </w:rPr>
        <w:t>reexpresadas</w:t>
      </w:r>
      <w:proofErr w:type="spellEnd"/>
      <w:r w:rsidRPr="00CB3518">
        <w:rPr>
          <w:rFonts w:ascii="Arial" w:hAnsi="Arial" w:cs="Arial"/>
          <w:sz w:val="18"/>
          <w:szCs w:val="18"/>
          <w:lang w:val="es-AR"/>
        </w:rPr>
        <w:t xml:space="preserve"> según lo establecido por la NIC 29 “Información Financiera en Economías Hiperinflacionarias”, incluyendo la información comparativa a los efectos de su correcta lectura.</w:t>
      </w:r>
    </w:p>
    <w:p w14:paraId="3B2AFDF3" w14:textId="77777777" w:rsidR="00CB3518" w:rsidRPr="00CB3518" w:rsidRDefault="00CB3518" w:rsidP="00CB3518">
      <w:pPr>
        <w:jc w:val="both"/>
        <w:rPr>
          <w:rFonts w:ascii="Arial" w:hAnsi="Arial" w:cs="Arial"/>
          <w:sz w:val="18"/>
          <w:szCs w:val="18"/>
          <w:lang w:val="es-AR"/>
        </w:rPr>
      </w:pPr>
    </w:p>
    <w:p w14:paraId="7B5D2120" w14:textId="3059770C" w:rsidR="00CB3518" w:rsidRPr="00CB3518" w:rsidRDefault="00CB3518" w:rsidP="00CB3518">
      <w:pPr>
        <w:jc w:val="both"/>
        <w:rPr>
          <w:rFonts w:ascii="Arial" w:hAnsi="Arial" w:cs="Arial"/>
          <w:sz w:val="18"/>
          <w:szCs w:val="18"/>
          <w:lang w:val="es-AR"/>
        </w:rPr>
      </w:pPr>
      <w:r w:rsidRPr="00CB3518">
        <w:rPr>
          <w:rFonts w:ascii="Arial" w:hAnsi="Arial" w:cs="Arial"/>
          <w:noProof/>
          <w:sz w:val="18"/>
          <w:szCs w:val="18"/>
          <w:lang w:val="es-AR"/>
        </w:rPr>
        <w:drawing>
          <wp:anchor distT="0" distB="0" distL="114300" distR="114300" simplePos="0" relativeHeight="251658240" behindDoc="1" locked="0" layoutInCell="1" allowOverlap="1" wp14:anchorId="07801D32" wp14:editId="2C8CCB21">
            <wp:simplePos x="0" y="0"/>
            <wp:positionH relativeFrom="margin">
              <wp:align>left</wp:align>
            </wp:positionH>
            <wp:positionV relativeFrom="paragraph">
              <wp:posOffset>376555</wp:posOffset>
            </wp:positionV>
            <wp:extent cx="5925185" cy="2709545"/>
            <wp:effectExtent l="0" t="0" r="0" b="0"/>
            <wp:wrapTight wrapText="bothSides">
              <wp:wrapPolygon edited="0">
                <wp:start x="0" y="0"/>
                <wp:lineTo x="0" y="21413"/>
                <wp:lineTo x="21528" y="21413"/>
                <wp:lineTo x="21528" y="0"/>
                <wp:lineTo x="0" y="0"/>
              </wp:wrapPolygon>
            </wp:wrapTight>
            <wp:docPr id="627823518" name="Imagen 78" descr="Tabl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Tabla&#10;&#10;El contenido generado por IA puede ser incorrect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25185" cy="2709545"/>
                    </a:xfrm>
                    <a:prstGeom prst="rect">
                      <a:avLst/>
                    </a:prstGeom>
                    <a:noFill/>
                  </pic:spPr>
                </pic:pic>
              </a:graphicData>
            </a:graphic>
            <wp14:sizeRelH relativeFrom="margin">
              <wp14:pctWidth>0</wp14:pctWidth>
            </wp14:sizeRelH>
            <wp14:sizeRelV relativeFrom="margin">
              <wp14:pctHeight>0</wp14:pctHeight>
            </wp14:sizeRelV>
          </wp:anchor>
        </w:drawing>
      </w:r>
      <w:r w:rsidRPr="00CB3518">
        <w:rPr>
          <w:rFonts w:ascii="Arial" w:hAnsi="Arial" w:cs="Arial"/>
          <w:sz w:val="18"/>
          <w:szCs w:val="18"/>
          <w:lang w:val="es-AR"/>
        </w:rPr>
        <w:t>A continuación, se exponen las principales variaciones del Estado de Resultados al 31 de diciembre de 2024 en miles de pesos, presentados en moneda homogénea:</w:t>
      </w:r>
    </w:p>
    <w:p w14:paraId="3ECCBE43" w14:textId="77777777" w:rsidR="00CB3518" w:rsidRPr="00CB3518" w:rsidRDefault="00CB3518" w:rsidP="00CB3518">
      <w:pPr>
        <w:jc w:val="both"/>
        <w:rPr>
          <w:rFonts w:ascii="Arial" w:hAnsi="Arial" w:cs="Arial"/>
          <w:b/>
          <w:bCs/>
          <w:sz w:val="18"/>
          <w:szCs w:val="18"/>
          <w:u w:val="single"/>
          <w:lang w:val="es-ES"/>
        </w:rPr>
      </w:pPr>
    </w:p>
    <w:p w14:paraId="4FABF112" w14:textId="77777777" w:rsidR="00CB3518" w:rsidRPr="00CB3518" w:rsidRDefault="00CB3518" w:rsidP="00CB3518">
      <w:pPr>
        <w:jc w:val="both"/>
        <w:rPr>
          <w:rFonts w:ascii="Arial" w:hAnsi="Arial" w:cs="Arial"/>
          <w:sz w:val="18"/>
          <w:szCs w:val="18"/>
          <w:lang w:val="es-AR"/>
        </w:rPr>
      </w:pPr>
      <w:r w:rsidRPr="00CB3518">
        <w:rPr>
          <w:rFonts w:ascii="Arial" w:hAnsi="Arial" w:cs="Arial"/>
          <w:sz w:val="18"/>
          <w:szCs w:val="18"/>
          <w:lang w:val="es-AR"/>
        </w:rPr>
        <w:t xml:space="preserve">Fuente: Estados financieros de la Entidad a cada fecha. Los saldos comparativos fueron </w:t>
      </w:r>
      <w:proofErr w:type="spellStart"/>
      <w:r w:rsidRPr="00CB3518">
        <w:rPr>
          <w:rFonts w:ascii="Arial" w:hAnsi="Arial" w:cs="Arial"/>
          <w:sz w:val="18"/>
          <w:szCs w:val="18"/>
          <w:lang w:val="es-AR"/>
        </w:rPr>
        <w:t>reexpresados</w:t>
      </w:r>
      <w:proofErr w:type="spellEnd"/>
      <w:r w:rsidRPr="00CB3518">
        <w:rPr>
          <w:rFonts w:ascii="Arial" w:hAnsi="Arial" w:cs="Arial"/>
          <w:sz w:val="18"/>
          <w:szCs w:val="18"/>
          <w:lang w:val="es-AR"/>
        </w:rPr>
        <w:t xml:space="preserve"> a moneda homogénea del 31.12.24</w:t>
      </w:r>
    </w:p>
    <w:p w14:paraId="124C2C7D" w14:textId="77777777" w:rsidR="00CB3518" w:rsidRPr="00CB3518" w:rsidRDefault="00CB3518" w:rsidP="00CB3518">
      <w:pPr>
        <w:jc w:val="both"/>
        <w:rPr>
          <w:rFonts w:ascii="Arial" w:hAnsi="Arial" w:cs="Arial"/>
          <w:b/>
          <w:bCs/>
          <w:sz w:val="18"/>
          <w:szCs w:val="18"/>
          <w:u w:val="single"/>
          <w:lang w:val="es-ES"/>
        </w:rPr>
      </w:pPr>
    </w:p>
    <w:p w14:paraId="0F536EEF" w14:textId="77777777" w:rsidR="00CB3518" w:rsidRPr="00CB3518" w:rsidRDefault="00CB3518" w:rsidP="00CB3518">
      <w:pPr>
        <w:jc w:val="both"/>
        <w:rPr>
          <w:rFonts w:ascii="Arial" w:hAnsi="Arial" w:cs="Arial"/>
          <w:b/>
          <w:bCs/>
          <w:sz w:val="18"/>
          <w:szCs w:val="18"/>
          <w:u w:val="single"/>
          <w:lang w:val="es-ES"/>
        </w:rPr>
      </w:pPr>
      <w:r w:rsidRPr="00CB3518">
        <w:rPr>
          <w:rFonts w:ascii="Arial" w:hAnsi="Arial" w:cs="Arial"/>
          <w:b/>
          <w:bCs/>
          <w:sz w:val="18"/>
          <w:szCs w:val="18"/>
          <w:u w:val="single"/>
          <w:lang w:val="es-ES"/>
        </w:rPr>
        <w:lastRenderedPageBreak/>
        <w:t>Ingresos por intereses:</w:t>
      </w:r>
    </w:p>
    <w:p w14:paraId="0ED39128" w14:textId="77777777" w:rsidR="00CB3518" w:rsidRPr="00CB3518" w:rsidRDefault="00CB3518" w:rsidP="00CB3518">
      <w:pPr>
        <w:jc w:val="both"/>
        <w:rPr>
          <w:rFonts w:ascii="Arial" w:hAnsi="Arial" w:cs="Arial"/>
          <w:b/>
          <w:bCs/>
          <w:sz w:val="18"/>
          <w:szCs w:val="18"/>
          <w:u w:val="single"/>
          <w:lang w:val="es-ES"/>
        </w:rPr>
      </w:pPr>
    </w:p>
    <w:p w14:paraId="65746633" w14:textId="77777777" w:rsidR="00CB3518" w:rsidRPr="00CB3518" w:rsidRDefault="00CB3518" w:rsidP="00CB3518">
      <w:pPr>
        <w:jc w:val="both"/>
        <w:rPr>
          <w:rFonts w:ascii="Arial" w:hAnsi="Arial" w:cs="Arial"/>
          <w:sz w:val="18"/>
          <w:szCs w:val="18"/>
          <w:lang w:val="es-AR"/>
        </w:rPr>
      </w:pPr>
      <w:r w:rsidRPr="00CB3518">
        <w:rPr>
          <w:rFonts w:ascii="Arial" w:hAnsi="Arial" w:cs="Arial"/>
          <w:sz w:val="18"/>
          <w:szCs w:val="18"/>
          <w:lang w:val="es-AR"/>
        </w:rPr>
        <w:t>Los ingresos por intereses al 31 de diciembre de 2024 arrojaron un saldo de miles de $ 62.984.511 presentando una disminución del 2,9% con respecto al año 2023 en términos reales.</w:t>
      </w:r>
    </w:p>
    <w:p w14:paraId="3D8194FC" w14:textId="77777777" w:rsidR="00CB3518" w:rsidRPr="00CB3518" w:rsidRDefault="00CB3518" w:rsidP="00CB3518">
      <w:pPr>
        <w:jc w:val="both"/>
        <w:rPr>
          <w:rFonts w:ascii="Arial" w:hAnsi="Arial" w:cs="Arial"/>
          <w:sz w:val="18"/>
          <w:szCs w:val="18"/>
          <w:lang w:val="es-AR"/>
        </w:rPr>
      </w:pPr>
      <w:r w:rsidRPr="00CB3518">
        <w:rPr>
          <w:rFonts w:ascii="Arial" w:hAnsi="Arial" w:cs="Arial"/>
          <w:sz w:val="18"/>
          <w:szCs w:val="18"/>
          <w:lang w:val="es-AR"/>
        </w:rPr>
        <w:t xml:space="preserve">. </w:t>
      </w:r>
    </w:p>
    <w:p w14:paraId="2F3D54F3" w14:textId="77777777" w:rsidR="00CB3518" w:rsidRPr="00CB3518" w:rsidRDefault="00CB3518" w:rsidP="00CB3518">
      <w:pPr>
        <w:jc w:val="both"/>
        <w:rPr>
          <w:rFonts w:ascii="Arial" w:hAnsi="Arial" w:cs="Arial"/>
          <w:sz w:val="18"/>
          <w:szCs w:val="18"/>
          <w:lang w:val="es-AR"/>
        </w:rPr>
      </w:pPr>
      <w:r w:rsidRPr="00CB3518">
        <w:rPr>
          <w:rFonts w:ascii="Arial" w:hAnsi="Arial" w:cs="Arial"/>
          <w:sz w:val="18"/>
          <w:szCs w:val="18"/>
          <w:lang w:val="es-AR"/>
        </w:rPr>
        <w:t>A continuación, se exponen los ingresos por intereses abiertos por producto:</w:t>
      </w:r>
    </w:p>
    <w:p w14:paraId="37EE693C" w14:textId="77777777" w:rsidR="00CB3518" w:rsidRDefault="00CB3518" w:rsidP="000A6016">
      <w:pPr>
        <w:jc w:val="both"/>
        <w:rPr>
          <w:rFonts w:ascii="Arial" w:hAnsi="Arial" w:cs="Arial"/>
          <w:sz w:val="18"/>
          <w:szCs w:val="18"/>
          <w:lang w:val="es-AR"/>
        </w:rPr>
      </w:pPr>
    </w:p>
    <w:p w14:paraId="180F53A7" w14:textId="77777777" w:rsidR="005C1C83" w:rsidRPr="005C1C83" w:rsidRDefault="005C1C83" w:rsidP="005C1C83">
      <w:pPr>
        <w:jc w:val="both"/>
        <w:rPr>
          <w:rFonts w:ascii="Arial" w:hAnsi="Arial" w:cs="Arial"/>
          <w:sz w:val="18"/>
          <w:szCs w:val="18"/>
          <w:lang w:val="es-AR"/>
        </w:rPr>
      </w:pPr>
      <w:r w:rsidRPr="005C1C83">
        <w:rPr>
          <w:rFonts w:ascii="Arial" w:hAnsi="Arial" w:cs="Arial"/>
          <w:sz w:val="18"/>
          <w:szCs w:val="18"/>
          <w:lang w:val="es-AR"/>
        </w:rPr>
        <w:t>El mayor ingreso dentro del rubro ingresos por intereses se da en los pases con el sector financiero $14.951.448, mientras que el mayor incremento con respecto al año anterior se da en los intereses por títulos públicos, dentro de los cuales se destacan los resultados por letras (</w:t>
      </w:r>
      <w:proofErr w:type="spellStart"/>
      <w:r w:rsidRPr="005C1C83">
        <w:rPr>
          <w:rFonts w:ascii="Arial" w:hAnsi="Arial" w:cs="Arial"/>
          <w:sz w:val="18"/>
          <w:szCs w:val="18"/>
          <w:lang w:val="es-AR"/>
        </w:rPr>
        <w:t>Letes</w:t>
      </w:r>
      <w:proofErr w:type="spellEnd"/>
      <w:r w:rsidRPr="005C1C83">
        <w:rPr>
          <w:rFonts w:ascii="Arial" w:hAnsi="Arial" w:cs="Arial"/>
          <w:sz w:val="18"/>
          <w:szCs w:val="18"/>
          <w:lang w:val="es-AR"/>
        </w:rPr>
        <w:t xml:space="preserve"> y </w:t>
      </w:r>
      <w:proofErr w:type="spellStart"/>
      <w:r w:rsidRPr="005C1C83">
        <w:rPr>
          <w:rFonts w:ascii="Arial" w:hAnsi="Arial" w:cs="Arial"/>
          <w:sz w:val="18"/>
          <w:szCs w:val="18"/>
          <w:lang w:val="es-AR"/>
        </w:rPr>
        <w:t>Lefis</w:t>
      </w:r>
      <w:proofErr w:type="spellEnd"/>
      <w:r w:rsidRPr="005C1C83">
        <w:rPr>
          <w:rFonts w:ascii="Arial" w:hAnsi="Arial" w:cs="Arial"/>
          <w:sz w:val="18"/>
          <w:szCs w:val="18"/>
          <w:lang w:val="es-AR"/>
        </w:rPr>
        <w:t>). Dentro de los puntos más importantes a mencionar está el importante crecimiento en los intereses por préstamos prendarios, alcanzando un aumento del 315%. Durante el ejercicio 2024 se otorgaron nuevas líneas de préstamos hipotecarios y prendarios (ambos tanto en Pesos como en UVA).</w:t>
      </w:r>
    </w:p>
    <w:p w14:paraId="1F08E2F2" w14:textId="77777777" w:rsidR="005C1C83" w:rsidRPr="005C1C83" w:rsidRDefault="005C1C83" w:rsidP="005C1C83">
      <w:pPr>
        <w:jc w:val="both"/>
        <w:rPr>
          <w:rFonts w:ascii="Arial" w:hAnsi="Arial" w:cs="Arial"/>
          <w:b/>
          <w:bCs/>
          <w:sz w:val="18"/>
          <w:szCs w:val="18"/>
          <w:lang w:val="es-ES"/>
        </w:rPr>
      </w:pPr>
    </w:p>
    <w:p w14:paraId="32F71703" w14:textId="77777777" w:rsidR="005C1C83" w:rsidRPr="005C1C83" w:rsidRDefault="005C1C83" w:rsidP="005C1C83">
      <w:pPr>
        <w:jc w:val="both"/>
        <w:rPr>
          <w:rFonts w:ascii="Arial" w:hAnsi="Arial" w:cs="Arial"/>
          <w:b/>
          <w:bCs/>
          <w:sz w:val="18"/>
          <w:szCs w:val="18"/>
          <w:u w:val="single"/>
          <w:lang w:val="es-ES"/>
        </w:rPr>
      </w:pPr>
      <w:r w:rsidRPr="005C1C83">
        <w:rPr>
          <w:rFonts w:ascii="Arial" w:hAnsi="Arial" w:cs="Arial"/>
          <w:b/>
          <w:bCs/>
          <w:sz w:val="18"/>
          <w:szCs w:val="18"/>
          <w:u w:val="single"/>
          <w:lang w:val="es-ES"/>
        </w:rPr>
        <w:t>Egresos por intereses:</w:t>
      </w:r>
    </w:p>
    <w:p w14:paraId="4C3A914D" w14:textId="77777777" w:rsidR="005C1C83" w:rsidRPr="005C1C83" w:rsidRDefault="005C1C83" w:rsidP="005C1C83">
      <w:pPr>
        <w:jc w:val="both"/>
        <w:rPr>
          <w:rFonts w:ascii="Arial" w:hAnsi="Arial" w:cs="Arial"/>
          <w:b/>
          <w:bCs/>
          <w:sz w:val="18"/>
          <w:szCs w:val="18"/>
          <w:lang w:val="es-ES"/>
        </w:rPr>
      </w:pPr>
    </w:p>
    <w:p w14:paraId="7DE50E30" w14:textId="77777777" w:rsidR="005C1C83" w:rsidRPr="005C1C83" w:rsidRDefault="005C1C83" w:rsidP="005C1C83">
      <w:pPr>
        <w:jc w:val="both"/>
        <w:rPr>
          <w:rFonts w:ascii="Arial" w:hAnsi="Arial" w:cs="Arial"/>
          <w:sz w:val="18"/>
          <w:szCs w:val="18"/>
          <w:lang w:val="es-AR"/>
        </w:rPr>
      </w:pPr>
      <w:r w:rsidRPr="005C1C83">
        <w:rPr>
          <w:rFonts w:ascii="Arial" w:hAnsi="Arial" w:cs="Arial"/>
          <w:sz w:val="18"/>
          <w:szCs w:val="18"/>
          <w:lang w:val="es-AR"/>
        </w:rPr>
        <w:t>Los egresos por intereses al 31 de diciembre de 2024 presentaron un saldo de miles de $ 21.592.320, en comparación con los miles de $ 65.406.797 del ejercicio 2023, lo cual representó una disminución del 67% en términos reales. Si bien hubo un incremento considerable en la cartera de depósitos (un 84% mayor a los depósitos de 2023) la disminución del impacto en los egresos financieros se debe a la baja de tasas que impactó durante el ejercicio. Es importante mencionar que durante el 2024 se desarrolló el producto de depósitos a plazo fijo en uva, el cual generó intereses por $ 55.741 durante el ejercicio.</w:t>
      </w:r>
    </w:p>
    <w:p w14:paraId="575E31C2" w14:textId="77777777" w:rsidR="005C1C83" w:rsidRPr="005C1C83" w:rsidRDefault="005C1C83" w:rsidP="005C1C83">
      <w:pPr>
        <w:jc w:val="both"/>
        <w:rPr>
          <w:rFonts w:ascii="Arial" w:hAnsi="Arial" w:cs="Arial"/>
          <w:sz w:val="18"/>
          <w:szCs w:val="18"/>
          <w:lang w:val="es-AR"/>
        </w:rPr>
      </w:pPr>
    </w:p>
    <w:p w14:paraId="53A7D616" w14:textId="77777777" w:rsidR="005C1C83" w:rsidRPr="005C1C83" w:rsidRDefault="005C1C83" w:rsidP="005C1C83">
      <w:pPr>
        <w:jc w:val="both"/>
        <w:rPr>
          <w:rFonts w:ascii="Arial" w:hAnsi="Arial" w:cs="Arial"/>
          <w:sz w:val="18"/>
          <w:szCs w:val="18"/>
          <w:lang w:val="es-AR"/>
        </w:rPr>
      </w:pPr>
      <w:r w:rsidRPr="005C1C83">
        <w:rPr>
          <w:rFonts w:ascii="Arial" w:hAnsi="Arial" w:cs="Arial"/>
          <w:sz w:val="18"/>
          <w:szCs w:val="18"/>
          <w:lang w:val="es-AR"/>
        </w:rPr>
        <w:t xml:space="preserve">Debido a la fuerte sinergia existente entre Banco del Sol y Grupo </w:t>
      </w:r>
      <w:proofErr w:type="spellStart"/>
      <w:r w:rsidRPr="005C1C83">
        <w:rPr>
          <w:rFonts w:ascii="Arial" w:hAnsi="Arial" w:cs="Arial"/>
          <w:sz w:val="18"/>
          <w:szCs w:val="18"/>
          <w:lang w:val="es-AR"/>
        </w:rPr>
        <w:t>Sancor</w:t>
      </w:r>
      <w:proofErr w:type="spellEnd"/>
      <w:r w:rsidRPr="005C1C83">
        <w:rPr>
          <w:rFonts w:ascii="Arial" w:hAnsi="Arial" w:cs="Arial"/>
          <w:sz w:val="18"/>
          <w:szCs w:val="18"/>
          <w:lang w:val="es-AR"/>
        </w:rPr>
        <w:t xml:space="preserve"> Seguros en esta etapa de crecimiento parte de los depósitos provienen del Grupo. </w:t>
      </w:r>
    </w:p>
    <w:p w14:paraId="68CCF86F" w14:textId="77777777" w:rsidR="005C1C83" w:rsidRPr="005C1C83" w:rsidRDefault="005C1C83" w:rsidP="005C1C83">
      <w:pPr>
        <w:jc w:val="both"/>
        <w:rPr>
          <w:rFonts w:ascii="Arial" w:hAnsi="Arial" w:cs="Arial"/>
          <w:sz w:val="18"/>
          <w:szCs w:val="18"/>
          <w:lang w:val="es-AR"/>
        </w:rPr>
      </w:pPr>
    </w:p>
    <w:p w14:paraId="1A63B07D" w14:textId="77777777" w:rsidR="005C1C83" w:rsidRDefault="005C1C83" w:rsidP="005C1C83">
      <w:pPr>
        <w:jc w:val="both"/>
        <w:rPr>
          <w:rFonts w:ascii="Arial" w:hAnsi="Arial" w:cs="Arial"/>
          <w:sz w:val="18"/>
          <w:szCs w:val="18"/>
          <w:lang w:val="es-AR"/>
        </w:rPr>
      </w:pPr>
      <w:r w:rsidRPr="005C1C83">
        <w:rPr>
          <w:rFonts w:ascii="Arial" w:hAnsi="Arial" w:cs="Arial"/>
          <w:sz w:val="18"/>
          <w:szCs w:val="18"/>
          <w:lang w:val="es-AR"/>
        </w:rPr>
        <w:t>A continuación, se exponen los egresos por intereses abiertos por producto:</w:t>
      </w:r>
    </w:p>
    <w:p w14:paraId="5AED4E4C" w14:textId="77777777" w:rsidR="00C10915" w:rsidRDefault="00C10915" w:rsidP="005C1C83">
      <w:pPr>
        <w:jc w:val="both"/>
        <w:rPr>
          <w:rFonts w:ascii="Arial" w:hAnsi="Arial" w:cs="Arial"/>
          <w:sz w:val="18"/>
          <w:szCs w:val="18"/>
          <w:lang w:val="es-AR"/>
        </w:rPr>
      </w:pPr>
    </w:p>
    <w:p w14:paraId="71B17BC5" w14:textId="0E426E03" w:rsidR="00C10915" w:rsidRPr="00C10915" w:rsidRDefault="00C10915" w:rsidP="00C10915">
      <w:pPr>
        <w:jc w:val="both"/>
        <w:rPr>
          <w:rFonts w:ascii="Arial" w:hAnsi="Arial" w:cs="Arial"/>
          <w:sz w:val="18"/>
          <w:szCs w:val="18"/>
          <w:lang w:val="es-AR"/>
        </w:rPr>
      </w:pPr>
      <w:r w:rsidRPr="00C10915">
        <w:rPr>
          <w:rFonts w:ascii="Arial" w:hAnsi="Arial" w:cs="Arial"/>
          <w:noProof/>
          <w:sz w:val="18"/>
          <w:szCs w:val="18"/>
          <w:lang w:val="es-AR"/>
        </w:rPr>
        <w:drawing>
          <wp:inline distT="0" distB="0" distL="0" distR="0" wp14:anchorId="154420F8" wp14:editId="2153286C">
            <wp:extent cx="5619750" cy="2362200"/>
            <wp:effectExtent l="0" t="0" r="0" b="0"/>
            <wp:docPr id="617709654" name="Imagen 84" descr="Tabl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Tabla&#10;&#10;El contenido generado por IA puede ser incorrect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19750" cy="2362200"/>
                    </a:xfrm>
                    <a:prstGeom prst="rect">
                      <a:avLst/>
                    </a:prstGeom>
                    <a:noFill/>
                    <a:ln>
                      <a:noFill/>
                    </a:ln>
                  </pic:spPr>
                </pic:pic>
              </a:graphicData>
            </a:graphic>
          </wp:inline>
        </w:drawing>
      </w:r>
    </w:p>
    <w:p w14:paraId="594C219F" w14:textId="77777777" w:rsidR="00C10915" w:rsidRPr="005C1C83" w:rsidRDefault="00C10915" w:rsidP="005C1C83">
      <w:pPr>
        <w:jc w:val="both"/>
        <w:rPr>
          <w:rFonts w:ascii="Arial" w:hAnsi="Arial" w:cs="Arial"/>
          <w:sz w:val="18"/>
          <w:szCs w:val="18"/>
          <w:lang w:val="es-AR"/>
        </w:rPr>
      </w:pPr>
    </w:p>
    <w:p w14:paraId="43B53E85" w14:textId="7FC10D14" w:rsidR="005C1C83" w:rsidRPr="005C1C83" w:rsidRDefault="005C1C83" w:rsidP="005C1C83">
      <w:pPr>
        <w:jc w:val="both"/>
        <w:rPr>
          <w:rFonts w:ascii="Arial" w:hAnsi="Arial" w:cs="Arial"/>
          <w:b/>
          <w:bCs/>
          <w:sz w:val="18"/>
          <w:szCs w:val="18"/>
          <w:u w:val="single"/>
          <w:lang w:val="es-ES"/>
        </w:rPr>
      </w:pPr>
      <w:r w:rsidRPr="005C1C83">
        <w:rPr>
          <w:rFonts w:ascii="Arial" w:hAnsi="Arial" w:cs="Arial"/>
          <w:b/>
          <w:noProof/>
          <w:sz w:val="18"/>
          <w:szCs w:val="18"/>
          <w:lang w:val="es-ES"/>
        </w:rPr>
        <w:drawing>
          <wp:inline distT="0" distB="0" distL="0" distR="0" wp14:anchorId="24BE6543" wp14:editId="73D2F9AB">
            <wp:extent cx="5670550" cy="1276350"/>
            <wp:effectExtent l="0" t="0" r="6350" b="0"/>
            <wp:docPr id="1650591144" name="Imagen 82" descr="Tabl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Tabla&#10;&#10;El contenido generado por IA puede ser incorrect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70550" cy="1276350"/>
                    </a:xfrm>
                    <a:prstGeom prst="rect">
                      <a:avLst/>
                    </a:prstGeom>
                    <a:noFill/>
                    <a:ln>
                      <a:noFill/>
                    </a:ln>
                  </pic:spPr>
                </pic:pic>
              </a:graphicData>
            </a:graphic>
          </wp:inline>
        </w:drawing>
      </w:r>
    </w:p>
    <w:p w14:paraId="1B2C5D25" w14:textId="77777777" w:rsidR="005C1C83" w:rsidRPr="005C1C83" w:rsidRDefault="005C1C83" w:rsidP="005C1C83">
      <w:pPr>
        <w:jc w:val="both"/>
        <w:rPr>
          <w:rFonts w:ascii="Arial" w:hAnsi="Arial" w:cs="Arial"/>
          <w:b/>
          <w:bCs/>
          <w:sz w:val="18"/>
          <w:szCs w:val="18"/>
          <w:u w:val="single"/>
          <w:lang w:val="es-ES"/>
        </w:rPr>
      </w:pPr>
    </w:p>
    <w:p w14:paraId="0FFE0C57" w14:textId="77777777" w:rsidR="005C1C83" w:rsidRPr="005C1C83" w:rsidRDefault="005C1C83" w:rsidP="005C1C83">
      <w:pPr>
        <w:jc w:val="both"/>
        <w:rPr>
          <w:rFonts w:ascii="Arial" w:hAnsi="Arial" w:cs="Arial"/>
          <w:b/>
          <w:bCs/>
          <w:sz w:val="18"/>
          <w:szCs w:val="18"/>
          <w:u w:val="single"/>
          <w:lang w:val="es-ES"/>
        </w:rPr>
      </w:pPr>
      <w:r w:rsidRPr="005C1C83">
        <w:rPr>
          <w:rFonts w:ascii="Arial" w:hAnsi="Arial" w:cs="Arial"/>
          <w:b/>
          <w:bCs/>
          <w:sz w:val="18"/>
          <w:szCs w:val="18"/>
          <w:u w:val="single"/>
          <w:lang w:val="es-ES"/>
        </w:rPr>
        <w:t xml:space="preserve">Ingresos por comisiones: </w:t>
      </w:r>
    </w:p>
    <w:p w14:paraId="202C2C6A" w14:textId="77777777" w:rsidR="005C1C83" w:rsidRPr="005C1C83" w:rsidRDefault="005C1C83" w:rsidP="005C1C83">
      <w:pPr>
        <w:jc w:val="both"/>
        <w:rPr>
          <w:rFonts w:ascii="Arial" w:hAnsi="Arial" w:cs="Arial"/>
          <w:sz w:val="18"/>
          <w:szCs w:val="18"/>
          <w:lang w:val="es-AR"/>
        </w:rPr>
      </w:pPr>
    </w:p>
    <w:p w14:paraId="59B0AAEF" w14:textId="77777777" w:rsidR="005C1C83" w:rsidRPr="005C1C83" w:rsidRDefault="005C1C83" w:rsidP="005C1C83">
      <w:pPr>
        <w:jc w:val="both"/>
        <w:rPr>
          <w:rFonts w:ascii="Arial" w:hAnsi="Arial" w:cs="Arial"/>
          <w:sz w:val="18"/>
          <w:szCs w:val="18"/>
          <w:lang w:val="es-AR"/>
        </w:rPr>
      </w:pPr>
      <w:r w:rsidRPr="005C1C83">
        <w:rPr>
          <w:rFonts w:ascii="Arial" w:hAnsi="Arial" w:cs="Arial"/>
          <w:sz w:val="18"/>
          <w:szCs w:val="18"/>
          <w:lang w:val="es-AR"/>
        </w:rPr>
        <w:t>Los ingresos por comisiones están dados principalmente por las comisiones de gremios, pymes, comisiones que tienen su origen en productos de pasivas, y comisiones de tarjetas de crédito. Durante el ejercicio 2024, los ingresos por comisiones ascendieron a miles de $ 594.276, disminuyendo un 9% en términos reales con respecto al ejercicio anterior.</w:t>
      </w:r>
    </w:p>
    <w:p w14:paraId="699A7727" w14:textId="77777777" w:rsidR="005C1C83" w:rsidRPr="005C1C83" w:rsidRDefault="005C1C83" w:rsidP="005C1C83">
      <w:pPr>
        <w:jc w:val="both"/>
        <w:rPr>
          <w:rFonts w:ascii="Arial" w:hAnsi="Arial" w:cs="Arial"/>
          <w:sz w:val="18"/>
          <w:szCs w:val="18"/>
          <w:lang w:val="es-AR"/>
        </w:rPr>
      </w:pPr>
    </w:p>
    <w:p w14:paraId="65D9F552" w14:textId="22216422" w:rsidR="005C1C83" w:rsidRPr="005C1C83" w:rsidRDefault="005C1C83" w:rsidP="005C1C83">
      <w:pPr>
        <w:jc w:val="both"/>
        <w:rPr>
          <w:rFonts w:ascii="Arial" w:hAnsi="Arial" w:cs="Arial"/>
          <w:b/>
          <w:bCs/>
          <w:sz w:val="18"/>
          <w:szCs w:val="18"/>
          <w:lang w:val="es-AR"/>
        </w:rPr>
      </w:pPr>
      <w:r w:rsidRPr="005C1C83">
        <w:rPr>
          <w:rFonts w:ascii="Arial" w:hAnsi="Arial" w:cs="Arial"/>
          <w:noProof/>
          <w:sz w:val="18"/>
          <w:szCs w:val="18"/>
          <w:lang w:val="es-AR"/>
        </w:rPr>
        <w:lastRenderedPageBreak/>
        <w:drawing>
          <wp:inline distT="0" distB="0" distL="0" distR="0" wp14:anchorId="373F7243" wp14:editId="77480CD6">
            <wp:extent cx="5670550" cy="742950"/>
            <wp:effectExtent l="0" t="0" r="6350" b="0"/>
            <wp:docPr id="1435404546" name="Imagen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70550" cy="742950"/>
                    </a:xfrm>
                    <a:prstGeom prst="rect">
                      <a:avLst/>
                    </a:prstGeom>
                    <a:noFill/>
                    <a:ln>
                      <a:noFill/>
                    </a:ln>
                  </pic:spPr>
                </pic:pic>
              </a:graphicData>
            </a:graphic>
          </wp:inline>
        </w:drawing>
      </w:r>
    </w:p>
    <w:p w14:paraId="75A5490A" w14:textId="77777777" w:rsidR="005C1C83" w:rsidRPr="005C1C83" w:rsidRDefault="005C1C83" w:rsidP="005C1C83">
      <w:pPr>
        <w:jc w:val="both"/>
        <w:rPr>
          <w:rFonts w:ascii="Arial" w:hAnsi="Arial" w:cs="Arial"/>
          <w:b/>
          <w:bCs/>
          <w:sz w:val="18"/>
          <w:szCs w:val="18"/>
          <w:lang w:val="es-AR"/>
        </w:rPr>
      </w:pPr>
    </w:p>
    <w:p w14:paraId="716C3702" w14:textId="77777777" w:rsidR="00130CE9" w:rsidRPr="005C1C83" w:rsidRDefault="00130CE9" w:rsidP="00130CE9">
      <w:pPr>
        <w:jc w:val="both"/>
        <w:rPr>
          <w:rFonts w:ascii="Arial" w:hAnsi="Arial" w:cs="Arial"/>
          <w:sz w:val="18"/>
          <w:szCs w:val="18"/>
          <w:lang w:val="es-AR"/>
        </w:rPr>
      </w:pPr>
      <w:r>
        <w:rPr>
          <w:rFonts w:ascii="Arial" w:hAnsi="Arial" w:cs="Arial"/>
          <w:b/>
          <w:bCs/>
          <w:sz w:val="18"/>
          <w:szCs w:val="18"/>
          <w:u w:val="single"/>
          <w:lang w:val="es-ES"/>
        </w:rPr>
        <w:t>Egresos por comisiones</w:t>
      </w:r>
      <w:r w:rsidRPr="000B4812">
        <w:rPr>
          <w:rFonts w:ascii="Arial" w:hAnsi="Arial" w:cs="Arial"/>
          <w:b/>
          <w:bCs/>
          <w:sz w:val="18"/>
          <w:szCs w:val="18"/>
          <w:u w:val="single"/>
          <w:lang w:val="es-ES"/>
        </w:rPr>
        <w:t>:</w:t>
      </w:r>
    </w:p>
    <w:p w14:paraId="60F0074E" w14:textId="77777777" w:rsidR="005C1C83" w:rsidRPr="005C1C83" w:rsidRDefault="005C1C83" w:rsidP="005C1C83">
      <w:pPr>
        <w:jc w:val="both"/>
        <w:rPr>
          <w:rFonts w:ascii="Arial" w:hAnsi="Arial" w:cs="Arial"/>
          <w:b/>
          <w:bCs/>
          <w:sz w:val="18"/>
          <w:szCs w:val="18"/>
          <w:u w:val="single"/>
          <w:lang w:val="es-AR"/>
        </w:rPr>
      </w:pPr>
    </w:p>
    <w:p w14:paraId="3FD30C5B" w14:textId="77777777" w:rsidR="000B4812" w:rsidRPr="000B4812" w:rsidRDefault="000B4812" w:rsidP="000B4812">
      <w:pPr>
        <w:jc w:val="both"/>
        <w:rPr>
          <w:rFonts w:ascii="Arial" w:hAnsi="Arial" w:cs="Arial"/>
          <w:sz w:val="18"/>
          <w:szCs w:val="18"/>
          <w:lang w:val="es-AR"/>
        </w:rPr>
      </w:pPr>
      <w:r w:rsidRPr="000B4812">
        <w:rPr>
          <w:rFonts w:ascii="Arial" w:hAnsi="Arial" w:cs="Arial"/>
          <w:sz w:val="18"/>
          <w:szCs w:val="18"/>
          <w:lang w:val="es-AR"/>
        </w:rPr>
        <w:t>Los principales egresos por comisiones están compuestos por comisiones de originación y cobranza de créditos, así como también por comisiones que se abonan por el servicio de cash in y por la utilización de cajeros automáticos. Durante 2024, los egresos por comisiones ascendieron a miles de $ 3.196.344, incrementándose un 52% en términos reales con respecto a los miles de $ 2.103.020 del ejercicio 2023.</w:t>
      </w:r>
    </w:p>
    <w:p w14:paraId="1E8DD42E" w14:textId="77777777" w:rsidR="000B4812" w:rsidRPr="000B4812" w:rsidRDefault="000B4812" w:rsidP="000B4812">
      <w:pPr>
        <w:jc w:val="both"/>
        <w:rPr>
          <w:rFonts w:ascii="Arial" w:hAnsi="Arial" w:cs="Arial"/>
          <w:sz w:val="18"/>
          <w:szCs w:val="18"/>
          <w:lang w:val="es-AR"/>
        </w:rPr>
      </w:pPr>
    </w:p>
    <w:p w14:paraId="4211A960" w14:textId="12F98925" w:rsidR="000B4812" w:rsidRPr="000B4812" w:rsidRDefault="000B4812" w:rsidP="000B4812">
      <w:pPr>
        <w:jc w:val="both"/>
        <w:rPr>
          <w:rFonts w:ascii="Arial" w:hAnsi="Arial" w:cs="Arial"/>
          <w:b/>
          <w:bCs/>
          <w:sz w:val="18"/>
          <w:szCs w:val="18"/>
          <w:u w:val="single"/>
          <w:lang w:val="es-ES"/>
        </w:rPr>
      </w:pPr>
      <w:r w:rsidRPr="000B4812">
        <w:rPr>
          <w:rFonts w:ascii="Arial" w:hAnsi="Arial" w:cs="Arial"/>
          <w:noProof/>
          <w:sz w:val="18"/>
          <w:szCs w:val="18"/>
          <w:lang w:val="es-AR"/>
        </w:rPr>
        <w:drawing>
          <wp:inline distT="0" distB="0" distL="0" distR="0" wp14:anchorId="67E2FD18" wp14:editId="033E957D">
            <wp:extent cx="5670550" cy="622300"/>
            <wp:effectExtent l="0" t="0" r="6350" b="6350"/>
            <wp:docPr id="438850766" name="Imagen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70550" cy="622300"/>
                    </a:xfrm>
                    <a:prstGeom prst="rect">
                      <a:avLst/>
                    </a:prstGeom>
                    <a:noFill/>
                    <a:ln>
                      <a:noFill/>
                    </a:ln>
                  </pic:spPr>
                </pic:pic>
              </a:graphicData>
            </a:graphic>
          </wp:inline>
        </w:drawing>
      </w:r>
    </w:p>
    <w:p w14:paraId="3A9B9859" w14:textId="77777777" w:rsidR="000B4812" w:rsidRPr="000B4812" w:rsidRDefault="000B4812" w:rsidP="000B4812">
      <w:pPr>
        <w:jc w:val="both"/>
        <w:rPr>
          <w:rFonts w:ascii="Arial" w:hAnsi="Arial" w:cs="Arial"/>
          <w:b/>
          <w:bCs/>
          <w:sz w:val="18"/>
          <w:szCs w:val="18"/>
          <w:u w:val="single"/>
          <w:lang w:val="es-ES"/>
        </w:rPr>
      </w:pPr>
    </w:p>
    <w:p w14:paraId="7E306B51" w14:textId="77777777" w:rsidR="000B4812" w:rsidRPr="000B4812" w:rsidRDefault="000B4812" w:rsidP="000B4812">
      <w:pPr>
        <w:jc w:val="both"/>
        <w:rPr>
          <w:rFonts w:ascii="Arial" w:hAnsi="Arial" w:cs="Arial"/>
          <w:b/>
          <w:bCs/>
          <w:sz w:val="18"/>
          <w:szCs w:val="18"/>
          <w:u w:val="single"/>
          <w:lang w:val="es-ES"/>
        </w:rPr>
      </w:pPr>
      <w:r w:rsidRPr="000B4812">
        <w:rPr>
          <w:rFonts w:ascii="Arial" w:hAnsi="Arial" w:cs="Arial"/>
          <w:b/>
          <w:bCs/>
          <w:sz w:val="18"/>
          <w:szCs w:val="18"/>
          <w:u w:val="single"/>
          <w:lang w:val="es-ES"/>
        </w:rPr>
        <w:t>Beneficios al personal:</w:t>
      </w:r>
    </w:p>
    <w:p w14:paraId="2291EC3A" w14:textId="77777777" w:rsidR="000B4812" w:rsidRPr="000B4812" w:rsidRDefault="000B4812" w:rsidP="000B4812">
      <w:pPr>
        <w:jc w:val="both"/>
        <w:rPr>
          <w:rFonts w:ascii="Arial" w:hAnsi="Arial" w:cs="Arial"/>
          <w:b/>
          <w:bCs/>
          <w:sz w:val="18"/>
          <w:szCs w:val="18"/>
          <w:lang w:val="es-ES"/>
        </w:rPr>
      </w:pPr>
    </w:p>
    <w:p w14:paraId="532032D4" w14:textId="77777777" w:rsidR="000B4812" w:rsidRPr="000B4812" w:rsidRDefault="000B4812" w:rsidP="000B4812">
      <w:pPr>
        <w:jc w:val="both"/>
        <w:rPr>
          <w:rFonts w:ascii="Arial" w:hAnsi="Arial" w:cs="Arial"/>
          <w:sz w:val="18"/>
          <w:szCs w:val="18"/>
          <w:lang w:val="es-ES"/>
        </w:rPr>
      </w:pPr>
      <w:r w:rsidRPr="000B4812">
        <w:rPr>
          <w:rFonts w:ascii="Arial" w:hAnsi="Arial" w:cs="Arial"/>
          <w:sz w:val="18"/>
          <w:szCs w:val="18"/>
          <w:lang w:val="es-ES"/>
        </w:rPr>
        <w:t xml:space="preserve">Al 31 de diciembre de 2024 los beneficios al personal alcanzaron un total de miles de $ 21.089.311, los cuales se incrementaron en un 9% con respecto al ejercicio 2023. El mayor incremento se dio en las líneas de remuneraciones, seguido por cargas sociales. Sin embargo, se puede visualizar una baja tanto en indemnizaciones y gratificaciones como en servicios al personal. Las paritarias bancarias al 31.12.24 alcanzaron un 117,8% calculado sobre la base de diciembre 2023. </w:t>
      </w:r>
    </w:p>
    <w:p w14:paraId="154ACCFB" w14:textId="77777777" w:rsidR="000B4812" w:rsidRPr="000B4812" w:rsidRDefault="000B4812" w:rsidP="000B4812">
      <w:pPr>
        <w:jc w:val="both"/>
        <w:rPr>
          <w:rFonts w:ascii="Arial" w:hAnsi="Arial" w:cs="Arial"/>
          <w:sz w:val="18"/>
          <w:szCs w:val="18"/>
          <w:lang w:val="es-ES"/>
        </w:rPr>
      </w:pPr>
    </w:p>
    <w:p w14:paraId="71A6641D" w14:textId="77777777" w:rsidR="000B4812" w:rsidRPr="000B4812" w:rsidRDefault="000B4812" w:rsidP="000B4812">
      <w:pPr>
        <w:jc w:val="both"/>
        <w:rPr>
          <w:rFonts w:ascii="Arial" w:hAnsi="Arial" w:cs="Arial"/>
          <w:sz w:val="18"/>
          <w:szCs w:val="18"/>
          <w:lang w:val="es-ES"/>
        </w:rPr>
      </w:pPr>
      <w:r w:rsidRPr="000B4812">
        <w:rPr>
          <w:rFonts w:ascii="Arial" w:hAnsi="Arial" w:cs="Arial"/>
          <w:sz w:val="18"/>
          <w:szCs w:val="18"/>
          <w:lang w:val="es-ES"/>
        </w:rPr>
        <w:t>En el presente cuadro se pueden observar las variaciones con respecto al año anterior.</w:t>
      </w:r>
    </w:p>
    <w:p w14:paraId="175BAFD0" w14:textId="77777777" w:rsidR="000B4812" w:rsidRPr="000B4812" w:rsidRDefault="000B4812" w:rsidP="000B4812">
      <w:pPr>
        <w:jc w:val="both"/>
        <w:rPr>
          <w:rFonts w:ascii="Arial" w:hAnsi="Arial" w:cs="Arial"/>
          <w:sz w:val="18"/>
          <w:szCs w:val="18"/>
          <w:lang w:val="es-ES"/>
        </w:rPr>
      </w:pPr>
    </w:p>
    <w:p w14:paraId="33747B08" w14:textId="57E4B593" w:rsidR="000B4812" w:rsidRPr="000B4812" w:rsidRDefault="000B4812" w:rsidP="000B4812">
      <w:pPr>
        <w:jc w:val="both"/>
        <w:rPr>
          <w:rFonts w:ascii="Arial" w:hAnsi="Arial" w:cs="Arial"/>
          <w:b/>
          <w:bCs/>
          <w:sz w:val="18"/>
          <w:szCs w:val="18"/>
          <w:u w:val="single"/>
          <w:lang w:val="es-ES"/>
        </w:rPr>
      </w:pPr>
      <w:r w:rsidRPr="000B4812">
        <w:rPr>
          <w:rFonts w:ascii="Arial" w:hAnsi="Arial" w:cs="Arial"/>
          <w:noProof/>
          <w:sz w:val="18"/>
          <w:szCs w:val="18"/>
          <w:lang w:val="es-AR"/>
        </w:rPr>
        <w:drawing>
          <wp:inline distT="0" distB="0" distL="0" distR="0" wp14:anchorId="0A147BA1" wp14:editId="2753E0D3">
            <wp:extent cx="5670550" cy="863600"/>
            <wp:effectExtent l="0" t="0" r="6350" b="0"/>
            <wp:docPr id="1121389339" name="Imagen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70550" cy="863600"/>
                    </a:xfrm>
                    <a:prstGeom prst="rect">
                      <a:avLst/>
                    </a:prstGeom>
                    <a:noFill/>
                    <a:ln>
                      <a:noFill/>
                    </a:ln>
                  </pic:spPr>
                </pic:pic>
              </a:graphicData>
            </a:graphic>
          </wp:inline>
        </w:drawing>
      </w:r>
    </w:p>
    <w:p w14:paraId="16A0ABCA" w14:textId="77777777" w:rsidR="000B4812" w:rsidRPr="000B4812" w:rsidRDefault="000B4812" w:rsidP="000B4812">
      <w:pPr>
        <w:jc w:val="both"/>
        <w:rPr>
          <w:rFonts w:ascii="Arial" w:hAnsi="Arial" w:cs="Arial"/>
          <w:b/>
          <w:bCs/>
          <w:sz w:val="18"/>
          <w:szCs w:val="18"/>
          <w:u w:val="single"/>
          <w:lang w:val="es-ES"/>
        </w:rPr>
      </w:pPr>
    </w:p>
    <w:p w14:paraId="2CEB1B9B" w14:textId="77777777" w:rsidR="000B4812" w:rsidRPr="000B4812" w:rsidRDefault="000B4812" w:rsidP="000B4812">
      <w:pPr>
        <w:jc w:val="both"/>
        <w:rPr>
          <w:rFonts w:ascii="Arial" w:hAnsi="Arial" w:cs="Arial"/>
          <w:b/>
          <w:bCs/>
          <w:sz w:val="18"/>
          <w:szCs w:val="18"/>
          <w:u w:val="single"/>
          <w:lang w:val="es-ES"/>
        </w:rPr>
      </w:pPr>
      <w:r w:rsidRPr="000B4812">
        <w:rPr>
          <w:rFonts w:ascii="Arial" w:hAnsi="Arial" w:cs="Arial"/>
          <w:b/>
          <w:bCs/>
          <w:sz w:val="18"/>
          <w:szCs w:val="18"/>
          <w:u w:val="single"/>
          <w:lang w:val="es-ES"/>
        </w:rPr>
        <w:t>Gastos de administración:</w:t>
      </w:r>
    </w:p>
    <w:p w14:paraId="528EDE20" w14:textId="77777777" w:rsidR="000B4812" w:rsidRPr="000B4812" w:rsidRDefault="000B4812" w:rsidP="000B4812">
      <w:pPr>
        <w:jc w:val="both"/>
        <w:rPr>
          <w:rFonts w:ascii="Arial" w:hAnsi="Arial" w:cs="Arial"/>
          <w:sz w:val="18"/>
          <w:szCs w:val="18"/>
          <w:lang w:val="es-AR"/>
        </w:rPr>
      </w:pPr>
    </w:p>
    <w:p w14:paraId="4DEC6324" w14:textId="77777777" w:rsidR="000B4812" w:rsidRPr="000B4812" w:rsidRDefault="000B4812" w:rsidP="000B4812">
      <w:pPr>
        <w:jc w:val="both"/>
        <w:rPr>
          <w:rFonts w:ascii="Arial" w:hAnsi="Arial" w:cs="Arial"/>
          <w:sz w:val="18"/>
          <w:szCs w:val="18"/>
          <w:lang w:val="es-AR"/>
        </w:rPr>
      </w:pPr>
      <w:r w:rsidRPr="000B4812">
        <w:rPr>
          <w:rFonts w:ascii="Arial" w:hAnsi="Arial" w:cs="Arial"/>
          <w:sz w:val="18"/>
          <w:szCs w:val="18"/>
          <w:lang w:val="es-AR"/>
        </w:rPr>
        <w:t xml:space="preserve">Los gastos de administración al 31 de diciembre de 2024 fueron de miles de $ 21.276.819, en comparación con los miles de $ 16.281.315 de diciembre 2023, lo cual representó un incremento del 31% en términos reales. </w:t>
      </w:r>
    </w:p>
    <w:p w14:paraId="00A43D0A" w14:textId="77777777" w:rsidR="000B4812" w:rsidRPr="000B4812" w:rsidRDefault="000B4812" w:rsidP="000B4812">
      <w:pPr>
        <w:jc w:val="both"/>
        <w:rPr>
          <w:rFonts w:ascii="Arial" w:hAnsi="Arial" w:cs="Arial"/>
          <w:sz w:val="18"/>
          <w:szCs w:val="18"/>
          <w:lang w:val="es-AR"/>
        </w:rPr>
      </w:pPr>
    </w:p>
    <w:p w14:paraId="37C65DC2" w14:textId="77777777" w:rsidR="000B4812" w:rsidRPr="000B4812" w:rsidRDefault="000B4812" w:rsidP="000B4812">
      <w:pPr>
        <w:jc w:val="both"/>
        <w:rPr>
          <w:rFonts w:ascii="Arial" w:hAnsi="Arial" w:cs="Arial"/>
          <w:sz w:val="18"/>
          <w:szCs w:val="18"/>
          <w:lang w:val="es-AR"/>
        </w:rPr>
      </w:pPr>
      <w:r w:rsidRPr="000B4812">
        <w:rPr>
          <w:rFonts w:ascii="Arial" w:hAnsi="Arial" w:cs="Arial"/>
          <w:sz w:val="18"/>
          <w:szCs w:val="18"/>
          <w:lang w:val="es-AR"/>
        </w:rPr>
        <w:t xml:space="preserve">Las principales variaciones de egresos se dieron en las líneas de impuestos (principalmente débitos y créditos y seguridad e higiene), gastos de publicidad, consultoría, gastos de procesamiento y gastos diversos (plásticos y tarjetas, servicios de </w:t>
      </w:r>
      <w:proofErr w:type="spellStart"/>
      <w:proofErr w:type="gramStart"/>
      <w:r w:rsidRPr="000B4812">
        <w:rPr>
          <w:rFonts w:ascii="Arial" w:hAnsi="Arial" w:cs="Arial"/>
          <w:sz w:val="18"/>
          <w:szCs w:val="18"/>
          <w:lang w:val="es-AR"/>
        </w:rPr>
        <w:t>call</w:t>
      </w:r>
      <w:proofErr w:type="spellEnd"/>
      <w:r w:rsidRPr="000B4812">
        <w:rPr>
          <w:rFonts w:ascii="Arial" w:hAnsi="Arial" w:cs="Arial"/>
          <w:sz w:val="18"/>
          <w:szCs w:val="18"/>
          <w:lang w:val="es-AR"/>
        </w:rPr>
        <w:t xml:space="preserve"> center</w:t>
      </w:r>
      <w:proofErr w:type="gramEnd"/>
      <w:r w:rsidRPr="000B4812">
        <w:rPr>
          <w:rFonts w:ascii="Arial" w:hAnsi="Arial" w:cs="Arial"/>
          <w:sz w:val="18"/>
          <w:szCs w:val="18"/>
          <w:lang w:val="es-AR"/>
        </w:rPr>
        <w:t xml:space="preserve">, informes de clientes, nosis). </w:t>
      </w:r>
    </w:p>
    <w:p w14:paraId="5007AD00" w14:textId="77777777" w:rsidR="000B4812" w:rsidRPr="000B4812" w:rsidRDefault="000B4812" w:rsidP="000B4812">
      <w:pPr>
        <w:jc w:val="both"/>
        <w:rPr>
          <w:rFonts w:ascii="Arial" w:hAnsi="Arial" w:cs="Arial"/>
          <w:sz w:val="18"/>
          <w:szCs w:val="18"/>
          <w:lang w:val="es-AR"/>
        </w:rPr>
      </w:pPr>
    </w:p>
    <w:p w14:paraId="5184AFEB" w14:textId="77777777" w:rsidR="000B4812" w:rsidRPr="000B4812" w:rsidRDefault="000B4812" w:rsidP="000B4812">
      <w:pPr>
        <w:jc w:val="both"/>
        <w:rPr>
          <w:rFonts w:ascii="Arial" w:hAnsi="Arial" w:cs="Arial"/>
          <w:sz w:val="18"/>
          <w:szCs w:val="18"/>
          <w:lang w:val="es-ES"/>
        </w:rPr>
      </w:pPr>
      <w:r w:rsidRPr="000B4812">
        <w:rPr>
          <w:rFonts w:ascii="Arial" w:hAnsi="Arial" w:cs="Arial"/>
          <w:sz w:val="18"/>
          <w:szCs w:val="18"/>
          <w:lang w:val="es-ES"/>
        </w:rPr>
        <w:t>En el presente cuadro se pueden observar las variaciones con respecto al ejercicio anterior:</w:t>
      </w:r>
    </w:p>
    <w:p w14:paraId="6A5D98D2" w14:textId="77777777" w:rsidR="000B4812" w:rsidRPr="000B4812" w:rsidRDefault="000B4812" w:rsidP="000B4812">
      <w:pPr>
        <w:jc w:val="both"/>
        <w:rPr>
          <w:rFonts w:ascii="Arial" w:hAnsi="Arial" w:cs="Arial"/>
          <w:sz w:val="18"/>
          <w:szCs w:val="18"/>
          <w:lang w:val="es-AR"/>
        </w:rPr>
      </w:pPr>
    </w:p>
    <w:p w14:paraId="23BC90F3" w14:textId="40B1AB24" w:rsidR="000B4812" w:rsidRPr="000B4812" w:rsidRDefault="000B4812" w:rsidP="000B4812">
      <w:pPr>
        <w:jc w:val="both"/>
        <w:rPr>
          <w:rFonts w:ascii="Arial" w:hAnsi="Arial" w:cs="Arial"/>
          <w:sz w:val="18"/>
          <w:szCs w:val="18"/>
          <w:lang w:val="es-AR"/>
        </w:rPr>
      </w:pPr>
      <w:r w:rsidRPr="000B4812">
        <w:rPr>
          <w:rFonts w:ascii="Arial" w:hAnsi="Arial" w:cs="Arial"/>
          <w:noProof/>
          <w:sz w:val="18"/>
          <w:szCs w:val="18"/>
          <w:lang w:val="es-AR"/>
        </w:rPr>
        <w:drawing>
          <wp:inline distT="0" distB="0" distL="0" distR="0" wp14:anchorId="4ED79745" wp14:editId="6F12D63C">
            <wp:extent cx="5670550" cy="2190750"/>
            <wp:effectExtent l="0" t="0" r="6350" b="0"/>
            <wp:docPr id="2042783485" name="Imagen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70550" cy="2190750"/>
                    </a:xfrm>
                    <a:prstGeom prst="rect">
                      <a:avLst/>
                    </a:prstGeom>
                    <a:noFill/>
                    <a:ln>
                      <a:noFill/>
                    </a:ln>
                  </pic:spPr>
                </pic:pic>
              </a:graphicData>
            </a:graphic>
          </wp:inline>
        </w:drawing>
      </w:r>
    </w:p>
    <w:p w14:paraId="141179E5" w14:textId="77777777" w:rsidR="000B4812" w:rsidRDefault="000B4812" w:rsidP="000B4812">
      <w:pPr>
        <w:jc w:val="both"/>
        <w:rPr>
          <w:rFonts w:ascii="Arial" w:hAnsi="Arial" w:cs="Arial"/>
          <w:sz w:val="18"/>
          <w:szCs w:val="18"/>
          <w:lang w:val="es-AR"/>
        </w:rPr>
      </w:pPr>
    </w:p>
    <w:p w14:paraId="237C82CE" w14:textId="77777777" w:rsidR="002B72E4" w:rsidRPr="002B72E4" w:rsidRDefault="002B72E4" w:rsidP="002B72E4">
      <w:pPr>
        <w:jc w:val="both"/>
        <w:rPr>
          <w:rFonts w:ascii="Arial" w:hAnsi="Arial" w:cs="Arial"/>
          <w:sz w:val="18"/>
          <w:szCs w:val="18"/>
          <w:lang w:val="es-ES"/>
        </w:rPr>
      </w:pPr>
      <w:r w:rsidRPr="002B72E4">
        <w:rPr>
          <w:rFonts w:ascii="Arial" w:hAnsi="Arial" w:cs="Arial"/>
          <w:sz w:val="18"/>
          <w:szCs w:val="18"/>
          <w:lang w:val="es-ES"/>
        </w:rPr>
        <w:lastRenderedPageBreak/>
        <w:t>A continuación, se exponen la composición del Estado de Situación Financiera al 31 de diciembre de 2024 en miles de pesos, presentados en moneda homogénea:</w:t>
      </w:r>
    </w:p>
    <w:p w14:paraId="7AB2E15D" w14:textId="77777777" w:rsidR="002B72E4" w:rsidRPr="002B72E4" w:rsidRDefault="002B72E4" w:rsidP="002B72E4">
      <w:pPr>
        <w:jc w:val="both"/>
        <w:rPr>
          <w:rFonts w:ascii="Arial" w:hAnsi="Arial" w:cs="Arial"/>
          <w:b/>
          <w:bCs/>
          <w:sz w:val="18"/>
          <w:szCs w:val="18"/>
          <w:lang w:val="es-ES"/>
        </w:rPr>
      </w:pPr>
    </w:p>
    <w:p w14:paraId="3B7CA665" w14:textId="293304D2" w:rsidR="002B72E4" w:rsidRPr="002B72E4" w:rsidRDefault="002B72E4" w:rsidP="002B72E4">
      <w:pPr>
        <w:jc w:val="both"/>
        <w:rPr>
          <w:rFonts w:ascii="Arial" w:hAnsi="Arial" w:cs="Arial"/>
          <w:b/>
          <w:bCs/>
          <w:sz w:val="18"/>
          <w:szCs w:val="18"/>
          <w:u w:val="single"/>
          <w:lang w:val="es-AR"/>
        </w:rPr>
      </w:pPr>
      <w:r w:rsidRPr="002B72E4">
        <w:rPr>
          <w:rFonts w:ascii="Arial" w:hAnsi="Arial" w:cs="Arial"/>
          <w:noProof/>
          <w:sz w:val="18"/>
          <w:szCs w:val="18"/>
          <w:lang w:val="es-AR"/>
        </w:rPr>
        <w:drawing>
          <wp:inline distT="0" distB="0" distL="0" distR="0" wp14:anchorId="38344E9D" wp14:editId="286797B0">
            <wp:extent cx="5670550" cy="2165350"/>
            <wp:effectExtent l="0" t="0" r="6350" b="6350"/>
            <wp:docPr id="778669337" name="Imagen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70550" cy="2165350"/>
                    </a:xfrm>
                    <a:prstGeom prst="rect">
                      <a:avLst/>
                    </a:prstGeom>
                    <a:noFill/>
                    <a:ln>
                      <a:noFill/>
                    </a:ln>
                  </pic:spPr>
                </pic:pic>
              </a:graphicData>
            </a:graphic>
          </wp:inline>
        </w:drawing>
      </w:r>
    </w:p>
    <w:p w14:paraId="3808430A" w14:textId="77777777" w:rsidR="002B72E4" w:rsidRPr="002B72E4" w:rsidRDefault="002B72E4" w:rsidP="002B72E4">
      <w:pPr>
        <w:jc w:val="both"/>
        <w:rPr>
          <w:rFonts w:ascii="Arial" w:hAnsi="Arial" w:cs="Arial"/>
          <w:b/>
          <w:bCs/>
          <w:sz w:val="18"/>
          <w:szCs w:val="18"/>
          <w:u w:val="single"/>
          <w:lang w:val="es-AR"/>
        </w:rPr>
      </w:pPr>
      <w:r w:rsidRPr="002B72E4">
        <w:rPr>
          <w:rFonts w:ascii="Arial" w:hAnsi="Arial" w:cs="Arial"/>
          <w:b/>
          <w:bCs/>
          <w:sz w:val="18"/>
          <w:szCs w:val="18"/>
          <w:u w:val="single"/>
          <w:lang w:val="es-AR"/>
        </w:rPr>
        <w:t>Títulos públicos:</w:t>
      </w:r>
    </w:p>
    <w:p w14:paraId="3000A203" w14:textId="77777777" w:rsidR="002B72E4" w:rsidRPr="002B72E4" w:rsidRDefault="002B72E4" w:rsidP="002B72E4">
      <w:pPr>
        <w:jc w:val="both"/>
        <w:rPr>
          <w:rFonts w:ascii="Arial" w:hAnsi="Arial" w:cs="Arial"/>
          <w:b/>
          <w:bCs/>
          <w:sz w:val="18"/>
          <w:szCs w:val="18"/>
          <w:u w:val="single"/>
          <w:lang w:val="es-AR"/>
        </w:rPr>
      </w:pPr>
    </w:p>
    <w:p w14:paraId="23541C97" w14:textId="77777777" w:rsidR="002B72E4" w:rsidRPr="002B72E4" w:rsidRDefault="002B72E4" w:rsidP="002B72E4">
      <w:pPr>
        <w:jc w:val="both"/>
        <w:rPr>
          <w:rFonts w:ascii="Arial" w:hAnsi="Arial" w:cs="Arial"/>
          <w:sz w:val="18"/>
          <w:szCs w:val="18"/>
          <w:lang w:val="es-AR"/>
        </w:rPr>
      </w:pPr>
      <w:r w:rsidRPr="002B72E4">
        <w:rPr>
          <w:rFonts w:ascii="Arial" w:hAnsi="Arial" w:cs="Arial"/>
          <w:sz w:val="18"/>
          <w:szCs w:val="18"/>
          <w:lang w:val="es-AR"/>
        </w:rPr>
        <w:t>Al 31 de diciembre de 2024, el total de títulos públicos a valor razonable fue de miles de $4.324.929, es decir un 79% inferior en términos reales al ejercicio 2023. La composición de títulos en los ejercicios 2024 y 2023 es la siguiente:</w:t>
      </w:r>
    </w:p>
    <w:p w14:paraId="6CD99BFA" w14:textId="77777777" w:rsidR="002B72E4" w:rsidRPr="002B72E4" w:rsidRDefault="002B72E4" w:rsidP="002B72E4">
      <w:pPr>
        <w:jc w:val="both"/>
        <w:rPr>
          <w:rFonts w:ascii="Arial" w:hAnsi="Arial" w:cs="Arial"/>
          <w:sz w:val="18"/>
          <w:szCs w:val="18"/>
          <w:lang w:val="es-AR"/>
        </w:rPr>
      </w:pPr>
    </w:p>
    <w:p w14:paraId="7341BED4" w14:textId="1FB1D6FD" w:rsidR="002B72E4" w:rsidRPr="002B72E4" w:rsidRDefault="002B72E4" w:rsidP="002B72E4">
      <w:pPr>
        <w:jc w:val="both"/>
        <w:rPr>
          <w:rFonts w:ascii="Arial" w:hAnsi="Arial" w:cs="Arial"/>
          <w:sz w:val="18"/>
          <w:szCs w:val="18"/>
          <w:lang w:val="es-AR"/>
        </w:rPr>
      </w:pPr>
      <w:r w:rsidRPr="002B72E4">
        <w:rPr>
          <w:rFonts w:ascii="Arial" w:hAnsi="Arial" w:cs="Arial"/>
          <w:noProof/>
          <w:sz w:val="18"/>
          <w:szCs w:val="18"/>
          <w:lang w:val="es-AR"/>
        </w:rPr>
        <w:drawing>
          <wp:inline distT="0" distB="0" distL="0" distR="0" wp14:anchorId="49B8A664" wp14:editId="63D28E81">
            <wp:extent cx="5670550" cy="882650"/>
            <wp:effectExtent l="0" t="0" r="6350" b="0"/>
            <wp:docPr id="950794457" name="Imagen 95" descr="Escala de tiem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descr="Escala de tiempo&#10;&#10;El contenido generado por IA puede ser incorrecto."/>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70550" cy="882650"/>
                    </a:xfrm>
                    <a:prstGeom prst="rect">
                      <a:avLst/>
                    </a:prstGeom>
                    <a:noFill/>
                    <a:ln>
                      <a:noFill/>
                    </a:ln>
                  </pic:spPr>
                </pic:pic>
              </a:graphicData>
            </a:graphic>
          </wp:inline>
        </w:drawing>
      </w:r>
    </w:p>
    <w:p w14:paraId="3C42B258" w14:textId="77777777" w:rsidR="002B72E4" w:rsidRPr="002B72E4" w:rsidRDefault="002B72E4" w:rsidP="002B72E4">
      <w:pPr>
        <w:jc w:val="both"/>
        <w:rPr>
          <w:rFonts w:ascii="Arial" w:hAnsi="Arial" w:cs="Arial"/>
          <w:sz w:val="18"/>
          <w:szCs w:val="18"/>
          <w:lang w:val="es-AR"/>
        </w:rPr>
      </w:pPr>
      <w:r w:rsidRPr="002B72E4">
        <w:rPr>
          <w:rFonts w:ascii="Arial" w:hAnsi="Arial" w:cs="Arial"/>
          <w:sz w:val="18"/>
          <w:szCs w:val="18"/>
          <w:lang w:val="es-AR"/>
        </w:rPr>
        <w:t>La posición de títulos de deuda valuados a costo amortizado al 31 de diciembre de 2024 y 2023, es la siguiente:</w:t>
      </w:r>
    </w:p>
    <w:p w14:paraId="65C0A006" w14:textId="3E1DABF5" w:rsidR="002B72E4" w:rsidRPr="002B72E4" w:rsidRDefault="002B72E4" w:rsidP="002B72E4">
      <w:pPr>
        <w:jc w:val="both"/>
        <w:rPr>
          <w:rFonts w:ascii="Arial" w:hAnsi="Arial" w:cs="Arial"/>
          <w:sz w:val="18"/>
          <w:szCs w:val="18"/>
          <w:lang w:val="es-AR"/>
        </w:rPr>
      </w:pPr>
      <w:r w:rsidRPr="002B72E4">
        <w:rPr>
          <w:rFonts w:ascii="Arial" w:hAnsi="Arial" w:cs="Arial"/>
          <w:noProof/>
          <w:sz w:val="18"/>
          <w:szCs w:val="18"/>
          <w:lang w:val="es-AR"/>
        </w:rPr>
        <w:drawing>
          <wp:inline distT="0" distB="0" distL="0" distR="0" wp14:anchorId="4BD41D80" wp14:editId="208C36C3">
            <wp:extent cx="5670550" cy="1409700"/>
            <wp:effectExtent l="0" t="0" r="6350" b="0"/>
            <wp:docPr id="1397245415" name="Imagen 94" descr="Tabl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Tabla&#10;&#10;El contenido generado por IA puede ser incorrecto."/>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70550" cy="1409700"/>
                    </a:xfrm>
                    <a:prstGeom prst="rect">
                      <a:avLst/>
                    </a:prstGeom>
                    <a:noFill/>
                    <a:ln>
                      <a:noFill/>
                    </a:ln>
                  </pic:spPr>
                </pic:pic>
              </a:graphicData>
            </a:graphic>
          </wp:inline>
        </w:drawing>
      </w:r>
    </w:p>
    <w:p w14:paraId="29C80004" w14:textId="77777777" w:rsidR="002B72E4" w:rsidRPr="002B72E4" w:rsidRDefault="002B72E4" w:rsidP="002B72E4">
      <w:pPr>
        <w:jc w:val="both"/>
        <w:rPr>
          <w:rFonts w:ascii="Arial" w:hAnsi="Arial" w:cs="Arial"/>
          <w:b/>
          <w:bCs/>
          <w:sz w:val="18"/>
          <w:szCs w:val="18"/>
          <w:u w:val="single"/>
          <w:lang w:val="es-AR"/>
        </w:rPr>
      </w:pPr>
    </w:p>
    <w:p w14:paraId="78B55A43" w14:textId="77777777" w:rsidR="002B72E4" w:rsidRPr="002B72E4" w:rsidRDefault="002B72E4" w:rsidP="002B72E4">
      <w:pPr>
        <w:jc w:val="both"/>
        <w:rPr>
          <w:rFonts w:ascii="Arial" w:hAnsi="Arial" w:cs="Arial"/>
          <w:b/>
          <w:bCs/>
          <w:sz w:val="18"/>
          <w:szCs w:val="18"/>
          <w:u w:val="single"/>
          <w:lang w:val="es-AR"/>
        </w:rPr>
      </w:pPr>
      <w:r w:rsidRPr="002B72E4">
        <w:rPr>
          <w:rFonts w:ascii="Arial" w:hAnsi="Arial" w:cs="Arial"/>
          <w:b/>
          <w:bCs/>
          <w:sz w:val="18"/>
          <w:szCs w:val="18"/>
          <w:u w:val="single"/>
          <w:lang w:val="es-AR"/>
        </w:rPr>
        <w:t>Préstamos:</w:t>
      </w:r>
    </w:p>
    <w:p w14:paraId="6054C11C" w14:textId="77777777" w:rsidR="002B72E4" w:rsidRPr="002B72E4" w:rsidRDefault="002B72E4" w:rsidP="002B72E4">
      <w:pPr>
        <w:jc w:val="both"/>
        <w:rPr>
          <w:rFonts w:ascii="Arial" w:hAnsi="Arial" w:cs="Arial"/>
          <w:b/>
          <w:bCs/>
          <w:sz w:val="18"/>
          <w:szCs w:val="18"/>
          <w:u w:val="single"/>
          <w:lang w:val="es-AR"/>
        </w:rPr>
      </w:pPr>
    </w:p>
    <w:p w14:paraId="2E814A48" w14:textId="77777777" w:rsidR="002B72E4" w:rsidRPr="002B72E4" w:rsidRDefault="002B72E4" w:rsidP="002B72E4">
      <w:pPr>
        <w:jc w:val="both"/>
        <w:rPr>
          <w:rFonts w:ascii="Arial" w:hAnsi="Arial" w:cs="Arial"/>
          <w:sz w:val="18"/>
          <w:szCs w:val="18"/>
          <w:lang w:val="es-AR"/>
        </w:rPr>
      </w:pPr>
      <w:r w:rsidRPr="002B72E4">
        <w:rPr>
          <w:rFonts w:ascii="Arial" w:hAnsi="Arial" w:cs="Arial"/>
          <w:sz w:val="18"/>
          <w:szCs w:val="18"/>
          <w:lang w:val="es-AR"/>
        </w:rPr>
        <w:t xml:space="preserve">Actualmente, las líneas de préstamos se dividen en tres grandes categorías: Canal tradicional, Canal digital/aplicación móvil y Personas Jurídicas. La primera apunta a préstamos en pesos a tasa fija a través de agentes de las administraciones públicas (nacional, provincial, municipal) que se ejecutan a través de asociaciones intermedias (gremios, mutuales, cooperativas o centro de jubilados y pensionados) que cuentan con código de descuento y débito inteligente, la cual se complementa con compras de cartera. La segunda se refiere a préstamos personales a tasa fija, de pago voluntario colocados a través del canal productor asesor. Por último, los Préstamos Banca Empresa son prestamos amortizables a tasa fija (Pyme), préstamos </w:t>
      </w:r>
      <w:proofErr w:type="spellStart"/>
      <w:r w:rsidRPr="002B72E4">
        <w:rPr>
          <w:rFonts w:ascii="Arial" w:hAnsi="Arial" w:cs="Arial"/>
          <w:sz w:val="18"/>
          <w:szCs w:val="18"/>
          <w:lang w:val="es-AR"/>
        </w:rPr>
        <w:t>bullet</w:t>
      </w:r>
      <w:proofErr w:type="spellEnd"/>
      <w:r w:rsidRPr="002B72E4">
        <w:rPr>
          <w:rFonts w:ascii="Arial" w:hAnsi="Arial" w:cs="Arial"/>
          <w:sz w:val="18"/>
          <w:szCs w:val="18"/>
          <w:lang w:val="es-AR"/>
        </w:rPr>
        <w:t xml:space="preserve"> a tasa fija (Agro) y descuento de facturas. Por otra parte, la Línea de Tarjeta de Crédito se concentra únicamente en la emisión de tarjetas </w:t>
      </w:r>
      <w:proofErr w:type="spellStart"/>
      <w:r w:rsidRPr="002B72E4">
        <w:rPr>
          <w:rFonts w:ascii="Arial" w:hAnsi="Arial" w:cs="Arial"/>
          <w:sz w:val="18"/>
          <w:szCs w:val="18"/>
          <w:lang w:val="es-AR"/>
        </w:rPr>
        <w:t>Mastercard</w:t>
      </w:r>
      <w:proofErr w:type="spellEnd"/>
      <w:r w:rsidRPr="002B72E4">
        <w:rPr>
          <w:rFonts w:ascii="Arial" w:hAnsi="Arial" w:cs="Arial"/>
          <w:sz w:val="18"/>
          <w:szCs w:val="18"/>
          <w:lang w:val="es-AR"/>
        </w:rPr>
        <w:t>. Dado que el negocio del banco se encuentra en una etapa de afianzamiento, se busca rentabilidad apalancándose en la extensa red de comercializadores del GSS el cual posee más de 9.000 productores asesores de seguros aprovechando la fortaleza de marca del Grupo en zonas clave para el plan comercial de BSOL. Es importante destacar que durante el ejercicio 2024 se lanzaron los primeros préstamos hipotecarios uva.</w:t>
      </w:r>
    </w:p>
    <w:p w14:paraId="0B03FB31" w14:textId="77777777" w:rsidR="00130CE9" w:rsidRDefault="00130CE9" w:rsidP="000B4812">
      <w:pPr>
        <w:jc w:val="both"/>
        <w:rPr>
          <w:rFonts w:ascii="Arial" w:hAnsi="Arial" w:cs="Arial"/>
          <w:sz w:val="18"/>
          <w:szCs w:val="18"/>
          <w:lang w:val="es-AR"/>
        </w:rPr>
      </w:pPr>
    </w:p>
    <w:p w14:paraId="446BDD6A" w14:textId="77777777" w:rsidR="00D91ACD" w:rsidRPr="00D91ACD" w:rsidRDefault="00D91ACD" w:rsidP="00D91ACD">
      <w:pPr>
        <w:jc w:val="both"/>
        <w:rPr>
          <w:rFonts w:ascii="Arial" w:hAnsi="Arial" w:cs="Arial"/>
          <w:sz w:val="18"/>
          <w:szCs w:val="18"/>
          <w:lang w:val="es-AR"/>
        </w:rPr>
      </w:pPr>
      <w:r w:rsidRPr="00D91ACD">
        <w:rPr>
          <w:rFonts w:ascii="Arial" w:hAnsi="Arial" w:cs="Arial"/>
          <w:sz w:val="18"/>
          <w:szCs w:val="18"/>
          <w:lang w:val="es-AR"/>
        </w:rPr>
        <w:t xml:space="preserve">A continuación, se expone la evolución de la originación de préstamos durante el ejercicio 2024 en valores nominales a cada fecha (expresados en millones de pesos): </w:t>
      </w:r>
    </w:p>
    <w:p w14:paraId="791A165A" w14:textId="4EEBEFB9" w:rsidR="00D91ACD" w:rsidRPr="00D91ACD" w:rsidRDefault="00D91ACD" w:rsidP="00D91ACD">
      <w:pPr>
        <w:jc w:val="both"/>
        <w:rPr>
          <w:rFonts w:ascii="Arial" w:hAnsi="Arial" w:cs="Arial"/>
          <w:sz w:val="18"/>
          <w:szCs w:val="18"/>
          <w:lang w:val="es-AR"/>
        </w:rPr>
      </w:pPr>
      <w:r w:rsidRPr="00D91ACD">
        <w:rPr>
          <w:rFonts w:ascii="Arial" w:hAnsi="Arial" w:cs="Arial"/>
          <w:noProof/>
          <w:sz w:val="18"/>
          <w:szCs w:val="18"/>
          <w:lang w:val="es-AR"/>
        </w:rPr>
        <w:lastRenderedPageBreak/>
        <w:drawing>
          <wp:inline distT="0" distB="0" distL="0" distR="0" wp14:anchorId="792B6EB8" wp14:editId="506CCCD8">
            <wp:extent cx="4870450" cy="1377950"/>
            <wp:effectExtent l="0" t="0" r="6350" b="0"/>
            <wp:docPr id="1663822227" name="Imagen 100" descr="Gráfi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descr="Gráfico&#10;&#10;El contenido generado por IA puede ser incorrecto."/>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870450" cy="1377950"/>
                    </a:xfrm>
                    <a:prstGeom prst="rect">
                      <a:avLst/>
                    </a:prstGeom>
                    <a:noFill/>
                    <a:ln>
                      <a:noFill/>
                    </a:ln>
                  </pic:spPr>
                </pic:pic>
              </a:graphicData>
            </a:graphic>
          </wp:inline>
        </w:drawing>
      </w:r>
    </w:p>
    <w:p w14:paraId="78D87BA5" w14:textId="77777777" w:rsidR="00D91ACD" w:rsidRPr="00D91ACD" w:rsidRDefault="00D91ACD" w:rsidP="00D91ACD">
      <w:pPr>
        <w:jc w:val="both"/>
        <w:rPr>
          <w:rFonts w:ascii="Arial" w:hAnsi="Arial" w:cs="Arial"/>
          <w:sz w:val="18"/>
          <w:szCs w:val="18"/>
          <w:lang w:val="es-AR"/>
        </w:rPr>
      </w:pPr>
    </w:p>
    <w:p w14:paraId="240C5A03" w14:textId="77777777" w:rsidR="00D91ACD" w:rsidRPr="00D91ACD" w:rsidRDefault="00D91ACD" w:rsidP="00D91ACD">
      <w:pPr>
        <w:jc w:val="both"/>
        <w:rPr>
          <w:rFonts w:ascii="Arial" w:hAnsi="Arial" w:cs="Arial"/>
          <w:sz w:val="18"/>
          <w:szCs w:val="18"/>
          <w:lang w:val="es-AR"/>
        </w:rPr>
      </w:pPr>
      <w:r w:rsidRPr="00D91ACD">
        <w:rPr>
          <w:rFonts w:ascii="Arial" w:hAnsi="Arial" w:cs="Arial"/>
          <w:sz w:val="18"/>
          <w:szCs w:val="18"/>
          <w:lang w:val="es-AR"/>
        </w:rPr>
        <w:t>En el siguiente cuadro se visualiza la composición de la cartera de préstamos abierta por producto:</w:t>
      </w:r>
    </w:p>
    <w:p w14:paraId="08E5DC51" w14:textId="77777777" w:rsidR="00D91ACD" w:rsidRPr="00D91ACD" w:rsidRDefault="00D91ACD" w:rsidP="00D91ACD">
      <w:pPr>
        <w:jc w:val="both"/>
        <w:rPr>
          <w:rFonts w:ascii="Arial" w:hAnsi="Arial" w:cs="Arial"/>
          <w:sz w:val="18"/>
          <w:szCs w:val="18"/>
          <w:lang w:val="es-AR"/>
        </w:rPr>
      </w:pPr>
    </w:p>
    <w:p w14:paraId="7541BDE1" w14:textId="7EEC2D2E" w:rsidR="00D91ACD" w:rsidRPr="00D91ACD" w:rsidRDefault="00D91ACD" w:rsidP="00D91ACD">
      <w:pPr>
        <w:jc w:val="both"/>
        <w:rPr>
          <w:rFonts w:ascii="Arial" w:hAnsi="Arial" w:cs="Arial"/>
          <w:sz w:val="18"/>
          <w:szCs w:val="18"/>
          <w:lang w:val="es-AR"/>
        </w:rPr>
      </w:pPr>
      <w:r w:rsidRPr="00D91ACD">
        <w:rPr>
          <w:rFonts w:ascii="Arial" w:hAnsi="Arial" w:cs="Arial"/>
          <w:noProof/>
          <w:sz w:val="18"/>
          <w:szCs w:val="18"/>
          <w:lang w:val="es-AR"/>
        </w:rPr>
        <w:drawing>
          <wp:inline distT="0" distB="0" distL="0" distR="0" wp14:anchorId="12438C59" wp14:editId="57A8B9C9">
            <wp:extent cx="5676900" cy="2197100"/>
            <wp:effectExtent l="0" t="0" r="0" b="0"/>
            <wp:docPr id="1614089070" name="Imagen 99" descr="Tabl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Tabla&#10;&#10;El contenido generado por IA puede ser incorrecto."/>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76900" cy="2197100"/>
                    </a:xfrm>
                    <a:prstGeom prst="rect">
                      <a:avLst/>
                    </a:prstGeom>
                    <a:noFill/>
                    <a:ln>
                      <a:noFill/>
                    </a:ln>
                  </pic:spPr>
                </pic:pic>
              </a:graphicData>
            </a:graphic>
          </wp:inline>
        </w:drawing>
      </w:r>
    </w:p>
    <w:p w14:paraId="761E5240" w14:textId="77777777" w:rsidR="00D91ACD" w:rsidRPr="00D91ACD" w:rsidRDefault="00D91ACD" w:rsidP="00D91ACD">
      <w:pPr>
        <w:jc w:val="both"/>
        <w:rPr>
          <w:rFonts w:ascii="Arial" w:hAnsi="Arial" w:cs="Arial"/>
          <w:sz w:val="18"/>
          <w:szCs w:val="18"/>
          <w:lang w:val="es-AR"/>
        </w:rPr>
      </w:pPr>
      <w:r w:rsidRPr="00D91ACD">
        <w:rPr>
          <w:rFonts w:ascii="Arial" w:hAnsi="Arial" w:cs="Arial"/>
          <w:sz w:val="18"/>
          <w:szCs w:val="18"/>
          <w:lang w:val="es-AR"/>
        </w:rPr>
        <w:t>En el presente cuadro se expone la cartera de préstamos (sin considerar las previsiones por incobrabilidad) expuesta por situación crediticia:</w:t>
      </w:r>
    </w:p>
    <w:p w14:paraId="2AA98B9F" w14:textId="77777777" w:rsidR="00D91ACD" w:rsidRDefault="00D91ACD" w:rsidP="000B4812">
      <w:pPr>
        <w:jc w:val="both"/>
        <w:rPr>
          <w:rFonts w:ascii="Arial" w:hAnsi="Arial" w:cs="Arial"/>
          <w:sz w:val="18"/>
          <w:szCs w:val="18"/>
          <w:lang w:val="es-AR"/>
        </w:rPr>
      </w:pPr>
    </w:p>
    <w:p w14:paraId="7AB36D16" w14:textId="77777777" w:rsidR="00D91ACD" w:rsidRDefault="00D91ACD" w:rsidP="000B4812">
      <w:pPr>
        <w:jc w:val="both"/>
        <w:rPr>
          <w:rFonts w:ascii="Arial" w:hAnsi="Arial" w:cs="Arial"/>
          <w:sz w:val="18"/>
          <w:szCs w:val="18"/>
          <w:lang w:val="es-AR"/>
        </w:rPr>
      </w:pPr>
    </w:p>
    <w:p w14:paraId="16D8B1F8" w14:textId="36AA55EE" w:rsidR="00A27970" w:rsidRPr="00A27970" w:rsidRDefault="00A27970" w:rsidP="00A27970">
      <w:pPr>
        <w:jc w:val="both"/>
        <w:rPr>
          <w:rFonts w:ascii="Arial" w:hAnsi="Arial" w:cs="Arial"/>
          <w:sz w:val="18"/>
          <w:szCs w:val="18"/>
          <w:lang w:val="es-AR"/>
        </w:rPr>
      </w:pPr>
      <w:r w:rsidRPr="00A27970">
        <w:rPr>
          <w:rFonts w:ascii="Arial" w:hAnsi="Arial" w:cs="Arial"/>
          <w:noProof/>
          <w:sz w:val="18"/>
          <w:szCs w:val="18"/>
          <w:lang w:val="es-AR"/>
        </w:rPr>
        <w:drawing>
          <wp:inline distT="0" distB="0" distL="0" distR="0" wp14:anchorId="56E1286D" wp14:editId="5BF08EFD">
            <wp:extent cx="3009900" cy="4165600"/>
            <wp:effectExtent l="0" t="0" r="0" b="6350"/>
            <wp:docPr id="428885605" name="Imagen 104" descr="Tabl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Tabla&#10;&#10;El contenido generado por IA puede ser incorrecto."/>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09900" cy="4165600"/>
                    </a:xfrm>
                    <a:prstGeom prst="rect">
                      <a:avLst/>
                    </a:prstGeom>
                    <a:noFill/>
                    <a:ln>
                      <a:noFill/>
                    </a:ln>
                  </pic:spPr>
                </pic:pic>
              </a:graphicData>
            </a:graphic>
          </wp:inline>
        </w:drawing>
      </w:r>
    </w:p>
    <w:p w14:paraId="12303ECE" w14:textId="6484C522" w:rsidR="00A27970" w:rsidRPr="00A27970" w:rsidRDefault="00A27970" w:rsidP="00A27970">
      <w:pPr>
        <w:jc w:val="both"/>
        <w:rPr>
          <w:rFonts w:ascii="Arial" w:hAnsi="Arial" w:cs="Arial"/>
          <w:sz w:val="18"/>
          <w:szCs w:val="18"/>
          <w:lang w:val="es-AR"/>
        </w:rPr>
      </w:pPr>
    </w:p>
    <w:p w14:paraId="5FE611CB" w14:textId="77777777" w:rsidR="00A27970" w:rsidRPr="00A27970" w:rsidRDefault="00A27970" w:rsidP="00A27970">
      <w:pPr>
        <w:jc w:val="both"/>
        <w:rPr>
          <w:rFonts w:ascii="Arial" w:hAnsi="Arial" w:cs="Arial"/>
          <w:sz w:val="18"/>
          <w:szCs w:val="18"/>
          <w:lang w:val="es-AR"/>
        </w:rPr>
      </w:pPr>
      <w:r w:rsidRPr="00A27970">
        <w:rPr>
          <w:rFonts w:ascii="Arial" w:hAnsi="Arial" w:cs="Arial"/>
          <w:sz w:val="18"/>
          <w:szCs w:val="18"/>
          <w:lang w:val="es-AR"/>
        </w:rPr>
        <w:t>A continuación, se expone la composición de los pasivos comparativas con el ejercicio anterior:</w:t>
      </w:r>
    </w:p>
    <w:p w14:paraId="184571FD" w14:textId="671AB786" w:rsidR="00A27970" w:rsidRPr="00A27970" w:rsidRDefault="00A27970" w:rsidP="00A27970">
      <w:pPr>
        <w:jc w:val="both"/>
        <w:rPr>
          <w:rFonts w:ascii="Arial" w:hAnsi="Arial" w:cs="Arial"/>
          <w:sz w:val="18"/>
          <w:szCs w:val="18"/>
          <w:lang w:val="es-AR"/>
        </w:rPr>
      </w:pPr>
      <w:r w:rsidRPr="00A27970">
        <w:rPr>
          <w:rFonts w:ascii="Arial" w:hAnsi="Arial" w:cs="Arial"/>
          <w:noProof/>
          <w:sz w:val="18"/>
          <w:szCs w:val="18"/>
          <w:lang w:val="es-AR"/>
        </w:rPr>
        <w:drawing>
          <wp:anchor distT="0" distB="0" distL="114300" distR="114300" simplePos="0" relativeHeight="251658241" behindDoc="1" locked="0" layoutInCell="1" allowOverlap="1" wp14:anchorId="2FC2952A" wp14:editId="1178ECA2">
            <wp:simplePos x="0" y="0"/>
            <wp:positionH relativeFrom="margin">
              <wp:align>right</wp:align>
            </wp:positionH>
            <wp:positionV relativeFrom="paragraph">
              <wp:posOffset>125095</wp:posOffset>
            </wp:positionV>
            <wp:extent cx="5671185" cy="1401445"/>
            <wp:effectExtent l="0" t="0" r="5715" b="8255"/>
            <wp:wrapNone/>
            <wp:docPr id="407536219" name="Imagen 105" descr="Tabl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Tabla&#10;&#10;El contenido generado por IA puede ser incorrecto."/>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671185" cy="1401445"/>
                    </a:xfrm>
                    <a:prstGeom prst="rect">
                      <a:avLst/>
                    </a:prstGeom>
                    <a:noFill/>
                  </pic:spPr>
                </pic:pic>
              </a:graphicData>
            </a:graphic>
            <wp14:sizeRelH relativeFrom="page">
              <wp14:pctWidth>0</wp14:pctWidth>
            </wp14:sizeRelH>
            <wp14:sizeRelV relativeFrom="page">
              <wp14:pctHeight>0</wp14:pctHeight>
            </wp14:sizeRelV>
          </wp:anchor>
        </w:drawing>
      </w:r>
    </w:p>
    <w:p w14:paraId="3B32B733" w14:textId="77777777" w:rsidR="00A27970" w:rsidRPr="00A27970" w:rsidRDefault="00A27970" w:rsidP="00A27970">
      <w:pPr>
        <w:jc w:val="both"/>
        <w:rPr>
          <w:rFonts w:ascii="Arial" w:hAnsi="Arial" w:cs="Arial"/>
          <w:b/>
          <w:bCs/>
          <w:sz w:val="18"/>
          <w:szCs w:val="18"/>
          <w:u w:val="single"/>
          <w:lang w:val="es-AR"/>
        </w:rPr>
      </w:pPr>
    </w:p>
    <w:p w14:paraId="23AAF386" w14:textId="77777777" w:rsidR="00A27970" w:rsidRPr="00A27970" w:rsidRDefault="00A27970" w:rsidP="00A27970">
      <w:pPr>
        <w:jc w:val="both"/>
        <w:rPr>
          <w:rFonts w:ascii="Arial" w:hAnsi="Arial" w:cs="Arial"/>
          <w:b/>
          <w:bCs/>
          <w:sz w:val="18"/>
          <w:szCs w:val="18"/>
          <w:u w:val="single"/>
          <w:lang w:val="es-AR"/>
        </w:rPr>
      </w:pPr>
    </w:p>
    <w:p w14:paraId="704D26E8" w14:textId="77777777" w:rsidR="00A27970" w:rsidRPr="00A27970" w:rsidRDefault="00A27970" w:rsidP="00A27970">
      <w:pPr>
        <w:jc w:val="both"/>
        <w:rPr>
          <w:rFonts w:ascii="Arial" w:hAnsi="Arial" w:cs="Arial"/>
          <w:b/>
          <w:bCs/>
          <w:sz w:val="18"/>
          <w:szCs w:val="18"/>
          <w:u w:val="single"/>
          <w:lang w:val="es-AR"/>
        </w:rPr>
      </w:pPr>
    </w:p>
    <w:p w14:paraId="5ADA7A35" w14:textId="77777777" w:rsidR="00A27970" w:rsidRPr="00A27970" w:rsidRDefault="00A27970" w:rsidP="00A27970">
      <w:pPr>
        <w:jc w:val="both"/>
        <w:rPr>
          <w:rFonts w:ascii="Arial" w:hAnsi="Arial" w:cs="Arial"/>
          <w:b/>
          <w:bCs/>
          <w:sz w:val="18"/>
          <w:szCs w:val="18"/>
          <w:u w:val="single"/>
          <w:lang w:val="es-AR"/>
        </w:rPr>
      </w:pPr>
    </w:p>
    <w:p w14:paraId="0A8F1AB3" w14:textId="77777777" w:rsidR="00A27970" w:rsidRPr="00A27970" w:rsidRDefault="00A27970" w:rsidP="00A27970">
      <w:pPr>
        <w:jc w:val="both"/>
        <w:rPr>
          <w:rFonts w:ascii="Arial" w:hAnsi="Arial" w:cs="Arial"/>
          <w:b/>
          <w:bCs/>
          <w:sz w:val="18"/>
          <w:szCs w:val="18"/>
          <w:u w:val="single"/>
          <w:lang w:val="es-AR"/>
        </w:rPr>
      </w:pPr>
    </w:p>
    <w:p w14:paraId="2EFFF788" w14:textId="77777777" w:rsidR="00A27970" w:rsidRPr="00A27970" w:rsidRDefault="00A27970" w:rsidP="00A27970">
      <w:pPr>
        <w:jc w:val="both"/>
        <w:rPr>
          <w:rFonts w:ascii="Arial" w:hAnsi="Arial" w:cs="Arial"/>
          <w:b/>
          <w:bCs/>
          <w:sz w:val="18"/>
          <w:szCs w:val="18"/>
          <w:u w:val="single"/>
          <w:lang w:val="es-AR"/>
        </w:rPr>
      </w:pPr>
    </w:p>
    <w:p w14:paraId="2CC7E038" w14:textId="77777777" w:rsidR="00A27970" w:rsidRPr="00A27970" w:rsidRDefault="00A27970" w:rsidP="00A27970">
      <w:pPr>
        <w:jc w:val="both"/>
        <w:rPr>
          <w:rFonts w:ascii="Arial" w:hAnsi="Arial" w:cs="Arial"/>
          <w:b/>
          <w:bCs/>
          <w:sz w:val="18"/>
          <w:szCs w:val="18"/>
          <w:u w:val="single"/>
          <w:lang w:val="es-AR"/>
        </w:rPr>
      </w:pPr>
    </w:p>
    <w:p w14:paraId="0AF18695" w14:textId="77777777" w:rsidR="00A27970" w:rsidRPr="00A27970" w:rsidRDefault="00A27970" w:rsidP="00A27970">
      <w:pPr>
        <w:jc w:val="both"/>
        <w:rPr>
          <w:rFonts w:ascii="Arial" w:hAnsi="Arial" w:cs="Arial"/>
          <w:b/>
          <w:bCs/>
          <w:sz w:val="18"/>
          <w:szCs w:val="18"/>
          <w:u w:val="single"/>
          <w:lang w:val="es-AR"/>
        </w:rPr>
      </w:pPr>
    </w:p>
    <w:p w14:paraId="6EC4CB7B" w14:textId="77777777" w:rsidR="00A27970" w:rsidRPr="00A27970" w:rsidRDefault="00A27970" w:rsidP="00A27970">
      <w:pPr>
        <w:jc w:val="both"/>
        <w:rPr>
          <w:rFonts w:ascii="Arial" w:hAnsi="Arial" w:cs="Arial"/>
          <w:b/>
          <w:bCs/>
          <w:sz w:val="18"/>
          <w:szCs w:val="18"/>
          <w:u w:val="single"/>
          <w:lang w:val="es-AR"/>
        </w:rPr>
      </w:pPr>
    </w:p>
    <w:p w14:paraId="0EBF2738" w14:textId="77777777" w:rsidR="00A27970" w:rsidRPr="00A27970" w:rsidRDefault="00A27970" w:rsidP="00A27970">
      <w:pPr>
        <w:jc w:val="both"/>
        <w:rPr>
          <w:rFonts w:ascii="Arial" w:hAnsi="Arial" w:cs="Arial"/>
          <w:b/>
          <w:bCs/>
          <w:sz w:val="18"/>
          <w:szCs w:val="18"/>
          <w:u w:val="single"/>
          <w:lang w:val="es-AR"/>
        </w:rPr>
      </w:pPr>
    </w:p>
    <w:p w14:paraId="56505ACC" w14:textId="77777777" w:rsidR="00A27970" w:rsidRPr="00A27970" w:rsidRDefault="00A27970" w:rsidP="00A27970">
      <w:pPr>
        <w:jc w:val="both"/>
        <w:rPr>
          <w:rFonts w:ascii="Arial" w:hAnsi="Arial" w:cs="Arial"/>
          <w:b/>
          <w:bCs/>
          <w:sz w:val="18"/>
          <w:szCs w:val="18"/>
          <w:u w:val="single"/>
          <w:lang w:val="es-AR"/>
        </w:rPr>
      </w:pPr>
    </w:p>
    <w:p w14:paraId="63B81A93" w14:textId="77777777" w:rsidR="00A27970" w:rsidRPr="00A27970" w:rsidRDefault="00A27970" w:rsidP="00A27970">
      <w:pPr>
        <w:jc w:val="both"/>
        <w:rPr>
          <w:rFonts w:ascii="Arial" w:hAnsi="Arial" w:cs="Arial"/>
          <w:b/>
          <w:bCs/>
          <w:sz w:val="18"/>
          <w:szCs w:val="18"/>
          <w:u w:val="single"/>
          <w:lang w:val="es-AR"/>
        </w:rPr>
      </w:pPr>
      <w:r w:rsidRPr="00A27970">
        <w:rPr>
          <w:rFonts w:ascii="Arial" w:hAnsi="Arial" w:cs="Arial"/>
          <w:b/>
          <w:bCs/>
          <w:sz w:val="18"/>
          <w:szCs w:val="18"/>
          <w:u w:val="single"/>
          <w:lang w:val="es-AR"/>
        </w:rPr>
        <w:t>Depósitos:</w:t>
      </w:r>
    </w:p>
    <w:p w14:paraId="28E06AC5" w14:textId="77777777" w:rsidR="00A27970" w:rsidRPr="00A27970" w:rsidRDefault="00A27970" w:rsidP="00A27970">
      <w:pPr>
        <w:jc w:val="both"/>
        <w:rPr>
          <w:rFonts w:ascii="Arial" w:hAnsi="Arial" w:cs="Arial"/>
          <w:b/>
          <w:bCs/>
          <w:sz w:val="18"/>
          <w:szCs w:val="18"/>
          <w:lang w:val="es-AR"/>
        </w:rPr>
      </w:pPr>
    </w:p>
    <w:p w14:paraId="446CDA96" w14:textId="77777777" w:rsidR="00A27970" w:rsidRPr="00A27970" w:rsidRDefault="00A27970" w:rsidP="00A27970">
      <w:pPr>
        <w:jc w:val="both"/>
        <w:rPr>
          <w:rFonts w:ascii="Arial" w:hAnsi="Arial" w:cs="Arial"/>
          <w:sz w:val="18"/>
          <w:szCs w:val="18"/>
          <w:lang w:val="es-AR"/>
        </w:rPr>
      </w:pPr>
      <w:r w:rsidRPr="00A27970">
        <w:rPr>
          <w:rFonts w:ascii="Arial" w:hAnsi="Arial" w:cs="Arial"/>
          <w:sz w:val="18"/>
          <w:szCs w:val="18"/>
          <w:lang w:val="es-AR"/>
        </w:rPr>
        <w:t>La cartera de depósitos al 31 de diciembre de 2024 está compuesta por depósitos en Cajas de Ahorro, Cuentas Sueldo, Plazos fijos, Plazo fijos UVA y depósitos en Cuenta Corriente.</w:t>
      </w:r>
    </w:p>
    <w:p w14:paraId="1F0A9039" w14:textId="77777777" w:rsidR="00A27970" w:rsidRPr="00A27970" w:rsidRDefault="00A27970" w:rsidP="00A27970">
      <w:pPr>
        <w:jc w:val="both"/>
        <w:rPr>
          <w:rFonts w:ascii="Arial" w:hAnsi="Arial" w:cs="Arial"/>
          <w:sz w:val="18"/>
          <w:szCs w:val="18"/>
          <w:lang w:val="es-AR"/>
        </w:rPr>
      </w:pPr>
    </w:p>
    <w:p w14:paraId="734BAB7A" w14:textId="77777777" w:rsidR="00A27970" w:rsidRPr="00A27970" w:rsidRDefault="00A27970" w:rsidP="00A27970">
      <w:pPr>
        <w:jc w:val="both"/>
        <w:rPr>
          <w:rFonts w:ascii="Arial" w:hAnsi="Arial" w:cs="Arial"/>
          <w:sz w:val="18"/>
          <w:szCs w:val="18"/>
          <w:lang w:val="es-AR"/>
        </w:rPr>
      </w:pPr>
      <w:r w:rsidRPr="00A27970">
        <w:rPr>
          <w:rFonts w:ascii="Arial" w:hAnsi="Arial" w:cs="Arial"/>
          <w:sz w:val="18"/>
          <w:szCs w:val="18"/>
          <w:lang w:val="es-AR"/>
        </w:rPr>
        <w:t xml:space="preserve">El total de depósitos al 31 de diciembre de 2024 alcanzó los miles de $ 159.335.032. La mayor parte de los depósitos provienen del sector privado no financiero. Debido a la fuerte sinergia existente entre Banco del Sol y Grupo </w:t>
      </w:r>
      <w:proofErr w:type="spellStart"/>
      <w:r w:rsidRPr="00A27970">
        <w:rPr>
          <w:rFonts w:ascii="Arial" w:hAnsi="Arial" w:cs="Arial"/>
          <w:sz w:val="18"/>
          <w:szCs w:val="18"/>
          <w:lang w:val="es-AR"/>
        </w:rPr>
        <w:t>Sancor</w:t>
      </w:r>
      <w:proofErr w:type="spellEnd"/>
      <w:r w:rsidRPr="00A27970">
        <w:rPr>
          <w:rFonts w:ascii="Arial" w:hAnsi="Arial" w:cs="Arial"/>
          <w:sz w:val="18"/>
          <w:szCs w:val="18"/>
          <w:lang w:val="es-AR"/>
        </w:rPr>
        <w:t xml:space="preserve"> Seguros, parte de los depósitos provienen del Grupo. </w:t>
      </w:r>
    </w:p>
    <w:p w14:paraId="38FE602E" w14:textId="77777777" w:rsidR="00A27970" w:rsidRPr="00A27970" w:rsidRDefault="00A27970" w:rsidP="00A27970">
      <w:pPr>
        <w:jc w:val="both"/>
        <w:rPr>
          <w:rFonts w:ascii="Arial" w:hAnsi="Arial" w:cs="Arial"/>
          <w:sz w:val="18"/>
          <w:szCs w:val="18"/>
          <w:lang w:val="es-AR"/>
        </w:rPr>
      </w:pPr>
    </w:p>
    <w:p w14:paraId="11BC9E1B" w14:textId="77777777" w:rsidR="00A27970" w:rsidRPr="00A27970" w:rsidRDefault="00A27970" w:rsidP="00A27970">
      <w:pPr>
        <w:jc w:val="both"/>
        <w:rPr>
          <w:rFonts w:ascii="Arial" w:hAnsi="Arial" w:cs="Arial"/>
          <w:sz w:val="18"/>
          <w:szCs w:val="18"/>
          <w:lang w:val="es-AR"/>
        </w:rPr>
      </w:pPr>
      <w:r w:rsidRPr="00A27970">
        <w:rPr>
          <w:rFonts w:ascii="Arial" w:hAnsi="Arial" w:cs="Arial"/>
          <w:sz w:val="18"/>
          <w:szCs w:val="18"/>
          <w:lang w:val="es-AR"/>
        </w:rPr>
        <w:t>A continuación, se expone la evolución de los saldos de depósitos del ejercicio 2024 en millones de $ nominales a cada fecha:</w:t>
      </w:r>
    </w:p>
    <w:p w14:paraId="2E8E3C4D" w14:textId="77777777" w:rsidR="00A27970" w:rsidRPr="000B4812" w:rsidRDefault="00A27970" w:rsidP="000B4812">
      <w:pPr>
        <w:jc w:val="both"/>
        <w:rPr>
          <w:rFonts w:ascii="Arial" w:hAnsi="Arial" w:cs="Arial"/>
          <w:sz w:val="18"/>
          <w:szCs w:val="18"/>
          <w:lang w:val="es-AR"/>
        </w:rPr>
      </w:pPr>
    </w:p>
    <w:p w14:paraId="0083969F" w14:textId="2F6E8BFB" w:rsidR="003D5BAA" w:rsidRPr="003D5BAA" w:rsidRDefault="003D5BAA" w:rsidP="003D5BAA">
      <w:pPr>
        <w:jc w:val="both"/>
        <w:rPr>
          <w:rFonts w:ascii="Arial" w:hAnsi="Arial" w:cs="Arial"/>
          <w:sz w:val="18"/>
          <w:szCs w:val="18"/>
          <w:lang w:val="es-AR"/>
        </w:rPr>
      </w:pPr>
      <w:r w:rsidRPr="003D5BAA">
        <w:rPr>
          <w:rFonts w:ascii="Arial" w:hAnsi="Arial" w:cs="Arial"/>
          <w:noProof/>
          <w:sz w:val="18"/>
          <w:szCs w:val="18"/>
          <w:lang w:val="es-AR"/>
        </w:rPr>
        <w:drawing>
          <wp:inline distT="0" distB="0" distL="0" distR="0" wp14:anchorId="5C1F0CCE" wp14:editId="37BA7D71">
            <wp:extent cx="5676900" cy="1524000"/>
            <wp:effectExtent l="0" t="0" r="0" b="0"/>
            <wp:docPr id="473789861" name="Imagen 113" descr="Interfaz de usuario gráfic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descr="Interfaz de usuario gráfica&#10;&#10;El contenido generado por IA puede ser incorrecto."/>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676900" cy="1524000"/>
                    </a:xfrm>
                    <a:prstGeom prst="rect">
                      <a:avLst/>
                    </a:prstGeom>
                    <a:noFill/>
                    <a:ln>
                      <a:noFill/>
                    </a:ln>
                  </pic:spPr>
                </pic:pic>
              </a:graphicData>
            </a:graphic>
          </wp:inline>
        </w:drawing>
      </w:r>
    </w:p>
    <w:p w14:paraId="533606F6" w14:textId="77777777" w:rsidR="003D5BAA" w:rsidRPr="003D5BAA" w:rsidRDefault="003D5BAA" w:rsidP="003D5BAA">
      <w:pPr>
        <w:jc w:val="both"/>
        <w:rPr>
          <w:rFonts w:ascii="Arial" w:hAnsi="Arial" w:cs="Arial"/>
          <w:sz w:val="18"/>
          <w:szCs w:val="18"/>
          <w:lang w:val="es-AR"/>
        </w:rPr>
      </w:pPr>
    </w:p>
    <w:p w14:paraId="5AB5E3DB" w14:textId="77777777" w:rsidR="003D5BAA" w:rsidRPr="003D5BAA" w:rsidRDefault="003D5BAA" w:rsidP="003D5BAA">
      <w:pPr>
        <w:jc w:val="both"/>
        <w:rPr>
          <w:rFonts w:ascii="Arial" w:hAnsi="Arial" w:cs="Arial"/>
          <w:sz w:val="18"/>
          <w:szCs w:val="18"/>
          <w:lang w:val="es-AR"/>
        </w:rPr>
      </w:pPr>
    </w:p>
    <w:p w14:paraId="0EF341B9" w14:textId="77777777" w:rsidR="003D5BAA" w:rsidRPr="003D5BAA" w:rsidRDefault="003D5BAA" w:rsidP="003D5BAA">
      <w:pPr>
        <w:jc w:val="both"/>
        <w:rPr>
          <w:rFonts w:ascii="Arial" w:hAnsi="Arial" w:cs="Arial"/>
          <w:b/>
          <w:bCs/>
          <w:sz w:val="18"/>
          <w:szCs w:val="18"/>
          <w:u w:val="single"/>
          <w:lang w:val="es-AR"/>
        </w:rPr>
      </w:pPr>
      <w:r w:rsidRPr="003D5BAA">
        <w:rPr>
          <w:rFonts w:ascii="Arial" w:hAnsi="Arial" w:cs="Arial"/>
          <w:b/>
          <w:bCs/>
          <w:sz w:val="18"/>
          <w:szCs w:val="18"/>
          <w:u w:val="single"/>
          <w:lang w:val="es-AR"/>
        </w:rPr>
        <w:t>Evolución del Patrimonio Neto:</w:t>
      </w:r>
    </w:p>
    <w:p w14:paraId="252CFEAC" w14:textId="77777777" w:rsidR="003D5BAA" w:rsidRPr="003D5BAA" w:rsidRDefault="003D5BAA" w:rsidP="003D5BAA">
      <w:pPr>
        <w:jc w:val="both"/>
        <w:rPr>
          <w:rFonts w:ascii="Arial" w:hAnsi="Arial" w:cs="Arial"/>
          <w:sz w:val="18"/>
          <w:szCs w:val="18"/>
          <w:lang w:val="es-AR"/>
        </w:rPr>
      </w:pPr>
    </w:p>
    <w:p w14:paraId="4A32C342" w14:textId="77777777" w:rsidR="003D5BAA" w:rsidRPr="003D5BAA" w:rsidRDefault="003D5BAA" w:rsidP="003D5BAA">
      <w:pPr>
        <w:jc w:val="both"/>
        <w:rPr>
          <w:rFonts w:ascii="Arial" w:hAnsi="Arial" w:cs="Arial"/>
          <w:sz w:val="18"/>
          <w:szCs w:val="18"/>
          <w:lang w:val="es-AR"/>
        </w:rPr>
      </w:pPr>
      <w:r w:rsidRPr="003D5BAA">
        <w:rPr>
          <w:rFonts w:ascii="Arial" w:hAnsi="Arial" w:cs="Arial"/>
          <w:sz w:val="18"/>
          <w:szCs w:val="18"/>
          <w:lang w:val="es-AR"/>
        </w:rPr>
        <w:t>Las capitalizaciones del ejercicio 2024 se detallan en el siguiente cuadro:</w:t>
      </w:r>
    </w:p>
    <w:p w14:paraId="18798C5A" w14:textId="505B7186" w:rsidR="003D5BAA" w:rsidRPr="003D5BAA" w:rsidRDefault="003D5BAA" w:rsidP="003D5BAA">
      <w:pPr>
        <w:jc w:val="both"/>
        <w:rPr>
          <w:rFonts w:ascii="Arial" w:hAnsi="Arial" w:cs="Arial"/>
          <w:sz w:val="18"/>
          <w:szCs w:val="18"/>
          <w:lang w:val="es-AR"/>
        </w:rPr>
      </w:pPr>
      <w:r w:rsidRPr="003D5BAA">
        <w:rPr>
          <w:rFonts w:ascii="Arial" w:hAnsi="Arial" w:cs="Arial"/>
          <w:noProof/>
          <w:sz w:val="18"/>
          <w:szCs w:val="18"/>
          <w:lang w:val="es-AR"/>
        </w:rPr>
        <w:drawing>
          <wp:inline distT="0" distB="0" distL="0" distR="0" wp14:anchorId="2E3B1F04" wp14:editId="75D03A59">
            <wp:extent cx="5149850" cy="1524000"/>
            <wp:effectExtent l="0" t="0" r="0" b="0"/>
            <wp:docPr id="249975900" name="Imagen 112" descr="Tabl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descr="Tabla&#10;&#10;El contenido generado por IA puede ser incorrecto."/>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149850" cy="1524000"/>
                    </a:xfrm>
                    <a:prstGeom prst="rect">
                      <a:avLst/>
                    </a:prstGeom>
                    <a:noFill/>
                    <a:ln>
                      <a:noFill/>
                    </a:ln>
                  </pic:spPr>
                </pic:pic>
              </a:graphicData>
            </a:graphic>
          </wp:inline>
        </w:drawing>
      </w:r>
    </w:p>
    <w:p w14:paraId="0A0A1637" w14:textId="77777777" w:rsidR="003D5BAA" w:rsidRPr="003D5BAA" w:rsidRDefault="003D5BAA" w:rsidP="003D5BAA">
      <w:pPr>
        <w:jc w:val="both"/>
        <w:rPr>
          <w:rFonts w:ascii="Arial" w:hAnsi="Arial" w:cs="Arial"/>
          <w:sz w:val="18"/>
          <w:szCs w:val="18"/>
          <w:lang w:val="es-AR"/>
        </w:rPr>
      </w:pPr>
    </w:p>
    <w:p w14:paraId="4002F454" w14:textId="6CDE6FD5" w:rsidR="003D5BAA" w:rsidRPr="003D5BAA" w:rsidRDefault="003D5BAA" w:rsidP="003D5BAA">
      <w:pPr>
        <w:jc w:val="both"/>
        <w:rPr>
          <w:rFonts w:ascii="Arial" w:hAnsi="Arial" w:cs="Arial"/>
          <w:sz w:val="18"/>
          <w:szCs w:val="18"/>
          <w:lang w:val="es-AR"/>
        </w:rPr>
      </w:pPr>
      <w:r w:rsidRPr="003D5BAA">
        <w:rPr>
          <w:rFonts w:ascii="Arial" w:hAnsi="Arial" w:cs="Arial"/>
          <w:sz w:val="18"/>
          <w:szCs w:val="18"/>
          <w:lang w:val="es-AR"/>
        </w:rPr>
        <w:t>Durante el ejercicio 2024 se realizaron aportes de capital por un monto de $16.546.160, los cuales se detallan a continuación:</w:t>
      </w:r>
    </w:p>
    <w:p w14:paraId="4C6404C5" w14:textId="41576BD5" w:rsidR="003D5BAA" w:rsidRPr="003D5BAA" w:rsidRDefault="003D5BAA" w:rsidP="003D5BAA">
      <w:pPr>
        <w:jc w:val="both"/>
        <w:rPr>
          <w:rFonts w:ascii="Arial" w:hAnsi="Arial" w:cs="Arial"/>
          <w:sz w:val="18"/>
          <w:szCs w:val="18"/>
          <w:lang w:val="es-AR"/>
        </w:rPr>
      </w:pPr>
      <w:r w:rsidRPr="003D5BAA">
        <w:rPr>
          <w:rFonts w:ascii="Arial" w:hAnsi="Arial" w:cs="Arial"/>
          <w:noProof/>
          <w:sz w:val="18"/>
          <w:szCs w:val="18"/>
          <w:lang w:val="es-AR"/>
        </w:rPr>
        <w:lastRenderedPageBreak/>
        <w:drawing>
          <wp:inline distT="0" distB="0" distL="0" distR="0" wp14:anchorId="2D21B0AD" wp14:editId="589759A8">
            <wp:extent cx="3994150" cy="2768600"/>
            <wp:effectExtent l="0" t="0" r="6350" b="0"/>
            <wp:docPr id="1707721859" name="Imagen 111" descr="Tabl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Tabla&#10;&#10;El contenido generado por IA puede ser incorrecto."/>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994150" cy="2768600"/>
                    </a:xfrm>
                    <a:prstGeom prst="rect">
                      <a:avLst/>
                    </a:prstGeom>
                    <a:noFill/>
                    <a:ln>
                      <a:noFill/>
                    </a:ln>
                  </pic:spPr>
                </pic:pic>
              </a:graphicData>
            </a:graphic>
          </wp:inline>
        </w:drawing>
      </w:r>
    </w:p>
    <w:p w14:paraId="3417D3A2" w14:textId="77777777" w:rsidR="003D5BAA" w:rsidRPr="003D5BAA" w:rsidRDefault="003D5BAA" w:rsidP="003D5BAA">
      <w:pPr>
        <w:jc w:val="both"/>
        <w:rPr>
          <w:rFonts w:ascii="Arial" w:hAnsi="Arial" w:cs="Arial"/>
          <w:sz w:val="18"/>
          <w:szCs w:val="18"/>
          <w:lang w:val="es-AR"/>
        </w:rPr>
      </w:pPr>
    </w:p>
    <w:p w14:paraId="111EAE11" w14:textId="77777777" w:rsidR="003D5BAA" w:rsidRPr="003D5BAA" w:rsidRDefault="003D5BAA" w:rsidP="003D5BAA">
      <w:pPr>
        <w:jc w:val="both"/>
        <w:rPr>
          <w:rFonts w:ascii="Arial" w:hAnsi="Arial" w:cs="Arial"/>
          <w:sz w:val="18"/>
          <w:szCs w:val="18"/>
          <w:lang w:val="es-AR"/>
        </w:rPr>
      </w:pPr>
      <w:r w:rsidRPr="003D5BAA">
        <w:rPr>
          <w:rFonts w:ascii="Arial" w:hAnsi="Arial" w:cs="Arial"/>
          <w:sz w:val="18"/>
          <w:szCs w:val="18"/>
          <w:lang w:val="es-AR"/>
        </w:rPr>
        <w:t>Al 31 de diciembre el saldo de Aportes Irrevocables pendiente de aprobación es $ 7.480.000</w:t>
      </w:r>
    </w:p>
    <w:p w14:paraId="61088F33" w14:textId="77777777" w:rsidR="003D5BAA" w:rsidRPr="003D5BAA" w:rsidRDefault="003D5BAA" w:rsidP="003D5BAA">
      <w:pPr>
        <w:jc w:val="both"/>
        <w:rPr>
          <w:rFonts w:ascii="Arial" w:hAnsi="Arial" w:cs="Arial"/>
          <w:sz w:val="18"/>
          <w:szCs w:val="18"/>
          <w:lang w:val="es-AR"/>
        </w:rPr>
      </w:pPr>
    </w:p>
    <w:p w14:paraId="206A8D3E" w14:textId="77777777" w:rsidR="003D5BAA" w:rsidRPr="003D5BAA" w:rsidRDefault="003D5BAA" w:rsidP="003D5BAA">
      <w:pPr>
        <w:jc w:val="both"/>
        <w:rPr>
          <w:rFonts w:ascii="Arial" w:hAnsi="Arial" w:cs="Arial"/>
          <w:b/>
          <w:sz w:val="18"/>
          <w:szCs w:val="18"/>
          <w:u w:val="single"/>
          <w:lang w:val="es-AR"/>
        </w:rPr>
      </w:pPr>
    </w:p>
    <w:p w14:paraId="32B944B6" w14:textId="77777777" w:rsidR="003D5BAA" w:rsidRPr="003D5BAA" w:rsidRDefault="003D5BAA" w:rsidP="003D5BAA">
      <w:pPr>
        <w:jc w:val="both"/>
        <w:rPr>
          <w:rFonts w:ascii="Arial" w:hAnsi="Arial" w:cs="Arial"/>
          <w:b/>
          <w:sz w:val="18"/>
          <w:szCs w:val="18"/>
          <w:u w:val="single"/>
          <w:lang w:val="es-AR"/>
        </w:rPr>
      </w:pPr>
      <w:r w:rsidRPr="003D5BAA">
        <w:rPr>
          <w:rFonts w:ascii="Arial" w:hAnsi="Arial" w:cs="Arial"/>
          <w:b/>
          <w:sz w:val="18"/>
          <w:szCs w:val="18"/>
          <w:u w:val="single"/>
          <w:lang w:val="es-AR"/>
        </w:rPr>
        <w:t>Aprobación nuevo accionista</w:t>
      </w:r>
    </w:p>
    <w:p w14:paraId="54E20B42" w14:textId="77777777" w:rsidR="00BF4D80" w:rsidRPr="00BF4D80" w:rsidRDefault="003D5BAA" w:rsidP="00BF4D80">
      <w:pPr>
        <w:jc w:val="both"/>
        <w:rPr>
          <w:rFonts w:ascii="Arial" w:hAnsi="Arial" w:cs="Arial"/>
          <w:sz w:val="18"/>
          <w:szCs w:val="18"/>
          <w:lang w:val="es-AR"/>
        </w:rPr>
      </w:pPr>
      <w:r w:rsidRPr="003D5BAA">
        <w:rPr>
          <w:rFonts w:ascii="Arial" w:hAnsi="Arial" w:cs="Arial"/>
          <w:sz w:val="18"/>
          <w:szCs w:val="18"/>
          <w:lang w:val="es-AR"/>
        </w:rPr>
        <w:t xml:space="preserve">El 10 de abril del presente, el Banco recibió una notificación prevista en el artículo 215 de la Ley General de Sociedades </w:t>
      </w:r>
      <w:proofErr w:type="spellStart"/>
      <w:r w:rsidRPr="003D5BAA">
        <w:rPr>
          <w:rFonts w:ascii="Arial" w:hAnsi="Arial" w:cs="Arial"/>
          <w:sz w:val="18"/>
          <w:szCs w:val="18"/>
          <w:lang w:val="es-AR"/>
        </w:rPr>
        <w:t>Nº</w:t>
      </w:r>
      <w:proofErr w:type="spellEnd"/>
      <w:r w:rsidRPr="003D5BAA">
        <w:rPr>
          <w:rFonts w:ascii="Arial" w:hAnsi="Arial" w:cs="Arial"/>
          <w:sz w:val="18"/>
          <w:szCs w:val="18"/>
          <w:lang w:val="es-AR"/>
        </w:rPr>
        <w:t xml:space="preserve"> 19.550 relativa a la transferencia por parte del accionista Grupo Financiero SS S.A. a favor de Mercado Argentino de Valores S.A. de 586.899 (quinientas ochenta y seis mil ochocientas noventa y nueve)</w:t>
      </w:r>
      <w:r w:rsidR="00BF4D80">
        <w:rPr>
          <w:rFonts w:ascii="Arial" w:hAnsi="Arial" w:cs="Arial"/>
          <w:sz w:val="18"/>
          <w:szCs w:val="18"/>
          <w:lang w:val="es-AR"/>
        </w:rPr>
        <w:t xml:space="preserve"> </w:t>
      </w:r>
      <w:r w:rsidR="00BF4D80" w:rsidRPr="00BF4D80">
        <w:rPr>
          <w:rFonts w:ascii="Arial" w:hAnsi="Arial" w:cs="Arial"/>
          <w:sz w:val="18"/>
          <w:szCs w:val="18"/>
          <w:lang w:val="es-AR"/>
        </w:rPr>
        <w:t>acciones ordinarias, nominativas, no endosables, de valor nominal $100 (cien pesos) cada una y con derecho a 1 (un) voto por acción del Banco, respectivamente.</w:t>
      </w:r>
    </w:p>
    <w:p w14:paraId="7ED6C069" w14:textId="77777777" w:rsidR="00BF4D80" w:rsidRPr="00BF4D80" w:rsidRDefault="00BF4D80" w:rsidP="00BF4D80">
      <w:pPr>
        <w:jc w:val="both"/>
        <w:rPr>
          <w:rFonts w:ascii="Arial" w:hAnsi="Arial" w:cs="Arial"/>
          <w:sz w:val="18"/>
          <w:szCs w:val="18"/>
          <w:lang w:val="es-AR"/>
        </w:rPr>
      </w:pPr>
      <w:r w:rsidRPr="00BF4D80">
        <w:rPr>
          <w:rFonts w:ascii="Arial" w:hAnsi="Arial" w:cs="Arial"/>
          <w:sz w:val="18"/>
          <w:szCs w:val="18"/>
          <w:lang w:val="es-AR"/>
        </w:rPr>
        <w:t xml:space="preserve">La transferencia indicada ha sido aprobada por la </w:t>
      </w:r>
      <w:proofErr w:type="spellStart"/>
      <w:r w:rsidRPr="00BF4D80">
        <w:rPr>
          <w:rFonts w:ascii="Arial" w:hAnsi="Arial" w:cs="Arial"/>
          <w:sz w:val="18"/>
          <w:szCs w:val="18"/>
          <w:lang w:val="es-AR"/>
        </w:rPr>
        <w:t>SEFyC</w:t>
      </w:r>
      <w:proofErr w:type="spellEnd"/>
      <w:r w:rsidRPr="00BF4D80">
        <w:rPr>
          <w:rFonts w:ascii="Arial" w:hAnsi="Arial" w:cs="Arial"/>
          <w:sz w:val="18"/>
          <w:szCs w:val="18"/>
          <w:lang w:val="es-AR"/>
        </w:rPr>
        <w:t xml:space="preserve"> del B.C.R.A., que mediante la resolución RESOL-2024-75-E-GDEBCRA-SEFYC#BCRA del 22 de marzo de 2024 resolvió no formular observaciones a la modificación en la composición accionaria.</w:t>
      </w:r>
    </w:p>
    <w:p w14:paraId="40D8D289" w14:textId="77777777" w:rsidR="00A545CA" w:rsidRDefault="00A545CA" w:rsidP="00BF4D80">
      <w:pPr>
        <w:jc w:val="both"/>
        <w:rPr>
          <w:rFonts w:ascii="Arial" w:hAnsi="Arial" w:cs="Arial"/>
          <w:sz w:val="18"/>
          <w:szCs w:val="18"/>
          <w:lang w:val="es-AR"/>
        </w:rPr>
      </w:pPr>
    </w:p>
    <w:p w14:paraId="0FA06965" w14:textId="0847AD87" w:rsidR="00BF4D80" w:rsidRDefault="00BF4D80" w:rsidP="00BF4D80">
      <w:pPr>
        <w:jc w:val="both"/>
        <w:rPr>
          <w:rFonts w:ascii="Arial" w:hAnsi="Arial" w:cs="Arial"/>
          <w:sz w:val="18"/>
          <w:szCs w:val="18"/>
          <w:lang w:val="es-AR"/>
        </w:rPr>
      </w:pPr>
      <w:r w:rsidRPr="00BF4D80">
        <w:rPr>
          <w:rFonts w:ascii="Arial" w:hAnsi="Arial" w:cs="Arial"/>
          <w:sz w:val="18"/>
          <w:szCs w:val="18"/>
          <w:lang w:val="es-AR"/>
        </w:rPr>
        <w:t>La composición accionaria al 31 de diciembre de 2024 es la siguiente:</w:t>
      </w:r>
    </w:p>
    <w:p w14:paraId="09BA1702" w14:textId="77777777" w:rsidR="00A545CA" w:rsidRPr="00BF4D80" w:rsidRDefault="00A545CA" w:rsidP="00BF4D80">
      <w:pPr>
        <w:jc w:val="both"/>
        <w:rPr>
          <w:rFonts w:ascii="Arial" w:hAnsi="Arial" w:cs="Arial"/>
          <w:sz w:val="18"/>
          <w:szCs w:val="18"/>
          <w:lang w:val="es-AR"/>
        </w:rPr>
      </w:pPr>
    </w:p>
    <w:p w14:paraId="17F7F4E0" w14:textId="77777777" w:rsidR="00BF4D80" w:rsidRPr="00BF4D80" w:rsidRDefault="00BF4D80" w:rsidP="00BF4D80">
      <w:pPr>
        <w:numPr>
          <w:ilvl w:val="0"/>
          <w:numId w:val="37"/>
        </w:numPr>
        <w:jc w:val="both"/>
        <w:rPr>
          <w:rFonts w:ascii="Arial" w:hAnsi="Arial" w:cs="Arial"/>
          <w:sz w:val="18"/>
          <w:szCs w:val="18"/>
          <w:lang w:val="es-AR"/>
        </w:rPr>
      </w:pPr>
      <w:r w:rsidRPr="00BF4D80">
        <w:rPr>
          <w:rFonts w:ascii="Arial" w:hAnsi="Arial" w:cs="Arial"/>
          <w:sz w:val="18"/>
          <w:szCs w:val="18"/>
          <w:lang w:val="es-AR"/>
        </w:rPr>
        <w:t xml:space="preserve">Acciones a favor de Grupo Financiero SS S.A.: 122.028.782 (ciento veintidós millones veintiocho mil setecientos ochenta y dos) acciones ordinarias, nominativas, no endosables, de valor nominal $100 (cien pesos) cada una y con derecho a 1 (un) voto por acción; </w:t>
      </w:r>
    </w:p>
    <w:p w14:paraId="1E79FD29" w14:textId="77777777" w:rsidR="00BF4D80" w:rsidRPr="00BF4D80" w:rsidRDefault="00BF4D80" w:rsidP="00BF4D80">
      <w:pPr>
        <w:jc w:val="both"/>
        <w:rPr>
          <w:rFonts w:ascii="Arial" w:hAnsi="Arial" w:cs="Arial"/>
          <w:sz w:val="18"/>
          <w:szCs w:val="18"/>
          <w:lang w:val="es-AR"/>
        </w:rPr>
      </w:pPr>
    </w:p>
    <w:p w14:paraId="48F1C1D2" w14:textId="77777777" w:rsidR="00BF4D80" w:rsidRPr="00BF4D80" w:rsidRDefault="00BF4D80" w:rsidP="00BF4D80">
      <w:pPr>
        <w:numPr>
          <w:ilvl w:val="0"/>
          <w:numId w:val="37"/>
        </w:numPr>
        <w:jc w:val="both"/>
        <w:rPr>
          <w:rFonts w:ascii="Arial" w:hAnsi="Arial" w:cs="Arial"/>
          <w:sz w:val="18"/>
          <w:szCs w:val="18"/>
          <w:lang w:val="es-AR"/>
        </w:rPr>
      </w:pPr>
      <w:r w:rsidRPr="00BF4D80">
        <w:rPr>
          <w:rFonts w:ascii="Arial" w:hAnsi="Arial" w:cs="Arial"/>
          <w:sz w:val="18"/>
          <w:szCs w:val="18"/>
          <w:lang w:val="es-AR"/>
        </w:rPr>
        <w:t>Acciones a favor de Alianza Inversora S.A.: 40.947.226 (cuarenta millones novecientos cuarenta y siete mil doscientas veintiséis) acciones ordinarias, nominativas, no endosables, de valor nominal $100 (cien pesos) cada una y con derecho a 1 (un) voto por acción;</w:t>
      </w:r>
    </w:p>
    <w:p w14:paraId="7DA56A67" w14:textId="77777777" w:rsidR="00BF4D80" w:rsidRPr="00BF4D80" w:rsidRDefault="00BF4D80" w:rsidP="00BF4D80">
      <w:pPr>
        <w:jc w:val="both"/>
        <w:rPr>
          <w:rFonts w:ascii="Arial" w:hAnsi="Arial" w:cs="Arial"/>
          <w:sz w:val="18"/>
          <w:szCs w:val="18"/>
          <w:lang w:val="es-AR"/>
        </w:rPr>
      </w:pPr>
    </w:p>
    <w:p w14:paraId="4DEFFECF" w14:textId="77777777" w:rsidR="00BF4D80" w:rsidRPr="00BF4D80" w:rsidRDefault="00BF4D80" w:rsidP="00BF4D80">
      <w:pPr>
        <w:numPr>
          <w:ilvl w:val="0"/>
          <w:numId w:val="37"/>
        </w:numPr>
        <w:jc w:val="both"/>
        <w:rPr>
          <w:rFonts w:ascii="Arial" w:hAnsi="Arial" w:cs="Arial"/>
          <w:sz w:val="18"/>
          <w:szCs w:val="18"/>
          <w:lang w:val="es-AR"/>
        </w:rPr>
      </w:pPr>
      <w:r w:rsidRPr="00BF4D80">
        <w:rPr>
          <w:rFonts w:ascii="Arial" w:hAnsi="Arial" w:cs="Arial"/>
          <w:sz w:val="18"/>
          <w:szCs w:val="18"/>
          <w:lang w:val="es-AR"/>
        </w:rPr>
        <w:t>Acciones a favor de Mercado Argentino de Valores S.A.: 1.648.492 (un millón seiscientos cuarenta y ocho mil cuatrocientos noventa y dos) acciones ordinarias, nominativas, no endosables, de valor nominal $100 (cien pesos) cada una y con derecho a 1 (un) voto por acción; y</w:t>
      </w:r>
    </w:p>
    <w:p w14:paraId="0B0F1BC0" w14:textId="77777777" w:rsidR="00BF4D80" w:rsidRPr="00BF4D80" w:rsidRDefault="00BF4D80" w:rsidP="00BF4D80">
      <w:pPr>
        <w:jc w:val="both"/>
        <w:rPr>
          <w:rFonts w:ascii="Arial" w:hAnsi="Arial" w:cs="Arial"/>
          <w:sz w:val="18"/>
          <w:szCs w:val="18"/>
          <w:lang w:val="es-AR"/>
        </w:rPr>
      </w:pPr>
    </w:p>
    <w:p w14:paraId="5DA85257" w14:textId="77777777" w:rsidR="00BF4D80" w:rsidRPr="00BF4D80" w:rsidRDefault="00BF4D80" w:rsidP="00BF4D80">
      <w:pPr>
        <w:numPr>
          <w:ilvl w:val="0"/>
          <w:numId w:val="37"/>
        </w:numPr>
        <w:jc w:val="both"/>
        <w:rPr>
          <w:rFonts w:ascii="Arial" w:hAnsi="Arial" w:cs="Arial"/>
          <w:sz w:val="18"/>
          <w:szCs w:val="18"/>
          <w:lang w:val="es-AR"/>
        </w:rPr>
      </w:pPr>
      <w:r w:rsidRPr="00BF4D80">
        <w:rPr>
          <w:rFonts w:ascii="Arial" w:hAnsi="Arial" w:cs="Arial"/>
          <w:sz w:val="18"/>
          <w:szCs w:val="18"/>
          <w:lang w:val="es-AR"/>
        </w:rPr>
        <w:t>Acciones a favor de Gabriel Adrián Guglielmino: 226.013 (doscientas veintiséis mil trece) acciones ordinarias, nominativas, no endosables, de valor nominal $100 (cien pesos) cada una y con derecho a 1 (un) voto por acción.</w:t>
      </w:r>
    </w:p>
    <w:p w14:paraId="7D7E01D5" w14:textId="1D6BB949" w:rsidR="000B4812" w:rsidRDefault="000B4812" w:rsidP="003D5BAA">
      <w:pPr>
        <w:jc w:val="both"/>
        <w:rPr>
          <w:rFonts w:ascii="Arial" w:hAnsi="Arial" w:cs="Arial"/>
          <w:sz w:val="18"/>
          <w:szCs w:val="18"/>
          <w:lang w:val="es-ES"/>
        </w:rPr>
      </w:pPr>
    </w:p>
    <w:p w14:paraId="1D7D6A2C" w14:textId="591197FA" w:rsidR="00DB27AB" w:rsidRPr="00DB27AB" w:rsidRDefault="00DB27AB" w:rsidP="00DB27AB">
      <w:pPr>
        <w:jc w:val="both"/>
        <w:rPr>
          <w:rFonts w:ascii="Arial" w:hAnsi="Arial" w:cs="Arial"/>
          <w:sz w:val="18"/>
          <w:szCs w:val="18"/>
          <w:lang w:val="es-AR"/>
        </w:rPr>
      </w:pPr>
      <w:r w:rsidRPr="00DB27AB">
        <w:rPr>
          <w:rFonts w:ascii="Arial" w:hAnsi="Arial" w:cs="Arial"/>
          <w:sz w:val="18"/>
          <w:szCs w:val="18"/>
          <w:lang w:val="es-AR"/>
        </w:rPr>
        <w:t>El Patrimonio Neto al 31 de diciembre de 2024 y 2023 queda expuesto de la siguiente manera:</w:t>
      </w:r>
    </w:p>
    <w:p w14:paraId="6F5ED0D4" w14:textId="0F5AB0D2" w:rsidR="00DB27AB" w:rsidRPr="00DB27AB" w:rsidRDefault="00DB27AB" w:rsidP="00DB27AB">
      <w:pPr>
        <w:jc w:val="both"/>
        <w:rPr>
          <w:rFonts w:ascii="Arial" w:hAnsi="Arial" w:cs="Arial"/>
          <w:b/>
          <w:bCs/>
          <w:sz w:val="18"/>
          <w:szCs w:val="18"/>
          <w:lang w:val="es-AR"/>
        </w:rPr>
      </w:pPr>
      <w:r w:rsidRPr="00DB27AB">
        <w:rPr>
          <w:rFonts w:ascii="Arial" w:hAnsi="Arial" w:cs="Arial"/>
          <w:noProof/>
          <w:sz w:val="18"/>
          <w:szCs w:val="18"/>
          <w:lang w:val="es-AR"/>
        </w:rPr>
        <w:drawing>
          <wp:inline distT="0" distB="0" distL="0" distR="0" wp14:anchorId="3F619427" wp14:editId="7EFEC864">
            <wp:extent cx="4762500" cy="1206500"/>
            <wp:effectExtent l="0" t="0" r="0" b="0"/>
            <wp:docPr id="1564986771" name="Imagen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62500" cy="1206500"/>
                    </a:xfrm>
                    <a:prstGeom prst="rect">
                      <a:avLst/>
                    </a:prstGeom>
                    <a:noFill/>
                    <a:ln>
                      <a:noFill/>
                    </a:ln>
                  </pic:spPr>
                </pic:pic>
              </a:graphicData>
            </a:graphic>
          </wp:inline>
        </w:drawing>
      </w:r>
    </w:p>
    <w:p w14:paraId="237E53B9" w14:textId="77777777" w:rsidR="00DB27AB" w:rsidRPr="00DB27AB" w:rsidRDefault="00DB27AB" w:rsidP="00DB27AB">
      <w:pPr>
        <w:jc w:val="both"/>
        <w:rPr>
          <w:rFonts w:ascii="Arial" w:hAnsi="Arial" w:cs="Arial"/>
          <w:b/>
          <w:bCs/>
          <w:sz w:val="18"/>
          <w:szCs w:val="18"/>
          <w:lang w:val="es-AR"/>
        </w:rPr>
      </w:pPr>
    </w:p>
    <w:p w14:paraId="405E99AD" w14:textId="77777777" w:rsidR="00DB27AB" w:rsidRPr="00DB27AB" w:rsidRDefault="00DB27AB" w:rsidP="00DB27AB">
      <w:pPr>
        <w:jc w:val="both"/>
        <w:rPr>
          <w:rFonts w:ascii="Arial" w:hAnsi="Arial" w:cs="Arial"/>
          <w:b/>
          <w:bCs/>
          <w:sz w:val="18"/>
          <w:szCs w:val="18"/>
          <w:lang w:val="es-AR"/>
        </w:rPr>
      </w:pPr>
      <w:r w:rsidRPr="00DB27AB">
        <w:rPr>
          <w:rFonts w:ascii="Arial" w:hAnsi="Arial" w:cs="Arial"/>
          <w:b/>
          <w:bCs/>
          <w:sz w:val="18"/>
          <w:szCs w:val="18"/>
          <w:lang w:val="es-AR"/>
        </w:rPr>
        <w:t>Perspectivas futuras</w:t>
      </w:r>
    </w:p>
    <w:p w14:paraId="083A67E7" w14:textId="77777777" w:rsidR="00DB27AB" w:rsidRPr="00DB27AB" w:rsidRDefault="00DB27AB" w:rsidP="00DB27AB">
      <w:pPr>
        <w:jc w:val="both"/>
        <w:rPr>
          <w:rFonts w:ascii="Arial" w:hAnsi="Arial" w:cs="Arial"/>
          <w:b/>
          <w:bCs/>
          <w:sz w:val="18"/>
          <w:szCs w:val="18"/>
          <w:lang w:val="es-AR"/>
        </w:rPr>
      </w:pPr>
    </w:p>
    <w:p w14:paraId="43B0CB88" w14:textId="77777777" w:rsidR="00DB27AB" w:rsidRPr="00DB27AB" w:rsidRDefault="00DB27AB" w:rsidP="00DB27AB">
      <w:pPr>
        <w:numPr>
          <w:ilvl w:val="0"/>
          <w:numId w:val="38"/>
        </w:numPr>
        <w:jc w:val="both"/>
        <w:rPr>
          <w:rFonts w:ascii="Arial" w:hAnsi="Arial" w:cs="Arial"/>
          <w:sz w:val="18"/>
          <w:szCs w:val="18"/>
          <w:lang w:val="es-AR"/>
        </w:rPr>
      </w:pPr>
      <w:r w:rsidRPr="00DB27AB">
        <w:rPr>
          <w:rFonts w:ascii="Arial" w:hAnsi="Arial" w:cs="Arial"/>
          <w:sz w:val="18"/>
          <w:szCs w:val="18"/>
          <w:lang w:val="es-AR"/>
        </w:rPr>
        <w:lastRenderedPageBreak/>
        <w:t xml:space="preserve">Focalizar en el desarrollo de clientes dentro del ecosistema GSS, con propuestas integrales de servicios, y diversidad de canales tanto digitales como físicos apoyados en las unidades de negocio y la red de comercializadores. </w:t>
      </w:r>
    </w:p>
    <w:p w14:paraId="707CE63D" w14:textId="77777777" w:rsidR="00DB27AB" w:rsidRPr="00DB27AB" w:rsidRDefault="00DB27AB" w:rsidP="00DB27AB">
      <w:pPr>
        <w:numPr>
          <w:ilvl w:val="0"/>
          <w:numId w:val="38"/>
        </w:numPr>
        <w:jc w:val="both"/>
        <w:rPr>
          <w:rFonts w:ascii="Arial" w:hAnsi="Arial" w:cs="Arial"/>
          <w:sz w:val="18"/>
          <w:szCs w:val="18"/>
          <w:lang w:val="es-AR"/>
        </w:rPr>
      </w:pPr>
      <w:r w:rsidRPr="00DB27AB">
        <w:rPr>
          <w:rFonts w:ascii="Arial" w:hAnsi="Arial" w:cs="Arial"/>
          <w:sz w:val="18"/>
          <w:szCs w:val="18"/>
          <w:lang w:val="es-AR"/>
        </w:rPr>
        <w:t xml:space="preserve">Potenciar la generación de activos a través de la colocación de préstamos personales, crecimiento del negocio prendarios y tarjetas de crédito. Escalar la colocación en préstamos a </w:t>
      </w:r>
      <w:proofErr w:type="spellStart"/>
      <w:r w:rsidRPr="00DB27AB">
        <w:rPr>
          <w:rFonts w:ascii="Arial" w:hAnsi="Arial" w:cs="Arial"/>
          <w:sz w:val="18"/>
          <w:szCs w:val="18"/>
          <w:lang w:val="es-AR"/>
        </w:rPr>
        <w:t>PyMES</w:t>
      </w:r>
      <w:proofErr w:type="spellEnd"/>
      <w:r w:rsidRPr="00DB27AB">
        <w:rPr>
          <w:rFonts w:ascii="Arial" w:hAnsi="Arial" w:cs="Arial"/>
          <w:sz w:val="18"/>
          <w:szCs w:val="18"/>
          <w:lang w:val="es-AR"/>
        </w:rPr>
        <w:t xml:space="preserve"> con foco en cadenas de valor estratégicas y en el sector agro con la continuidad de financiación de pólizas de seguros climáticos e insumos con socios estratégicos relevantes.</w:t>
      </w:r>
    </w:p>
    <w:p w14:paraId="02999718" w14:textId="77777777" w:rsidR="00DB27AB" w:rsidRPr="00DB27AB" w:rsidRDefault="00DB27AB" w:rsidP="00DB27AB">
      <w:pPr>
        <w:numPr>
          <w:ilvl w:val="0"/>
          <w:numId w:val="38"/>
        </w:numPr>
        <w:jc w:val="both"/>
        <w:rPr>
          <w:rFonts w:ascii="Arial" w:hAnsi="Arial" w:cs="Arial"/>
          <w:sz w:val="18"/>
          <w:szCs w:val="18"/>
          <w:lang w:val="es-AR"/>
        </w:rPr>
      </w:pPr>
      <w:r w:rsidRPr="00DB27AB">
        <w:rPr>
          <w:rFonts w:ascii="Arial" w:hAnsi="Arial" w:cs="Arial"/>
          <w:sz w:val="18"/>
          <w:szCs w:val="18"/>
          <w:lang w:val="es-AR"/>
        </w:rPr>
        <w:t>Acompañar la generación de activos con un aumento acorde de los pasivos potenciando el canal digital y el desarrollo de productos transaccionales (</w:t>
      </w:r>
      <w:proofErr w:type="spellStart"/>
      <w:r w:rsidRPr="00DB27AB">
        <w:rPr>
          <w:rFonts w:ascii="Arial" w:hAnsi="Arial" w:cs="Arial"/>
          <w:sz w:val="18"/>
          <w:szCs w:val="18"/>
          <w:lang w:val="es-AR"/>
        </w:rPr>
        <w:t>echeqs</w:t>
      </w:r>
      <w:proofErr w:type="spellEnd"/>
      <w:r w:rsidRPr="00DB27AB">
        <w:rPr>
          <w:rFonts w:ascii="Arial" w:hAnsi="Arial" w:cs="Arial"/>
          <w:sz w:val="18"/>
          <w:szCs w:val="18"/>
          <w:lang w:val="es-AR"/>
        </w:rPr>
        <w:t xml:space="preserve">, débitos automáticos, servicios de cobros y pagos), logrando sinergias con el GSS y sus principales </w:t>
      </w:r>
      <w:proofErr w:type="spellStart"/>
      <w:r w:rsidRPr="00DB27AB">
        <w:rPr>
          <w:rFonts w:ascii="Arial" w:hAnsi="Arial" w:cs="Arial"/>
          <w:sz w:val="18"/>
          <w:szCs w:val="18"/>
          <w:lang w:val="es-AR"/>
        </w:rPr>
        <w:t>partners</w:t>
      </w:r>
      <w:proofErr w:type="spellEnd"/>
      <w:r w:rsidRPr="00DB27AB">
        <w:rPr>
          <w:rFonts w:ascii="Arial" w:hAnsi="Arial" w:cs="Arial"/>
          <w:sz w:val="18"/>
          <w:szCs w:val="18"/>
          <w:lang w:val="es-AR"/>
        </w:rPr>
        <w:t xml:space="preserve"> canalizando el flujo de sus negocios por el Banco. </w:t>
      </w:r>
    </w:p>
    <w:p w14:paraId="59461A9B" w14:textId="77777777" w:rsidR="00DB27AB" w:rsidRPr="00DB27AB" w:rsidRDefault="00DB27AB" w:rsidP="00DB27AB">
      <w:pPr>
        <w:numPr>
          <w:ilvl w:val="0"/>
          <w:numId w:val="38"/>
        </w:numPr>
        <w:jc w:val="both"/>
        <w:rPr>
          <w:rFonts w:ascii="Arial" w:hAnsi="Arial" w:cs="Arial"/>
          <w:sz w:val="18"/>
          <w:szCs w:val="18"/>
          <w:lang w:val="es-AR"/>
        </w:rPr>
      </w:pPr>
      <w:r w:rsidRPr="00DB27AB">
        <w:rPr>
          <w:rFonts w:ascii="Arial" w:hAnsi="Arial" w:cs="Arial"/>
          <w:sz w:val="18"/>
          <w:szCs w:val="18"/>
          <w:lang w:val="es-AR"/>
        </w:rPr>
        <w:t>Continuar con la adaptación de sistemas y procesos que permitan brindar una experiencia acorde en los distintos segmentos y profundizar en el análisis de datos integrado de todo el ecosistema GSS para desarrollar una oferta integral acorde a las necesidades de cada grupo de clientes/segmentos.</w:t>
      </w:r>
    </w:p>
    <w:p w14:paraId="71779090" w14:textId="77777777" w:rsidR="00DB27AB" w:rsidRPr="00DB27AB" w:rsidRDefault="00DB27AB" w:rsidP="00DB27AB">
      <w:pPr>
        <w:jc w:val="both"/>
        <w:rPr>
          <w:rFonts w:ascii="Arial" w:hAnsi="Arial" w:cs="Arial"/>
          <w:sz w:val="18"/>
          <w:szCs w:val="18"/>
        </w:rPr>
      </w:pPr>
      <w:r w:rsidRPr="00DB27AB">
        <w:rPr>
          <w:rFonts w:ascii="Arial" w:hAnsi="Arial" w:cs="Arial"/>
          <w:sz w:val="18"/>
          <w:szCs w:val="18"/>
        </w:rPr>
        <w:t xml:space="preserve">Es importante destacar que, en el mes de febrero de 2025, el Grupo </w:t>
      </w:r>
      <w:proofErr w:type="spellStart"/>
      <w:r w:rsidRPr="00DB27AB">
        <w:rPr>
          <w:rFonts w:ascii="Arial" w:hAnsi="Arial" w:cs="Arial"/>
          <w:sz w:val="18"/>
          <w:szCs w:val="18"/>
        </w:rPr>
        <w:t>Sancor</w:t>
      </w:r>
      <w:proofErr w:type="spellEnd"/>
      <w:r w:rsidRPr="00DB27AB">
        <w:rPr>
          <w:rFonts w:ascii="Arial" w:hAnsi="Arial" w:cs="Arial"/>
          <w:sz w:val="18"/>
          <w:szCs w:val="18"/>
        </w:rPr>
        <w:t xml:space="preserve"> se ha asociado con </w:t>
      </w:r>
      <w:proofErr w:type="spellStart"/>
      <w:r w:rsidRPr="00DB27AB">
        <w:rPr>
          <w:rFonts w:ascii="Arial" w:hAnsi="Arial" w:cs="Arial"/>
          <w:sz w:val="18"/>
          <w:szCs w:val="18"/>
          <w:lang w:val="es-AR"/>
        </w:rPr>
        <w:t>Allaria</w:t>
      </w:r>
      <w:proofErr w:type="spellEnd"/>
      <w:r w:rsidRPr="00DB27AB">
        <w:rPr>
          <w:rFonts w:ascii="Arial" w:hAnsi="Arial" w:cs="Arial"/>
          <w:sz w:val="18"/>
          <w:szCs w:val="18"/>
          <w:lang w:val="es-AR"/>
        </w:rPr>
        <w:t xml:space="preserve"> Créditos S.A. </w:t>
      </w:r>
      <w:r w:rsidRPr="00DB27AB">
        <w:rPr>
          <w:rFonts w:ascii="Arial" w:hAnsi="Arial" w:cs="Arial"/>
          <w:sz w:val="18"/>
          <w:szCs w:val="18"/>
        </w:rPr>
        <w:t>a través del Banco del Sol para brindar servicios financieros integrales a empresas de todo el país.</w:t>
      </w:r>
    </w:p>
    <w:p w14:paraId="12F1D682" w14:textId="77777777" w:rsidR="00DB27AB" w:rsidRPr="00DB27AB" w:rsidRDefault="00DB27AB" w:rsidP="00DB27AB">
      <w:pPr>
        <w:jc w:val="both"/>
        <w:rPr>
          <w:rFonts w:ascii="Arial" w:hAnsi="Arial" w:cs="Arial"/>
          <w:sz w:val="18"/>
          <w:szCs w:val="18"/>
        </w:rPr>
      </w:pPr>
      <w:proofErr w:type="spellStart"/>
      <w:r w:rsidRPr="00DB27AB">
        <w:rPr>
          <w:rFonts w:ascii="Arial" w:hAnsi="Arial" w:cs="Arial"/>
          <w:sz w:val="18"/>
          <w:szCs w:val="18"/>
          <w:lang w:val="es-AR"/>
        </w:rPr>
        <w:t>Allaria</w:t>
      </w:r>
      <w:proofErr w:type="spellEnd"/>
      <w:r w:rsidRPr="00DB27AB">
        <w:rPr>
          <w:rFonts w:ascii="Arial" w:hAnsi="Arial" w:cs="Arial"/>
          <w:sz w:val="18"/>
          <w:szCs w:val="18"/>
          <w:lang w:val="es-AR"/>
        </w:rPr>
        <w:t xml:space="preserve"> Créditos S.A. </w:t>
      </w:r>
      <w:r w:rsidRPr="00DB27AB">
        <w:rPr>
          <w:rFonts w:ascii="Arial" w:hAnsi="Arial" w:cs="Arial"/>
          <w:sz w:val="18"/>
          <w:szCs w:val="18"/>
        </w:rPr>
        <w:t>se suma al capital accionario de nuestro Banco con el objetivo es acelerar y agilizar el lanzamiento de nuevos productos para empresas, combinando herramientas del mercado de capitales, del sistema bancario y del sistema de sociedades de garantías recíprocas.</w:t>
      </w:r>
    </w:p>
    <w:p w14:paraId="0BD1D2DB" w14:textId="77777777" w:rsidR="00A81E50" w:rsidRPr="00A81E50" w:rsidRDefault="00DB27AB" w:rsidP="00A81E50">
      <w:pPr>
        <w:jc w:val="both"/>
        <w:rPr>
          <w:rFonts w:ascii="Arial" w:hAnsi="Arial" w:cs="Arial"/>
          <w:sz w:val="18"/>
          <w:szCs w:val="18"/>
          <w:lang w:val="es-ES"/>
        </w:rPr>
      </w:pPr>
      <w:proofErr w:type="spellStart"/>
      <w:r w:rsidRPr="00DB27AB">
        <w:rPr>
          <w:rFonts w:ascii="Arial" w:hAnsi="Arial" w:cs="Arial"/>
          <w:sz w:val="18"/>
          <w:szCs w:val="18"/>
          <w:lang w:val="es-AR"/>
        </w:rPr>
        <w:t>Allaria</w:t>
      </w:r>
      <w:proofErr w:type="spellEnd"/>
      <w:r w:rsidRPr="00DB27AB">
        <w:rPr>
          <w:rFonts w:ascii="Arial" w:hAnsi="Arial" w:cs="Arial"/>
          <w:sz w:val="18"/>
          <w:szCs w:val="18"/>
          <w:lang w:val="es-AR"/>
        </w:rPr>
        <w:t xml:space="preserve"> Créditos S.A.</w:t>
      </w:r>
      <w:r w:rsidRPr="00DB27AB">
        <w:rPr>
          <w:rFonts w:ascii="Arial" w:hAnsi="Arial" w:cs="Arial"/>
          <w:sz w:val="18"/>
          <w:szCs w:val="18"/>
          <w:lang w:val="es-ES"/>
        </w:rPr>
        <w:t xml:space="preserve"> es la compañía líder por flujo de negocios en el mercado de capitales argentino (BYMA), y posee más de un millón de cuentas activas.  En su misión de poner el mercado de capitales al servicio del</w:t>
      </w:r>
      <w:r w:rsidR="00A81E50">
        <w:rPr>
          <w:rFonts w:ascii="Arial" w:hAnsi="Arial" w:cs="Arial"/>
          <w:sz w:val="18"/>
          <w:szCs w:val="18"/>
          <w:lang w:val="es-ES"/>
        </w:rPr>
        <w:t xml:space="preserve"> </w:t>
      </w:r>
      <w:r w:rsidR="00A81E50" w:rsidRPr="00A81E50">
        <w:rPr>
          <w:rFonts w:ascii="Arial" w:hAnsi="Arial" w:cs="Arial"/>
          <w:sz w:val="18"/>
          <w:szCs w:val="18"/>
          <w:lang w:val="es-ES"/>
        </w:rPr>
        <w:t xml:space="preserve">desarrollo económico, el ecosistema </w:t>
      </w:r>
      <w:proofErr w:type="spellStart"/>
      <w:r w:rsidR="00A81E50" w:rsidRPr="00A81E50">
        <w:rPr>
          <w:rFonts w:ascii="Arial" w:hAnsi="Arial" w:cs="Arial"/>
          <w:sz w:val="18"/>
          <w:szCs w:val="18"/>
          <w:lang w:val="es-AR"/>
        </w:rPr>
        <w:t>Allaria</w:t>
      </w:r>
      <w:proofErr w:type="spellEnd"/>
      <w:r w:rsidR="00A81E50" w:rsidRPr="00A81E50">
        <w:rPr>
          <w:rFonts w:ascii="Arial" w:hAnsi="Arial" w:cs="Arial"/>
          <w:sz w:val="18"/>
          <w:szCs w:val="18"/>
          <w:lang w:val="es-AR"/>
        </w:rPr>
        <w:t xml:space="preserve"> Créditos S.A.</w:t>
      </w:r>
      <w:r w:rsidR="00A81E50" w:rsidRPr="00A81E50">
        <w:rPr>
          <w:rFonts w:ascii="Arial" w:hAnsi="Arial" w:cs="Arial"/>
          <w:sz w:val="18"/>
          <w:szCs w:val="18"/>
          <w:lang w:val="es-ES"/>
        </w:rPr>
        <w:t xml:space="preserve"> busca aumentar su presencia en diversos sectores de la economía real como las pymes, el desarrollo tecnológico y el agro.</w:t>
      </w:r>
    </w:p>
    <w:p w14:paraId="0B92D961" w14:textId="77777777" w:rsidR="00A81E50" w:rsidRPr="00A81E50" w:rsidRDefault="00A81E50" w:rsidP="00A81E50">
      <w:pPr>
        <w:jc w:val="both"/>
        <w:rPr>
          <w:rFonts w:ascii="Arial" w:hAnsi="Arial" w:cs="Arial"/>
          <w:sz w:val="18"/>
          <w:szCs w:val="18"/>
        </w:rPr>
      </w:pPr>
      <w:r w:rsidRPr="00A81E50">
        <w:rPr>
          <w:rFonts w:ascii="Arial" w:hAnsi="Arial" w:cs="Arial"/>
          <w:sz w:val="18"/>
          <w:szCs w:val="18"/>
        </w:rPr>
        <w:t xml:space="preserve">Con el ingreso de </w:t>
      </w:r>
      <w:proofErr w:type="spellStart"/>
      <w:r w:rsidRPr="00A81E50">
        <w:rPr>
          <w:rFonts w:ascii="Arial" w:hAnsi="Arial" w:cs="Arial"/>
          <w:sz w:val="18"/>
          <w:szCs w:val="18"/>
          <w:lang w:val="es-AR"/>
        </w:rPr>
        <w:t>Allaria</w:t>
      </w:r>
      <w:proofErr w:type="spellEnd"/>
      <w:r w:rsidRPr="00A81E50">
        <w:rPr>
          <w:rFonts w:ascii="Arial" w:hAnsi="Arial" w:cs="Arial"/>
          <w:sz w:val="18"/>
          <w:szCs w:val="18"/>
          <w:lang w:val="es-AR"/>
        </w:rPr>
        <w:t xml:space="preserve"> Créditos S.A.</w:t>
      </w:r>
      <w:r w:rsidRPr="00A81E50">
        <w:rPr>
          <w:rFonts w:ascii="Arial" w:hAnsi="Arial" w:cs="Arial"/>
          <w:sz w:val="18"/>
          <w:szCs w:val="18"/>
        </w:rPr>
        <w:t xml:space="preserve">, Banco del Sol sumará músculo a su propuesta de servicios y productos financieros, adquiriendo las capacidades de </w:t>
      </w:r>
      <w:proofErr w:type="spellStart"/>
      <w:r w:rsidRPr="00A81E50">
        <w:rPr>
          <w:rFonts w:ascii="Arial" w:hAnsi="Arial" w:cs="Arial"/>
          <w:sz w:val="18"/>
          <w:szCs w:val="18"/>
          <w:lang w:val="es-AR"/>
        </w:rPr>
        <w:t>Allaria</w:t>
      </w:r>
      <w:proofErr w:type="spellEnd"/>
      <w:r w:rsidRPr="00A81E50">
        <w:rPr>
          <w:rFonts w:ascii="Arial" w:hAnsi="Arial" w:cs="Arial"/>
          <w:sz w:val="18"/>
          <w:szCs w:val="18"/>
          <w:lang w:val="es-AR"/>
        </w:rPr>
        <w:t xml:space="preserve"> Créditos S.A. </w:t>
      </w:r>
      <w:r w:rsidRPr="00A81E50">
        <w:rPr>
          <w:rFonts w:ascii="Arial" w:hAnsi="Arial" w:cs="Arial"/>
          <w:sz w:val="18"/>
          <w:szCs w:val="18"/>
        </w:rPr>
        <w:t xml:space="preserve"> como Agente de Liquidación y Compensación (</w:t>
      </w:r>
      <w:proofErr w:type="spellStart"/>
      <w:r w:rsidRPr="00A81E50">
        <w:rPr>
          <w:rFonts w:ascii="Arial" w:hAnsi="Arial" w:cs="Arial"/>
          <w:sz w:val="18"/>
          <w:szCs w:val="18"/>
        </w:rPr>
        <w:t>Alyc</w:t>
      </w:r>
      <w:proofErr w:type="spellEnd"/>
      <w:r w:rsidRPr="00A81E50">
        <w:rPr>
          <w:rFonts w:ascii="Arial" w:hAnsi="Arial" w:cs="Arial"/>
          <w:sz w:val="18"/>
          <w:szCs w:val="18"/>
        </w:rPr>
        <w:t>) más importante del país, y su experiencia y know-how en el segmento de la Sociedades de Garantía Recíproca (SGR).</w:t>
      </w:r>
    </w:p>
    <w:p w14:paraId="1BAA0C19" w14:textId="77777777" w:rsidR="00A81E50" w:rsidRPr="00A81E50" w:rsidRDefault="00A81E50" w:rsidP="00A81E50">
      <w:pPr>
        <w:jc w:val="both"/>
        <w:rPr>
          <w:rFonts w:ascii="Arial" w:hAnsi="Arial" w:cs="Arial"/>
          <w:sz w:val="18"/>
          <w:szCs w:val="18"/>
        </w:rPr>
      </w:pPr>
      <w:r w:rsidRPr="00A81E50">
        <w:rPr>
          <w:rFonts w:ascii="Arial" w:hAnsi="Arial" w:cs="Arial"/>
          <w:sz w:val="18"/>
          <w:szCs w:val="18"/>
        </w:rPr>
        <w:t xml:space="preserve">La incorporación de </w:t>
      </w:r>
      <w:proofErr w:type="spellStart"/>
      <w:r w:rsidRPr="00A81E50">
        <w:rPr>
          <w:rFonts w:ascii="Arial" w:hAnsi="Arial" w:cs="Arial"/>
          <w:sz w:val="18"/>
          <w:szCs w:val="18"/>
          <w:lang w:val="es-AR"/>
        </w:rPr>
        <w:t>Allaria</w:t>
      </w:r>
      <w:proofErr w:type="spellEnd"/>
      <w:r w:rsidRPr="00A81E50">
        <w:rPr>
          <w:rFonts w:ascii="Arial" w:hAnsi="Arial" w:cs="Arial"/>
          <w:sz w:val="18"/>
          <w:szCs w:val="18"/>
          <w:lang w:val="es-AR"/>
        </w:rPr>
        <w:t xml:space="preserve"> Créditos S.A. </w:t>
      </w:r>
      <w:r w:rsidRPr="00A81E50">
        <w:rPr>
          <w:rFonts w:ascii="Arial" w:hAnsi="Arial" w:cs="Arial"/>
          <w:sz w:val="18"/>
          <w:szCs w:val="18"/>
        </w:rPr>
        <w:t xml:space="preserve"> al capital accionario de Banco del Sol será efectiva a partir de la autorización del Banco Central.</w:t>
      </w:r>
    </w:p>
    <w:p w14:paraId="659ED4DA" w14:textId="77777777" w:rsidR="00A81E50" w:rsidRPr="00A81E50" w:rsidRDefault="00A81E50" w:rsidP="00A81E50">
      <w:pPr>
        <w:jc w:val="both"/>
        <w:rPr>
          <w:rFonts w:ascii="Arial" w:hAnsi="Arial" w:cs="Arial"/>
          <w:sz w:val="18"/>
          <w:szCs w:val="18"/>
          <w:lang w:val="es-AR"/>
        </w:rPr>
      </w:pPr>
      <w:r w:rsidRPr="00A81E50">
        <w:rPr>
          <w:rFonts w:ascii="Arial" w:hAnsi="Arial" w:cs="Arial"/>
          <w:sz w:val="18"/>
          <w:szCs w:val="18"/>
          <w:lang w:val="es-AR"/>
        </w:rPr>
        <w:t xml:space="preserve">Para finalizar, el Directorio desea agradecer a todo el personal por el enorme esfuerzo que han realizado durante el presente ejercicio y que reconocemos que es gracias a ellos se visibiliza nuestra querida entidad. También a los asesores, consultores y auditores que honraron con gran compromiso sus responsabilidades; a nuestras entidades colegas con quienes nos acompañamos mutuamente en el contexto en el cual interactuamos, a los funcionarios del ente de control quienes nos fueron ayudando para mejorar la performance, a Uds. por brindarnos la oportunidad de plasmar lo que soñaron y </w:t>
      </w:r>
      <w:proofErr w:type="gramStart"/>
      <w:r w:rsidRPr="00A81E50">
        <w:rPr>
          <w:rFonts w:ascii="Arial" w:hAnsi="Arial" w:cs="Arial"/>
          <w:sz w:val="18"/>
          <w:szCs w:val="18"/>
          <w:lang w:val="es-AR"/>
        </w:rPr>
        <w:t>por</w:t>
      </w:r>
      <w:proofErr w:type="gramEnd"/>
      <w:r w:rsidRPr="00A81E50">
        <w:rPr>
          <w:rFonts w:ascii="Arial" w:hAnsi="Arial" w:cs="Arial"/>
          <w:sz w:val="18"/>
          <w:szCs w:val="18"/>
          <w:lang w:val="es-AR"/>
        </w:rPr>
        <w:t xml:space="preserve"> sobre todo, a los clientes quienes confían y comparten nuestra visión.</w:t>
      </w:r>
    </w:p>
    <w:p w14:paraId="19588AC3" w14:textId="77777777" w:rsidR="00A81E50" w:rsidRPr="00A81E50" w:rsidRDefault="00A81E50" w:rsidP="00A81E50">
      <w:pPr>
        <w:jc w:val="both"/>
        <w:rPr>
          <w:rFonts w:ascii="Arial" w:hAnsi="Arial" w:cs="Arial"/>
          <w:sz w:val="18"/>
          <w:szCs w:val="18"/>
          <w:lang w:val="es-AR"/>
        </w:rPr>
      </w:pPr>
    </w:p>
    <w:p w14:paraId="74D00CF7" w14:textId="77777777" w:rsidR="00A81E50" w:rsidRPr="00A81E50" w:rsidRDefault="00A81E50" w:rsidP="00A81E50">
      <w:pPr>
        <w:jc w:val="both"/>
        <w:rPr>
          <w:rFonts w:ascii="Arial" w:hAnsi="Arial" w:cs="Arial"/>
          <w:sz w:val="18"/>
          <w:szCs w:val="18"/>
          <w:lang w:val="es-AR"/>
        </w:rPr>
      </w:pPr>
    </w:p>
    <w:p w14:paraId="06D2279C" w14:textId="77777777" w:rsidR="00A81E50" w:rsidRPr="00A81E50" w:rsidRDefault="00A81E50" w:rsidP="00A81E50">
      <w:pPr>
        <w:jc w:val="both"/>
        <w:rPr>
          <w:rFonts w:ascii="Arial" w:hAnsi="Arial" w:cs="Arial"/>
          <w:b/>
          <w:bCs/>
          <w:sz w:val="18"/>
          <w:szCs w:val="18"/>
          <w:lang w:val="es-AR"/>
        </w:rPr>
      </w:pPr>
      <w:r w:rsidRPr="00A81E50">
        <w:rPr>
          <w:rFonts w:ascii="Arial" w:hAnsi="Arial" w:cs="Arial"/>
          <w:b/>
          <w:bCs/>
          <w:sz w:val="18"/>
          <w:szCs w:val="18"/>
          <w:lang w:val="es-AR"/>
        </w:rPr>
        <w:t>El Directorio</w:t>
      </w:r>
    </w:p>
    <w:p w14:paraId="6D7AB6AC" w14:textId="4746510E" w:rsidR="00DB27AB" w:rsidRPr="000B4812" w:rsidRDefault="00DB27AB" w:rsidP="00DB27AB">
      <w:pPr>
        <w:jc w:val="both"/>
        <w:rPr>
          <w:rFonts w:ascii="Arial" w:hAnsi="Arial" w:cs="Arial"/>
          <w:sz w:val="18"/>
          <w:szCs w:val="18"/>
          <w:lang w:val="es-ES"/>
        </w:rPr>
      </w:pPr>
    </w:p>
    <w:p w14:paraId="661938B2" w14:textId="77777777" w:rsidR="000B4812" w:rsidRPr="000B4812" w:rsidRDefault="000B4812" w:rsidP="000B4812">
      <w:pPr>
        <w:jc w:val="both"/>
        <w:rPr>
          <w:rFonts w:ascii="Arial" w:hAnsi="Arial" w:cs="Arial"/>
          <w:sz w:val="18"/>
          <w:szCs w:val="18"/>
          <w:lang w:val="es-ES"/>
        </w:rPr>
      </w:pPr>
    </w:p>
    <w:p w14:paraId="5CDAFD88" w14:textId="77777777" w:rsidR="005C1C83" w:rsidRPr="00CB3518" w:rsidRDefault="005C1C83" w:rsidP="000A6016">
      <w:pPr>
        <w:jc w:val="both"/>
        <w:rPr>
          <w:rFonts w:ascii="Arial" w:hAnsi="Arial" w:cs="Arial"/>
          <w:sz w:val="18"/>
          <w:szCs w:val="18"/>
          <w:lang w:val="es-AR"/>
        </w:rPr>
      </w:pPr>
    </w:p>
    <w:p w14:paraId="0BC5F9C8" w14:textId="77777777" w:rsidR="00D67668" w:rsidRPr="00315D38" w:rsidRDefault="00D67668" w:rsidP="00D67668">
      <w:pPr>
        <w:jc w:val="both"/>
        <w:rPr>
          <w:sz w:val="18"/>
          <w:szCs w:val="18"/>
        </w:rPr>
      </w:pPr>
    </w:p>
    <w:p w14:paraId="0F5ED128" w14:textId="77777777" w:rsidR="00602EAD" w:rsidRDefault="00602EAD" w:rsidP="00602EAD">
      <w:pPr>
        <w:autoSpaceDE w:val="0"/>
        <w:autoSpaceDN w:val="0"/>
        <w:adjustRightInd w:val="0"/>
        <w:jc w:val="both"/>
        <w:rPr>
          <w:rFonts w:ascii="Georgia" w:hAnsi="Georgia" w:cs="Georgia,Bold"/>
          <w:b/>
          <w:bCs/>
        </w:rPr>
      </w:pPr>
      <w:r w:rsidRPr="00154446">
        <w:rPr>
          <w:rFonts w:ascii="Georgia" w:hAnsi="Georgia" w:cs="Georgia,Bold"/>
          <w:b/>
          <w:bCs/>
        </w:rPr>
        <w:t>INFORME DE LA COMISION FISCALIZADORA</w:t>
      </w:r>
    </w:p>
    <w:p w14:paraId="438AA65A" w14:textId="77777777" w:rsidR="00602EAD" w:rsidRPr="00154446" w:rsidRDefault="00602EAD" w:rsidP="00602EAD">
      <w:pPr>
        <w:autoSpaceDE w:val="0"/>
        <w:autoSpaceDN w:val="0"/>
        <w:adjustRightInd w:val="0"/>
        <w:jc w:val="both"/>
        <w:rPr>
          <w:rFonts w:ascii="Georgia" w:hAnsi="Georgia" w:cs="Georgia,Bold"/>
          <w:b/>
          <w:bCs/>
        </w:rPr>
      </w:pPr>
    </w:p>
    <w:p w14:paraId="391C94BA" w14:textId="77777777" w:rsidR="00602EAD" w:rsidRPr="004D7245" w:rsidRDefault="00602EAD" w:rsidP="00602EAD">
      <w:pPr>
        <w:pStyle w:val="Sinespaciado"/>
        <w:rPr>
          <w:rFonts w:ascii="Georgia" w:hAnsi="Georgia" w:cs="Georgia"/>
          <w:sz w:val="20"/>
          <w:szCs w:val="20"/>
        </w:rPr>
      </w:pPr>
      <w:r w:rsidRPr="004D7245">
        <w:rPr>
          <w:rFonts w:ascii="Georgia" w:hAnsi="Georgia" w:cs="Georgia"/>
          <w:sz w:val="20"/>
          <w:szCs w:val="20"/>
        </w:rPr>
        <w:t>A los señores Accionistas de</w:t>
      </w:r>
    </w:p>
    <w:p w14:paraId="188268BB" w14:textId="77777777" w:rsidR="00602EAD" w:rsidRPr="004D7245" w:rsidRDefault="00602EAD" w:rsidP="00602EAD">
      <w:pPr>
        <w:pStyle w:val="Sinespaciado"/>
        <w:rPr>
          <w:rFonts w:ascii="Georgia" w:hAnsi="Georgia" w:cs="Georgia"/>
          <w:sz w:val="20"/>
          <w:szCs w:val="20"/>
        </w:rPr>
      </w:pPr>
      <w:r w:rsidRPr="004D7245">
        <w:rPr>
          <w:rFonts w:ascii="Georgia" w:hAnsi="Georgia" w:cs="Georgia"/>
          <w:sz w:val="20"/>
          <w:szCs w:val="20"/>
        </w:rPr>
        <w:t>Banco del Sol S.A.</w:t>
      </w:r>
    </w:p>
    <w:p w14:paraId="5DF89A82" w14:textId="77777777" w:rsidR="00602EAD" w:rsidRPr="004D7245" w:rsidRDefault="00602EAD" w:rsidP="00602EAD">
      <w:pPr>
        <w:pStyle w:val="Sinespaciado"/>
        <w:rPr>
          <w:rFonts w:ascii="Georgia" w:hAnsi="Georgia" w:cs="Georgia"/>
          <w:sz w:val="20"/>
          <w:szCs w:val="20"/>
        </w:rPr>
      </w:pPr>
      <w:r w:rsidRPr="004D7245">
        <w:rPr>
          <w:rFonts w:ascii="Georgia" w:hAnsi="Georgia" w:cs="Georgia"/>
          <w:sz w:val="20"/>
          <w:szCs w:val="20"/>
        </w:rPr>
        <w:t>Domicilio legal: Calle 51 Nro. 607</w:t>
      </w:r>
    </w:p>
    <w:p w14:paraId="254C5F7F" w14:textId="6E5E6FC2" w:rsidR="00602EAD" w:rsidRPr="004D7245" w:rsidRDefault="00602EAD" w:rsidP="00602EAD">
      <w:pPr>
        <w:pStyle w:val="Sinespaciado"/>
        <w:rPr>
          <w:rFonts w:ascii="Georgia" w:hAnsi="Georgia" w:cs="Georgia"/>
          <w:sz w:val="20"/>
          <w:szCs w:val="20"/>
        </w:rPr>
      </w:pPr>
      <w:r w:rsidRPr="004D7245">
        <w:rPr>
          <w:rFonts w:ascii="Georgia" w:hAnsi="Georgia" w:cs="Georgia"/>
          <w:sz w:val="20"/>
          <w:szCs w:val="20"/>
        </w:rPr>
        <w:t>La Plata-Provincia de Buenos A</w:t>
      </w:r>
      <w:r w:rsidR="00BF118E">
        <w:rPr>
          <w:rFonts w:ascii="Georgia" w:hAnsi="Georgia" w:cs="Georgia"/>
          <w:sz w:val="20"/>
          <w:szCs w:val="20"/>
        </w:rPr>
        <w:t>i</w:t>
      </w:r>
      <w:r w:rsidRPr="004D7245">
        <w:rPr>
          <w:rFonts w:ascii="Georgia" w:hAnsi="Georgia" w:cs="Georgia"/>
          <w:sz w:val="20"/>
          <w:szCs w:val="20"/>
        </w:rPr>
        <w:t>res</w:t>
      </w:r>
    </w:p>
    <w:p w14:paraId="7DF83EAF" w14:textId="77777777" w:rsidR="00602EAD" w:rsidRDefault="00602EAD" w:rsidP="00602EAD">
      <w:pPr>
        <w:pStyle w:val="Sinespaciado"/>
        <w:rPr>
          <w:rFonts w:ascii="Georgia" w:hAnsi="Georgia" w:cs="Georgia"/>
          <w:sz w:val="20"/>
          <w:szCs w:val="20"/>
        </w:rPr>
      </w:pPr>
      <w:r w:rsidRPr="004D7245">
        <w:rPr>
          <w:rFonts w:ascii="Georgia" w:hAnsi="Georgia" w:cs="Georgia"/>
          <w:sz w:val="20"/>
          <w:szCs w:val="20"/>
        </w:rPr>
        <w:t xml:space="preserve">C.U.I.T. </w:t>
      </w:r>
      <w:proofErr w:type="spellStart"/>
      <w:r w:rsidRPr="004D7245">
        <w:rPr>
          <w:rFonts w:ascii="Georgia" w:hAnsi="Georgia" w:cs="Georgia"/>
          <w:sz w:val="20"/>
          <w:szCs w:val="20"/>
        </w:rPr>
        <w:t>N°</w:t>
      </w:r>
      <w:proofErr w:type="spellEnd"/>
      <w:r w:rsidRPr="004D7245">
        <w:rPr>
          <w:rFonts w:ascii="Georgia" w:hAnsi="Georgia" w:cs="Georgia"/>
          <w:sz w:val="20"/>
          <w:szCs w:val="20"/>
        </w:rPr>
        <w:t xml:space="preserve"> 30-67793756-0</w:t>
      </w:r>
    </w:p>
    <w:p w14:paraId="3789BE94" w14:textId="77777777" w:rsidR="00602EAD" w:rsidRPr="004D7245" w:rsidRDefault="00602EAD" w:rsidP="00602EAD">
      <w:pPr>
        <w:pStyle w:val="Sinespaciado"/>
        <w:rPr>
          <w:rFonts w:ascii="Georgia" w:eastAsia="Times New Roman" w:hAnsi="Georgia" w:cs="Georgia"/>
          <w:b/>
          <w:bCs/>
          <w:color w:val="000000"/>
          <w:sz w:val="20"/>
          <w:szCs w:val="20"/>
        </w:rPr>
      </w:pPr>
    </w:p>
    <w:p w14:paraId="3A61091C" w14:textId="77777777" w:rsidR="00602EAD" w:rsidRDefault="00602EAD" w:rsidP="00602EAD">
      <w:pPr>
        <w:autoSpaceDE w:val="0"/>
        <w:autoSpaceDN w:val="0"/>
        <w:adjustRightInd w:val="0"/>
        <w:jc w:val="both"/>
        <w:rPr>
          <w:rFonts w:ascii="Georgia" w:hAnsi="Georgia" w:cs="Georgia,Bold"/>
          <w:b/>
          <w:bCs/>
        </w:rPr>
      </w:pPr>
    </w:p>
    <w:p w14:paraId="37A74CBE" w14:textId="77777777" w:rsidR="00602EAD" w:rsidRPr="00EF3099" w:rsidRDefault="00602EAD" w:rsidP="00602EAD">
      <w:pPr>
        <w:autoSpaceDE w:val="0"/>
        <w:autoSpaceDN w:val="0"/>
        <w:adjustRightInd w:val="0"/>
        <w:jc w:val="both"/>
        <w:rPr>
          <w:rFonts w:ascii="Georgia" w:eastAsia="Calibri" w:hAnsi="Georgia" w:cs="Georgia,Bold"/>
          <w:b/>
          <w:bCs/>
          <w:lang w:val="es-ES"/>
        </w:rPr>
      </w:pPr>
      <w:r w:rsidRPr="00EF3099">
        <w:rPr>
          <w:rFonts w:ascii="Georgia" w:eastAsia="Calibri" w:hAnsi="Georgia"/>
          <w:b/>
          <w:bCs/>
          <w:lang w:val="es-ES"/>
        </w:rPr>
        <w:t>1.Opinión</w:t>
      </w:r>
    </w:p>
    <w:p w14:paraId="2837D923" w14:textId="77777777" w:rsidR="00602EAD" w:rsidRPr="00EF3099" w:rsidRDefault="00602EAD" w:rsidP="00602EAD">
      <w:pPr>
        <w:autoSpaceDE w:val="0"/>
        <w:autoSpaceDN w:val="0"/>
        <w:adjustRightInd w:val="0"/>
        <w:jc w:val="both"/>
        <w:rPr>
          <w:rFonts w:ascii="Georgia" w:eastAsia="Calibri" w:hAnsi="Georgia" w:cs="Georgia,Bold"/>
          <w:b/>
          <w:bCs/>
          <w:lang w:val="es-ES"/>
        </w:rPr>
      </w:pPr>
    </w:p>
    <w:p w14:paraId="0191CB77" w14:textId="0EA6F5EB" w:rsidR="00602EAD" w:rsidRPr="00EF3099" w:rsidRDefault="00602EAD" w:rsidP="00602EAD">
      <w:pPr>
        <w:autoSpaceDE w:val="0"/>
        <w:autoSpaceDN w:val="0"/>
        <w:adjustRightInd w:val="0"/>
        <w:jc w:val="both"/>
        <w:rPr>
          <w:rFonts w:ascii="Georgia" w:eastAsia="Calibri" w:hAnsi="Georgia" w:cs="Georgia"/>
          <w:lang w:val="es-ES"/>
        </w:rPr>
      </w:pPr>
      <w:r w:rsidRPr="00EF3099">
        <w:rPr>
          <w:rFonts w:ascii="Georgia" w:eastAsia="Calibri" w:hAnsi="Georgia"/>
          <w:lang w:val="es-ES"/>
        </w:rPr>
        <w:t xml:space="preserve">Hemos llevado a cabo los controles que nos imponen como comisión fiscalizadora la legislación vigente, el estatuto social, las regulaciones pertinentes y las normas profesionales para contadores públicos, acerca de los estados financieros de Banco </w:t>
      </w:r>
      <w:r>
        <w:rPr>
          <w:rFonts w:ascii="Georgia" w:eastAsia="Calibri" w:hAnsi="Georgia"/>
          <w:lang w:val="es-ES"/>
        </w:rPr>
        <w:t>del Sol</w:t>
      </w:r>
      <w:r w:rsidRPr="00EF3099">
        <w:rPr>
          <w:rFonts w:ascii="Georgia" w:eastAsia="Calibri" w:hAnsi="Georgia"/>
          <w:lang w:val="es-ES"/>
        </w:rPr>
        <w:t xml:space="preserve"> S.A. (en adelante “la Entidad”) que </w:t>
      </w:r>
      <w:r w:rsidRPr="00EF3099">
        <w:rPr>
          <w:rFonts w:ascii="Georgia" w:eastAsia="Georgia" w:hAnsi="Georgia" w:cs="Georgia"/>
          <w:lang w:val="es-ES"/>
        </w:rPr>
        <w:t xml:space="preserve">comprenden </w:t>
      </w:r>
      <w:r w:rsidRPr="00EF3099">
        <w:rPr>
          <w:rFonts w:ascii="Georgia" w:eastAsia="Calibri" w:hAnsi="Georgia" w:cs="Georgia"/>
          <w:lang w:val="es-ES"/>
        </w:rPr>
        <w:t xml:space="preserve">el estado de situación financiera al 31 de diciembre de </w:t>
      </w:r>
      <w:r>
        <w:rPr>
          <w:rFonts w:ascii="Georgia" w:eastAsia="Calibri" w:hAnsi="Georgia" w:cs="Georgia"/>
          <w:lang w:val="es-ES"/>
        </w:rPr>
        <w:t>2024</w:t>
      </w:r>
      <w:r w:rsidRPr="00EF3099">
        <w:rPr>
          <w:rFonts w:ascii="Georgia" w:eastAsia="Calibri" w:hAnsi="Georgia" w:cs="Georgia"/>
          <w:lang w:val="es-ES"/>
        </w:rPr>
        <w:t xml:space="preserve">, los correspondientes estados de resultados, de resultados-ganancia por acción, de otros resultados integrales, de cambios en el patrimonio y de flujo de efectivo correspondiente al ejercicio terminado en esa fecha, y así como un resumen de las políticas contables significativas y otra información explicativa incluidas en las notas y los anexos que los complementan. Adicionalmente hemos revisado </w:t>
      </w:r>
      <w:r>
        <w:rPr>
          <w:rFonts w:ascii="Georgia" w:eastAsia="Calibri" w:hAnsi="Georgia" w:cs="Georgia"/>
          <w:lang w:val="es-ES"/>
        </w:rPr>
        <w:t xml:space="preserve">la Reseña Informativa, la Memoria y el </w:t>
      </w:r>
      <w:r w:rsidRPr="00EF3099">
        <w:rPr>
          <w:rFonts w:ascii="Georgia" w:eastAsia="Calibri" w:hAnsi="Georgia" w:cs="Georgia"/>
          <w:lang w:val="es-ES"/>
        </w:rPr>
        <w:t xml:space="preserve">Inventario por el ejercicio económico finalizado el 31 de diciembre de </w:t>
      </w:r>
      <w:r>
        <w:rPr>
          <w:rFonts w:ascii="Georgia" w:eastAsia="Calibri" w:hAnsi="Georgia" w:cs="Georgia"/>
          <w:lang w:val="es-ES"/>
        </w:rPr>
        <w:t>2024</w:t>
      </w:r>
      <w:r w:rsidRPr="00EF3099">
        <w:rPr>
          <w:rFonts w:ascii="Georgia" w:eastAsia="Calibri" w:hAnsi="Georgia" w:cs="Georgia"/>
          <w:lang w:val="es-ES"/>
        </w:rPr>
        <w:t>.</w:t>
      </w:r>
    </w:p>
    <w:p w14:paraId="51374D1A" w14:textId="77777777" w:rsidR="00602EAD" w:rsidRPr="00EF3099" w:rsidRDefault="00602EAD" w:rsidP="00602EAD">
      <w:pPr>
        <w:autoSpaceDE w:val="0"/>
        <w:autoSpaceDN w:val="0"/>
        <w:adjustRightInd w:val="0"/>
        <w:jc w:val="both"/>
        <w:rPr>
          <w:rFonts w:ascii="Georgia" w:eastAsia="Calibri" w:hAnsi="Georgia" w:cs="Georgia"/>
          <w:lang w:val="es-ES"/>
        </w:rPr>
      </w:pPr>
    </w:p>
    <w:p w14:paraId="5195B31D" w14:textId="77777777" w:rsidR="00602EAD" w:rsidRPr="00154446" w:rsidRDefault="00602EAD" w:rsidP="00602EAD">
      <w:pPr>
        <w:autoSpaceDE w:val="0"/>
        <w:autoSpaceDN w:val="0"/>
        <w:adjustRightInd w:val="0"/>
        <w:jc w:val="both"/>
        <w:rPr>
          <w:rFonts w:ascii="Georgia" w:hAnsi="Georgia" w:cs="Georgia"/>
        </w:rPr>
      </w:pPr>
      <w:r w:rsidRPr="00154446">
        <w:rPr>
          <w:rFonts w:ascii="Georgia" w:hAnsi="Georgia" w:cs="Georgia"/>
        </w:rPr>
        <w:t xml:space="preserve">En nuestra opinión, basado en el examen realizado, con el alcance descripto en el </w:t>
      </w:r>
      <w:r>
        <w:rPr>
          <w:rFonts w:ascii="Georgia" w:hAnsi="Georgia" w:cs="Georgia"/>
        </w:rPr>
        <w:t xml:space="preserve">apartado 5 </w:t>
      </w:r>
      <w:r w:rsidRPr="00154446">
        <w:rPr>
          <w:rFonts w:ascii="Georgia" w:hAnsi="Georgia" w:cs="Georgia"/>
        </w:rPr>
        <w:t xml:space="preserve"> y en el informe de</w:t>
      </w:r>
      <w:r>
        <w:rPr>
          <w:rFonts w:ascii="Georgia" w:hAnsi="Georgia" w:cs="Georgia"/>
        </w:rPr>
        <w:t xml:space="preserve"> la</w:t>
      </w:r>
      <w:r w:rsidRPr="00154446">
        <w:rPr>
          <w:rFonts w:ascii="Georgia" w:hAnsi="Georgia" w:cs="Georgia"/>
        </w:rPr>
        <w:t xml:space="preserve"> </w:t>
      </w:r>
      <w:r w:rsidRPr="002A19E7">
        <w:rPr>
          <w:rFonts w:ascii="Georgia" w:eastAsia="Georgia" w:hAnsi="Georgia" w:cs="Georgia"/>
        </w:rPr>
        <w:t>Dra.</w:t>
      </w:r>
      <w:r>
        <w:rPr>
          <w:rFonts w:ascii="Georgia" w:eastAsia="Georgia" w:hAnsi="Georgia" w:cs="Georgia"/>
          <w:b/>
          <w:bCs/>
        </w:rPr>
        <w:t xml:space="preserve"> </w:t>
      </w:r>
      <w:r w:rsidRPr="00AA5727">
        <w:rPr>
          <w:rFonts w:ascii="Georgia" w:eastAsia="Georgia" w:hAnsi="Georgia" w:cs="Georgia"/>
        </w:rPr>
        <w:t xml:space="preserve">Geraldine A. Giachello (socia de </w:t>
      </w:r>
      <w:proofErr w:type="spellStart"/>
      <w:r w:rsidRPr="00D9594E">
        <w:rPr>
          <w:rFonts w:ascii="Georgia" w:eastAsia="Georgia" w:hAnsi="Georgia" w:cs="Georgia"/>
        </w:rPr>
        <w:t>Lisicki</w:t>
      </w:r>
      <w:proofErr w:type="spellEnd"/>
      <w:r w:rsidRPr="00D9594E">
        <w:rPr>
          <w:rFonts w:ascii="Georgia" w:eastAsia="Georgia" w:hAnsi="Georgia" w:cs="Georgia"/>
        </w:rPr>
        <w:t xml:space="preserve"> </w:t>
      </w:r>
      <w:proofErr w:type="spellStart"/>
      <w:r w:rsidRPr="00D9594E">
        <w:rPr>
          <w:rFonts w:ascii="Georgia" w:eastAsia="Georgia" w:hAnsi="Georgia" w:cs="Georgia"/>
        </w:rPr>
        <w:t>Litvin</w:t>
      </w:r>
      <w:proofErr w:type="spellEnd"/>
      <w:r w:rsidRPr="00D9594E">
        <w:rPr>
          <w:rFonts w:ascii="Georgia" w:eastAsia="Georgia" w:hAnsi="Georgia" w:cs="Georgia"/>
        </w:rPr>
        <w:t xml:space="preserve"> Auditores S.A</w:t>
      </w:r>
      <w:r w:rsidRPr="00AA5727">
        <w:rPr>
          <w:rFonts w:ascii="Georgia" w:eastAsia="Georgia" w:hAnsi="Georgia" w:cs="Georgia"/>
        </w:rPr>
        <w:t>)</w:t>
      </w:r>
      <w:r>
        <w:rPr>
          <w:rFonts w:ascii="Georgia" w:hAnsi="Georgia" w:cs="Georgia"/>
        </w:rPr>
        <w:t xml:space="preserve"> emitido con fecha 10 de marzo de </w:t>
      </w:r>
      <w:r>
        <w:rPr>
          <w:rFonts w:ascii="Georgia" w:hAnsi="Georgia" w:cs="Georgia"/>
        </w:rPr>
        <w:lastRenderedPageBreak/>
        <w:t>2025</w:t>
      </w:r>
      <w:r w:rsidRPr="00154446">
        <w:rPr>
          <w:rFonts w:ascii="Georgia" w:hAnsi="Georgia" w:cs="Georgia"/>
        </w:rPr>
        <w:t xml:space="preserve">, los estados financieros </w:t>
      </w:r>
      <w:r>
        <w:rPr>
          <w:rFonts w:ascii="Georgia" w:hAnsi="Georgia" w:cs="Georgia"/>
        </w:rPr>
        <w:t xml:space="preserve">mencionados en el párrafo precedente y que se adjuntan a este informe y que firmamos a los fines de su identificación, </w:t>
      </w:r>
      <w:r w:rsidRPr="00154446">
        <w:rPr>
          <w:rFonts w:ascii="Georgia" w:hAnsi="Georgia" w:cs="Georgia"/>
        </w:rPr>
        <w:t>presentan razonablemente, en todos sus</w:t>
      </w:r>
      <w:r>
        <w:rPr>
          <w:rFonts w:ascii="Georgia" w:hAnsi="Georgia" w:cs="Georgia"/>
        </w:rPr>
        <w:t xml:space="preserve"> </w:t>
      </w:r>
      <w:r w:rsidRPr="00154446">
        <w:rPr>
          <w:rFonts w:ascii="Georgia" w:hAnsi="Georgia" w:cs="Georgia"/>
        </w:rPr>
        <w:t xml:space="preserve">aspectos significativos, la situación financiera de Banco </w:t>
      </w:r>
      <w:r>
        <w:rPr>
          <w:rFonts w:ascii="Georgia" w:hAnsi="Georgia" w:cs="Georgia"/>
        </w:rPr>
        <w:t xml:space="preserve">Del Sol </w:t>
      </w:r>
      <w:r w:rsidRPr="00154446">
        <w:rPr>
          <w:rFonts w:ascii="Georgia" w:hAnsi="Georgia" w:cs="Georgia"/>
        </w:rPr>
        <w:t>S.A. al 31 al diciembre de</w:t>
      </w:r>
      <w:r>
        <w:rPr>
          <w:rFonts w:ascii="Georgia" w:hAnsi="Georgia" w:cs="Georgia"/>
        </w:rPr>
        <w:t xml:space="preserve"> 2024</w:t>
      </w:r>
      <w:r w:rsidRPr="00154446">
        <w:rPr>
          <w:rFonts w:ascii="Georgia" w:hAnsi="Georgia" w:cs="Georgia"/>
        </w:rPr>
        <w:t>, así como los estados de resultados, de resultados-ganancia por acción, de otros</w:t>
      </w:r>
      <w:r>
        <w:rPr>
          <w:rFonts w:ascii="Georgia" w:hAnsi="Georgia" w:cs="Georgia"/>
        </w:rPr>
        <w:t xml:space="preserve"> </w:t>
      </w:r>
      <w:r w:rsidRPr="00154446">
        <w:rPr>
          <w:rFonts w:ascii="Georgia" w:hAnsi="Georgia" w:cs="Georgia"/>
        </w:rPr>
        <w:t>resultados integrales, de cambios en el patrimonio y de flujo de efectivo correspondiente al ejercicio</w:t>
      </w:r>
      <w:r>
        <w:rPr>
          <w:rFonts w:ascii="Georgia" w:hAnsi="Georgia" w:cs="Georgia"/>
        </w:rPr>
        <w:t xml:space="preserve"> </w:t>
      </w:r>
      <w:r w:rsidRPr="00154446">
        <w:rPr>
          <w:rFonts w:ascii="Georgia" w:hAnsi="Georgia" w:cs="Georgia"/>
        </w:rPr>
        <w:t>terminado en esa fecha, de conformidad con el marco de información contable establecido por el Banco</w:t>
      </w:r>
      <w:r>
        <w:rPr>
          <w:rFonts w:ascii="Georgia" w:hAnsi="Georgia" w:cs="Georgia"/>
        </w:rPr>
        <w:t xml:space="preserve"> </w:t>
      </w:r>
      <w:r w:rsidRPr="00154446">
        <w:rPr>
          <w:rFonts w:ascii="Georgia" w:hAnsi="Georgia" w:cs="Georgia"/>
        </w:rPr>
        <w:t>Central de la República Argentina</w:t>
      </w:r>
    </w:p>
    <w:p w14:paraId="77054E93" w14:textId="77777777" w:rsidR="00602EAD" w:rsidRPr="00EF3099" w:rsidRDefault="00602EAD" w:rsidP="00602EAD">
      <w:pPr>
        <w:autoSpaceDE w:val="0"/>
        <w:autoSpaceDN w:val="0"/>
        <w:adjustRightInd w:val="0"/>
        <w:jc w:val="both"/>
        <w:rPr>
          <w:rFonts w:ascii="Georgia" w:eastAsia="Calibri" w:hAnsi="Georgia" w:cs="Georgia"/>
          <w:lang w:val="es-ES"/>
        </w:rPr>
      </w:pPr>
    </w:p>
    <w:p w14:paraId="21A464F3" w14:textId="77777777" w:rsidR="00602EAD" w:rsidRPr="00EF3099" w:rsidRDefault="00602EAD" w:rsidP="00602EAD">
      <w:pPr>
        <w:autoSpaceDE w:val="0"/>
        <w:autoSpaceDN w:val="0"/>
        <w:adjustRightInd w:val="0"/>
        <w:jc w:val="both"/>
        <w:rPr>
          <w:rFonts w:ascii="Georgia" w:eastAsia="Calibri" w:hAnsi="Georgia"/>
          <w:lang w:val="es-ES"/>
        </w:rPr>
      </w:pPr>
      <w:r w:rsidRPr="00EF3099">
        <w:rPr>
          <w:rFonts w:ascii="Georgia" w:eastAsia="Calibri" w:hAnsi="Georgia"/>
          <w:lang w:val="es-ES"/>
        </w:rPr>
        <w:t xml:space="preserve">Asimismo, en nuestra opinión, la memoria del Directorio cumple con los requisitos legales y estatutarios, resultando las afirmaciones acerca de la gestión llevada a cabo y de las perspectivas futuras de exclusiva responsabilidad de la Dirección </w:t>
      </w:r>
    </w:p>
    <w:p w14:paraId="3AC18862" w14:textId="77777777" w:rsidR="00602EAD" w:rsidRPr="00EF3099" w:rsidRDefault="00602EAD" w:rsidP="00602EAD">
      <w:pPr>
        <w:autoSpaceDE w:val="0"/>
        <w:autoSpaceDN w:val="0"/>
        <w:adjustRightInd w:val="0"/>
        <w:jc w:val="both"/>
        <w:rPr>
          <w:rFonts w:ascii="Georgia" w:eastAsia="Calibri" w:hAnsi="Georgia" w:cs="Georgia"/>
          <w:lang w:val="es-ES"/>
        </w:rPr>
      </w:pPr>
    </w:p>
    <w:p w14:paraId="2D99E3BB" w14:textId="77777777" w:rsidR="00602EAD" w:rsidRPr="00EF3099" w:rsidRDefault="00602EAD" w:rsidP="00602EAD">
      <w:pPr>
        <w:autoSpaceDE w:val="0"/>
        <w:autoSpaceDN w:val="0"/>
        <w:adjustRightInd w:val="0"/>
        <w:jc w:val="both"/>
        <w:rPr>
          <w:rFonts w:ascii="Georgia" w:eastAsia="Calibri" w:hAnsi="Georgia"/>
          <w:b/>
          <w:bCs/>
          <w:lang w:val="es-ES"/>
        </w:rPr>
      </w:pPr>
      <w:r w:rsidRPr="00EF3099">
        <w:rPr>
          <w:rFonts w:ascii="Georgia" w:eastAsia="Calibri" w:hAnsi="Georgia"/>
          <w:b/>
          <w:bCs/>
          <w:lang w:val="es-ES"/>
        </w:rPr>
        <w:t>2. Fundamento de la opinión</w:t>
      </w:r>
    </w:p>
    <w:p w14:paraId="03C24565" w14:textId="77777777" w:rsidR="00602EAD" w:rsidRPr="00EF3099" w:rsidRDefault="00602EAD" w:rsidP="00602EAD">
      <w:pPr>
        <w:autoSpaceDE w:val="0"/>
        <w:autoSpaceDN w:val="0"/>
        <w:adjustRightInd w:val="0"/>
        <w:jc w:val="both"/>
        <w:rPr>
          <w:rFonts w:ascii="Georgia" w:eastAsia="Calibri" w:hAnsi="Georgia"/>
          <w:lang w:val="es-ES"/>
        </w:rPr>
      </w:pPr>
    </w:p>
    <w:p w14:paraId="4EECD99B" w14:textId="77777777" w:rsidR="00602EAD" w:rsidRPr="00EF3099" w:rsidRDefault="00602EAD" w:rsidP="00602EAD">
      <w:pPr>
        <w:autoSpaceDE w:val="0"/>
        <w:autoSpaceDN w:val="0"/>
        <w:adjustRightInd w:val="0"/>
        <w:jc w:val="both"/>
        <w:rPr>
          <w:rFonts w:ascii="Georgia" w:eastAsia="Calibri" w:hAnsi="Georgia"/>
          <w:lang w:val="es-ES"/>
        </w:rPr>
      </w:pPr>
      <w:r w:rsidRPr="00EF3099">
        <w:rPr>
          <w:rFonts w:ascii="Georgia" w:eastAsia="Calibri" w:hAnsi="Georgia"/>
          <w:lang w:val="es-ES"/>
        </w:rPr>
        <w:t xml:space="preserve"> Hemos llevado a cabo los controles cumpliendo con las normas legales y profesionales vigentes para sindicaturas , contempladas, entre otras, en la Ley General de Sociedades y en la Resolución Técnica</w:t>
      </w:r>
      <w:r>
        <w:rPr>
          <w:rFonts w:ascii="Georgia" w:eastAsia="Calibri" w:hAnsi="Georgia"/>
          <w:lang w:val="es-ES"/>
        </w:rPr>
        <w:t>(RT)</w:t>
      </w:r>
      <w:r w:rsidRPr="00EF3099">
        <w:rPr>
          <w:rFonts w:ascii="Georgia" w:eastAsia="Calibri" w:hAnsi="Georgia"/>
          <w:lang w:val="es-ES"/>
        </w:rPr>
        <w:t xml:space="preserve"> </w:t>
      </w:r>
      <w:proofErr w:type="spellStart"/>
      <w:r w:rsidRPr="00EF3099">
        <w:rPr>
          <w:rFonts w:ascii="Georgia" w:eastAsia="Calibri" w:hAnsi="Georgia"/>
          <w:lang w:val="es-ES"/>
        </w:rPr>
        <w:t>N°</w:t>
      </w:r>
      <w:proofErr w:type="spellEnd"/>
      <w:r w:rsidRPr="00EF3099">
        <w:rPr>
          <w:rFonts w:ascii="Georgia" w:eastAsia="Calibri" w:hAnsi="Georgia"/>
          <w:lang w:val="es-ES"/>
        </w:rPr>
        <w:t xml:space="preserve"> </w:t>
      </w:r>
      <w:r>
        <w:rPr>
          <w:rFonts w:ascii="Georgia" w:eastAsia="Calibri" w:hAnsi="Georgia"/>
          <w:lang w:val="es-ES"/>
        </w:rPr>
        <w:t>15</w:t>
      </w:r>
      <w:r w:rsidRPr="00EF3099">
        <w:rPr>
          <w:rFonts w:ascii="Georgia" w:eastAsia="Calibri" w:hAnsi="Georgia"/>
          <w:lang w:val="es-ES"/>
        </w:rPr>
        <w:t xml:space="preserve"> de la Federación Argentina de Consejos Profesionales de Ciencias Económicas (FACPCE) </w:t>
      </w:r>
      <w:r>
        <w:rPr>
          <w:rFonts w:ascii="Georgia" w:eastAsia="Calibri" w:hAnsi="Georgia"/>
          <w:lang w:val="es-ES"/>
        </w:rPr>
        <w:t xml:space="preserve">conforme ha sido aprobada por la Resolución CD </w:t>
      </w:r>
      <w:proofErr w:type="spellStart"/>
      <w:r w:rsidRPr="00EF3099">
        <w:rPr>
          <w:rFonts w:ascii="Georgia" w:eastAsia="Calibri" w:hAnsi="Georgia"/>
          <w:lang w:val="es-ES"/>
        </w:rPr>
        <w:t>N°</w:t>
      </w:r>
      <w:proofErr w:type="spellEnd"/>
      <w:r w:rsidRPr="00EF3099">
        <w:rPr>
          <w:rFonts w:ascii="Georgia" w:eastAsia="Calibri" w:hAnsi="Georgia"/>
          <w:lang w:val="es-ES"/>
        </w:rPr>
        <w:t xml:space="preserve"> </w:t>
      </w:r>
      <w:r>
        <w:rPr>
          <w:rFonts w:ascii="Georgia" w:eastAsia="Calibri" w:hAnsi="Georgia"/>
          <w:lang w:val="es-ES"/>
        </w:rPr>
        <w:t xml:space="preserve">3896 del Consejo Profesional de Ciencias Económicas de la Provincia de Buenos Aires (CPCEPBA) </w:t>
      </w:r>
      <w:r w:rsidRPr="00EF3099">
        <w:rPr>
          <w:rFonts w:ascii="Georgia" w:eastAsia="Calibri" w:hAnsi="Georgia"/>
          <w:lang w:val="es-ES"/>
        </w:rPr>
        <w:t xml:space="preserve">la cual tiene en cuenta que los controles de la información deben llevarse a cabo cumpliendo con las normas de auditoría establecidas en la Resolución Técnica </w:t>
      </w:r>
      <w:proofErr w:type="spellStart"/>
      <w:r w:rsidRPr="00EF3099">
        <w:rPr>
          <w:rFonts w:ascii="Georgia" w:eastAsia="Calibri" w:hAnsi="Georgia"/>
          <w:lang w:val="es-ES"/>
        </w:rPr>
        <w:t>N°</w:t>
      </w:r>
      <w:proofErr w:type="spellEnd"/>
      <w:r w:rsidRPr="00EF3099">
        <w:rPr>
          <w:rFonts w:ascii="Georgia" w:eastAsia="Calibri" w:hAnsi="Georgia"/>
          <w:lang w:val="es-ES"/>
        </w:rPr>
        <w:t xml:space="preserve"> </w:t>
      </w:r>
      <w:r>
        <w:rPr>
          <w:rFonts w:ascii="Georgia" w:eastAsia="Calibri" w:hAnsi="Georgia"/>
          <w:lang w:val="es-ES"/>
        </w:rPr>
        <w:t xml:space="preserve">37 </w:t>
      </w:r>
      <w:r w:rsidRPr="00EF3099">
        <w:rPr>
          <w:rFonts w:ascii="Georgia" w:eastAsia="Calibri" w:hAnsi="Georgia"/>
          <w:lang w:val="es-ES"/>
        </w:rPr>
        <w:t>de dicha Federación</w:t>
      </w:r>
      <w:r>
        <w:rPr>
          <w:rFonts w:ascii="Georgia" w:eastAsia="Calibri" w:hAnsi="Georgia"/>
          <w:lang w:val="es-ES"/>
        </w:rPr>
        <w:t xml:space="preserve"> conforme ha sido aprobada por la Resolución CD </w:t>
      </w:r>
      <w:proofErr w:type="spellStart"/>
      <w:r w:rsidRPr="00EF3099">
        <w:rPr>
          <w:rFonts w:ascii="Georgia" w:eastAsia="Calibri" w:hAnsi="Georgia"/>
          <w:lang w:val="es-ES"/>
        </w:rPr>
        <w:t>N°</w:t>
      </w:r>
      <w:proofErr w:type="spellEnd"/>
      <w:r w:rsidRPr="00EF3099">
        <w:rPr>
          <w:rFonts w:ascii="Georgia" w:eastAsia="Calibri" w:hAnsi="Georgia"/>
          <w:lang w:val="es-ES"/>
        </w:rPr>
        <w:t xml:space="preserve"> </w:t>
      </w:r>
      <w:r>
        <w:rPr>
          <w:rFonts w:ascii="Georgia" w:eastAsia="Calibri" w:hAnsi="Georgia"/>
          <w:lang w:val="es-ES"/>
        </w:rPr>
        <w:t xml:space="preserve"> 3843 del CPCEPBA y con el marco contable establecido por el Banco Central de la República Argentina. (BCRA). </w:t>
      </w:r>
      <w:r w:rsidRPr="00EF3099">
        <w:rPr>
          <w:rFonts w:ascii="Georgia" w:eastAsia="Calibri" w:hAnsi="Georgia"/>
          <w:lang w:val="es-ES"/>
        </w:rPr>
        <w:t>Nuestra responsabilidad de acuerdo con las normas mencionadas se describe más adelante en el apartado 5.</w:t>
      </w:r>
    </w:p>
    <w:p w14:paraId="6F64E5B3" w14:textId="77777777" w:rsidR="00602EAD" w:rsidRPr="00EF3099" w:rsidRDefault="00602EAD" w:rsidP="00602EAD">
      <w:pPr>
        <w:autoSpaceDE w:val="0"/>
        <w:autoSpaceDN w:val="0"/>
        <w:adjustRightInd w:val="0"/>
        <w:jc w:val="both"/>
        <w:rPr>
          <w:rFonts w:ascii="Georgia" w:eastAsia="Calibri" w:hAnsi="Georgia"/>
          <w:lang w:val="es-ES"/>
        </w:rPr>
      </w:pPr>
    </w:p>
    <w:p w14:paraId="0CCCEE6E" w14:textId="77777777" w:rsidR="00602EAD" w:rsidRDefault="00602EAD" w:rsidP="00602EAD">
      <w:pPr>
        <w:autoSpaceDE w:val="0"/>
        <w:autoSpaceDN w:val="0"/>
        <w:adjustRightInd w:val="0"/>
        <w:jc w:val="both"/>
        <w:rPr>
          <w:rFonts w:ascii="Georgia" w:eastAsia="Calibri" w:hAnsi="Georgia"/>
          <w:lang w:val="es-ES"/>
        </w:rPr>
      </w:pPr>
      <w:r w:rsidRPr="00EF3099">
        <w:rPr>
          <w:rFonts w:ascii="Georgia" w:eastAsia="Calibri" w:hAnsi="Georgia"/>
          <w:lang w:val="es-ES"/>
        </w:rPr>
        <w:t>Para realizar nuestra tarea profesional sobre los estados financieros citados en el primer párrafo, planificamos y ejecutamos determinados procedimientos sobre la documentación de la auditoría efectuada por</w:t>
      </w:r>
      <w:r w:rsidRPr="00EF3099">
        <w:rPr>
          <w:rFonts w:ascii="Georgia" w:eastAsia="Calibri" w:hAnsi="Georgia" w:cs="Georgia"/>
          <w:lang w:val="es-ES"/>
        </w:rPr>
        <w:t xml:space="preserve"> los auditores externos, </w:t>
      </w:r>
      <w:proofErr w:type="spellStart"/>
      <w:r w:rsidRPr="00D9594E">
        <w:rPr>
          <w:rFonts w:ascii="Georgia" w:eastAsia="Georgia" w:hAnsi="Georgia" w:cs="Georgia"/>
        </w:rPr>
        <w:t>Lisicki</w:t>
      </w:r>
      <w:proofErr w:type="spellEnd"/>
      <w:r w:rsidRPr="00D9594E">
        <w:rPr>
          <w:rFonts w:ascii="Georgia" w:eastAsia="Georgia" w:hAnsi="Georgia" w:cs="Georgia"/>
        </w:rPr>
        <w:t xml:space="preserve"> </w:t>
      </w:r>
      <w:proofErr w:type="spellStart"/>
      <w:r w:rsidRPr="00D9594E">
        <w:rPr>
          <w:rFonts w:ascii="Georgia" w:eastAsia="Georgia" w:hAnsi="Georgia" w:cs="Georgia"/>
        </w:rPr>
        <w:t>Litvin</w:t>
      </w:r>
      <w:proofErr w:type="spellEnd"/>
      <w:r w:rsidRPr="00D9594E">
        <w:rPr>
          <w:rFonts w:ascii="Georgia" w:eastAsia="Georgia" w:hAnsi="Georgia" w:cs="Georgia"/>
        </w:rPr>
        <w:t xml:space="preserve"> Auditores S.A</w:t>
      </w:r>
      <w:r w:rsidRPr="00EF3099">
        <w:rPr>
          <w:rFonts w:ascii="Georgia" w:eastAsia="Calibri" w:hAnsi="Georgia" w:cs="Georgia"/>
          <w:lang w:val="es-ES"/>
        </w:rPr>
        <w:t xml:space="preserve">, quienes emitieron su “Informe de los Auditores Independientes” con fecha </w:t>
      </w:r>
      <w:r>
        <w:rPr>
          <w:rFonts w:ascii="Georgia" w:eastAsia="Calibri" w:hAnsi="Georgia" w:cs="Georgia"/>
          <w:lang w:val="es-ES"/>
        </w:rPr>
        <w:t xml:space="preserve">10 de marzo de </w:t>
      </w:r>
      <w:r w:rsidRPr="00EF3099">
        <w:rPr>
          <w:rFonts w:ascii="Georgia" w:eastAsia="Calibri" w:hAnsi="Georgia" w:cs="Georgia"/>
          <w:lang w:val="es-ES"/>
        </w:rPr>
        <w:t>202</w:t>
      </w:r>
      <w:r>
        <w:rPr>
          <w:rFonts w:ascii="Georgia" w:eastAsia="Calibri" w:hAnsi="Georgia" w:cs="Georgia"/>
          <w:lang w:val="es-ES"/>
        </w:rPr>
        <w:t>5</w:t>
      </w:r>
      <w:r w:rsidRPr="00EF3099">
        <w:rPr>
          <w:rFonts w:ascii="Georgia" w:eastAsia="Calibri" w:hAnsi="Georgia" w:cs="Georgia"/>
          <w:lang w:val="es-ES"/>
        </w:rPr>
        <w:t xml:space="preserve">, con opinión sin salvedades, </w:t>
      </w:r>
      <w:r w:rsidRPr="00D0388D">
        <w:rPr>
          <w:rFonts w:ascii="Georgia" w:eastAsia="Calibri" w:hAnsi="Georgia" w:cs="Georgia"/>
          <w:lang w:val="es-ES"/>
        </w:rPr>
        <w:t xml:space="preserve">de acuerdo con normas de auditoría vigentes y de las normas del </w:t>
      </w:r>
      <w:r w:rsidRPr="00D0388D">
        <w:rPr>
          <w:rFonts w:ascii="Georgia" w:eastAsia="Calibri" w:hAnsi="Georgia"/>
          <w:lang w:val="es-ES"/>
        </w:rPr>
        <w:t>B</w:t>
      </w:r>
      <w:r>
        <w:rPr>
          <w:rFonts w:ascii="Georgia" w:eastAsia="Calibri" w:hAnsi="Georgia"/>
          <w:lang w:val="es-ES"/>
        </w:rPr>
        <w:t>CRA.</w:t>
      </w:r>
      <w:r w:rsidRPr="00D0388D">
        <w:rPr>
          <w:rFonts w:ascii="Georgia" w:eastAsia="Calibri" w:hAnsi="Georgia"/>
          <w:lang w:val="es-ES"/>
        </w:rPr>
        <w:t xml:space="preserve"> </w:t>
      </w:r>
    </w:p>
    <w:p w14:paraId="2CE3A2BE" w14:textId="77777777" w:rsidR="00602EAD" w:rsidRDefault="00602EAD" w:rsidP="00602EAD">
      <w:pPr>
        <w:rPr>
          <w:rFonts w:ascii="Georgia" w:eastAsia="Calibri" w:hAnsi="Georgia"/>
          <w:lang w:val="es-ES"/>
        </w:rPr>
      </w:pPr>
    </w:p>
    <w:p w14:paraId="6275FE5C" w14:textId="77777777" w:rsidR="00602EAD" w:rsidRPr="00EF3099" w:rsidRDefault="00602EAD" w:rsidP="00602EAD">
      <w:pPr>
        <w:autoSpaceDE w:val="0"/>
        <w:autoSpaceDN w:val="0"/>
        <w:adjustRightInd w:val="0"/>
        <w:jc w:val="both"/>
        <w:rPr>
          <w:rFonts w:ascii="Georgia" w:eastAsia="Calibri" w:hAnsi="Georgia"/>
          <w:lang w:val="es-ES"/>
        </w:rPr>
      </w:pPr>
      <w:r w:rsidRPr="00EF3099">
        <w:rPr>
          <w:rFonts w:ascii="Georgia" w:eastAsia="Calibri" w:hAnsi="Georgia"/>
          <w:lang w:val="es-ES"/>
        </w:rPr>
        <w:t xml:space="preserve">Entre los procedimientos llevados a cabo se incluyeron la planificación del encargo, de la naturaleza, alcance y oportunidad de los procedimientos aplicados y de los resultados de la auditoría efectuada por dicho profesional, quien manifiesta haber llevado a cabo su examen sobre los estados </w:t>
      </w:r>
      <w:r>
        <w:rPr>
          <w:rFonts w:ascii="Georgia" w:eastAsia="Calibri" w:hAnsi="Georgia"/>
          <w:lang w:val="es-ES"/>
        </w:rPr>
        <w:t>financieros</w:t>
      </w:r>
      <w:r w:rsidRPr="00EF3099">
        <w:rPr>
          <w:rFonts w:ascii="Georgia" w:eastAsia="Calibri" w:hAnsi="Georgia"/>
          <w:lang w:val="es-ES"/>
        </w:rPr>
        <w:t xml:space="preserve"> adjuntos de conformidad con las normas de auditoría establecidas en la Resolución Técnica </w:t>
      </w:r>
      <w:proofErr w:type="spellStart"/>
      <w:r w:rsidRPr="00EF3099">
        <w:rPr>
          <w:rFonts w:ascii="Georgia" w:eastAsia="Calibri" w:hAnsi="Georgia"/>
          <w:lang w:val="es-ES"/>
        </w:rPr>
        <w:t>N°</w:t>
      </w:r>
      <w:proofErr w:type="spellEnd"/>
      <w:r w:rsidRPr="00EF3099">
        <w:rPr>
          <w:rFonts w:ascii="Georgia" w:eastAsia="Calibri" w:hAnsi="Georgia"/>
          <w:lang w:val="es-ES"/>
        </w:rPr>
        <w:t xml:space="preserve"> 37 de la FACPCE. Dichas normas exigen que cumpla los requerimientos de ética, así como que planifique y ejecute la auditoría con el fin de obtener una seguridad razonable de que los estados </w:t>
      </w:r>
      <w:r>
        <w:rPr>
          <w:rFonts w:ascii="Georgia" w:eastAsia="Calibri" w:hAnsi="Georgia"/>
          <w:lang w:val="es-ES"/>
        </w:rPr>
        <w:t>financieros</w:t>
      </w:r>
      <w:r w:rsidRPr="00EF3099">
        <w:rPr>
          <w:rFonts w:ascii="Georgia" w:eastAsia="Calibri" w:hAnsi="Georgia"/>
          <w:lang w:val="es-ES"/>
        </w:rPr>
        <w:t xml:space="preserve"> están libres de incorrecciones significativas. </w:t>
      </w:r>
    </w:p>
    <w:p w14:paraId="63ABFF23" w14:textId="77777777" w:rsidR="00602EAD" w:rsidRPr="00EF3099" w:rsidRDefault="00602EAD" w:rsidP="00602EAD">
      <w:pPr>
        <w:autoSpaceDE w:val="0"/>
        <w:autoSpaceDN w:val="0"/>
        <w:adjustRightInd w:val="0"/>
        <w:jc w:val="both"/>
        <w:rPr>
          <w:rFonts w:ascii="Georgia" w:eastAsia="Calibri" w:hAnsi="Georgia"/>
          <w:lang w:val="es-ES"/>
        </w:rPr>
      </w:pPr>
    </w:p>
    <w:p w14:paraId="5867DB3F" w14:textId="77777777" w:rsidR="00602EAD" w:rsidRPr="00EF3099" w:rsidRDefault="00602EAD" w:rsidP="00602EAD">
      <w:pPr>
        <w:autoSpaceDE w:val="0"/>
        <w:autoSpaceDN w:val="0"/>
        <w:adjustRightInd w:val="0"/>
        <w:jc w:val="both"/>
        <w:rPr>
          <w:rFonts w:ascii="Georgia" w:eastAsia="Calibri" w:hAnsi="Georgia"/>
          <w:lang w:val="es-ES"/>
        </w:rPr>
      </w:pPr>
      <w:r w:rsidRPr="00EF3099">
        <w:rPr>
          <w:rFonts w:ascii="Georgia" w:eastAsia="Calibri" w:hAnsi="Georgia"/>
          <w:lang w:val="es-ES"/>
        </w:rPr>
        <w:t>Dado que no es responsabilidad de la comisión fiscalizadora efectuar un control de gestión, la revisión no se extendió a los criterios y decisiones empresarias de las diversas áreas de la Entidad, cuestiones que son de responsabilidad exclusiva de los directores</w:t>
      </w:r>
    </w:p>
    <w:p w14:paraId="2352F18E" w14:textId="77777777" w:rsidR="00602EAD" w:rsidRPr="00EF3099" w:rsidRDefault="00602EAD" w:rsidP="00602EAD">
      <w:pPr>
        <w:autoSpaceDE w:val="0"/>
        <w:autoSpaceDN w:val="0"/>
        <w:adjustRightInd w:val="0"/>
        <w:jc w:val="both"/>
        <w:rPr>
          <w:rFonts w:ascii="Georgia" w:eastAsia="Calibri" w:hAnsi="Georgia"/>
          <w:lang w:val="es-ES"/>
        </w:rPr>
      </w:pPr>
    </w:p>
    <w:p w14:paraId="40099D1E" w14:textId="77777777" w:rsidR="00602EAD" w:rsidRPr="00EF3099" w:rsidRDefault="00602EAD" w:rsidP="00602EAD">
      <w:pPr>
        <w:autoSpaceDE w:val="0"/>
        <w:autoSpaceDN w:val="0"/>
        <w:adjustRightInd w:val="0"/>
        <w:jc w:val="both"/>
        <w:rPr>
          <w:rFonts w:ascii="Georgia" w:eastAsia="Calibri" w:hAnsi="Georgia"/>
          <w:lang w:val="es-ES"/>
        </w:rPr>
      </w:pPr>
      <w:r w:rsidRPr="00EF3099">
        <w:rPr>
          <w:rFonts w:ascii="Georgia" w:eastAsia="Calibri" w:hAnsi="Georgia"/>
          <w:lang w:val="es-ES"/>
        </w:rPr>
        <w:t xml:space="preserve">Asimismo, con relación a la memoria de los directores correspondiente al ejercicio terminado el 31 de diciembre de </w:t>
      </w:r>
      <w:r>
        <w:rPr>
          <w:rFonts w:ascii="Georgia" w:eastAsia="Calibri" w:hAnsi="Georgia"/>
          <w:lang w:val="es-ES"/>
        </w:rPr>
        <w:t>2024</w:t>
      </w:r>
      <w:r w:rsidRPr="00EF3099">
        <w:rPr>
          <w:rFonts w:ascii="Georgia" w:eastAsia="Calibri" w:hAnsi="Georgia"/>
          <w:lang w:val="es-ES"/>
        </w:rPr>
        <w:t xml:space="preserve">, hemos verificado que contiene la información requerida por el artículo 66 de la Ley General Sociedades y otra información requerida por los organismos de control y, en lo que es materia de mi competencia, que sus datos numéricos concuerdan con los registros contables de la Entidad y otra documentación pertinente. </w:t>
      </w:r>
    </w:p>
    <w:p w14:paraId="4BDD5B25" w14:textId="77777777" w:rsidR="00602EAD" w:rsidRPr="00EF3099" w:rsidRDefault="00602EAD" w:rsidP="00602EAD">
      <w:pPr>
        <w:autoSpaceDE w:val="0"/>
        <w:autoSpaceDN w:val="0"/>
        <w:adjustRightInd w:val="0"/>
        <w:jc w:val="both"/>
        <w:rPr>
          <w:rFonts w:ascii="Georgia" w:eastAsia="Calibri" w:hAnsi="Georgia"/>
          <w:lang w:val="es-ES"/>
        </w:rPr>
      </w:pPr>
    </w:p>
    <w:p w14:paraId="05FE6CB7" w14:textId="639E5F53" w:rsidR="00602EAD" w:rsidRPr="00EF3099" w:rsidRDefault="00602EAD" w:rsidP="00602EAD">
      <w:pPr>
        <w:autoSpaceDE w:val="0"/>
        <w:autoSpaceDN w:val="0"/>
        <w:adjustRightInd w:val="0"/>
        <w:jc w:val="both"/>
        <w:rPr>
          <w:rFonts w:ascii="Georgia" w:eastAsia="Calibri" w:hAnsi="Georgia"/>
          <w:lang w:val="es-ES"/>
        </w:rPr>
      </w:pPr>
      <w:r w:rsidRPr="00EF3099">
        <w:rPr>
          <w:rFonts w:ascii="Georgia" w:eastAsia="Calibri" w:hAnsi="Georgia"/>
          <w:lang w:val="es-ES"/>
        </w:rPr>
        <w:t>Dejamos expresa mención que somos independiente de la Entidad y hemos cumplido con los demás requisitos de ética de conformidad con el código de ética del C</w:t>
      </w:r>
      <w:r>
        <w:rPr>
          <w:rFonts w:ascii="Georgia" w:eastAsia="Calibri" w:hAnsi="Georgia"/>
          <w:lang w:val="es-ES"/>
        </w:rPr>
        <w:t>PCEPBA</w:t>
      </w:r>
      <w:r w:rsidRPr="00EF3099">
        <w:rPr>
          <w:rFonts w:ascii="Georgia" w:eastAsia="Calibri" w:hAnsi="Georgia"/>
          <w:lang w:val="es-ES"/>
        </w:rPr>
        <w:t xml:space="preserve">, de las RT </w:t>
      </w:r>
      <w:proofErr w:type="spellStart"/>
      <w:r w:rsidRPr="00EF3099">
        <w:rPr>
          <w:rFonts w:ascii="Georgia" w:eastAsia="Calibri" w:hAnsi="Georgia"/>
          <w:lang w:val="es-ES"/>
        </w:rPr>
        <w:t>N°</w:t>
      </w:r>
      <w:proofErr w:type="spellEnd"/>
      <w:r w:rsidRPr="00EF3099">
        <w:rPr>
          <w:rFonts w:ascii="Georgia" w:eastAsia="Calibri" w:hAnsi="Georgia"/>
          <w:lang w:val="es-ES"/>
        </w:rPr>
        <w:t xml:space="preserve"> 15 y 37 de FACPCE </w:t>
      </w:r>
      <w:r>
        <w:rPr>
          <w:rFonts w:ascii="Georgia" w:eastAsia="Calibri" w:hAnsi="Georgia"/>
          <w:lang w:val="es-ES"/>
        </w:rPr>
        <w:t xml:space="preserve">conforme han sido aprobadas por la Resolución CD </w:t>
      </w:r>
      <w:proofErr w:type="spellStart"/>
      <w:r w:rsidRPr="00EF3099">
        <w:rPr>
          <w:rFonts w:ascii="Georgia" w:eastAsia="Calibri" w:hAnsi="Georgia"/>
          <w:lang w:val="es-ES"/>
        </w:rPr>
        <w:t>N°</w:t>
      </w:r>
      <w:proofErr w:type="spellEnd"/>
      <w:r w:rsidRPr="00EF3099">
        <w:rPr>
          <w:rFonts w:ascii="Georgia" w:eastAsia="Calibri" w:hAnsi="Georgia"/>
          <w:lang w:val="es-ES"/>
        </w:rPr>
        <w:t xml:space="preserve"> </w:t>
      </w:r>
      <w:r>
        <w:rPr>
          <w:rFonts w:ascii="Georgia" w:eastAsia="Calibri" w:hAnsi="Georgia"/>
          <w:lang w:val="es-ES"/>
        </w:rPr>
        <w:t xml:space="preserve">3896 y 3843 respectivamente del CPCEPBA </w:t>
      </w:r>
      <w:r w:rsidRPr="00EF3099">
        <w:rPr>
          <w:rFonts w:ascii="Georgia" w:eastAsia="Calibri" w:hAnsi="Georgia"/>
          <w:lang w:val="es-ES"/>
        </w:rPr>
        <w:t>y de las normas del BCRA.</w:t>
      </w:r>
    </w:p>
    <w:p w14:paraId="0C9D6CE5" w14:textId="77777777" w:rsidR="00602EAD" w:rsidRPr="00EF3099" w:rsidRDefault="00602EAD" w:rsidP="00602EAD">
      <w:pPr>
        <w:autoSpaceDE w:val="0"/>
        <w:autoSpaceDN w:val="0"/>
        <w:adjustRightInd w:val="0"/>
        <w:jc w:val="both"/>
        <w:rPr>
          <w:rFonts w:ascii="Georgia" w:eastAsia="Calibri" w:hAnsi="Georgia"/>
          <w:lang w:val="es-ES"/>
        </w:rPr>
      </w:pPr>
    </w:p>
    <w:p w14:paraId="0E673A74" w14:textId="77777777" w:rsidR="00602EAD" w:rsidRPr="00EF3099" w:rsidRDefault="00602EAD" w:rsidP="00602EAD">
      <w:pPr>
        <w:autoSpaceDE w:val="0"/>
        <w:autoSpaceDN w:val="0"/>
        <w:adjustRightInd w:val="0"/>
        <w:jc w:val="both"/>
        <w:rPr>
          <w:rFonts w:ascii="Georgia" w:eastAsia="Calibri" w:hAnsi="Georgia"/>
          <w:lang w:val="es-ES"/>
        </w:rPr>
      </w:pPr>
      <w:r w:rsidRPr="00EF3099">
        <w:rPr>
          <w:rFonts w:ascii="Georgia" w:eastAsia="Calibri" w:hAnsi="Georgia"/>
          <w:lang w:val="es-ES"/>
        </w:rPr>
        <w:t>Consideramos que los elementos de juicio que hemos obtenido proporcionan una base suficiente y adecuada para nuestra opinión.</w:t>
      </w:r>
    </w:p>
    <w:p w14:paraId="293A1C87" w14:textId="77777777" w:rsidR="00602EAD" w:rsidRPr="00EF3099" w:rsidRDefault="00602EAD" w:rsidP="00602EAD">
      <w:pPr>
        <w:autoSpaceDE w:val="0"/>
        <w:autoSpaceDN w:val="0"/>
        <w:adjustRightInd w:val="0"/>
        <w:jc w:val="both"/>
        <w:rPr>
          <w:rFonts w:ascii="Georgia" w:eastAsia="Calibri" w:hAnsi="Georgia"/>
          <w:lang w:val="es-ES"/>
        </w:rPr>
      </w:pPr>
    </w:p>
    <w:p w14:paraId="35653D36" w14:textId="77777777" w:rsidR="00602EAD" w:rsidRPr="00EF3099" w:rsidRDefault="00602EAD" w:rsidP="00602EAD">
      <w:pPr>
        <w:autoSpaceDE w:val="0"/>
        <w:autoSpaceDN w:val="0"/>
        <w:adjustRightInd w:val="0"/>
        <w:contextualSpacing/>
        <w:jc w:val="both"/>
        <w:rPr>
          <w:rFonts w:ascii="Georgia" w:hAnsi="Georgia" w:cs="Georgia,Bold"/>
          <w:b/>
          <w:bCs/>
        </w:rPr>
      </w:pPr>
      <w:r w:rsidRPr="00EF3099">
        <w:rPr>
          <w:rFonts w:ascii="Georgia" w:hAnsi="Georgia" w:cs="Georgia,Bold"/>
          <w:b/>
          <w:bCs/>
        </w:rPr>
        <w:t>3. Énfasis sobre la no aplicación de la metodología de pérdida esperada en el cálculo de previsiones por riesgo de incobrabilidad</w:t>
      </w:r>
    </w:p>
    <w:p w14:paraId="07EA161D" w14:textId="77777777" w:rsidR="00602EAD" w:rsidRPr="00EF3099" w:rsidRDefault="00602EAD" w:rsidP="00602EAD">
      <w:pPr>
        <w:widowControl w:val="0"/>
        <w:autoSpaceDE w:val="0"/>
        <w:autoSpaceDN w:val="0"/>
        <w:spacing w:before="5"/>
        <w:ind w:left="-142"/>
        <w:rPr>
          <w:rFonts w:ascii="Georgia" w:eastAsia="Arial MT" w:hAnsi="Georgia" w:cs="Arial MT"/>
          <w:b/>
          <w:lang w:val="es-ES"/>
        </w:rPr>
      </w:pPr>
    </w:p>
    <w:p w14:paraId="3A5F13AD" w14:textId="58377C0A" w:rsidR="00602EAD" w:rsidRPr="00B454AD" w:rsidRDefault="00602EAD" w:rsidP="00602EAD">
      <w:pPr>
        <w:pStyle w:val="informaudit"/>
        <w:spacing w:line="240" w:lineRule="auto"/>
        <w:ind w:right="3"/>
        <w:rPr>
          <w:rFonts w:ascii="Georgia" w:hAnsi="Georgia"/>
        </w:rPr>
      </w:pPr>
      <w:bookmarkStart w:id="0" w:name="_Hlk159955472"/>
      <w:r w:rsidRPr="00B454AD">
        <w:rPr>
          <w:rFonts w:ascii="Georgia" w:hAnsi="Georgia"/>
        </w:rPr>
        <w:t xml:space="preserve">Sin modificar nuestra </w:t>
      </w:r>
      <w:r>
        <w:rPr>
          <w:rFonts w:ascii="Georgia" w:hAnsi="Georgia"/>
        </w:rPr>
        <w:t>Opinión mencionada en el apartado 1 de este informe</w:t>
      </w:r>
      <w:r w:rsidRPr="00B454AD">
        <w:rPr>
          <w:rFonts w:ascii="Georgia" w:hAnsi="Georgia"/>
        </w:rPr>
        <w:t xml:space="preserve">, queremos enfatizar que, tal y como indica en </w:t>
      </w:r>
      <w:r>
        <w:rPr>
          <w:rFonts w:ascii="Georgia" w:hAnsi="Georgia"/>
        </w:rPr>
        <w:t>las notas</w:t>
      </w:r>
      <w:r w:rsidRPr="00B454AD">
        <w:rPr>
          <w:rFonts w:ascii="Georgia" w:hAnsi="Georgia"/>
        </w:rPr>
        <w:t xml:space="preserve"> </w:t>
      </w:r>
      <w:r>
        <w:rPr>
          <w:rFonts w:ascii="Georgia" w:hAnsi="Georgia"/>
        </w:rPr>
        <w:t>1.3 y 1.4</w:t>
      </w:r>
      <w:r w:rsidRPr="00B454AD">
        <w:rPr>
          <w:rFonts w:ascii="Georgia" w:hAnsi="Georgia"/>
        </w:rPr>
        <w:t xml:space="preserve"> a los presentes estados financieros, la </w:t>
      </w:r>
      <w:r>
        <w:rPr>
          <w:rFonts w:ascii="Georgia" w:hAnsi="Georgia"/>
        </w:rPr>
        <w:t>Entidad</w:t>
      </w:r>
      <w:r w:rsidRPr="00B454AD">
        <w:rPr>
          <w:rFonts w:ascii="Georgia" w:hAnsi="Georgia"/>
        </w:rPr>
        <w:t xml:space="preserve"> no ha aplicado la sección </w:t>
      </w:r>
      <w:r w:rsidRPr="00B454AD">
        <w:rPr>
          <w:rFonts w:ascii="Georgia" w:hAnsi="Georgia"/>
        </w:rPr>
        <w:lastRenderedPageBreak/>
        <w:t xml:space="preserve">5.5. “Deterioro de Valor” de la NIIF 9 “Instrumentos Financieros” por disposición del ente regulador que ha otorgado la opción de postergar su aplicación hasta el 1° de enero de </w:t>
      </w:r>
      <w:r>
        <w:rPr>
          <w:rFonts w:ascii="Georgia" w:hAnsi="Georgia"/>
        </w:rPr>
        <w:t>2025</w:t>
      </w:r>
      <w:r w:rsidRPr="00B454AD">
        <w:rPr>
          <w:rFonts w:ascii="Georgia" w:hAnsi="Georgia"/>
        </w:rPr>
        <w:t xml:space="preserve"> para las </w:t>
      </w:r>
      <w:r>
        <w:rPr>
          <w:rFonts w:ascii="Georgia" w:hAnsi="Georgia"/>
        </w:rPr>
        <w:t>Entidad</w:t>
      </w:r>
      <w:r w:rsidRPr="00B454AD">
        <w:rPr>
          <w:rFonts w:ascii="Georgia" w:hAnsi="Georgia"/>
        </w:rPr>
        <w:t>es del “Grupo C”</w:t>
      </w:r>
      <w:r>
        <w:rPr>
          <w:rFonts w:ascii="Georgia" w:hAnsi="Georgia"/>
        </w:rPr>
        <w:t xml:space="preserve"> a la cual pertenece la Entidad, siendo informada tal opción a la Superintendencia de Entidades Financieras y Cambiarias.</w:t>
      </w:r>
    </w:p>
    <w:p w14:paraId="6C82B614" w14:textId="77777777" w:rsidR="00602EAD" w:rsidRPr="00B454AD" w:rsidRDefault="00602EAD" w:rsidP="00602EAD">
      <w:pPr>
        <w:pStyle w:val="informaudit"/>
        <w:spacing w:line="240" w:lineRule="auto"/>
        <w:ind w:right="3"/>
        <w:rPr>
          <w:rFonts w:ascii="Georgia" w:hAnsi="Georgia"/>
        </w:rPr>
      </w:pPr>
    </w:p>
    <w:p w14:paraId="6D8FFC1F" w14:textId="77777777" w:rsidR="00602EAD" w:rsidRDefault="00602EAD" w:rsidP="00602EAD">
      <w:pPr>
        <w:pStyle w:val="informaudit"/>
        <w:spacing w:line="240" w:lineRule="auto"/>
        <w:ind w:right="3"/>
        <w:rPr>
          <w:rFonts w:ascii="Georgia" w:hAnsi="Georgia"/>
        </w:rPr>
      </w:pPr>
      <w:r w:rsidRPr="00B454AD">
        <w:rPr>
          <w:rFonts w:ascii="Georgia" w:hAnsi="Georgia"/>
        </w:rPr>
        <w:t>Esta cuestión debe ser tenida en cuenta por los usuarios que utilicen</w:t>
      </w:r>
      <w:r w:rsidRPr="00B454AD">
        <w:rPr>
          <w:rFonts w:ascii="Georgia" w:hAnsi="Georgia"/>
          <w:spacing w:val="1"/>
        </w:rPr>
        <w:t xml:space="preserve"> </w:t>
      </w:r>
      <w:r w:rsidRPr="00B454AD">
        <w:rPr>
          <w:rFonts w:ascii="Georgia" w:hAnsi="Georgia"/>
        </w:rPr>
        <w:t>las</w:t>
      </w:r>
      <w:r w:rsidRPr="00B454AD">
        <w:rPr>
          <w:rFonts w:ascii="Georgia" w:hAnsi="Georgia"/>
          <w:spacing w:val="-1"/>
        </w:rPr>
        <w:t xml:space="preserve"> </w:t>
      </w:r>
      <w:r w:rsidRPr="00B454AD">
        <w:rPr>
          <w:rFonts w:ascii="Georgia" w:hAnsi="Georgia"/>
        </w:rPr>
        <w:t>NIIF</w:t>
      </w:r>
      <w:r w:rsidRPr="00B454AD">
        <w:rPr>
          <w:rFonts w:ascii="Georgia" w:hAnsi="Georgia"/>
          <w:spacing w:val="-1"/>
        </w:rPr>
        <w:t xml:space="preserve"> </w:t>
      </w:r>
      <w:r w:rsidRPr="00B454AD">
        <w:rPr>
          <w:rFonts w:ascii="Georgia" w:hAnsi="Georgia"/>
        </w:rPr>
        <w:t>para</w:t>
      </w:r>
      <w:r w:rsidRPr="00B454AD">
        <w:rPr>
          <w:rFonts w:ascii="Georgia" w:hAnsi="Georgia"/>
          <w:spacing w:val="-1"/>
        </w:rPr>
        <w:t xml:space="preserve"> </w:t>
      </w:r>
      <w:r w:rsidRPr="00B454AD">
        <w:rPr>
          <w:rFonts w:ascii="Georgia" w:hAnsi="Georgia"/>
        </w:rPr>
        <w:t>la</w:t>
      </w:r>
      <w:r w:rsidRPr="00B454AD">
        <w:rPr>
          <w:rFonts w:ascii="Georgia" w:hAnsi="Georgia"/>
          <w:spacing w:val="-1"/>
        </w:rPr>
        <w:t xml:space="preserve"> </w:t>
      </w:r>
      <w:r w:rsidRPr="00B454AD">
        <w:rPr>
          <w:rFonts w:ascii="Georgia" w:hAnsi="Georgia"/>
        </w:rPr>
        <w:t>interpretación</w:t>
      </w:r>
      <w:r w:rsidRPr="00B454AD">
        <w:rPr>
          <w:rFonts w:ascii="Georgia" w:hAnsi="Georgia"/>
          <w:spacing w:val="-1"/>
        </w:rPr>
        <w:t xml:space="preserve"> </w:t>
      </w:r>
      <w:r w:rsidRPr="00B454AD">
        <w:rPr>
          <w:rFonts w:ascii="Georgia" w:hAnsi="Georgia"/>
        </w:rPr>
        <w:t>de</w:t>
      </w:r>
      <w:r w:rsidRPr="00B454AD">
        <w:rPr>
          <w:rFonts w:ascii="Georgia" w:hAnsi="Georgia"/>
          <w:spacing w:val="-1"/>
        </w:rPr>
        <w:t xml:space="preserve"> </w:t>
      </w:r>
      <w:r w:rsidRPr="00B454AD">
        <w:rPr>
          <w:rFonts w:ascii="Georgia" w:hAnsi="Georgia"/>
        </w:rPr>
        <w:t>los</w:t>
      </w:r>
      <w:r w:rsidRPr="00B454AD">
        <w:rPr>
          <w:rFonts w:ascii="Georgia" w:hAnsi="Georgia"/>
          <w:spacing w:val="-1"/>
        </w:rPr>
        <w:t xml:space="preserve"> </w:t>
      </w:r>
      <w:r w:rsidRPr="00B454AD">
        <w:rPr>
          <w:rFonts w:ascii="Georgia" w:hAnsi="Georgia"/>
        </w:rPr>
        <w:t>estados financieros.</w:t>
      </w:r>
    </w:p>
    <w:bookmarkEnd w:id="0"/>
    <w:p w14:paraId="47C82FF7" w14:textId="77777777" w:rsidR="00602EAD" w:rsidRPr="00EF3099" w:rsidRDefault="00602EAD" w:rsidP="00602EAD">
      <w:pPr>
        <w:autoSpaceDE w:val="0"/>
        <w:autoSpaceDN w:val="0"/>
        <w:adjustRightInd w:val="0"/>
        <w:jc w:val="both"/>
        <w:rPr>
          <w:rFonts w:ascii="Georgia" w:eastAsia="Calibri" w:hAnsi="Georgia"/>
          <w:lang w:val="es-ES"/>
        </w:rPr>
      </w:pPr>
    </w:p>
    <w:p w14:paraId="65E4F690" w14:textId="77777777" w:rsidR="00602EAD" w:rsidRPr="00EF3099" w:rsidRDefault="00602EAD" w:rsidP="00602EAD">
      <w:pPr>
        <w:autoSpaceDE w:val="0"/>
        <w:autoSpaceDN w:val="0"/>
        <w:adjustRightInd w:val="0"/>
        <w:jc w:val="both"/>
        <w:rPr>
          <w:rFonts w:ascii="Georgia" w:eastAsia="Calibri" w:hAnsi="Georgia"/>
          <w:b/>
          <w:bCs/>
          <w:lang w:val="es-ES"/>
        </w:rPr>
      </w:pPr>
      <w:r w:rsidRPr="00EF3099">
        <w:rPr>
          <w:rFonts w:ascii="Georgia" w:eastAsia="Calibri" w:hAnsi="Georgia"/>
          <w:b/>
          <w:bCs/>
          <w:lang w:val="es-ES"/>
        </w:rPr>
        <w:t xml:space="preserve">4. Responsabilidades de la Dirección de Banco </w:t>
      </w:r>
      <w:r>
        <w:rPr>
          <w:rFonts w:ascii="Georgia" w:eastAsia="Calibri" w:hAnsi="Georgia"/>
          <w:b/>
          <w:bCs/>
          <w:lang w:val="es-ES"/>
        </w:rPr>
        <w:t>del Sol</w:t>
      </w:r>
      <w:r w:rsidRPr="00EF3099">
        <w:rPr>
          <w:rFonts w:ascii="Georgia" w:eastAsia="Calibri" w:hAnsi="Georgia"/>
          <w:b/>
          <w:bCs/>
          <w:lang w:val="es-ES"/>
        </w:rPr>
        <w:t xml:space="preserve"> S.A. en relación con los estados financieros</w:t>
      </w:r>
    </w:p>
    <w:p w14:paraId="1BD3D85E" w14:textId="77777777" w:rsidR="00602EAD" w:rsidRPr="00EF3099" w:rsidRDefault="00602EAD" w:rsidP="00602EAD">
      <w:pPr>
        <w:autoSpaceDE w:val="0"/>
        <w:autoSpaceDN w:val="0"/>
        <w:adjustRightInd w:val="0"/>
        <w:jc w:val="both"/>
        <w:rPr>
          <w:rFonts w:ascii="Georgia" w:eastAsia="Calibri" w:hAnsi="Georgia"/>
          <w:lang w:val="es-ES"/>
        </w:rPr>
      </w:pPr>
    </w:p>
    <w:p w14:paraId="292050C3" w14:textId="77777777" w:rsidR="00602EAD" w:rsidRPr="007D349B" w:rsidRDefault="00602EAD" w:rsidP="00602EAD">
      <w:pPr>
        <w:ind w:right="3"/>
        <w:jc w:val="both"/>
        <w:rPr>
          <w:rFonts w:ascii="Georgia" w:hAnsi="Georgia"/>
        </w:rPr>
      </w:pPr>
      <w:bookmarkStart w:id="1" w:name="_Hlk159955529"/>
      <w:r w:rsidRPr="00EF3099">
        <w:rPr>
          <w:rFonts w:ascii="Georgia" w:hAnsi="Georgia"/>
          <w:lang w:val="es-ES"/>
        </w:rPr>
        <w:t>El Directorio de la Entidad es responsable de la preparación y presentación razonable de los estados financiero</w:t>
      </w:r>
      <w:r>
        <w:rPr>
          <w:rFonts w:ascii="Georgia" w:hAnsi="Georgia"/>
          <w:lang w:val="es-ES"/>
        </w:rPr>
        <w:t>s</w:t>
      </w:r>
      <w:r w:rsidRPr="00EF3099">
        <w:rPr>
          <w:rFonts w:ascii="Georgia" w:hAnsi="Georgia"/>
          <w:lang w:val="es-ES"/>
        </w:rPr>
        <w:t xml:space="preserve"> mencionados en el apartado 1, de conformidad con el marco de información financiera establecido por el BCRA, que se basa en las NIFF, tal como esas normas fueron emitidas por el Consejo de Normas Internacionales de Contabilidad (“IASB”, por su sigla en inglés) y adoptadas por la FACPCE, </w:t>
      </w:r>
      <w:r w:rsidRPr="007D349B">
        <w:rPr>
          <w:rFonts w:ascii="Georgia" w:hAnsi="Georgia"/>
        </w:rPr>
        <w:t xml:space="preserve">con la excepción del punto 5.5 “Deterioro del Valor” de la NIIF 9 de Instrumentos Financieros </w:t>
      </w:r>
      <w:r>
        <w:rPr>
          <w:rFonts w:ascii="Georgia" w:hAnsi="Georgia"/>
        </w:rPr>
        <w:t>que en forma transitoria y hasta los ejercicios que se inicien a partir del 1 de enero de 2025 fue excluido de forma optativa por el BCRA para las entidades del Grupo “C” (Comunicación “A” 7928)</w:t>
      </w:r>
    </w:p>
    <w:bookmarkEnd w:id="1"/>
    <w:p w14:paraId="57C70EAC" w14:textId="77777777" w:rsidR="00602EAD" w:rsidRDefault="00602EAD" w:rsidP="00602EAD">
      <w:pPr>
        <w:jc w:val="both"/>
        <w:rPr>
          <w:rFonts w:ascii="Georgia" w:hAnsi="Georgia"/>
          <w:b/>
          <w:bCs/>
        </w:rPr>
      </w:pPr>
    </w:p>
    <w:p w14:paraId="0A8AC16B" w14:textId="77777777" w:rsidR="00602EAD" w:rsidRDefault="00602EAD" w:rsidP="00602EAD">
      <w:pPr>
        <w:ind w:right="3"/>
        <w:jc w:val="both"/>
        <w:rPr>
          <w:rFonts w:ascii="Georgia" w:hAnsi="Georgia"/>
          <w:lang w:val="es-ES"/>
        </w:rPr>
      </w:pPr>
      <w:r w:rsidRPr="00EF3099">
        <w:rPr>
          <w:rFonts w:ascii="Georgia" w:hAnsi="Georgia"/>
          <w:lang w:val="es-ES"/>
        </w:rPr>
        <w:t>Asimismo, el Directorio y la gerencia de la Entidad son responsables de la existencia del control interno que considere necesario para permitir la preparación de estados financieros libres de incorrecciones significativas originadas en errores o en irregularidades.</w:t>
      </w:r>
    </w:p>
    <w:p w14:paraId="082ACCB0" w14:textId="77777777" w:rsidR="00602EAD" w:rsidRDefault="00602EAD" w:rsidP="00602EAD">
      <w:pPr>
        <w:ind w:right="3"/>
        <w:jc w:val="both"/>
        <w:rPr>
          <w:rFonts w:ascii="Georgia" w:hAnsi="Georgia"/>
          <w:lang w:val="es-ES"/>
        </w:rPr>
      </w:pPr>
    </w:p>
    <w:p w14:paraId="00A190CF" w14:textId="77777777" w:rsidR="00602EAD" w:rsidRDefault="00602EAD" w:rsidP="00602EAD">
      <w:pPr>
        <w:autoSpaceDE w:val="0"/>
        <w:autoSpaceDN w:val="0"/>
        <w:adjustRightInd w:val="0"/>
        <w:jc w:val="both"/>
        <w:rPr>
          <w:rFonts w:ascii="Georgia" w:eastAsia="Calibri" w:hAnsi="Georgia"/>
          <w:lang w:val="es-ES"/>
        </w:rPr>
      </w:pPr>
      <w:r w:rsidRPr="00EF3099">
        <w:rPr>
          <w:rFonts w:ascii="Georgia" w:eastAsia="Calibri" w:hAnsi="Georgia"/>
          <w:lang w:val="es-ES"/>
        </w:rPr>
        <w:t xml:space="preserve">En la preparación de los estados financieros, la Dirección es responsable de la evaluación de la capacidad de </w:t>
      </w:r>
      <w:proofErr w:type="gramStart"/>
      <w:r w:rsidRPr="00EF3099">
        <w:rPr>
          <w:rFonts w:ascii="Georgia" w:eastAsia="Calibri" w:hAnsi="Georgia"/>
          <w:lang w:val="es-ES"/>
        </w:rPr>
        <w:t>la misma</w:t>
      </w:r>
      <w:proofErr w:type="gramEnd"/>
      <w:r w:rsidRPr="00EF3099">
        <w:rPr>
          <w:rFonts w:ascii="Georgia" w:eastAsia="Calibri" w:hAnsi="Georgia"/>
          <w:lang w:val="es-ES"/>
        </w:rPr>
        <w:t xml:space="preserve"> para continuar como empresa en funcionamiento, revelando, en caso de corresponder, las cuestiones relacionadas con empresa en funcionamiento y utilizando el principio contable de empresa en funcionamiento, excepto si la Dirección tuviera intención de liquidar la Entidad o de cesar sus operaciones, o bien no existiera otra alternativa realista. </w:t>
      </w:r>
    </w:p>
    <w:p w14:paraId="513CFD96" w14:textId="77777777" w:rsidR="00602EAD" w:rsidRDefault="00602EAD" w:rsidP="00602EAD">
      <w:pPr>
        <w:autoSpaceDE w:val="0"/>
        <w:autoSpaceDN w:val="0"/>
        <w:adjustRightInd w:val="0"/>
        <w:jc w:val="both"/>
        <w:rPr>
          <w:rFonts w:ascii="Georgia" w:eastAsia="Calibri" w:hAnsi="Georgia"/>
          <w:lang w:val="es-ES"/>
        </w:rPr>
      </w:pPr>
    </w:p>
    <w:p w14:paraId="2BD939AA" w14:textId="77777777" w:rsidR="00602EAD" w:rsidRPr="00EF3099" w:rsidRDefault="00602EAD" w:rsidP="00602EAD">
      <w:pPr>
        <w:autoSpaceDE w:val="0"/>
        <w:autoSpaceDN w:val="0"/>
        <w:adjustRightInd w:val="0"/>
        <w:jc w:val="both"/>
        <w:rPr>
          <w:rFonts w:ascii="Georgia" w:eastAsia="Calibri" w:hAnsi="Georgia"/>
          <w:lang w:val="es-ES"/>
        </w:rPr>
      </w:pPr>
      <w:r w:rsidRPr="00EF3099">
        <w:rPr>
          <w:rFonts w:ascii="Georgia" w:eastAsia="Calibri" w:hAnsi="Georgia"/>
          <w:lang w:val="es-ES"/>
        </w:rPr>
        <w:t xml:space="preserve">Respecto de la memoria los directores son responsables de cumplir con la Ley General de Sociedades y las disposiciones de los organismos de control en cuanto a su contenido. </w:t>
      </w:r>
    </w:p>
    <w:p w14:paraId="4785E95A" w14:textId="77777777" w:rsidR="00602EAD" w:rsidRPr="00EF3099" w:rsidRDefault="00602EAD" w:rsidP="00602EAD">
      <w:pPr>
        <w:autoSpaceDE w:val="0"/>
        <w:autoSpaceDN w:val="0"/>
        <w:adjustRightInd w:val="0"/>
        <w:jc w:val="both"/>
        <w:rPr>
          <w:rFonts w:ascii="Georgia" w:eastAsia="Calibri" w:hAnsi="Georgia"/>
          <w:lang w:val="es-ES"/>
        </w:rPr>
      </w:pPr>
    </w:p>
    <w:p w14:paraId="7755FD2E" w14:textId="77777777" w:rsidR="00602EAD" w:rsidRPr="00EF3099" w:rsidRDefault="00602EAD" w:rsidP="00602EAD">
      <w:pPr>
        <w:autoSpaceDE w:val="0"/>
        <w:autoSpaceDN w:val="0"/>
        <w:adjustRightInd w:val="0"/>
        <w:jc w:val="both"/>
        <w:rPr>
          <w:rFonts w:ascii="Georgia" w:eastAsia="Calibri" w:hAnsi="Georgia"/>
          <w:b/>
          <w:bCs/>
          <w:lang w:val="es-ES"/>
        </w:rPr>
      </w:pPr>
      <w:r w:rsidRPr="00EF3099">
        <w:rPr>
          <w:rFonts w:ascii="Georgia" w:eastAsia="Calibri" w:hAnsi="Georgia"/>
          <w:b/>
          <w:bCs/>
          <w:lang w:val="es-ES"/>
        </w:rPr>
        <w:t xml:space="preserve">5. Responsabilidades de la </w:t>
      </w:r>
      <w:r>
        <w:rPr>
          <w:rFonts w:ascii="Georgia" w:eastAsia="Calibri" w:hAnsi="Georgia"/>
          <w:b/>
          <w:bCs/>
          <w:lang w:val="es-ES"/>
        </w:rPr>
        <w:t>C</w:t>
      </w:r>
      <w:r w:rsidRPr="00EF3099">
        <w:rPr>
          <w:rFonts w:ascii="Georgia" w:eastAsia="Calibri" w:hAnsi="Georgia"/>
          <w:b/>
          <w:bCs/>
          <w:lang w:val="es-ES"/>
        </w:rPr>
        <w:t>omisión Fiscalizadora en relación con la auditoría de los estados financieros y la memoria de los directores.</w:t>
      </w:r>
    </w:p>
    <w:p w14:paraId="38DEC599" w14:textId="77777777" w:rsidR="00602EAD" w:rsidRPr="00EF3099" w:rsidRDefault="00602EAD" w:rsidP="00602EAD">
      <w:pPr>
        <w:autoSpaceDE w:val="0"/>
        <w:autoSpaceDN w:val="0"/>
        <w:adjustRightInd w:val="0"/>
        <w:jc w:val="both"/>
        <w:rPr>
          <w:rFonts w:ascii="Georgia" w:eastAsia="Calibri" w:hAnsi="Georgia"/>
          <w:lang w:val="es-ES"/>
        </w:rPr>
      </w:pPr>
    </w:p>
    <w:p w14:paraId="554F4A09" w14:textId="0FBA49EC" w:rsidR="00602EAD" w:rsidRPr="00EF3099" w:rsidRDefault="00602EAD" w:rsidP="00602EAD">
      <w:pPr>
        <w:autoSpaceDE w:val="0"/>
        <w:autoSpaceDN w:val="0"/>
        <w:adjustRightInd w:val="0"/>
        <w:jc w:val="both"/>
        <w:rPr>
          <w:rFonts w:ascii="Georgia" w:eastAsia="Calibri" w:hAnsi="Georgia"/>
          <w:lang w:val="es-ES"/>
        </w:rPr>
      </w:pPr>
      <w:r w:rsidRPr="00EF3099">
        <w:rPr>
          <w:rFonts w:ascii="Georgia" w:eastAsia="Calibri" w:hAnsi="Georgia"/>
          <w:lang w:val="es-ES"/>
        </w:rPr>
        <w:t xml:space="preserve">Nuestro objetivo </w:t>
      </w:r>
      <w:r>
        <w:rPr>
          <w:rFonts w:ascii="Georgia" w:eastAsia="Calibri" w:hAnsi="Georgia"/>
          <w:lang w:val="es-ES"/>
        </w:rPr>
        <w:t>es</w:t>
      </w:r>
      <w:r w:rsidRPr="00EF3099">
        <w:rPr>
          <w:rFonts w:ascii="Georgia" w:eastAsia="Calibri" w:hAnsi="Georgia"/>
          <w:lang w:val="es-ES"/>
        </w:rPr>
        <w:t xml:space="preserve"> obtener una seguridad razonable de que los estados financieros en su conjunto están libres de incorrección significativa, que la memoria cumple con las prescripciones legales y reglamentarias y emitir un informe de la Comisión Fiscalizadora que contenga nuestra opinión.  Seguridad razonable es un alto grado de seguridad, pero no garantiza que una auditoría realizada de conformidad con la RT </w:t>
      </w:r>
      <w:proofErr w:type="spellStart"/>
      <w:r w:rsidRPr="00EF3099">
        <w:rPr>
          <w:rFonts w:ascii="Georgia" w:eastAsia="Calibri" w:hAnsi="Georgia"/>
          <w:lang w:val="es-ES"/>
        </w:rPr>
        <w:t>N°</w:t>
      </w:r>
      <w:proofErr w:type="spellEnd"/>
      <w:r w:rsidRPr="00EF3099">
        <w:rPr>
          <w:rFonts w:ascii="Georgia" w:eastAsia="Calibri" w:hAnsi="Georgia"/>
          <w:lang w:val="es-ES"/>
        </w:rPr>
        <w:t xml:space="preserve"> 37 de FACPCE</w:t>
      </w:r>
      <w:r>
        <w:rPr>
          <w:rFonts w:ascii="Georgia" w:eastAsia="Calibri" w:hAnsi="Georgia"/>
          <w:lang w:val="es-ES"/>
        </w:rPr>
        <w:t xml:space="preserve">, aprobada por la Resolución CD N 3843 del CPCEPBA, </w:t>
      </w:r>
      <w:r w:rsidRPr="00EF3099">
        <w:rPr>
          <w:rFonts w:ascii="Georgia" w:eastAsia="Calibri" w:hAnsi="Georgia"/>
          <w:lang w:val="es-ES"/>
        </w:rPr>
        <w:t xml:space="preserve">siempre detecte una incorrección significativa cuando exista. Las incorrecciones se consideran significativas si, individualmente o de forma agregada, puede preverse razonablemente que influyan en las decisiones económicas que los usuarios toman basándose en los estados financieros y el contenido de la memoria en aquellos temas de nuestra incumbencia profesional. </w:t>
      </w:r>
    </w:p>
    <w:p w14:paraId="5DD811BC" w14:textId="77777777" w:rsidR="00602EAD" w:rsidRPr="00EF3099" w:rsidRDefault="00602EAD" w:rsidP="00602EAD">
      <w:pPr>
        <w:autoSpaceDE w:val="0"/>
        <w:autoSpaceDN w:val="0"/>
        <w:adjustRightInd w:val="0"/>
        <w:jc w:val="both"/>
        <w:rPr>
          <w:rFonts w:ascii="Georgia" w:eastAsia="Calibri" w:hAnsi="Georgia"/>
          <w:lang w:val="es-ES"/>
        </w:rPr>
      </w:pPr>
    </w:p>
    <w:p w14:paraId="452D4AAA" w14:textId="77777777" w:rsidR="00602EAD" w:rsidRPr="00EF3099" w:rsidRDefault="00602EAD" w:rsidP="00602EAD">
      <w:pPr>
        <w:autoSpaceDE w:val="0"/>
        <w:autoSpaceDN w:val="0"/>
        <w:adjustRightInd w:val="0"/>
        <w:jc w:val="both"/>
        <w:rPr>
          <w:rFonts w:ascii="Georgia" w:eastAsia="Calibri" w:hAnsi="Georgia"/>
          <w:lang w:val="es-ES"/>
        </w:rPr>
      </w:pPr>
      <w:r w:rsidRPr="00EF3099">
        <w:rPr>
          <w:rFonts w:ascii="Georgia" w:eastAsia="Calibri" w:hAnsi="Georgia"/>
          <w:lang w:val="es-ES"/>
        </w:rPr>
        <w:t xml:space="preserve">Como parte de los controles sobre los estados financieros, empleando normas de auditoría de conformidad con la RT </w:t>
      </w:r>
      <w:proofErr w:type="spellStart"/>
      <w:r w:rsidRPr="00EF3099">
        <w:rPr>
          <w:rFonts w:ascii="Georgia" w:eastAsia="Calibri" w:hAnsi="Georgia"/>
          <w:lang w:val="es-ES"/>
        </w:rPr>
        <w:t>N°</w:t>
      </w:r>
      <w:proofErr w:type="spellEnd"/>
      <w:r w:rsidRPr="00EF3099">
        <w:rPr>
          <w:rFonts w:ascii="Georgia" w:eastAsia="Calibri" w:hAnsi="Georgia"/>
          <w:lang w:val="es-ES"/>
        </w:rPr>
        <w:t xml:space="preserve"> 37 de FACPCE</w:t>
      </w:r>
      <w:r>
        <w:rPr>
          <w:rFonts w:ascii="Georgia" w:eastAsia="Calibri" w:hAnsi="Georgia"/>
          <w:lang w:val="es-ES"/>
        </w:rPr>
        <w:t>, adoptada por la Resolución CD N 3843 del CPCEPBA</w:t>
      </w:r>
      <w:r w:rsidRPr="00EF3099">
        <w:rPr>
          <w:rFonts w:ascii="Georgia" w:eastAsia="Calibri" w:hAnsi="Georgia"/>
          <w:lang w:val="es-ES"/>
        </w:rPr>
        <w:t xml:space="preserve">, aplicamos nuestro juicio profesional y mantenemos una actitud de escepticismo profesional durante nuestra actuación como </w:t>
      </w:r>
      <w:r>
        <w:rPr>
          <w:rFonts w:ascii="Georgia" w:eastAsia="Calibri" w:hAnsi="Georgia"/>
          <w:lang w:val="es-ES"/>
        </w:rPr>
        <w:t>Comisión Fiscalizadora</w:t>
      </w:r>
      <w:r w:rsidRPr="00EF3099">
        <w:rPr>
          <w:rFonts w:ascii="Georgia" w:eastAsia="Calibri" w:hAnsi="Georgia"/>
          <w:lang w:val="es-ES"/>
        </w:rPr>
        <w:t>. También:</w:t>
      </w:r>
    </w:p>
    <w:p w14:paraId="75962EC7" w14:textId="77777777" w:rsidR="00602EAD" w:rsidRPr="00EF3099" w:rsidRDefault="00602EAD" w:rsidP="00602EAD">
      <w:pPr>
        <w:autoSpaceDE w:val="0"/>
        <w:autoSpaceDN w:val="0"/>
        <w:adjustRightInd w:val="0"/>
        <w:jc w:val="both"/>
        <w:rPr>
          <w:rFonts w:ascii="Georgia" w:eastAsia="Calibri" w:hAnsi="Georgia"/>
          <w:lang w:val="es-ES"/>
        </w:rPr>
      </w:pPr>
    </w:p>
    <w:p w14:paraId="1D8D6C06" w14:textId="77777777" w:rsidR="00602EAD" w:rsidRPr="00EF3099" w:rsidRDefault="00602EAD" w:rsidP="00602EAD">
      <w:pPr>
        <w:autoSpaceDE w:val="0"/>
        <w:autoSpaceDN w:val="0"/>
        <w:adjustRightInd w:val="0"/>
        <w:jc w:val="both"/>
        <w:rPr>
          <w:rFonts w:ascii="Georgia" w:eastAsia="Calibri" w:hAnsi="Georgia"/>
          <w:lang w:val="es-ES"/>
        </w:rPr>
      </w:pPr>
      <w:r w:rsidRPr="00EF3099">
        <w:rPr>
          <w:rFonts w:ascii="Georgia" w:eastAsia="Calibri" w:hAnsi="Georgia"/>
          <w:lang w:val="es-ES"/>
        </w:rPr>
        <w:t xml:space="preserve"> a) identificamos y evaluamos los riesgos de incorrección significativa en los estados financieros, diseñamos y aplicamos procedimientos de auditoría para responder a dichos riesgos y obtenemos elementos de juicio suficientes y adecuados para proporcionar una base para nuestra opinión, </w:t>
      </w:r>
    </w:p>
    <w:p w14:paraId="5575F307" w14:textId="77777777" w:rsidR="00602EAD" w:rsidRPr="00EF3099" w:rsidRDefault="00602EAD" w:rsidP="00602EAD">
      <w:pPr>
        <w:autoSpaceDE w:val="0"/>
        <w:autoSpaceDN w:val="0"/>
        <w:adjustRightInd w:val="0"/>
        <w:jc w:val="both"/>
        <w:rPr>
          <w:rFonts w:ascii="Georgia" w:eastAsia="Calibri" w:hAnsi="Georgia"/>
          <w:lang w:val="es-ES"/>
        </w:rPr>
      </w:pPr>
    </w:p>
    <w:p w14:paraId="28F92D02" w14:textId="77777777" w:rsidR="00602EAD" w:rsidRPr="00EF3099" w:rsidRDefault="00602EAD" w:rsidP="00602EAD">
      <w:pPr>
        <w:autoSpaceDE w:val="0"/>
        <w:autoSpaceDN w:val="0"/>
        <w:adjustRightInd w:val="0"/>
        <w:jc w:val="both"/>
        <w:rPr>
          <w:rFonts w:ascii="Georgia" w:eastAsia="Calibri" w:hAnsi="Georgia"/>
          <w:lang w:val="es-ES"/>
        </w:rPr>
      </w:pPr>
      <w:r w:rsidRPr="00EF3099">
        <w:rPr>
          <w:rFonts w:ascii="Georgia" w:eastAsia="Calibri" w:hAnsi="Georgia"/>
          <w:lang w:val="es-ES"/>
        </w:rPr>
        <w:t xml:space="preserve">b) obtuvimos conocimiento del control interno relevante para la auditoría con el fin de diseñar procedimientos que sean apropiados en función de las circunstancias y no con la finalidad de expresar una opinión sobre la eficacia del control interno de la Entidad,  </w:t>
      </w:r>
    </w:p>
    <w:p w14:paraId="7A407AEB" w14:textId="77777777" w:rsidR="00602EAD" w:rsidRPr="00EF3099" w:rsidRDefault="00602EAD" w:rsidP="00602EAD">
      <w:pPr>
        <w:autoSpaceDE w:val="0"/>
        <w:autoSpaceDN w:val="0"/>
        <w:adjustRightInd w:val="0"/>
        <w:jc w:val="both"/>
        <w:rPr>
          <w:rFonts w:ascii="Georgia" w:eastAsia="Calibri" w:hAnsi="Georgia"/>
          <w:lang w:val="es-ES"/>
        </w:rPr>
      </w:pPr>
    </w:p>
    <w:p w14:paraId="16B8775E" w14:textId="01392154" w:rsidR="00602EAD" w:rsidRPr="00EF3099" w:rsidRDefault="00602EAD" w:rsidP="00602EAD">
      <w:pPr>
        <w:autoSpaceDE w:val="0"/>
        <w:autoSpaceDN w:val="0"/>
        <w:adjustRightInd w:val="0"/>
        <w:jc w:val="both"/>
        <w:rPr>
          <w:rFonts w:ascii="Georgia" w:eastAsia="Calibri" w:hAnsi="Georgia"/>
          <w:lang w:val="es-ES"/>
        </w:rPr>
      </w:pPr>
      <w:r w:rsidRPr="00EF3099">
        <w:rPr>
          <w:rFonts w:ascii="Georgia" w:eastAsia="Calibri" w:hAnsi="Georgia"/>
          <w:lang w:val="es-ES"/>
        </w:rPr>
        <w:t>c) evaluamos si las políticas contables aplicadas son adecuadas, así como la razonabilidad de las estimaciones contables y la correspondiente información revelada por la Dirección de la Entidad,</w:t>
      </w:r>
    </w:p>
    <w:p w14:paraId="3DC81D80" w14:textId="77777777" w:rsidR="00602EAD" w:rsidRPr="00EF3099" w:rsidRDefault="00602EAD" w:rsidP="00602EAD">
      <w:pPr>
        <w:autoSpaceDE w:val="0"/>
        <w:autoSpaceDN w:val="0"/>
        <w:adjustRightInd w:val="0"/>
        <w:jc w:val="both"/>
        <w:rPr>
          <w:rFonts w:ascii="Georgia" w:eastAsia="Calibri" w:hAnsi="Georgia"/>
          <w:lang w:val="es-ES"/>
        </w:rPr>
      </w:pPr>
    </w:p>
    <w:p w14:paraId="412094DC" w14:textId="07C040C7" w:rsidR="00602EAD" w:rsidRPr="00EF3099" w:rsidRDefault="00602EAD" w:rsidP="00602EAD">
      <w:pPr>
        <w:autoSpaceDE w:val="0"/>
        <w:autoSpaceDN w:val="0"/>
        <w:adjustRightInd w:val="0"/>
        <w:jc w:val="both"/>
        <w:rPr>
          <w:rFonts w:ascii="Georgia" w:eastAsia="Calibri" w:hAnsi="Georgia"/>
          <w:lang w:val="es-ES"/>
        </w:rPr>
      </w:pPr>
      <w:r w:rsidRPr="00EF3099">
        <w:rPr>
          <w:rFonts w:ascii="Georgia" w:eastAsia="Calibri" w:hAnsi="Georgia"/>
          <w:lang w:val="es-ES"/>
        </w:rPr>
        <w:t xml:space="preserve">d) concluimos sobre lo adecuado de la utilización por la Dirección de la Entidad, del principio contable de empresa en funcionamiento y, basándonos en los elementos de juicio obtenidos, concluimos sobre si existe o no una incertidumbre significativa relacionada con hechos o con condiciones que pueden generar dudas importantes sobre la capacidad de la entidad para continuar como empresa en funcionamiento. Si concluimos que existe una incertidumbre significativa, se requiere que llame la atención en nuestro informe de la Comisión Fiscalizadora sobre la información expuesta en los estados contables o en la memoria, o, si dicha información expuesta no es adecuada, que exprese una opinión modificada. Nuestras conclusiones se basan en los elementos de juicio obtenidos hasta la fecha de este informe. Sin embargo, hechos o condiciones futuros pueden ser causa de que la Entidad deje de ser una empresa en funcionamiento, </w:t>
      </w:r>
    </w:p>
    <w:p w14:paraId="19FBA234" w14:textId="77777777" w:rsidR="00602EAD" w:rsidRPr="00EF3099" w:rsidRDefault="00602EAD" w:rsidP="00602EAD">
      <w:pPr>
        <w:autoSpaceDE w:val="0"/>
        <w:autoSpaceDN w:val="0"/>
        <w:adjustRightInd w:val="0"/>
        <w:jc w:val="both"/>
        <w:rPr>
          <w:rFonts w:ascii="Georgia" w:eastAsia="Calibri" w:hAnsi="Georgia"/>
          <w:lang w:val="es-ES"/>
        </w:rPr>
      </w:pPr>
    </w:p>
    <w:p w14:paraId="658A560B" w14:textId="77777777" w:rsidR="00602EAD" w:rsidRDefault="00602EAD" w:rsidP="00602EAD">
      <w:pPr>
        <w:autoSpaceDE w:val="0"/>
        <w:autoSpaceDN w:val="0"/>
        <w:adjustRightInd w:val="0"/>
        <w:jc w:val="both"/>
        <w:rPr>
          <w:rFonts w:ascii="Georgia" w:eastAsia="Calibri" w:hAnsi="Georgia"/>
          <w:lang w:val="es-ES"/>
        </w:rPr>
      </w:pPr>
      <w:r w:rsidRPr="00EF3099">
        <w:rPr>
          <w:rFonts w:ascii="Georgia" w:eastAsia="Calibri" w:hAnsi="Georgia"/>
          <w:lang w:val="es-ES"/>
        </w:rPr>
        <w:t xml:space="preserve">e) evaluamos la presentación general, la estructura y el contenido de los estados financieros, incluida la información revelada, y si los mismos representan las transacciones y hechos subyacentes de un modo que logren una presentación razonable y </w:t>
      </w:r>
    </w:p>
    <w:p w14:paraId="1C54EDF2" w14:textId="77777777" w:rsidR="00602EAD" w:rsidRDefault="00602EAD" w:rsidP="00602EAD">
      <w:pPr>
        <w:autoSpaceDE w:val="0"/>
        <w:autoSpaceDN w:val="0"/>
        <w:adjustRightInd w:val="0"/>
        <w:jc w:val="both"/>
        <w:rPr>
          <w:rFonts w:ascii="Georgia" w:eastAsia="Calibri" w:hAnsi="Georgia" w:cs="Calibri"/>
          <w:sz w:val="16"/>
          <w:szCs w:val="16"/>
          <w:lang w:val="es-ES" w:eastAsia="ar-SA"/>
        </w:rPr>
      </w:pPr>
    </w:p>
    <w:p w14:paraId="135BD80B" w14:textId="1011F79D" w:rsidR="00602EAD" w:rsidRPr="00EF3099" w:rsidRDefault="00602EAD" w:rsidP="00602EAD">
      <w:pPr>
        <w:autoSpaceDE w:val="0"/>
        <w:autoSpaceDN w:val="0"/>
        <w:adjustRightInd w:val="0"/>
        <w:jc w:val="both"/>
        <w:rPr>
          <w:rFonts w:ascii="Georgia" w:eastAsia="Calibri" w:hAnsi="Georgia"/>
          <w:lang w:val="es-ES"/>
        </w:rPr>
      </w:pPr>
      <w:r w:rsidRPr="00EF3099">
        <w:rPr>
          <w:rFonts w:ascii="Georgia" w:eastAsia="Calibri" w:hAnsi="Georgia"/>
          <w:lang w:val="es-ES"/>
        </w:rPr>
        <w:t xml:space="preserve">f) nos comunicamos con la Dirección de la Entidad en relación con, entre otras cuestiones, la estrategia general de la planificación y ejecución de mis procedimientos de auditoría como comisión fiscalizadora y los hallazgos significativos en nuestra actuación como responsable de la fiscalización privada, así como cualquier deficiencia significativa del control interno identificada en el transcurso de nuestra </w:t>
      </w:r>
      <w:proofErr w:type="gramStart"/>
      <w:r w:rsidRPr="00EF3099">
        <w:rPr>
          <w:rFonts w:ascii="Georgia" w:eastAsia="Calibri" w:hAnsi="Georgia"/>
          <w:lang w:val="es-ES"/>
        </w:rPr>
        <w:t>actuación .</w:t>
      </w:r>
      <w:proofErr w:type="gramEnd"/>
      <w:r w:rsidRPr="00EF3099">
        <w:rPr>
          <w:rFonts w:ascii="Georgia" w:eastAsia="Calibri" w:hAnsi="Georgia"/>
          <w:lang w:val="es-ES"/>
        </w:rPr>
        <w:t xml:space="preserve"> </w:t>
      </w:r>
    </w:p>
    <w:p w14:paraId="457BD392" w14:textId="77777777" w:rsidR="00602EAD" w:rsidRPr="00EF3099" w:rsidRDefault="00602EAD" w:rsidP="00602EAD">
      <w:pPr>
        <w:autoSpaceDE w:val="0"/>
        <w:autoSpaceDN w:val="0"/>
        <w:adjustRightInd w:val="0"/>
        <w:jc w:val="both"/>
        <w:rPr>
          <w:rFonts w:ascii="Georgia" w:eastAsia="Calibri" w:hAnsi="Georgia"/>
          <w:lang w:val="es-ES"/>
        </w:rPr>
      </w:pPr>
    </w:p>
    <w:p w14:paraId="3A705D02" w14:textId="77777777" w:rsidR="00602EAD" w:rsidRPr="00EF3099" w:rsidRDefault="00602EAD" w:rsidP="00602EAD">
      <w:pPr>
        <w:autoSpaceDE w:val="0"/>
        <w:autoSpaceDN w:val="0"/>
        <w:adjustRightInd w:val="0"/>
        <w:jc w:val="both"/>
        <w:rPr>
          <w:rFonts w:ascii="Georgia" w:eastAsia="Calibri" w:hAnsi="Georgia"/>
          <w:lang w:val="es-ES"/>
        </w:rPr>
      </w:pPr>
      <w:r w:rsidRPr="00EF3099">
        <w:rPr>
          <w:rFonts w:ascii="Georgia" w:eastAsia="Calibri" w:hAnsi="Georgia"/>
          <w:lang w:val="es-ES"/>
        </w:rPr>
        <w:t xml:space="preserve">También proporcionamos a la Dirección de la Entidad una declaración de que he cumplido los requerimientos de ética aplicables relacionados con mi independencia. </w:t>
      </w:r>
    </w:p>
    <w:p w14:paraId="03ACEED2" w14:textId="77777777" w:rsidR="00602EAD" w:rsidRPr="00EF3099" w:rsidRDefault="00602EAD" w:rsidP="00602EAD">
      <w:pPr>
        <w:autoSpaceDE w:val="0"/>
        <w:autoSpaceDN w:val="0"/>
        <w:adjustRightInd w:val="0"/>
        <w:jc w:val="both"/>
        <w:rPr>
          <w:rFonts w:ascii="Georgia" w:eastAsia="Calibri" w:hAnsi="Georgia"/>
          <w:lang w:val="es-ES"/>
        </w:rPr>
      </w:pPr>
    </w:p>
    <w:p w14:paraId="1C52A0A5" w14:textId="77777777" w:rsidR="00602EAD" w:rsidRPr="00EF3099" w:rsidRDefault="00602EAD" w:rsidP="00602EAD">
      <w:pPr>
        <w:autoSpaceDE w:val="0"/>
        <w:autoSpaceDN w:val="0"/>
        <w:adjustRightInd w:val="0"/>
        <w:jc w:val="both"/>
        <w:rPr>
          <w:rFonts w:ascii="Georgia" w:eastAsia="Calibri" w:hAnsi="Georgia"/>
          <w:b/>
          <w:bCs/>
          <w:lang w:val="es-ES"/>
        </w:rPr>
      </w:pPr>
      <w:r w:rsidRPr="00EF3099">
        <w:rPr>
          <w:rFonts w:ascii="Georgia" w:eastAsia="Calibri" w:hAnsi="Georgia"/>
          <w:b/>
          <w:bCs/>
          <w:lang w:val="es-ES"/>
        </w:rPr>
        <w:t>6. Informe sobre otros requerimientos legales y reglamentarios</w:t>
      </w:r>
    </w:p>
    <w:p w14:paraId="28E98FD1" w14:textId="77777777" w:rsidR="00602EAD" w:rsidRPr="00EF3099" w:rsidRDefault="00602EAD" w:rsidP="00602EAD">
      <w:pPr>
        <w:autoSpaceDE w:val="0"/>
        <w:autoSpaceDN w:val="0"/>
        <w:adjustRightInd w:val="0"/>
        <w:jc w:val="both"/>
        <w:rPr>
          <w:rFonts w:ascii="Georgia" w:eastAsia="Calibri" w:hAnsi="Georgia"/>
          <w:lang w:val="es-ES"/>
        </w:rPr>
      </w:pPr>
    </w:p>
    <w:p w14:paraId="233F0F68" w14:textId="77777777" w:rsidR="00602EAD" w:rsidRPr="00EF3099" w:rsidRDefault="00602EAD" w:rsidP="00602EAD">
      <w:pPr>
        <w:jc w:val="both"/>
        <w:rPr>
          <w:rFonts w:ascii="Georgia" w:eastAsia="Georgia" w:hAnsi="Georgia" w:cs="Georgia"/>
          <w:lang w:val="es-ES"/>
        </w:rPr>
      </w:pPr>
      <w:r w:rsidRPr="00EF3099">
        <w:rPr>
          <w:rFonts w:ascii="Georgia" w:eastAsia="Georgia" w:hAnsi="Georgia" w:cs="Georgia"/>
          <w:lang w:val="es-ES"/>
        </w:rPr>
        <w:t>En cumplimiento de disposiciones vigentes informamos que:</w:t>
      </w:r>
    </w:p>
    <w:p w14:paraId="453ED163" w14:textId="77777777" w:rsidR="00602EAD" w:rsidRPr="00EF3099" w:rsidRDefault="00602EAD" w:rsidP="00602EAD">
      <w:pPr>
        <w:jc w:val="both"/>
        <w:rPr>
          <w:rFonts w:ascii="Georgia" w:eastAsia="Georgia" w:hAnsi="Georgia" w:cs="Georgia"/>
          <w:lang w:val="es-ES"/>
        </w:rPr>
      </w:pPr>
    </w:p>
    <w:p w14:paraId="15F39D2E" w14:textId="77777777" w:rsidR="00602EAD" w:rsidRPr="00EF3099" w:rsidRDefault="00602EAD" w:rsidP="00602EAD">
      <w:pPr>
        <w:spacing w:after="120"/>
        <w:jc w:val="both"/>
        <w:rPr>
          <w:rFonts w:ascii="Georgia" w:hAnsi="Georgia" w:cs="Georgia"/>
          <w:bCs/>
          <w:color w:val="000000"/>
          <w:lang w:val="es-ES"/>
        </w:rPr>
      </w:pPr>
      <w:r w:rsidRPr="00EF3099">
        <w:rPr>
          <w:rFonts w:ascii="Georgia" w:eastAsia="Georgia" w:hAnsi="Georgia" w:cs="Georgia"/>
          <w:lang w:val="es-ES"/>
        </w:rPr>
        <w:t xml:space="preserve">a) según surge de los registros contables de Banco </w:t>
      </w:r>
      <w:r>
        <w:rPr>
          <w:rFonts w:ascii="Georgia" w:eastAsia="Georgia" w:hAnsi="Georgia" w:cs="Georgia"/>
          <w:lang w:val="es-ES"/>
        </w:rPr>
        <w:t>del Sol</w:t>
      </w:r>
      <w:r w:rsidRPr="00EF3099">
        <w:rPr>
          <w:rFonts w:ascii="Georgia" w:eastAsia="Georgia" w:hAnsi="Georgia" w:cs="Georgia"/>
          <w:lang w:val="es-ES"/>
        </w:rPr>
        <w:t xml:space="preserve"> S.A., el pasivo devengado al 31 de diciembre de </w:t>
      </w:r>
      <w:r>
        <w:rPr>
          <w:rFonts w:ascii="Georgia" w:eastAsia="Georgia" w:hAnsi="Georgia" w:cs="Georgia"/>
          <w:lang w:val="es-ES"/>
        </w:rPr>
        <w:t>2024</w:t>
      </w:r>
      <w:r w:rsidRPr="00EF3099">
        <w:rPr>
          <w:rFonts w:ascii="Georgia" w:eastAsia="Georgia" w:hAnsi="Georgia" w:cs="Georgia"/>
          <w:lang w:val="es-ES"/>
        </w:rPr>
        <w:t xml:space="preserve"> a favor del Sistema Integrado Previsional Argentino en concepto de aportes y contribuciones previsionales ascendía </w:t>
      </w:r>
      <w:proofErr w:type="gramStart"/>
      <w:r w:rsidRPr="00EF3099">
        <w:rPr>
          <w:rFonts w:ascii="Georgia" w:eastAsia="Georgia" w:hAnsi="Georgia" w:cs="Georgia"/>
          <w:lang w:val="es-ES"/>
        </w:rPr>
        <w:t xml:space="preserve">a  </w:t>
      </w:r>
      <w:r w:rsidRPr="00EF3099">
        <w:rPr>
          <w:rFonts w:ascii="Georgia" w:eastAsia="Calibri" w:hAnsi="Georgia"/>
          <w:lang w:val="es-ES"/>
        </w:rPr>
        <w:t>$</w:t>
      </w:r>
      <w:proofErr w:type="gramEnd"/>
      <w:r w:rsidRPr="00EF3099">
        <w:rPr>
          <w:rFonts w:ascii="Georgia" w:eastAsia="Calibri" w:hAnsi="Georgia"/>
          <w:lang w:val="es-ES"/>
        </w:rPr>
        <w:t xml:space="preserve"> </w:t>
      </w:r>
      <w:r>
        <w:rPr>
          <w:rFonts w:ascii="Georgia" w:eastAsia="Calibri" w:hAnsi="Georgia"/>
          <w:lang w:val="es-ES"/>
        </w:rPr>
        <w:t xml:space="preserve">469.420.747,20 </w:t>
      </w:r>
      <w:r w:rsidRPr="00EF3099">
        <w:rPr>
          <w:rFonts w:ascii="Georgia" w:eastAsia="Georgia" w:hAnsi="Georgia" w:cs="Georgia"/>
          <w:lang w:val="es-ES"/>
        </w:rPr>
        <w:t>y no era exigible a esa fecha,</w:t>
      </w:r>
    </w:p>
    <w:p w14:paraId="3DE1BBDD" w14:textId="5B9EEAE0" w:rsidR="00602EAD" w:rsidRPr="00EF3099" w:rsidRDefault="00602EAD" w:rsidP="00602EAD">
      <w:pPr>
        <w:autoSpaceDE w:val="0"/>
        <w:autoSpaceDN w:val="0"/>
        <w:adjustRightInd w:val="0"/>
        <w:jc w:val="both"/>
        <w:rPr>
          <w:rFonts w:ascii="Georgia" w:eastAsia="Calibri" w:hAnsi="Georgia" w:cs="Georgia"/>
          <w:lang w:val="es-ES"/>
        </w:rPr>
      </w:pPr>
      <w:r w:rsidRPr="00EF3099">
        <w:rPr>
          <w:rFonts w:ascii="Georgia" w:eastAsia="Calibri" w:hAnsi="Georgia" w:cs="Georgia"/>
          <w:lang w:val="es-ES"/>
        </w:rPr>
        <w:t>b) los estados financieros mencionados en el apartado 1:</w:t>
      </w:r>
    </w:p>
    <w:p w14:paraId="17F0D212" w14:textId="77777777" w:rsidR="00602EAD" w:rsidRPr="00EF3099" w:rsidRDefault="00602EAD" w:rsidP="00602EAD">
      <w:pPr>
        <w:autoSpaceDE w:val="0"/>
        <w:autoSpaceDN w:val="0"/>
        <w:adjustRightInd w:val="0"/>
        <w:ind w:left="708"/>
        <w:jc w:val="both"/>
        <w:rPr>
          <w:rFonts w:ascii="Georgia" w:eastAsia="Calibri" w:hAnsi="Georgia" w:cs="Georgia"/>
          <w:lang w:val="es-ES"/>
        </w:rPr>
      </w:pPr>
      <w:bookmarkStart w:id="2" w:name="_Hlk143872775"/>
      <w:r w:rsidRPr="00EF3099">
        <w:rPr>
          <w:rFonts w:ascii="Georgia" w:eastAsia="Calibri" w:hAnsi="Georgia" w:cs="Georgia"/>
          <w:lang w:val="es-ES"/>
        </w:rPr>
        <w:t>b.1) han sido preparados en todos sus aspectos significativos, de acuerdo con las normas aplicables de la Ley General de Sociedades Nro. 19550</w:t>
      </w:r>
      <w:r>
        <w:rPr>
          <w:rFonts w:ascii="Georgia" w:eastAsia="Calibri" w:hAnsi="Georgia" w:cs="Georgia"/>
          <w:lang w:val="es-ES"/>
        </w:rPr>
        <w:t xml:space="preserve"> y </w:t>
      </w:r>
      <w:r w:rsidRPr="00EF3099">
        <w:rPr>
          <w:rFonts w:ascii="Georgia" w:eastAsia="Calibri" w:hAnsi="Georgia" w:cs="Georgia"/>
          <w:lang w:val="es-ES"/>
        </w:rPr>
        <w:t>del BCRA</w:t>
      </w:r>
      <w:r>
        <w:rPr>
          <w:rFonts w:ascii="Georgia" w:eastAsia="Calibri" w:hAnsi="Georgia" w:cs="Georgia"/>
          <w:lang w:val="es-ES"/>
        </w:rPr>
        <w:t xml:space="preserve"> y</w:t>
      </w:r>
    </w:p>
    <w:bookmarkEnd w:id="2"/>
    <w:p w14:paraId="0CB7CCA4" w14:textId="175284C2" w:rsidR="00602EAD" w:rsidRPr="00EF3099" w:rsidRDefault="00602EAD" w:rsidP="00602EAD">
      <w:pPr>
        <w:tabs>
          <w:tab w:val="num" w:pos="720"/>
        </w:tabs>
        <w:autoSpaceDE w:val="0"/>
        <w:autoSpaceDN w:val="0"/>
        <w:adjustRightInd w:val="0"/>
        <w:ind w:left="708"/>
        <w:jc w:val="both"/>
        <w:rPr>
          <w:rFonts w:ascii="Georgia" w:eastAsia="Calibri" w:hAnsi="Georgia" w:cs="Georgia"/>
          <w:lang w:val="es-ES"/>
        </w:rPr>
      </w:pPr>
      <w:r w:rsidRPr="00EF3099">
        <w:rPr>
          <w:rFonts w:ascii="Georgia" w:eastAsia="Calibri" w:hAnsi="Georgia" w:cs="Georgia"/>
          <w:lang w:val="es-ES"/>
        </w:rPr>
        <w:tab/>
        <w:t>b.2)</w:t>
      </w:r>
      <w:r>
        <w:rPr>
          <w:rFonts w:ascii="Georgia" w:hAnsi="Georgia" w:cs="Georgia"/>
        </w:rPr>
        <w:t xml:space="preserve"> </w:t>
      </w:r>
      <w:r w:rsidRPr="000C23A9">
        <w:rPr>
          <w:rFonts w:ascii="Georgia" w:hAnsi="Georgia" w:cs="Georgia"/>
        </w:rPr>
        <w:t>surgen de registros contables llevados en sus aspectos formales de conformidad con normas legales, y cumplen con lo dispuesto en la Ley General de Sociedades</w:t>
      </w:r>
      <w:r>
        <w:rPr>
          <w:rFonts w:ascii="Georgia" w:hAnsi="Georgia" w:cs="Georgia"/>
        </w:rPr>
        <w:t>, excepto por los Libros Diario e Inventario y Balances que se encuentran pendientes de transcripción.</w:t>
      </w:r>
      <w:r w:rsidRPr="00EF3099">
        <w:rPr>
          <w:rFonts w:ascii="Georgia" w:eastAsia="Calibri" w:hAnsi="Georgia" w:cs="Georgia"/>
          <w:lang w:val="es-ES"/>
        </w:rPr>
        <w:t xml:space="preserve"> Los sistemas de información utilizados para generar la información incluida en los estados financieros mantienen las condiciones de seguridad e integridad</w:t>
      </w:r>
      <w:r>
        <w:rPr>
          <w:rFonts w:ascii="Georgia" w:eastAsia="Calibri" w:hAnsi="Georgia" w:cs="Georgia"/>
          <w:lang w:val="es-ES"/>
        </w:rPr>
        <w:t>,</w:t>
      </w:r>
    </w:p>
    <w:p w14:paraId="023269BA" w14:textId="77777777" w:rsidR="00602EAD" w:rsidRPr="00EF3099" w:rsidRDefault="00602EAD" w:rsidP="00602EAD">
      <w:pPr>
        <w:autoSpaceDE w:val="0"/>
        <w:autoSpaceDN w:val="0"/>
        <w:adjustRightInd w:val="0"/>
        <w:jc w:val="both"/>
        <w:rPr>
          <w:rFonts w:ascii="Georgia" w:eastAsia="Calibri" w:hAnsi="Georgia" w:cs="Georgia"/>
          <w:lang w:val="es-ES"/>
        </w:rPr>
      </w:pPr>
    </w:p>
    <w:p w14:paraId="630EB63F" w14:textId="77777777" w:rsidR="00602EAD" w:rsidRPr="004220EF" w:rsidRDefault="00602EAD" w:rsidP="00602EAD">
      <w:pPr>
        <w:suppressAutoHyphens/>
        <w:spacing w:after="120"/>
        <w:jc w:val="both"/>
        <w:rPr>
          <w:rFonts w:ascii="Georgia" w:hAnsi="Georgia" w:cs="Georgia"/>
          <w:bCs/>
          <w:color w:val="000000"/>
          <w:lang w:val="es-ES"/>
        </w:rPr>
      </w:pPr>
      <w:r>
        <w:rPr>
          <w:rFonts w:ascii="Georgia" w:eastAsia="Calibri" w:hAnsi="Georgia" w:cs="Georgia"/>
          <w:lang w:val="es-ES"/>
        </w:rPr>
        <w:t>c</w:t>
      </w:r>
      <w:r w:rsidRPr="00EF3099">
        <w:rPr>
          <w:rFonts w:ascii="Georgia" w:eastAsia="Calibri" w:hAnsi="Georgia" w:cs="Georgia"/>
          <w:lang w:val="es-ES"/>
        </w:rPr>
        <w:t xml:space="preserve">) </w:t>
      </w:r>
      <w:bookmarkStart w:id="3" w:name="_Hlk143872842"/>
      <w:r w:rsidRPr="004220EF">
        <w:rPr>
          <w:rFonts w:ascii="Georgia" w:eastAsia="Calibri" w:hAnsi="Georgia" w:cs="Georgia"/>
          <w:lang w:val="es-ES"/>
        </w:rPr>
        <w:t xml:space="preserve">de acuerdo con lo requerido por el </w:t>
      </w:r>
      <w:r w:rsidRPr="004220EF">
        <w:rPr>
          <w:rFonts w:ascii="Georgia" w:hAnsi="Georgia" w:cs="Arial"/>
          <w:bCs/>
        </w:rPr>
        <w:t>art. 20 de la Sección VI del Capítulo II del Título VII de las normas de la CNV (NT 2013 y modificatorias)</w:t>
      </w:r>
      <w:r w:rsidRPr="004220EF">
        <w:rPr>
          <w:rFonts w:ascii="Georgia" w:eastAsia="Calibri" w:hAnsi="Georgia" w:cs="Georgia"/>
          <w:lang w:val="es-ES"/>
        </w:rPr>
        <w:t xml:space="preserve">de las normas emitidas por la Comisión Nacional de Valores (Texto Ordenado 2013)  y tal como se indica en la nota 13.9 a los estados financieros al 31 de diciembre de 2024 mencionados en el apartado 1 , informamos que la Entidad cumple </w:t>
      </w:r>
      <w:r w:rsidRPr="004220EF">
        <w:rPr>
          <w:rFonts w:ascii="Georgia" w:hAnsi="Georgia" w:cs="Georgia"/>
          <w:bCs/>
          <w:color w:val="000000"/>
          <w:lang w:val="es-ES"/>
        </w:rPr>
        <w:t xml:space="preserve">con las exigencias de Patrimonio Neto Mínimo y Contrapartida Líquida requeridos por la citada normativa para cumplir con las funciones como Agente de Liquidación y Compensación y </w:t>
      </w:r>
      <w:r>
        <w:rPr>
          <w:rFonts w:ascii="Georgia" w:hAnsi="Georgia" w:cs="Georgia"/>
          <w:bCs/>
          <w:color w:val="000000"/>
          <w:lang w:val="es-ES"/>
        </w:rPr>
        <w:t>A</w:t>
      </w:r>
      <w:r w:rsidRPr="004220EF">
        <w:rPr>
          <w:rFonts w:ascii="Georgia" w:hAnsi="Georgia"/>
        </w:rPr>
        <w:t>gente de Colocación y Distribución Integral de Fondos Comunes de Inversión (</w:t>
      </w:r>
      <w:r w:rsidRPr="004220EF">
        <w:rPr>
          <w:rFonts w:ascii="Georgia" w:hAnsi="Georgia" w:cs="Georgia"/>
          <w:bCs/>
          <w:color w:val="000000"/>
          <w:lang w:val="es-ES"/>
        </w:rPr>
        <w:t xml:space="preserve"> </w:t>
      </w:r>
      <w:proofErr w:type="spellStart"/>
      <w:r w:rsidRPr="004220EF">
        <w:rPr>
          <w:rFonts w:ascii="Georgia" w:hAnsi="Georgia"/>
        </w:rPr>
        <w:t>ALyC</w:t>
      </w:r>
      <w:proofErr w:type="spellEnd"/>
      <w:r w:rsidRPr="004220EF">
        <w:rPr>
          <w:rFonts w:ascii="Georgia" w:hAnsi="Georgia"/>
        </w:rPr>
        <w:t xml:space="preserve"> y ACDI</w:t>
      </w:r>
      <w:r w:rsidRPr="004220EF">
        <w:rPr>
          <w:rFonts w:ascii="Georgia" w:hAnsi="Georgia" w:cs="Georgia"/>
          <w:bCs/>
          <w:color w:val="000000"/>
          <w:lang w:val="es-ES"/>
        </w:rPr>
        <w:t>)</w:t>
      </w:r>
      <w:r>
        <w:rPr>
          <w:rFonts w:ascii="Georgia" w:hAnsi="Georgia" w:cs="Georgia"/>
          <w:bCs/>
          <w:color w:val="000000"/>
          <w:lang w:val="es-ES"/>
        </w:rPr>
        <w:t>,</w:t>
      </w:r>
    </w:p>
    <w:p w14:paraId="46727923" w14:textId="77777777" w:rsidR="00602EAD" w:rsidRPr="00F67EFD" w:rsidRDefault="00602EAD" w:rsidP="00602EAD">
      <w:pPr>
        <w:suppressAutoHyphens/>
        <w:spacing w:after="120"/>
        <w:jc w:val="both"/>
        <w:rPr>
          <w:rFonts w:ascii="Georgia" w:hAnsi="Georgia" w:cs="Georgia"/>
          <w:bCs/>
          <w:color w:val="000000"/>
          <w:lang w:val="es-ES"/>
        </w:rPr>
      </w:pPr>
      <w:r>
        <w:rPr>
          <w:rFonts w:ascii="Georgia" w:eastAsia="Calibri" w:hAnsi="Georgia" w:cs="Georgia"/>
          <w:lang w:val="es-ES"/>
        </w:rPr>
        <w:t>d</w:t>
      </w:r>
      <w:r w:rsidRPr="00F67EFD">
        <w:rPr>
          <w:rFonts w:ascii="Georgia" w:eastAsia="Calibri" w:hAnsi="Georgia" w:cs="Georgia"/>
          <w:lang w:val="es-ES"/>
        </w:rPr>
        <w:t>)</w:t>
      </w:r>
      <w:r w:rsidRPr="00F67EFD">
        <w:rPr>
          <w:rFonts w:ascii="Georgia" w:hAnsi="Georgia" w:cs="Georgia"/>
          <w:bCs/>
          <w:color w:val="000000"/>
          <w:lang w:val="es-ES"/>
        </w:rPr>
        <w:t>hemos leído la reseña informativa y la información adicional a las notas a los estados financieros mencionados en el apartado 1 requerida por el artículo 12°, Capítulo III, Título IV de la normativa de la CNV sobre la cual, en lo que es materia de nuestra competencia, no tenemos observaciones que formular, siendo las afirmaciones sobre hechos futuros responsabilidad exclusiva del Directorio de la Entidad,</w:t>
      </w:r>
    </w:p>
    <w:p w14:paraId="309E13ED" w14:textId="77777777" w:rsidR="00602EAD" w:rsidRDefault="00602EAD" w:rsidP="00602EAD">
      <w:pPr>
        <w:autoSpaceDE w:val="0"/>
        <w:autoSpaceDN w:val="0"/>
        <w:adjustRightInd w:val="0"/>
        <w:jc w:val="both"/>
        <w:rPr>
          <w:rFonts w:ascii="Georgia" w:eastAsia="Calibri" w:hAnsi="Georgia" w:cs="Georgia"/>
          <w:lang w:val="es-ES"/>
        </w:rPr>
      </w:pPr>
      <w:r>
        <w:rPr>
          <w:rFonts w:ascii="Georgia" w:eastAsia="Calibri" w:hAnsi="Georgia" w:cs="Georgia"/>
          <w:lang w:val="es-ES"/>
        </w:rPr>
        <w:t>e</w:t>
      </w:r>
      <w:r w:rsidRPr="00EF3099">
        <w:rPr>
          <w:rFonts w:ascii="Georgia" w:eastAsia="Calibri" w:hAnsi="Georgia" w:cs="Georgia"/>
          <w:lang w:val="es-ES"/>
        </w:rPr>
        <w:t xml:space="preserve">) </w:t>
      </w:r>
      <w:r w:rsidRPr="004220EF">
        <w:rPr>
          <w:rFonts w:ascii="Georgia" w:eastAsia="Calibri" w:hAnsi="Georgia" w:cs="Georgia"/>
          <w:lang w:val="es-ES"/>
        </w:rPr>
        <w:t>conforme con el artículo 128 de la Res 15/2024 -Anexo A de la IGJ, informamos que hemos examinado los documentos que acreditan la constitución del seguro de garantía de gestión, por parte de los directores titulares, representados por pólizas de seguro de caución, cuyo beneficiario es la Entidad,</w:t>
      </w:r>
    </w:p>
    <w:p w14:paraId="3B6F2744" w14:textId="77777777" w:rsidR="00602EAD" w:rsidRPr="004220EF" w:rsidRDefault="00602EAD" w:rsidP="00602EAD">
      <w:pPr>
        <w:autoSpaceDE w:val="0"/>
        <w:autoSpaceDN w:val="0"/>
        <w:adjustRightInd w:val="0"/>
        <w:jc w:val="both"/>
        <w:rPr>
          <w:rFonts w:ascii="Georgia" w:eastAsia="Calibri" w:hAnsi="Georgia" w:cs="Georgia"/>
          <w:lang w:val="es-ES"/>
        </w:rPr>
      </w:pPr>
    </w:p>
    <w:p w14:paraId="32423013" w14:textId="53BBB382" w:rsidR="00602EAD" w:rsidRPr="00EF3099" w:rsidRDefault="00602EAD" w:rsidP="00602EAD">
      <w:pPr>
        <w:suppressAutoHyphens/>
        <w:spacing w:after="120"/>
        <w:jc w:val="both"/>
        <w:rPr>
          <w:rFonts w:ascii="Georgia" w:eastAsia="Calibri" w:hAnsi="Georgia" w:cs="Georgia"/>
          <w:lang w:val="es-ES"/>
        </w:rPr>
      </w:pPr>
      <w:r>
        <w:rPr>
          <w:rFonts w:ascii="Georgia" w:eastAsia="Calibri" w:hAnsi="Georgia" w:cs="Georgia"/>
          <w:lang w:val="es-ES"/>
        </w:rPr>
        <w:t>f</w:t>
      </w:r>
      <w:r w:rsidRPr="00EF3099">
        <w:rPr>
          <w:rFonts w:ascii="Georgia" w:eastAsia="Calibri" w:hAnsi="Georgia" w:cs="Georgia"/>
          <w:lang w:val="es-ES"/>
        </w:rPr>
        <w:t>) los auditores externos han desarrollado su auditoria aplicando las normas de auditoria vigentes establecidas por la Federación Argentina de Consejos Profesionales de Ciencias Económicas. Dichas normas requieren la independencia y objetividad de criterio del auditor externo con relación a la auditoria de los estados financieros mencionados en el apartado 1.</w:t>
      </w:r>
      <w:r>
        <w:rPr>
          <w:rFonts w:ascii="Georgia" w:eastAsia="Calibri" w:hAnsi="Georgia" w:cs="Georgia"/>
          <w:lang w:val="es-ES"/>
        </w:rPr>
        <w:t xml:space="preserve"> y</w:t>
      </w:r>
    </w:p>
    <w:bookmarkEnd w:id="3"/>
    <w:p w14:paraId="303B109C" w14:textId="77777777" w:rsidR="00602EAD" w:rsidRDefault="00602EAD" w:rsidP="00602EAD">
      <w:pPr>
        <w:autoSpaceDE w:val="0"/>
        <w:autoSpaceDN w:val="0"/>
        <w:adjustRightInd w:val="0"/>
        <w:jc w:val="both"/>
        <w:rPr>
          <w:rFonts w:ascii="Georgia" w:eastAsia="Calibri" w:hAnsi="Georgia" w:cs="Georgia"/>
          <w:lang w:val="es-ES"/>
        </w:rPr>
      </w:pPr>
      <w:r>
        <w:rPr>
          <w:rFonts w:ascii="Georgia" w:eastAsia="Calibri" w:hAnsi="Georgia" w:cs="Georgia"/>
          <w:lang w:val="es-ES"/>
        </w:rPr>
        <w:lastRenderedPageBreak/>
        <w:t>g</w:t>
      </w:r>
      <w:r w:rsidRPr="00EF3099">
        <w:rPr>
          <w:rFonts w:ascii="Georgia" w:eastAsia="Calibri" w:hAnsi="Georgia" w:cs="Georgia"/>
          <w:lang w:val="es-ES"/>
        </w:rPr>
        <w:t>) en el desempeño de nuestra función consideramos haber cumplido con nuestros deberes como comisión fiscalizadora conforme lo prescribe la Ley General de Sociedades y el estatuto social</w:t>
      </w:r>
      <w:r>
        <w:rPr>
          <w:rFonts w:ascii="Georgia" w:eastAsia="Calibri" w:hAnsi="Georgia" w:cs="Georgia"/>
          <w:lang w:val="es-ES"/>
        </w:rPr>
        <w:t>.</w:t>
      </w:r>
    </w:p>
    <w:p w14:paraId="64F903FD" w14:textId="77777777" w:rsidR="00602EAD" w:rsidRPr="00C55974" w:rsidRDefault="00602EAD" w:rsidP="00602EAD">
      <w:pPr>
        <w:autoSpaceDE w:val="0"/>
        <w:autoSpaceDN w:val="0"/>
        <w:adjustRightInd w:val="0"/>
        <w:jc w:val="both"/>
        <w:rPr>
          <w:rFonts w:ascii="Georgia" w:eastAsia="Calibri" w:hAnsi="Georgia" w:cs="Georgia"/>
          <w:sz w:val="16"/>
          <w:szCs w:val="16"/>
          <w:lang w:val="es-ES"/>
        </w:rPr>
      </w:pPr>
      <w:r w:rsidRPr="00C55974">
        <w:rPr>
          <w:rFonts w:ascii="Georgia" w:eastAsia="Calibri" w:hAnsi="Georgia" w:cs="Georgia"/>
          <w:lang w:val="es-ES"/>
        </w:rPr>
        <w:t xml:space="preserve"> </w:t>
      </w:r>
    </w:p>
    <w:p w14:paraId="401B0083" w14:textId="77777777" w:rsidR="00602EAD" w:rsidRDefault="00602EAD" w:rsidP="00602EAD">
      <w:pPr>
        <w:autoSpaceDE w:val="0"/>
        <w:autoSpaceDN w:val="0"/>
        <w:adjustRightInd w:val="0"/>
        <w:jc w:val="both"/>
        <w:rPr>
          <w:rFonts w:ascii="Georgia" w:eastAsia="Calibri" w:hAnsi="Georgia" w:cs="Georgia"/>
          <w:lang w:val="es-ES"/>
        </w:rPr>
      </w:pPr>
      <w:r>
        <w:rPr>
          <w:rFonts w:ascii="Georgia" w:eastAsia="Calibri" w:hAnsi="Georgia" w:cs="Georgia"/>
          <w:lang w:val="es-ES"/>
        </w:rPr>
        <w:t>El presente informe no tiene validez sin la autenticación de la firma por parte del Consejo Profesional de Ciencias Económicas de la Provincia de Buenos Aires</w:t>
      </w:r>
      <w:r w:rsidRPr="00EF3099">
        <w:rPr>
          <w:rFonts w:ascii="Georgia" w:eastAsia="Calibri" w:hAnsi="Georgia" w:cs="Georgia"/>
          <w:lang w:val="es-ES"/>
        </w:rPr>
        <w:t xml:space="preserve">. </w:t>
      </w:r>
    </w:p>
    <w:p w14:paraId="66EF883D" w14:textId="77777777" w:rsidR="00602EAD" w:rsidRDefault="00602EAD" w:rsidP="00602EAD">
      <w:pPr>
        <w:autoSpaceDE w:val="0"/>
        <w:autoSpaceDN w:val="0"/>
        <w:adjustRightInd w:val="0"/>
        <w:jc w:val="both"/>
        <w:rPr>
          <w:rFonts w:ascii="Georgia" w:eastAsia="Calibri" w:hAnsi="Georgia" w:cs="Georgia"/>
        </w:rPr>
      </w:pPr>
    </w:p>
    <w:p w14:paraId="0E4A8685" w14:textId="77777777" w:rsidR="00602EAD" w:rsidRPr="00EF3099" w:rsidRDefault="00602EAD" w:rsidP="00602EAD">
      <w:pPr>
        <w:autoSpaceDE w:val="0"/>
        <w:autoSpaceDN w:val="0"/>
        <w:adjustRightInd w:val="0"/>
        <w:jc w:val="both"/>
        <w:rPr>
          <w:rFonts w:ascii="Georgia" w:eastAsia="Calibri" w:hAnsi="Georgia" w:cs="Georgia"/>
        </w:rPr>
      </w:pPr>
      <w:r>
        <w:rPr>
          <w:rFonts w:ascii="Georgia" w:eastAsia="Calibri" w:hAnsi="Georgia" w:cs="Georgia"/>
        </w:rPr>
        <w:t>La Plata</w:t>
      </w:r>
      <w:r w:rsidRPr="00EF3099">
        <w:rPr>
          <w:rFonts w:ascii="Georgia" w:eastAsia="Calibri" w:hAnsi="Georgia" w:cs="Georgia"/>
        </w:rPr>
        <w:t xml:space="preserve">, </w:t>
      </w:r>
      <w:r>
        <w:rPr>
          <w:rFonts w:ascii="Georgia" w:eastAsia="Calibri" w:hAnsi="Georgia" w:cs="Georgia"/>
        </w:rPr>
        <w:t>10</w:t>
      </w:r>
      <w:r w:rsidRPr="00EF3099">
        <w:rPr>
          <w:rFonts w:ascii="Georgia" w:eastAsia="Calibri" w:hAnsi="Georgia" w:cs="Georgia"/>
        </w:rPr>
        <w:t xml:space="preserve"> de </w:t>
      </w:r>
      <w:r>
        <w:rPr>
          <w:rFonts w:ascii="Georgia" w:eastAsia="Calibri" w:hAnsi="Georgia" w:cs="Georgia"/>
        </w:rPr>
        <w:t xml:space="preserve">marzo </w:t>
      </w:r>
      <w:r w:rsidRPr="00EF3099">
        <w:rPr>
          <w:rFonts w:ascii="Georgia" w:eastAsia="Calibri" w:hAnsi="Georgia" w:cs="Georgia"/>
        </w:rPr>
        <w:t>de 202</w:t>
      </w:r>
      <w:r>
        <w:rPr>
          <w:rFonts w:ascii="Georgia" w:eastAsia="Calibri" w:hAnsi="Georgia" w:cs="Georgia"/>
        </w:rPr>
        <w:t>5</w:t>
      </w:r>
    </w:p>
    <w:p w14:paraId="5C17678B" w14:textId="77777777" w:rsidR="00602EAD" w:rsidRPr="00EF3099" w:rsidRDefault="00602EAD" w:rsidP="00602EAD">
      <w:pPr>
        <w:suppressAutoHyphens/>
        <w:jc w:val="center"/>
        <w:rPr>
          <w:rFonts w:ascii="Georgia" w:eastAsia="Calibri" w:hAnsi="Georgia"/>
          <w:lang w:eastAsia="ar-SA"/>
        </w:rPr>
      </w:pPr>
    </w:p>
    <w:p w14:paraId="08EC276D" w14:textId="77777777" w:rsidR="00602EAD" w:rsidRPr="00895347" w:rsidRDefault="00602EAD" w:rsidP="00602EAD">
      <w:pPr>
        <w:pStyle w:val="Sinespaciado"/>
        <w:jc w:val="center"/>
        <w:rPr>
          <w:rFonts w:ascii="Georgia" w:hAnsi="Georgia"/>
          <w:sz w:val="20"/>
          <w:szCs w:val="20"/>
          <w:lang w:val="pt-PT"/>
        </w:rPr>
      </w:pPr>
      <w:r w:rsidRPr="00895347">
        <w:rPr>
          <w:rFonts w:ascii="Georgia" w:hAnsi="Georgia"/>
          <w:sz w:val="20"/>
          <w:szCs w:val="20"/>
          <w:lang w:val="pt-PT"/>
        </w:rPr>
        <w:t>Sandra E. Juri</w:t>
      </w:r>
    </w:p>
    <w:p w14:paraId="66B13199" w14:textId="77777777" w:rsidR="00602EAD" w:rsidRPr="00895347" w:rsidRDefault="00602EAD" w:rsidP="00602EAD">
      <w:pPr>
        <w:pStyle w:val="Sinespaciado"/>
        <w:jc w:val="center"/>
        <w:rPr>
          <w:rFonts w:ascii="Georgia" w:hAnsi="Georgia"/>
          <w:sz w:val="16"/>
          <w:szCs w:val="16"/>
          <w:lang w:val="pt-PT"/>
        </w:rPr>
      </w:pPr>
      <w:r w:rsidRPr="00895347">
        <w:rPr>
          <w:rFonts w:ascii="Georgia" w:hAnsi="Georgia"/>
          <w:sz w:val="16"/>
          <w:szCs w:val="16"/>
          <w:lang w:val="pt-PT"/>
        </w:rPr>
        <w:t>Síndico</w:t>
      </w:r>
    </w:p>
    <w:p w14:paraId="36C8B2D8" w14:textId="77777777" w:rsidR="00602EAD" w:rsidRPr="00895347" w:rsidRDefault="00602EAD" w:rsidP="00602EAD">
      <w:pPr>
        <w:pStyle w:val="Sinespaciado"/>
        <w:jc w:val="center"/>
        <w:rPr>
          <w:rFonts w:ascii="Georgia" w:hAnsi="Georgia"/>
          <w:sz w:val="16"/>
          <w:szCs w:val="16"/>
          <w:lang w:val="pt-PT"/>
        </w:rPr>
      </w:pPr>
      <w:r w:rsidRPr="00895347">
        <w:rPr>
          <w:rFonts w:ascii="Georgia" w:hAnsi="Georgia"/>
          <w:sz w:val="16"/>
          <w:szCs w:val="16"/>
          <w:lang w:val="pt-PT"/>
        </w:rPr>
        <w:t>Contador Público (U.B.A)</w:t>
      </w:r>
    </w:p>
    <w:p w14:paraId="4C81D066" w14:textId="77777777" w:rsidR="00602EAD" w:rsidRPr="00895347" w:rsidRDefault="00602EAD" w:rsidP="00602EAD">
      <w:pPr>
        <w:pStyle w:val="Sinespaciado"/>
        <w:jc w:val="center"/>
        <w:rPr>
          <w:rFonts w:ascii="Georgia" w:hAnsi="Georgia"/>
          <w:sz w:val="16"/>
          <w:szCs w:val="16"/>
          <w:lang w:val="pt-PT"/>
        </w:rPr>
      </w:pPr>
      <w:r w:rsidRPr="00895347">
        <w:rPr>
          <w:rFonts w:ascii="Georgia" w:hAnsi="Georgia"/>
          <w:sz w:val="16"/>
          <w:szCs w:val="16"/>
          <w:lang w:val="pt-PT"/>
        </w:rPr>
        <w:t>CPCEPBA</w:t>
      </w:r>
    </w:p>
    <w:p w14:paraId="2B24C148" w14:textId="77777777" w:rsidR="00602EAD" w:rsidRPr="00895347" w:rsidRDefault="00602EAD" w:rsidP="00602EAD">
      <w:pPr>
        <w:pStyle w:val="Sinespaciado"/>
        <w:jc w:val="center"/>
        <w:rPr>
          <w:rFonts w:ascii="Georgia" w:hAnsi="Georgia"/>
          <w:sz w:val="16"/>
          <w:szCs w:val="16"/>
          <w:lang w:val="pt-PT"/>
        </w:rPr>
      </w:pPr>
      <w:r w:rsidRPr="00895347">
        <w:rPr>
          <w:rFonts w:ascii="Georgia" w:hAnsi="Georgia"/>
          <w:sz w:val="16"/>
          <w:szCs w:val="16"/>
          <w:lang w:val="pt-PT"/>
        </w:rPr>
        <w:t>T 130 F 111 Legajo N 33619/0</w:t>
      </w:r>
    </w:p>
    <w:p w14:paraId="3C17B409" w14:textId="77777777" w:rsidR="00602EAD" w:rsidRPr="00EF3099" w:rsidRDefault="00602EAD" w:rsidP="00602EAD">
      <w:pPr>
        <w:pStyle w:val="Sinespaciado"/>
        <w:jc w:val="center"/>
        <w:rPr>
          <w:rFonts w:ascii="Georgia" w:eastAsia="Times New Roman" w:hAnsi="Georgia" w:cs="Times New Roman"/>
          <w:sz w:val="20"/>
          <w:szCs w:val="20"/>
        </w:rPr>
      </w:pPr>
      <w:r w:rsidRPr="004D7245">
        <w:rPr>
          <w:rFonts w:ascii="Georgia" w:hAnsi="Georgia"/>
          <w:sz w:val="16"/>
          <w:szCs w:val="16"/>
        </w:rPr>
        <w:t>CUIT 27-18317672-8</w:t>
      </w:r>
    </w:p>
    <w:p w14:paraId="71D8DF49" w14:textId="77777777" w:rsidR="00D67668" w:rsidRPr="00602EAD" w:rsidRDefault="00D67668" w:rsidP="00D67668">
      <w:pPr>
        <w:autoSpaceDE w:val="0"/>
        <w:autoSpaceDN w:val="0"/>
        <w:adjustRightInd w:val="0"/>
        <w:jc w:val="both"/>
        <w:rPr>
          <w:rFonts w:ascii="Georgia" w:hAnsi="Georgia" w:cs="Georgia"/>
          <w:highlight w:val="yellow"/>
          <w:lang w:val="es-ES"/>
        </w:rPr>
      </w:pPr>
    </w:p>
    <w:p w14:paraId="4B27274F" w14:textId="77777777" w:rsidR="00432584" w:rsidRPr="003C1572" w:rsidRDefault="00432584" w:rsidP="00D67668">
      <w:pPr>
        <w:autoSpaceDE w:val="0"/>
        <w:autoSpaceDN w:val="0"/>
        <w:adjustRightInd w:val="0"/>
        <w:jc w:val="both"/>
        <w:rPr>
          <w:rFonts w:ascii="Georgia" w:hAnsi="Georgia" w:cs="Georgia"/>
          <w:highlight w:val="yellow"/>
        </w:rPr>
      </w:pPr>
    </w:p>
    <w:p w14:paraId="27FAE809" w14:textId="77777777" w:rsidR="00D67668" w:rsidRPr="00050E6E" w:rsidRDefault="00D67668" w:rsidP="00D67668">
      <w:pPr>
        <w:autoSpaceDE w:val="0"/>
        <w:autoSpaceDN w:val="0"/>
        <w:adjustRightInd w:val="0"/>
        <w:jc w:val="both"/>
        <w:rPr>
          <w:rFonts w:ascii="Georgia" w:hAnsi="Georgia" w:cs="Georgia"/>
        </w:rPr>
      </w:pPr>
    </w:p>
    <w:p w14:paraId="5FA46621" w14:textId="48A25491" w:rsidR="00D67668" w:rsidRPr="00050E6E" w:rsidRDefault="00D67668" w:rsidP="00D67668">
      <w:pPr>
        <w:pStyle w:val="Prrafodelista"/>
        <w:numPr>
          <w:ilvl w:val="0"/>
          <w:numId w:val="23"/>
        </w:numPr>
        <w:jc w:val="both"/>
        <w:rPr>
          <w:rFonts w:cs="Arial"/>
          <w:bCs/>
          <w:sz w:val="22"/>
          <w:szCs w:val="22"/>
        </w:rPr>
      </w:pPr>
      <w:r w:rsidRPr="00050E6E">
        <w:rPr>
          <w:rFonts w:cs="Arial"/>
          <w:bCs/>
          <w:sz w:val="22"/>
          <w:szCs w:val="22"/>
        </w:rPr>
        <w:t xml:space="preserve">Tomar conocimiento de los </w:t>
      </w:r>
      <w:r w:rsidR="00B91C64">
        <w:rPr>
          <w:rFonts w:cs="Arial"/>
          <w:bCs/>
          <w:sz w:val="22"/>
          <w:szCs w:val="22"/>
        </w:rPr>
        <w:t>I</w:t>
      </w:r>
      <w:r w:rsidRPr="00050E6E">
        <w:rPr>
          <w:rFonts w:cs="Arial"/>
          <w:bCs/>
          <w:sz w:val="22"/>
          <w:szCs w:val="22"/>
        </w:rPr>
        <w:t xml:space="preserve">nformes especiales de deudores, de supervisión, de Cheques rechazados, de vinculadas y el </w:t>
      </w:r>
      <w:r w:rsidR="00B91C64" w:rsidRPr="00050E6E">
        <w:rPr>
          <w:rFonts w:cs="Arial"/>
          <w:bCs/>
          <w:sz w:val="22"/>
          <w:szCs w:val="22"/>
        </w:rPr>
        <w:t>Memorándum</w:t>
      </w:r>
      <w:r w:rsidRPr="00050E6E">
        <w:rPr>
          <w:rFonts w:cs="Arial"/>
          <w:bCs/>
          <w:sz w:val="22"/>
          <w:szCs w:val="22"/>
        </w:rPr>
        <w:t xml:space="preserve"> de Control Interno al 31.12.202</w:t>
      </w:r>
      <w:r w:rsidR="00C12B46">
        <w:rPr>
          <w:rFonts w:cs="Arial"/>
          <w:bCs/>
          <w:sz w:val="22"/>
          <w:szCs w:val="22"/>
        </w:rPr>
        <w:t>4</w:t>
      </w:r>
      <w:r w:rsidRPr="00050E6E">
        <w:rPr>
          <w:rFonts w:cs="Arial"/>
          <w:bCs/>
          <w:sz w:val="22"/>
          <w:szCs w:val="22"/>
        </w:rPr>
        <w:t xml:space="preserve"> emitidos por la Auditoría Externa.</w:t>
      </w:r>
      <w:r w:rsidR="00050E6E">
        <w:rPr>
          <w:rFonts w:cs="Arial"/>
          <w:bCs/>
          <w:sz w:val="22"/>
          <w:szCs w:val="22"/>
        </w:rPr>
        <w:t xml:space="preserve"> </w:t>
      </w:r>
      <w:r w:rsidRPr="00050E6E">
        <w:rPr>
          <w:rFonts w:cs="Arial"/>
          <w:bCs/>
          <w:sz w:val="22"/>
          <w:szCs w:val="22"/>
        </w:rPr>
        <w:t>Tras un breve intercambio de opiniones</w:t>
      </w:r>
      <w:r w:rsidR="00315D38">
        <w:rPr>
          <w:rFonts w:cs="Arial"/>
          <w:bCs/>
          <w:sz w:val="22"/>
          <w:szCs w:val="22"/>
        </w:rPr>
        <w:t>,</w:t>
      </w:r>
      <w:r w:rsidRPr="00050E6E">
        <w:rPr>
          <w:rFonts w:cs="Arial"/>
          <w:bCs/>
          <w:sz w:val="22"/>
          <w:szCs w:val="22"/>
        </w:rPr>
        <w:t xml:space="preserve"> los presentes aprueban dichos documentos por unanimidad.</w:t>
      </w:r>
    </w:p>
    <w:p w14:paraId="4BBC9F3D" w14:textId="77777777" w:rsidR="006D1077" w:rsidRPr="00067144" w:rsidRDefault="006D1077" w:rsidP="006D1077">
      <w:pPr>
        <w:ind w:left="600" w:right="-251" w:hanging="600"/>
        <w:jc w:val="both"/>
        <w:outlineLvl w:val="0"/>
        <w:rPr>
          <w:rFonts w:ascii="Arial" w:hAnsi="Arial" w:cs="Arial"/>
          <w:b/>
          <w:sz w:val="22"/>
          <w:szCs w:val="22"/>
          <w:u w:val="single"/>
        </w:rPr>
      </w:pPr>
    </w:p>
    <w:p w14:paraId="6E2FFEA8" w14:textId="7892B4FE" w:rsidR="006D1077" w:rsidRDefault="006D1077" w:rsidP="006D1077">
      <w:pPr>
        <w:jc w:val="both"/>
        <w:rPr>
          <w:rFonts w:ascii="Arial" w:hAnsi="Arial" w:cs="Arial"/>
          <w:sz w:val="22"/>
          <w:szCs w:val="22"/>
        </w:rPr>
      </w:pPr>
      <w:r w:rsidRPr="00067144">
        <w:rPr>
          <w:rFonts w:ascii="Arial" w:hAnsi="Arial" w:cs="Arial"/>
          <w:sz w:val="22"/>
          <w:szCs w:val="22"/>
        </w:rPr>
        <w:t>No habiendo más temas por tratar se levanta la reunión siendo las 12:</w:t>
      </w:r>
      <w:r w:rsidR="00F40172">
        <w:rPr>
          <w:rFonts w:ascii="Arial" w:hAnsi="Arial" w:cs="Arial"/>
          <w:sz w:val="22"/>
          <w:szCs w:val="22"/>
        </w:rPr>
        <w:t>0</w:t>
      </w:r>
      <w:r w:rsidRPr="00067144">
        <w:rPr>
          <w:rFonts w:ascii="Arial" w:hAnsi="Arial" w:cs="Arial"/>
          <w:sz w:val="22"/>
          <w:szCs w:val="22"/>
        </w:rPr>
        <w:t>0 horas.</w:t>
      </w:r>
    </w:p>
    <w:p w14:paraId="26D22A83" w14:textId="77777777" w:rsidR="00B91C64" w:rsidRDefault="00B91C64" w:rsidP="006D1077">
      <w:pPr>
        <w:jc w:val="both"/>
        <w:rPr>
          <w:rFonts w:ascii="Arial" w:hAnsi="Arial" w:cs="Arial"/>
          <w:sz w:val="22"/>
          <w:szCs w:val="22"/>
        </w:rPr>
      </w:pPr>
    </w:p>
    <w:p w14:paraId="3D852C6F" w14:textId="77777777" w:rsidR="00B91C64" w:rsidRPr="00B91C64" w:rsidRDefault="00B91C64" w:rsidP="006D1077">
      <w:pPr>
        <w:jc w:val="both"/>
        <w:rPr>
          <w:rFonts w:ascii="Arial" w:hAnsi="Arial" w:cs="Arial"/>
          <w:sz w:val="22"/>
          <w:szCs w:val="22"/>
          <w:lang w:val="es-AR"/>
        </w:rPr>
      </w:pPr>
    </w:p>
    <w:sectPr w:rsidR="00B91C64" w:rsidRPr="00B91C64" w:rsidSect="00041C71">
      <w:headerReference w:type="default" r:id="rId29"/>
      <w:footerReference w:type="default" r:id="rId30"/>
      <w:endnotePr>
        <w:numFmt w:val="decimal"/>
      </w:endnotePr>
      <w:pgSz w:w="12242" w:h="15842" w:code="1"/>
      <w:pgMar w:top="1021" w:right="1440" w:bottom="1021" w:left="1440" w:header="0"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8BFCB7" w14:textId="77777777" w:rsidR="008C4C66" w:rsidRDefault="008C4C66">
      <w:r>
        <w:separator/>
      </w:r>
    </w:p>
  </w:endnote>
  <w:endnote w:type="continuationSeparator" w:id="0">
    <w:p w14:paraId="7D280715" w14:textId="77777777" w:rsidR="008C4C66" w:rsidRDefault="008C4C66">
      <w:r>
        <w:continuationSeparator/>
      </w:r>
    </w:p>
  </w:endnote>
  <w:endnote w:type="continuationNotice" w:id="1">
    <w:p w14:paraId="5FA7F28E" w14:textId="77777777" w:rsidR="008C4C66" w:rsidRDefault="008C4C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man">
    <w:altName w:val="Cambria"/>
    <w:panose1 w:val="00000000000000000000"/>
    <w:charset w:val="00"/>
    <w:family w:val="roman"/>
    <w:notTrueType/>
    <w:pitch w:val="default"/>
    <w:sig w:usb0="00000003" w:usb1="00000000" w:usb2="00000000" w:usb3="00000000" w:csb0="00000001" w:csb1="00000000"/>
  </w:font>
  <w:font w:name="Courier">
    <w:altName w:val="Courier New"/>
    <w:panose1 w:val="02070409020205020404"/>
    <w:charset w:val="00"/>
    <w:family w:val="modern"/>
    <w:notTrueType/>
    <w:pitch w:val="fixed"/>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Lato">
    <w:charset w:val="00"/>
    <w:family w:val="swiss"/>
    <w:pitch w:val="variable"/>
    <w:sig w:usb0="E10002FF" w:usb1="5000ECFF" w:usb2="00000021" w:usb3="00000000" w:csb0="0000019F" w:csb1="00000000"/>
  </w:font>
  <w:font w:name="Georgia,Bold">
    <w:altName w:val="Georgia"/>
    <w:panose1 w:val="00000000000000000000"/>
    <w:charset w:val="00"/>
    <w:family w:val="auto"/>
    <w:notTrueType/>
    <w:pitch w:val="default"/>
    <w:sig w:usb0="00000003" w:usb1="00000000" w:usb2="00000000" w:usb3="00000000" w:csb0="00000001" w:csb1="00000000"/>
  </w:font>
  <w:font w:name="Arial MT">
    <w:altName w:val="Arial"/>
    <w:charset w:val="01"/>
    <w:family w:val="swiss"/>
    <w:pitch w:val="variable"/>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1520D" w14:textId="77777777" w:rsidR="007D0C52" w:rsidRDefault="007D0C52">
    <w:pPr>
      <w:pStyle w:val="Piedepgina"/>
    </w:pPr>
  </w:p>
  <w:p w14:paraId="2DE5B429" w14:textId="77777777" w:rsidR="007D0C52" w:rsidRPr="005C0462" w:rsidRDefault="007D0C52" w:rsidP="006457CD">
    <w:pPr>
      <w:pStyle w:val="DSLxStyle"/>
      <w:rPr>
        <w:color w:val="FFFFFF" w:themeColor="background1"/>
      </w:rPr>
    </w:pPr>
    <w:r w:rsidRPr="005C0462">
      <w:rPr>
        <w:color w:val="FFFFFF" w:themeColor="background1"/>
      </w:rPr>
      <w:t>DC3 - Información altamente confidencial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E755A2" w14:textId="77777777" w:rsidR="008C4C66" w:rsidRDefault="008C4C66">
      <w:r>
        <w:separator/>
      </w:r>
    </w:p>
  </w:footnote>
  <w:footnote w:type="continuationSeparator" w:id="0">
    <w:p w14:paraId="0075338A" w14:textId="77777777" w:rsidR="008C4C66" w:rsidRDefault="008C4C66">
      <w:r>
        <w:continuationSeparator/>
      </w:r>
    </w:p>
  </w:footnote>
  <w:footnote w:type="continuationNotice" w:id="1">
    <w:p w14:paraId="583A12A8" w14:textId="77777777" w:rsidR="008C4C66" w:rsidRDefault="008C4C6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5E9AE" w14:textId="77777777" w:rsidR="007D0C52" w:rsidRDefault="007D0C52">
    <w:pPr>
      <w:pStyle w:val="Encabezado"/>
      <w:jc w:val="center"/>
    </w:pPr>
  </w:p>
  <w:p w14:paraId="62D29A4A" w14:textId="77777777" w:rsidR="007D0C52" w:rsidRPr="007C325C" w:rsidRDefault="007D0C52" w:rsidP="001B2F73">
    <w:pPr>
      <w:pStyle w:val="Encabezado"/>
      <w:jc w:val="cent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5"/>
    <w:lvl w:ilvl="0">
      <w:start w:val="1"/>
      <w:numFmt w:val="lowerLetter"/>
      <w:lvlText w:val="%1)"/>
      <w:lvlJc w:val="left"/>
      <w:pPr>
        <w:tabs>
          <w:tab w:val="num" w:pos="0"/>
        </w:tabs>
        <w:ind w:left="927" w:hanging="360"/>
      </w:pPr>
      <w:rPr>
        <w:rFonts w:ascii="Georgia" w:hAnsi="Georgia" w:cs="Georgia" w:hint="default"/>
        <w:sz w:val="22"/>
        <w:szCs w:val="22"/>
      </w:rPr>
    </w:lvl>
  </w:abstractNum>
  <w:abstractNum w:abstractNumId="1" w15:restartNumberingAfterBreak="0">
    <w:nsid w:val="00000003"/>
    <w:multiLevelType w:val="multilevel"/>
    <w:tmpl w:val="00000003"/>
    <w:lvl w:ilvl="0">
      <w:start w:val="1"/>
      <w:numFmt w:val="lowerLetter"/>
      <w:lvlText w:val="%1)"/>
      <w:lvlJc w:val="left"/>
      <w:pPr>
        <w:tabs>
          <w:tab w:val="num" w:pos="0"/>
        </w:tabs>
        <w:ind w:left="927" w:hanging="360"/>
      </w:pPr>
      <w:rPr>
        <w:rFonts w:ascii="Georgia" w:eastAsia="Times New Roman" w:hAnsi="Georgia" w:cs="Georgia" w:hint="default"/>
      </w:r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2" w15:restartNumberingAfterBreak="0">
    <w:nsid w:val="006A148F"/>
    <w:multiLevelType w:val="hybridMultilevel"/>
    <w:tmpl w:val="E628480E"/>
    <w:lvl w:ilvl="0" w:tplc="0C0A0017">
      <w:start w:val="1"/>
      <w:numFmt w:val="lowerLetter"/>
      <w:lvlText w:val="%1)"/>
      <w:lvlJc w:val="left"/>
      <w:pPr>
        <w:ind w:left="720" w:hanging="360"/>
      </w:pPr>
      <w:rPr>
        <w:rFonts w:cs="Times New Roman"/>
      </w:rPr>
    </w:lvl>
    <w:lvl w:ilvl="1" w:tplc="2C0A0019">
      <w:start w:val="1"/>
      <w:numFmt w:val="lowerLetter"/>
      <w:lvlText w:val="%2."/>
      <w:lvlJc w:val="left"/>
      <w:pPr>
        <w:ind w:left="1440" w:hanging="360"/>
      </w:pPr>
      <w:rPr>
        <w:rFonts w:cs="Times New Roman"/>
      </w:rPr>
    </w:lvl>
    <w:lvl w:ilvl="2" w:tplc="2C0A001B">
      <w:start w:val="1"/>
      <w:numFmt w:val="lowerRoman"/>
      <w:lvlText w:val="%3."/>
      <w:lvlJc w:val="right"/>
      <w:pPr>
        <w:ind w:left="2160" w:hanging="180"/>
      </w:pPr>
      <w:rPr>
        <w:rFonts w:cs="Times New Roman"/>
      </w:rPr>
    </w:lvl>
    <w:lvl w:ilvl="3" w:tplc="2C0A000F">
      <w:start w:val="1"/>
      <w:numFmt w:val="decimal"/>
      <w:lvlText w:val="%4."/>
      <w:lvlJc w:val="left"/>
      <w:pPr>
        <w:ind w:left="2880" w:hanging="360"/>
      </w:pPr>
      <w:rPr>
        <w:rFonts w:cs="Times New Roman"/>
      </w:rPr>
    </w:lvl>
    <w:lvl w:ilvl="4" w:tplc="2C0A0019">
      <w:start w:val="1"/>
      <w:numFmt w:val="lowerLetter"/>
      <w:lvlText w:val="%5."/>
      <w:lvlJc w:val="left"/>
      <w:pPr>
        <w:ind w:left="3600" w:hanging="360"/>
      </w:pPr>
      <w:rPr>
        <w:rFonts w:cs="Times New Roman"/>
      </w:rPr>
    </w:lvl>
    <w:lvl w:ilvl="5" w:tplc="2C0A001B">
      <w:start w:val="1"/>
      <w:numFmt w:val="lowerRoman"/>
      <w:lvlText w:val="%6."/>
      <w:lvlJc w:val="right"/>
      <w:pPr>
        <w:ind w:left="4320" w:hanging="180"/>
      </w:pPr>
      <w:rPr>
        <w:rFonts w:cs="Times New Roman"/>
      </w:rPr>
    </w:lvl>
    <w:lvl w:ilvl="6" w:tplc="2C0A000F">
      <w:start w:val="1"/>
      <w:numFmt w:val="decimal"/>
      <w:lvlText w:val="%7."/>
      <w:lvlJc w:val="left"/>
      <w:pPr>
        <w:ind w:left="5040" w:hanging="360"/>
      </w:pPr>
      <w:rPr>
        <w:rFonts w:cs="Times New Roman"/>
      </w:rPr>
    </w:lvl>
    <w:lvl w:ilvl="7" w:tplc="2C0A0019">
      <w:start w:val="1"/>
      <w:numFmt w:val="lowerLetter"/>
      <w:lvlText w:val="%8."/>
      <w:lvlJc w:val="left"/>
      <w:pPr>
        <w:ind w:left="5760" w:hanging="360"/>
      </w:pPr>
      <w:rPr>
        <w:rFonts w:cs="Times New Roman"/>
      </w:rPr>
    </w:lvl>
    <w:lvl w:ilvl="8" w:tplc="2C0A001B">
      <w:start w:val="1"/>
      <w:numFmt w:val="lowerRoman"/>
      <w:lvlText w:val="%9."/>
      <w:lvlJc w:val="right"/>
      <w:pPr>
        <w:ind w:left="6480" w:hanging="180"/>
      </w:pPr>
      <w:rPr>
        <w:rFonts w:cs="Times New Roman"/>
      </w:rPr>
    </w:lvl>
  </w:abstractNum>
  <w:abstractNum w:abstractNumId="3" w15:restartNumberingAfterBreak="0">
    <w:nsid w:val="01461801"/>
    <w:multiLevelType w:val="hybridMultilevel"/>
    <w:tmpl w:val="98FA4DA8"/>
    <w:lvl w:ilvl="0" w:tplc="30AED6EC">
      <w:start w:val="1"/>
      <w:numFmt w:val="lowerLetter"/>
      <w:lvlText w:val="%1)"/>
      <w:lvlJc w:val="left"/>
      <w:pPr>
        <w:tabs>
          <w:tab w:val="num" w:pos="840"/>
        </w:tabs>
        <w:ind w:left="840" w:hanging="360"/>
      </w:pPr>
      <w:rPr>
        <w:rFonts w:hint="default"/>
      </w:rPr>
    </w:lvl>
    <w:lvl w:ilvl="1" w:tplc="0C0A0019" w:tentative="1">
      <w:start w:val="1"/>
      <w:numFmt w:val="lowerLetter"/>
      <w:lvlText w:val="%2."/>
      <w:lvlJc w:val="left"/>
      <w:pPr>
        <w:tabs>
          <w:tab w:val="num" w:pos="1560"/>
        </w:tabs>
        <w:ind w:left="1560" w:hanging="360"/>
      </w:pPr>
    </w:lvl>
    <w:lvl w:ilvl="2" w:tplc="0C0A001B" w:tentative="1">
      <w:start w:val="1"/>
      <w:numFmt w:val="lowerRoman"/>
      <w:lvlText w:val="%3."/>
      <w:lvlJc w:val="right"/>
      <w:pPr>
        <w:tabs>
          <w:tab w:val="num" w:pos="2280"/>
        </w:tabs>
        <w:ind w:left="2280" w:hanging="180"/>
      </w:pPr>
    </w:lvl>
    <w:lvl w:ilvl="3" w:tplc="0C0A000F" w:tentative="1">
      <w:start w:val="1"/>
      <w:numFmt w:val="decimal"/>
      <w:lvlText w:val="%4."/>
      <w:lvlJc w:val="left"/>
      <w:pPr>
        <w:tabs>
          <w:tab w:val="num" w:pos="3000"/>
        </w:tabs>
        <w:ind w:left="3000" w:hanging="360"/>
      </w:pPr>
    </w:lvl>
    <w:lvl w:ilvl="4" w:tplc="0C0A0019" w:tentative="1">
      <w:start w:val="1"/>
      <w:numFmt w:val="lowerLetter"/>
      <w:lvlText w:val="%5."/>
      <w:lvlJc w:val="left"/>
      <w:pPr>
        <w:tabs>
          <w:tab w:val="num" w:pos="3720"/>
        </w:tabs>
        <w:ind w:left="3720" w:hanging="360"/>
      </w:pPr>
    </w:lvl>
    <w:lvl w:ilvl="5" w:tplc="0C0A001B" w:tentative="1">
      <w:start w:val="1"/>
      <w:numFmt w:val="lowerRoman"/>
      <w:lvlText w:val="%6."/>
      <w:lvlJc w:val="right"/>
      <w:pPr>
        <w:tabs>
          <w:tab w:val="num" w:pos="4440"/>
        </w:tabs>
        <w:ind w:left="4440" w:hanging="180"/>
      </w:pPr>
    </w:lvl>
    <w:lvl w:ilvl="6" w:tplc="0C0A000F" w:tentative="1">
      <w:start w:val="1"/>
      <w:numFmt w:val="decimal"/>
      <w:lvlText w:val="%7."/>
      <w:lvlJc w:val="left"/>
      <w:pPr>
        <w:tabs>
          <w:tab w:val="num" w:pos="5160"/>
        </w:tabs>
        <w:ind w:left="5160" w:hanging="360"/>
      </w:pPr>
    </w:lvl>
    <w:lvl w:ilvl="7" w:tplc="0C0A0019" w:tentative="1">
      <w:start w:val="1"/>
      <w:numFmt w:val="lowerLetter"/>
      <w:lvlText w:val="%8."/>
      <w:lvlJc w:val="left"/>
      <w:pPr>
        <w:tabs>
          <w:tab w:val="num" w:pos="5880"/>
        </w:tabs>
        <w:ind w:left="5880" w:hanging="360"/>
      </w:pPr>
    </w:lvl>
    <w:lvl w:ilvl="8" w:tplc="0C0A001B" w:tentative="1">
      <w:start w:val="1"/>
      <w:numFmt w:val="lowerRoman"/>
      <w:lvlText w:val="%9."/>
      <w:lvlJc w:val="right"/>
      <w:pPr>
        <w:tabs>
          <w:tab w:val="num" w:pos="6600"/>
        </w:tabs>
        <w:ind w:left="6600" w:hanging="180"/>
      </w:pPr>
    </w:lvl>
  </w:abstractNum>
  <w:abstractNum w:abstractNumId="4" w15:restartNumberingAfterBreak="0">
    <w:nsid w:val="061334D8"/>
    <w:multiLevelType w:val="hybridMultilevel"/>
    <w:tmpl w:val="FFB68162"/>
    <w:lvl w:ilvl="0" w:tplc="1B5E3708">
      <w:start w:val="1"/>
      <w:numFmt w:val="bullet"/>
      <w:lvlText w:val="•"/>
      <w:lvlJc w:val="left"/>
      <w:pPr>
        <w:tabs>
          <w:tab w:val="num" w:pos="720"/>
        </w:tabs>
        <w:ind w:left="720" w:hanging="360"/>
      </w:pPr>
      <w:rPr>
        <w:rFonts w:ascii="Arial" w:hAnsi="Arial" w:hint="default"/>
      </w:rPr>
    </w:lvl>
    <w:lvl w:ilvl="1" w:tplc="972C1822" w:tentative="1">
      <w:start w:val="1"/>
      <w:numFmt w:val="bullet"/>
      <w:lvlText w:val="•"/>
      <w:lvlJc w:val="left"/>
      <w:pPr>
        <w:tabs>
          <w:tab w:val="num" w:pos="1440"/>
        </w:tabs>
        <w:ind w:left="1440" w:hanging="360"/>
      </w:pPr>
      <w:rPr>
        <w:rFonts w:ascii="Arial" w:hAnsi="Arial" w:hint="default"/>
      </w:rPr>
    </w:lvl>
    <w:lvl w:ilvl="2" w:tplc="1F1E0266" w:tentative="1">
      <w:start w:val="1"/>
      <w:numFmt w:val="bullet"/>
      <w:lvlText w:val="•"/>
      <w:lvlJc w:val="left"/>
      <w:pPr>
        <w:tabs>
          <w:tab w:val="num" w:pos="2160"/>
        </w:tabs>
        <w:ind w:left="2160" w:hanging="360"/>
      </w:pPr>
      <w:rPr>
        <w:rFonts w:ascii="Arial" w:hAnsi="Arial" w:hint="default"/>
      </w:rPr>
    </w:lvl>
    <w:lvl w:ilvl="3" w:tplc="7F18342A" w:tentative="1">
      <w:start w:val="1"/>
      <w:numFmt w:val="bullet"/>
      <w:lvlText w:val="•"/>
      <w:lvlJc w:val="left"/>
      <w:pPr>
        <w:tabs>
          <w:tab w:val="num" w:pos="2880"/>
        </w:tabs>
        <w:ind w:left="2880" w:hanging="360"/>
      </w:pPr>
      <w:rPr>
        <w:rFonts w:ascii="Arial" w:hAnsi="Arial" w:hint="default"/>
      </w:rPr>
    </w:lvl>
    <w:lvl w:ilvl="4" w:tplc="7954090E" w:tentative="1">
      <w:start w:val="1"/>
      <w:numFmt w:val="bullet"/>
      <w:lvlText w:val="•"/>
      <w:lvlJc w:val="left"/>
      <w:pPr>
        <w:tabs>
          <w:tab w:val="num" w:pos="3600"/>
        </w:tabs>
        <w:ind w:left="3600" w:hanging="360"/>
      </w:pPr>
      <w:rPr>
        <w:rFonts w:ascii="Arial" w:hAnsi="Arial" w:hint="default"/>
      </w:rPr>
    </w:lvl>
    <w:lvl w:ilvl="5" w:tplc="A65A36BA" w:tentative="1">
      <w:start w:val="1"/>
      <w:numFmt w:val="bullet"/>
      <w:lvlText w:val="•"/>
      <w:lvlJc w:val="left"/>
      <w:pPr>
        <w:tabs>
          <w:tab w:val="num" w:pos="4320"/>
        </w:tabs>
        <w:ind w:left="4320" w:hanging="360"/>
      </w:pPr>
      <w:rPr>
        <w:rFonts w:ascii="Arial" w:hAnsi="Arial" w:hint="default"/>
      </w:rPr>
    </w:lvl>
    <w:lvl w:ilvl="6" w:tplc="06F2F06C" w:tentative="1">
      <w:start w:val="1"/>
      <w:numFmt w:val="bullet"/>
      <w:lvlText w:val="•"/>
      <w:lvlJc w:val="left"/>
      <w:pPr>
        <w:tabs>
          <w:tab w:val="num" w:pos="5040"/>
        </w:tabs>
        <w:ind w:left="5040" w:hanging="360"/>
      </w:pPr>
      <w:rPr>
        <w:rFonts w:ascii="Arial" w:hAnsi="Arial" w:hint="default"/>
      </w:rPr>
    </w:lvl>
    <w:lvl w:ilvl="7" w:tplc="E020A736" w:tentative="1">
      <w:start w:val="1"/>
      <w:numFmt w:val="bullet"/>
      <w:lvlText w:val="•"/>
      <w:lvlJc w:val="left"/>
      <w:pPr>
        <w:tabs>
          <w:tab w:val="num" w:pos="5760"/>
        </w:tabs>
        <w:ind w:left="5760" w:hanging="360"/>
      </w:pPr>
      <w:rPr>
        <w:rFonts w:ascii="Arial" w:hAnsi="Arial" w:hint="default"/>
      </w:rPr>
    </w:lvl>
    <w:lvl w:ilvl="8" w:tplc="567AE2E6"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72E2F86"/>
    <w:multiLevelType w:val="hybridMultilevel"/>
    <w:tmpl w:val="A5C2AA56"/>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08043B2F"/>
    <w:multiLevelType w:val="hybridMultilevel"/>
    <w:tmpl w:val="E6526B76"/>
    <w:lvl w:ilvl="0" w:tplc="0590C898">
      <w:start w:val="4"/>
      <w:numFmt w:val="bullet"/>
      <w:lvlText w:val="-"/>
      <w:lvlJc w:val="left"/>
      <w:pPr>
        <w:ind w:left="716" w:hanging="360"/>
      </w:pPr>
      <w:rPr>
        <w:rFonts w:ascii="Times New Roman" w:eastAsia="Times New Roman" w:hAnsi="Times New Roman" w:cs="Times New Roman" w:hint="default"/>
      </w:rPr>
    </w:lvl>
    <w:lvl w:ilvl="1" w:tplc="2C0A0003" w:tentative="1">
      <w:start w:val="1"/>
      <w:numFmt w:val="bullet"/>
      <w:lvlText w:val="o"/>
      <w:lvlJc w:val="left"/>
      <w:pPr>
        <w:ind w:left="1436" w:hanging="360"/>
      </w:pPr>
      <w:rPr>
        <w:rFonts w:ascii="Courier New" w:hAnsi="Courier New" w:cs="Courier New" w:hint="default"/>
      </w:rPr>
    </w:lvl>
    <w:lvl w:ilvl="2" w:tplc="2C0A0005" w:tentative="1">
      <w:start w:val="1"/>
      <w:numFmt w:val="bullet"/>
      <w:lvlText w:val=""/>
      <w:lvlJc w:val="left"/>
      <w:pPr>
        <w:ind w:left="2156" w:hanging="360"/>
      </w:pPr>
      <w:rPr>
        <w:rFonts w:ascii="Wingdings" w:hAnsi="Wingdings" w:hint="default"/>
      </w:rPr>
    </w:lvl>
    <w:lvl w:ilvl="3" w:tplc="2C0A0001" w:tentative="1">
      <w:start w:val="1"/>
      <w:numFmt w:val="bullet"/>
      <w:lvlText w:val=""/>
      <w:lvlJc w:val="left"/>
      <w:pPr>
        <w:ind w:left="2876" w:hanging="360"/>
      </w:pPr>
      <w:rPr>
        <w:rFonts w:ascii="Symbol" w:hAnsi="Symbol" w:hint="default"/>
      </w:rPr>
    </w:lvl>
    <w:lvl w:ilvl="4" w:tplc="2C0A0003" w:tentative="1">
      <w:start w:val="1"/>
      <w:numFmt w:val="bullet"/>
      <w:lvlText w:val="o"/>
      <w:lvlJc w:val="left"/>
      <w:pPr>
        <w:ind w:left="3596" w:hanging="360"/>
      </w:pPr>
      <w:rPr>
        <w:rFonts w:ascii="Courier New" w:hAnsi="Courier New" w:cs="Courier New" w:hint="default"/>
      </w:rPr>
    </w:lvl>
    <w:lvl w:ilvl="5" w:tplc="2C0A0005" w:tentative="1">
      <w:start w:val="1"/>
      <w:numFmt w:val="bullet"/>
      <w:lvlText w:val=""/>
      <w:lvlJc w:val="left"/>
      <w:pPr>
        <w:ind w:left="4316" w:hanging="360"/>
      </w:pPr>
      <w:rPr>
        <w:rFonts w:ascii="Wingdings" w:hAnsi="Wingdings" w:hint="default"/>
      </w:rPr>
    </w:lvl>
    <w:lvl w:ilvl="6" w:tplc="2C0A0001" w:tentative="1">
      <w:start w:val="1"/>
      <w:numFmt w:val="bullet"/>
      <w:lvlText w:val=""/>
      <w:lvlJc w:val="left"/>
      <w:pPr>
        <w:ind w:left="5036" w:hanging="360"/>
      </w:pPr>
      <w:rPr>
        <w:rFonts w:ascii="Symbol" w:hAnsi="Symbol" w:hint="default"/>
      </w:rPr>
    </w:lvl>
    <w:lvl w:ilvl="7" w:tplc="2C0A0003" w:tentative="1">
      <w:start w:val="1"/>
      <w:numFmt w:val="bullet"/>
      <w:lvlText w:val="o"/>
      <w:lvlJc w:val="left"/>
      <w:pPr>
        <w:ind w:left="5756" w:hanging="360"/>
      </w:pPr>
      <w:rPr>
        <w:rFonts w:ascii="Courier New" w:hAnsi="Courier New" w:cs="Courier New" w:hint="default"/>
      </w:rPr>
    </w:lvl>
    <w:lvl w:ilvl="8" w:tplc="2C0A0005" w:tentative="1">
      <w:start w:val="1"/>
      <w:numFmt w:val="bullet"/>
      <w:lvlText w:val=""/>
      <w:lvlJc w:val="left"/>
      <w:pPr>
        <w:ind w:left="6476" w:hanging="360"/>
      </w:pPr>
      <w:rPr>
        <w:rFonts w:ascii="Wingdings" w:hAnsi="Wingdings" w:hint="default"/>
      </w:rPr>
    </w:lvl>
  </w:abstractNum>
  <w:abstractNum w:abstractNumId="7" w15:restartNumberingAfterBreak="0">
    <w:nsid w:val="0B01463D"/>
    <w:multiLevelType w:val="hybridMultilevel"/>
    <w:tmpl w:val="9202D220"/>
    <w:lvl w:ilvl="0" w:tplc="E1A622CA">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0E138CB"/>
    <w:multiLevelType w:val="hybridMultilevel"/>
    <w:tmpl w:val="73865012"/>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hint="default"/>
      </w:rPr>
    </w:lvl>
  </w:abstractNum>
  <w:abstractNum w:abstractNumId="9" w15:restartNumberingAfterBreak="0">
    <w:nsid w:val="184F34C2"/>
    <w:multiLevelType w:val="hybridMultilevel"/>
    <w:tmpl w:val="4CEEA7FC"/>
    <w:lvl w:ilvl="0" w:tplc="1518BEA2">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8831D58"/>
    <w:multiLevelType w:val="hybridMultilevel"/>
    <w:tmpl w:val="F76466C2"/>
    <w:lvl w:ilvl="0" w:tplc="2C0A000D">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1" w15:restartNumberingAfterBreak="0">
    <w:nsid w:val="1A9B7419"/>
    <w:multiLevelType w:val="hybridMultilevel"/>
    <w:tmpl w:val="7256C0E4"/>
    <w:lvl w:ilvl="0" w:tplc="2C0A0017">
      <w:start w:val="1"/>
      <w:numFmt w:val="lowerLetter"/>
      <w:lvlText w:val="%1)"/>
      <w:lvlJc w:val="left"/>
      <w:pPr>
        <w:tabs>
          <w:tab w:val="num" w:pos="720"/>
        </w:tabs>
        <w:ind w:left="720" w:hanging="360"/>
      </w:pPr>
    </w:lvl>
    <w:lvl w:ilvl="1" w:tplc="2C0A0019" w:tentative="1">
      <w:start w:val="1"/>
      <w:numFmt w:val="lowerLetter"/>
      <w:lvlText w:val="%2."/>
      <w:lvlJc w:val="left"/>
      <w:pPr>
        <w:tabs>
          <w:tab w:val="num" w:pos="1440"/>
        </w:tabs>
        <w:ind w:left="1440" w:hanging="360"/>
      </w:pPr>
    </w:lvl>
    <w:lvl w:ilvl="2" w:tplc="2C0A001B" w:tentative="1">
      <w:start w:val="1"/>
      <w:numFmt w:val="lowerRoman"/>
      <w:lvlText w:val="%3."/>
      <w:lvlJc w:val="right"/>
      <w:pPr>
        <w:tabs>
          <w:tab w:val="num" w:pos="2160"/>
        </w:tabs>
        <w:ind w:left="2160" w:hanging="180"/>
      </w:pPr>
    </w:lvl>
    <w:lvl w:ilvl="3" w:tplc="2C0A000F" w:tentative="1">
      <w:start w:val="1"/>
      <w:numFmt w:val="decimal"/>
      <w:lvlText w:val="%4."/>
      <w:lvlJc w:val="left"/>
      <w:pPr>
        <w:tabs>
          <w:tab w:val="num" w:pos="2880"/>
        </w:tabs>
        <w:ind w:left="2880" w:hanging="360"/>
      </w:pPr>
    </w:lvl>
    <w:lvl w:ilvl="4" w:tplc="2C0A0019" w:tentative="1">
      <w:start w:val="1"/>
      <w:numFmt w:val="lowerLetter"/>
      <w:lvlText w:val="%5."/>
      <w:lvlJc w:val="left"/>
      <w:pPr>
        <w:tabs>
          <w:tab w:val="num" w:pos="3600"/>
        </w:tabs>
        <w:ind w:left="3600" w:hanging="360"/>
      </w:pPr>
    </w:lvl>
    <w:lvl w:ilvl="5" w:tplc="2C0A001B" w:tentative="1">
      <w:start w:val="1"/>
      <w:numFmt w:val="lowerRoman"/>
      <w:lvlText w:val="%6."/>
      <w:lvlJc w:val="right"/>
      <w:pPr>
        <w:tabs>
          <w:tab w:val="num" w:pos="4320"/>
        </w:tabs>
        <w:ind w:left="4320" w:hanging="180"/>
      </w:pPr>
    </w:lvl>
    <w:lvl w:ilvl="6" w:tplc="2C0A000F" w:tentative="1">
      <w:start w:val="1"/>
      <w:numFmt w:val="decimal"/>
      <w:lvlText w:val="%7."/>
      <w:lvlJc w:val="left"/>
      <w:pPr>
        <w:tabs>
          <w:tab w:val="num" w:pos="5040"/>
        </w:tabs>
        <w:ind w:left="5040" w:hanging="360"/>
      </w:pPr>
    </w:lvl>
    <w:lvl w:ilvl="7" w:tplc="2C0A0019" w:tentative="1">
      <w:start w:val="1"/>
      <w:numFmt w:val="lowerLetter"/>
      <w:lvlText w:val="%8."/>
      <w:lvlJc w:val="left"/>
      <w:pPr>
        <w:tabs>
          <w:tab w:val="num" w:pos="5760"/>
        </w:tabs>
        <w:ind w:left="5760" w:hanging="360"/>
      </w:pPr>
    </w:lvl>
    <w:lvl w:ilvl="8" w:tplc="2C0A001B" w:tentative="1">
      <w:start w:val="1"/>
      <w:numFmt w:val="lowerRoman"/>
      <w:lvlText w:val="%9."/>
      <w:lvlJc w:val="right"/>
      <w:pPr>
        <w:tabs>
          <w:tab w:val="num" w:pos="6480"/>
        </w:tabs>
        <w:ind w:left="6480" w:hanging="180"/>
      </w:pPr>
    </w:lvl>
  </w:abstractNum>
  <w:abstractNum w:abstractNumId="12" w15:restartNumberingAfterBreak="0">
    <w:nsid w:val="1C964ACF"/>
    <w:multiLevelType w:val="hybridMultilevel"/>
    <w:tmpl w:val="4DD2D6A0"/>
    <w:lvl w:ilvl="0" w:tplc="580A0011">
      <w:start w:val="1"/>
      <w:numFmt w:val="decimal"/>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3" w15:restartNumberingAfterBreak="0">
    <w:nsid w:val="20E81565"/>
    <w:multiLevelType w:val="singleLevel"/>
    <w:tmpl w:val="E4E255E6"/>
    <w:lvl w:ilvl="0">
      <w:numFmt w:val="bullet"/>
      <w:lvlText w:val="-"/>
      <w:lvlJc w:val="left"/>
      <w:pPr>
        <w:tabs>
          <w:tab w:val="num" w:pos="360"/>
        </w:tabs>
        <w:ind w:left="360" w:hanging="360"/>
      </w:pPr>
      <w:rPr>
        <w:rFonts w:ascii="Times New Roman" w:hAnsi="Times New Roman" w:hint="default"/>
      </w:rPr>
    </w:lvl>
  </w:abstractNum>
  <w:abstractNum w:abstractNumId="14" w15:restartNumberingAfterBreak="0">
    <w:nsid w:val="218E07AD"/>
    <w:multiLevelType w:val="singleLevel"/>
    <w:tmpl w:val="A280987E"/>
    <w:lvl w:ilvl="0">
      <w:start w:val="1"/>
      <w:numFmt w:val="decimal"/>
      <w:lvlText w:val="%1."/>
      <w:lvlJc w:val="left"/>
      <w:pPr>
        <w:tabs>
          <w:tab w:val="num" w:pos="397"/>
        </w:tabs>
        <w:ind w:left="397" w:hanging="397"/>
      </w:pPr>
      <w:rPr>
        <w:rFonts w:ascii="Times New Roman" w:hAnsi="Times New Roman" w:hint="default"/>
        <w:b w:val="0"/>
        <w:i w:val="0"/>
        <w:sz w:val="24"/>
      </w:rPr>
    </w:lvl>
  </w:abstractNum>
  <w:abstractNum w:abstractNumId="15" w15:restartNumberingAfterBreak="0">
    <w:nsid w:val="28132A5D"/>
    <w:multiLevelType w:val="singleLevel"/>
    <w:tmpl w:val="ECD0ACAE"/>
    <w:lvl w:ilvl="0">
      <w:start w:val="1"/>
      <w:numFmt w:val="lowerLetter"/>
      <w:lvlText w:val="%1)"/>
      <w:lvlJc w:val="left"/>
      <w:pPr>
        <w:tabs>
          <w:tab w:val="num" w:pos="360"/>
        </w:tabs>
        <w:ind w:left="360" w:hanging="360"/>
      </w:pPr>
      <w:rPr>
        <w:rFonts w:ascii="Times New Roman" w:hAnsi="Times New Roman" w:hint="default"/>
        <w:b w:val="0"/>
        <w:i w:val="0"/>
        <w:sz w:val="24"/>
      </w:rPr>
    </w:lvl>
  </w:abstractNum>
  <w:abstractNum w:abstractNumId="16" w15:restartNumberingAfterBreak="0">
    <w:nsid w:val="29B8356F"/>
    <w:multiLevelType w:val="hybridMultilevel"/>
    <w:tmpl w:val="C33C766E"/>
    <w:lvl w:ilvl="0" w:tplc="04090017">
      <w:start w:val="1"/>
      <w:numFmt w:val="lowerLetter"/>
      <w:lvlText w:val="%1)"/>
      <w:lvlJc w:val="left"/>
      <w:pPr>
        <w:ind w:left="927" w:hanging="360"/>
      </w:pPr>
      <w:rPr>
        <w:rFonts w:hint="default"/>
      </w:rPr>
    </w:lvl>
    <w:lvl w:ilvl="1" w:tplc="2C0A0019" w:tentative="1">
      <w:start w:val="1"/>
      <w:numFmt w:val="lowerLetter"/>
      <w:lvlText w:val="%2."/>
      <w:lvlJc w:val="left"/>
      <w:pPr>
        <w:ind w:left="1647" w:hanging="360"/>
      </w:pPr>
    </w:lvl>
    <w:lvl w:ilvl="2" w:tplc="2C0A001B" w:tentative="1">
      <w:start w:val="1"/>
      <w:numFmt w:val="lowerRoman"/>
      <w:lvlText w:val="%3."/>
      <w:lvlJc w:val="right"/>
      <w:pPr>
        <w:ind w:left="2367" w:hanging="180"/>
      </w:pPr>
    </w:lvl>
    <w:lvl w:ilvl="3" w:tplc="2C0A000F" w:tentative="1">
      <w:start w:val="1"/>
      <w:numFmt w:val="decimal"/>
      <w:lvlText w:val="%4."/>
      <w:lvlJc w:val="left"/>
      <w:pPr>
        <w:ind w:left="3087" w:hanging="360"/>
      </w:pPr>
    </w:lvl>
    <w:lvl w:ilvl="4" w:tplc="2C0A0019" w:tentative="1">
      <w:start w:val="1"/>
      <w:numFmt w:val="lowerLetter"/>
      <w:lvlText w:val="%5."/>
      <w:lvlJc w:val="left"/>
      <w:pPr>
        <w:ind w:left="3807" w:hanging="360"/>
      </w:pPr>
    </w:lvl>
    <w:lvl w:ilvl="5" w:tplc="2C0A001B" w:tentative="1">
      <w:start w:val="1"/>
      <w:numFmt w:val="lowerRoman"/>
      <w:lvlText w:val="%6."/>
      <w:lvlJc w:val="right"/>
      <w:pPr>
        <w:ind w:left="4527" w:hanging="180"/>
      </w:pPr>
    </w:lvl>
    <w:lvl w:ilvl="6" w:tplc="2C0A000F" w:tentative="1">
      <w:start w:val="1"/>
      <w:numFmt w:val="decimal"/>
      <w:lvlText w:val="%7."/>
      <w:lvlJc w:val="left"/>
      <w:pPr>
        <w:ind w:left="5247" w:hanging="360"/>
      </w:pPr>
    </w:lvl>
    <w:lvl w:ilvl="7" w:tplc="2C0A0019" w:tentative="1">
      <w:start w:val="1"/>
      <w:numFmt w:val="lowerLetter"/>
      <w:lvlText w:val="%8."/>
      <w:lvlJc w:val="left"/>
      <w:pPr>
        <w:ind w:left="5967" w:hanging="360"/>
      </w:pPr>
    </w:lvl>
    <w:lvl w:ilvl="8" w:tplc="2C0A001B" w:tentative="1">
      <w:start w:val="1"/>
      <w:numFmt w:val="lowerRoman"/>
      <w:lvlText w:val="%9."/>
      <w:lvlJc w:val="right"/>
      <w:pPr>
        <w:ind w:left="6687" w:hanging="180"/>
      </w:pPr>
    </w:lvl>
  </w:abstractNum>
  <w:abstractNum w:abstractNumId="17" w15:restartNumberingAfterBreak="0">
    <w:nsid w:val="2A647433"/>
    <w:multiLevelType w:val="hybridMultilevel"/>
    <w:tmpl w:val="1D164452"/>
    <w:lvl w:ilvl="0" w:tplc="2C8C5BE0">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BD82EBA"/>
    <w:multiLevelType w:val="multilevel"/>
    <w:tmpl w:val="A2947F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6563CA9"/>
    <w:multiLevelType w:val="hybridMultilevel"/>
    <w:tmpl w:val="BF76CB62"/>
    <w:lvl w:ilvl="0" w:tplc="DAE06074">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66F6EBF"/>
    <w:multiLevelType w:val="hybridMultilevel"/>
    <w:tmpl w:val="C0EEF0F0"/>
    <w:lvl w:ilvl="0" w:tplc="39BEAA1E">
      <w:start w:val="1"/>
      <w:numFmt w:val="decimal"/>
      <w:lvlText w:val="%1-"/>
      <w:lvlJc w:val="left"/>
      <w:pPr>
        <w:ind w:left="720" w:hanging="360"/>
      </w:p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21" w15:restartNumberingAfterBreak="0">
    <w:nsid w:val="3793373A"/>
    <w:multiLevelType w:val="hybridMultilevel"/>
    <w:tmpl w:val="5412C718"/>
    <w:lvl w:ilvl="0" w:tplc="3D045466">
      <w:start w:val="1"/>
      <w:numFmt w:val="decimal"/>
      <w:lvlText w:val="%1-"/>
      <w:lvlJc w:val="left"/>
      <w:pPr>
        <w:ind w:left="720" w:hanging="360"/>
      </w:p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22" w15:restartNumberingAfterBreak="0">
    <w:nsid w:val="3B626717"/>
    <w:multiLevelType w:val="multilevel"/>
    <w:tmpl w:val="4E54512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AEC10D7"/>
    <w:multiLevelType w:val="multilevel"/>
    <w:tmpl w:val="91CE1F4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DA3194F"/>
    <w:multiLevelType w:val="multilevel"/>
    <w:tmpl w:val="5AC8109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28A39D8"/>
    <w:multiLevelType w:val="singleLevel"/>
    <w:tmpl w:val="A97A2412"/>
    <w:lvl w:ilvl="0">
      <w:start w:val="1"/>
      <w:numFmt w:val="decimal"/>
      <w:lvlText w:val="%1."/>
      <w:lvlJc w:val="left"/>
      <w:pPr>
        <w:tabs>
          <w:tab w:val="num" w:pos="435"/>
        </w:tabs>
        <w:ind w:left="435" w:hanging="435"/>
      </w:pPr>
      <w:rPr>
        <w:rFonts w:hint="default"/>
      </w:rPr>
    </w:lvl>
  </w:abstractNum>
  <w:abstractNum w:abstractNumId="26" w15:restartNumberingAfterBreak="0">
    <w:nsid w:val="549F298E"/>
    <w:multiLevelType w:val="multilevel"/>
    <w:tmpl w:val="2C0A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4F72306"/>
    <w:multiLevelType w:val="hybridMultilevel"/>
    <w:tmpl w:val="CE065720"/>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8" w15:restartNumberingAfterBreak="0">
    <w:nsid w:val="6C0C522D"/>
    <w:multiLevelType w:val="hybridMultilevel"/>
    <w:tmpl w:val="4C6AEA10"/>
    <w:lvl w:ilvl="0" w:tplc="E7D69FB4">
      <w:start w:val="1"/>
      <w:numFmt w:val="lowerLetter"/>
      <w:lvlText w:val="%1)"/>
      <w:lvlJc w:val="left"/>
      <w:pPr>
        <w:ind w:left="1760" w:hanging="360"/>
      </w:pPr>
      <w:rPr>
        <w:rFonts w:hint="default"/>
      </w:rPr>
    </w:lvl>
    <w:lvl w:ilvl="1" w:tplc="2C0A0019" w:tentative="1">
      <w:start w:val="1"/>
      <w:numFmt w:val="lowerLetter"/>
      <w:lvlText w:val="%2."/>
      <w:lvlJc w:val="left"/>
      <w:pPr>
        <w:ind w:left="2480" w:hanging="360"/>
      </w:pPr>
    </w:lvl>
    <w:lvl w:ilvl="2" w:tplc="2C0A001B" w:tentative="1">
      <w:start w:val="1"/>
      <w:numFmt w:val="lowerRoman"/>
      <w:lvlText w:val="%3."/>
      <w:lvlJc w:val="right"/>
      <w:pPr>
        <w:ind w:left="3200" w:hanging="180"/>
      </w:pPr>
    </w:lvl>
    <w:lvl w:ilvl="3" w:tplc="2C0A000F" w:tentative="1">
      <w:start w:val="1"/>
      <w:numFmt w:val="decimal"/>
      <w:lvlText w:val="%4."/>
      <w:lvlJc w:val="left"/>
      <w:pPr>
        <w:ind w:left="3920" w:hanging="360"/>
      </w:pPr>
    </w:lvl>
    <w:lvl w:ilvl="4" w:tplc="2C0A0019" w:tentative="1">
      <w:start w:val="1"/>
      <w:numFmt w:val="lowerLetter"/>
      <w:lvlText w:val="%5."/>
      <w:lvlJc w:val="left"/>
      <w:pPr>
        <w:ind w:left="4640" w:hanging="360"/>
      </w:pPr>
    </w:lvl>
    <w:lvl w:ilvl="5" w:tplc="2C0A001B" w:tentative="1">
      <w:start w:val="1"/>
      <w:numFmt w:val="lowerRoman"/>
      <w:lvlText w:val="%6."/>
      <w:lvlJc w:val="right"/>
      <w:pPr>
        <w:ind w:left="5360" w:hanging="180"/>
      </w:pPr>
    </w:lvl>
    <w:lvl w:ilvl="6" w:tplc="2C0A000F" w:tentative="1">
      <w:start w:val="1"/>
      <w:numFmt w:val="decimal"/>
      <w:lvlText w:val="%7."/>
      <w:lvlJc w:val="left"/>
      <w:pPr>
        <w:ind w:left="6080" w:hanging="360"/>
      </w:pPr>
    </w:lvl>
    <w:lvl w:ilvl="7" w:tplc="2C0A0019" w:tentative="1">
      <w:start w:val="1"/>
      <w:numFmt w:val="lowerLetter"/>
      <w:lvlText w:val="%8."/>
      <w:lvlJc w:val="left"/>
      <w:pPr>
        <w:ind w:left="6800" w:hanging="360"/>
      </w:pPr>
    </w:lvl>
    <w:lvl w:ilvl="8" w:tplc="2C0A001B" w:tentative="1">
      <w:start w:val="1"/>
      <w:numFmt w:val="lowerRoman"/>
      <w:lvlText w:val="%9."/>
      <w:lvlJc w:val="right"/>
      <w:pPr>
        <w:ind w:left="7520" w:hanging="180"/>
      </w:pPr>
    </w:lvl>
  </w:abstractNum>
  <w:abstractNum w:abstractNumId="29" w15:restartNumberingAfterBreak="0">
    <w:nsid w:val="6F1847BD"/>
    <w:multiLevelType w:val="hybridMultilevel"/>
    <w:tmpl w:val="D9843448"/>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hint="default"/>
      </w:rPr>
    </w:lvl>
  </w:abstractNum>
  <w:abstractNum w:abstractNumId="30" w15:restartNumberingAfterBreak="0">
    <w:nsid w:val="70751088"/>
    <w:multiLevelType w:val="hybridMultilevel"/>
    <w:tmpl w:val="E5BCFAD0"/>
    <w:lvl w:ilvl="0" w:tplc="221CE028">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1" w15:restartNumberingAfterBreak="0">
    <w:nsid w:val="721D109E"/>
    <w:multiLevelType w:val="hybridMultilevel"/>
    <w:tmpl w:val="5AF85FFA"/>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2" w15:restartNumberingAfterBreak="0">
    <w:nsid w:val="77066557"/>
    <w:multiLevelType w:val="hybridMultilevel"/>
    <w:tmpl w:val="020E0C0A"/>
    <w:lvl w:ilvl="0" w:tplc="2C0A0005">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3" w15:restartNumberingAfterBreak="0">
    <w:nsid w:val="77461C20"/>
    <w:multiLevelType w:val="hybridMultilevel"/>
    <w:tmpl w:val="3A089CA2"/>
    <w:lvl w:ilvl="0" w:tplc="1518BEA2">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7760622D"/>
    <w:multiLevelType w:val="multilevel"/>
    <w:tmpl w:val="6658C91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B147698"/>
    <w:multiLevelType w:val="hybridMultilevel"/>
    <w:tmpl w:val="00F29D84"/>
    <w:lvl w:ilvl="0" w:tplc="1518BEA2">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7BA652F2"/>
    <w:multiLevelType w:val="hybridMultilevel"/>
    <w:tmpl w:val="C33C766E"/>
    <w:lvl w:ilvl="0" w:tplc="04090017">
      <w:start w:val="1"/>
      <w:numFmt w:val="lowerLetter"/>
      <w:lvlText w:val="%1)"/>
      <w:lvlJc w:val="left"/>
      <w:pPr>
        <w:ind w:left="927" w:hanging="360"/>
      </w:pPr>
      <w:rPr>
        <w:rFonts w:hint="default"/>
      </w:rPr>
    </w:lvl>
    <w:lvl w:ilvl="1" w:tplc="2C0A0019" w:tentative="1">
      <w:start w:val="1"/>
      <w:numFmt w:val="lowerLetter"/>
      <w:lvlText w:val="%2."/>
      <w:lvlJc w:val="left"/>
      <w:pPr>
        <w:ind w:left="1647" w:hanging="360"/>
      </w:pPr>
    </w:lvl>
    <w:lvl w:ilvl="2" w:tplc="2C0A001B" w:tentative="1">
      <w:start w:val="1"/>
      <w:numFmt w:val="lowerRoman"/>
      <w:lvlText w:val="%3."/>
      <w:lvlJc w:val="right"/>
      <w:pPr>
        <w:ind w:left="2367" w:hanging="180"/>
      </w:pPr>
    </w:lvl>
    <w:lvl w:ilvl="3" w:tplc="2C0A000F" w:tentative="1">
      <w:start w:val="1"/>
      <w:numFmt w:val="decimal"/>
      <w:lvlText w:val="%4."/>
      <w:lvlJc w:val="left"/>
      <w:pPr>
        <w:ind w:left="3087" w:hanging="360"/>
      </w:pPr>
    </w:lvl>
    <w:lvl w:ilvl="4" w:tplc="2C0A0019" w:tentative="1">
      <w:start w:val="1"/>
      <w:numFmt w:val="lowerLetter"/>
      <w:lvlText w:val="%5."/>
      <w:lvlJc w:val="left"/>
      <w:pPr>
        <w:ind w:left="3807" w:hanging="360"/>
      </w:pPr>
    </w:lvl>
    <w:lvl w:ilvl="5" w:tplc="2C0A001B" w:tentative="1">
      <w:start w:val="1"/>
      <w:numFmt w:val="lowerRoman"/>
      <w:lvlText w:val="%6."/>
      <w:lvlJc w:val="right"/>
      <w:pPr>
        <w:ind w:left="4527" w:hanging="180"/>
      </w:pPr>
    </w:lvl>
    <w:lvl w:ilvl="6" w:tplc="2C0A000F" w:tentative="1">
      <w:start w:val="1"/>
      <w:numFmt w:val="decimal"/>
      <w:lvlText w:val="%7."/>
      <w:lvlJc w:val="left"/>
      <w:pPr>
        <w:ind w:left="5247" w:hanging="360"/>
      </w:pPr>
    </w:lvl>
    <w:lvl w:ilvl="7" w:tplc="2C0A0019" w:tentative="1">
      <w:start w:val="1"/>
      <w:numFmt w:val="lowerLetter"/>
      <w:lvlText w:val="%8."/>
      <w:lvlJc w:val="left"/>
      <w:pPr>
        <w:ind w:left="5967" w:hanging="360"/>
      </w:pPr>
    </w:lvl>
    <w:lvl w:ilvl="8" w:tplc="2C0A001B" w:tentative="1">
      <w:start w:val="1"/>
      <w:numFmt w:val="lowerRoman"/>
      <w:lvlText w:val="%9."/>
      <w:lvlJc w:val="right"/>
      <w:pPr>
        <w:ind w:left="6687" w:hanging="180"/>
      </w:pPr>
    </w:lvl>
  </w:abstractNum>
  <w:abstractNum w:abstractNumId="37" w15:restartNumberingAfterBreak="0">
    <w:nsid w:val="7D544C29"/>
    <w:multiLevelType w:val="hybridMultilevel"/>
    <w:tmpl w:val="65328BD4"/>
    <w:lvl w:ilvl="0" w:tplc="221CE028">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616328639">
    <w:abstractNumId w:val="25"/>
  </w:num>
  <w:num w:numId="2" w16cid:durableId="1843469638">
    <w:abstractNumId w:val="13"/>
  </w:num>
  <w:num w:numId="3" w16cid:durableId="1397775143">
    <w:abstractNumId w:val="5"/>
  </w:num>
  <w:num w:numId="4" w16cid:durableId="205407714">
    <w:abstractNumId w:val="14"/>
  </w:num>
  <w:num w:numId="5" w16cid:durableId="478035271">
    <w:abstractNumId w:val="15"/>
  </w:num>
  <w:num w:numId="6" w16cid:durableId="1118643325">
    <w:abstractNumId w:val="35"/>
  </w:num>
  <w:num w:numId="7" w16cid:durableId="316501378">
    <w:abstractNumId w:val="33"/>
  </w:num>
  <w:num w:numId="8" w16cid:durableId="519126598">
    <w:abstractNumId w:val="19"/>
  </w:num>
  <w:num w:numId="9" w16cid:durableId="150945429">
    <w:abstractNumId w:val="9"/>
  </w:num>
  <w:num w:numId="10" w16cid:durableId="386221455">
    <w:abstractNumId w:val="37"/>
  </w:num>
  <w:num w:numId="11" w16cid:durableId="662978252">
    <w:abstractNumId w:val="30"/>
  </w:num>
  <w:num w:numId="12" w16cid:durableId="1661499089">
    <w:abstractNumId w:val="7"/>
  </w:num>
  <w:num w:numId="13" w16cid:durableId="883715843">
    <w:abstractNumId w:val="17"/>
  </w:num>
  <w:num w:numId="14" w16cid:durableId="608660198">
    <w:abstractNumId w:val="11"/>
  </w:num>
  <w:num w:numId="15" w16cid:durableId="627735108">
    <w:abstractNumId w:val="3"/>
  </w:num>
  <w:num w:numId="16" w16cid:durableId="2024159512">
    <w:abstractNumId w:val="36"/>
  </w:num>
  <w:num w:numId="17" w16cid:durableId="634455738">
    <w:abstractNumId w:val="16"/>
  </w:num>
  <w:num w:numId="18" w16cid:durableId="1206025912">
    <w:abstractNumId w:val="0"/>
  </w:num>
  <w:num w:numId="19" w16cid:durableId="1526091989">
    <w:abstractNumId w:val="2"/>
  </w:num>
  <w:num w:numId="20" w16cid:durableId="434138982">
    <w:abstractNumId w:val="4"/>
  </w:num>
  <w:num w:numId="21" w16cid:durableId="247144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29903386">
    <w:abstractNumId w:val="10"/>
  </w:num>
  <w:num w:numId="23" w16cid:durableId="1450705800">
    <w:abstractNumId w:val="12"/>
  </w:num>
  <w:num w:numId="24" w16cid:durableId="487746789">
    <w:abstractNumId w:val="27"/>
  </w:num>
  <w:num w:numId="25" w16cid:durableId="1583953521">
    <w:abstractNumId w:val="26"/>
  </w:num>
  <w:num w:numId="26" w16cid:durableId="1338995821">
    <w:abstractNumId w:val="29"/>
  </w:num>
  <w:num w:numId="27" w16cid:durableId="1313488204">
    <w:abstractNumId w:val="28"/>
  </w:num>
  <w:num w:numId="28" w16cid:durableId="1501970453">
    <w:abstractNumId w:val="6"/>
  </w:num>
  <w:num w:numId="29" w16cid:durableId="807666066">
    <w:abstractNumId w:val="31"/>
  </w:num>
  <w:num w:numId="30" w16cid:durableId="161698630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425569525">
    <w:abstractNumId w:val="32"/>
  </w:num>
  <w:num w:numId="32" w16cid:durableId="1372343698">
    <w:abstractNumId w:val="24"/>
  </w:num>
  <w:num w:numId="33" w16cid:durableId="2033453966">
    <w:abstractNumId w:val="34"/>
  </w:num>
  <w:num w:numId="34" w16cid:durableId="295189133">
    <w:abstractNumId w:val="18"/>
  </w:num>
  <w:num w:numId="35" w16cid:durableId="519130036">
    <w:abstractNumId w:val="23"/>
  </w:num>
  <w:num w:numId="36" w16cid:durableId="787552488">
    <w:abstractNumId w:val="22"/>
  </w:num>
  <w:num w:numId="37" w16cid:durableId="789588657">
    <w:abstractNumId w:val="8"/>
  </w:num>
  <w:num w:numId="38" w16cid:durableId="284236547">
    <w:abstractNumId w:val="24"/>
  </w:num>
  <w:num w:numId="39" w16cid:durableId="45687323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pt-BR" w:vendorID="64" w:dllVersion="6" w:nlCheck="1" w:checkStyle="0"/>
  <w:activeWritingStyle w:appName="MSWord" w:lang="es-AR" w:vendorID="64" w:dllVersion="6" w:nlCheck="1" w:checkStyle="1"/>
  <w:activeWritingStyle w:appName="MSWord" w:lang="es-ES_tradnl" w:vendorID="64" w:dllVersion="6" w:nlCheck="1" w:checkStyle="1"/>
  <w:activeWritingStyle w:appName="MSWord" w:lang="es-ES" w:vendorID="64" w:dllVersion="6" w:nlCheck="1" w:checkStyle="1"/>
  <w:activeWritingStyle w:appName="MSWord" w:lang="es-ES_tradnl" w:vendorID="64" w:dllVersion="0" w:nlCheck="1" w:checkStyle="0"/>
  <w:activeWritingStyle w:appName="MSWord" w:lang="pt-BR" w:vendorID="64" w:dllVersion="0" w:nlCheck="1" w:checkStyle="0"/>
  <w:activeWritingStyle w:appName="MSWord" w:lang="es-AR" w:vendorID="64" w:dllVersion="0" w:nlCheck="1" w:checkStyle="0"/>
  <w:activeWritingStyle w:appName="MSWord" w:lang="es-ES" w:vendorID="64" w:dllVersion="0" w:nlCheck="1" w:checkStyle="0"/>
  <w:activeWritingStyle w:appName="MSWord" w:lang="es-419" w:vendorID="64" w:dllVersion="0" w:nlCheck="1" w:checkStyle="0"/>
  <w:activeWritingStyle w:appName="MSWord" w:lang="es-MX"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7A2E"/>
    <w:rsid w:val="00031A55"/>
    <w:rsid w:val="000351EB"/>
    <w:rsid w:val="00041C71"/>
    <w:rsid w:val="000508FE"/>
    <w:rsid w:val="00050E6E"/>
    <w:rsid w:val="0005257B"/>
    <w:rsid w:val="00056FE4"/>
    <w:rsid w:val="000633D9"/>
    <w:rsid w:val="00066D57"/>
    <w:rsid w:val="00067144"/>
    <w:rsid w:val="00070F91"/>
    <w:rsid w:val="00082E34"/>
    <w:rsid w:val="00085E28"/>
    <w:rsid w:val="000A51D0"/>
    <w:rsid w:val="000A6016"/>
    <w:rsid w:val="000B233E"/>
    <w:rsid w:val="000B4812"/>
    <w:rsid w:val="000D446B"/>
    <w:rsid w:val="000E4B02"/>
    <w:rsid w:val="0011319B"/>
    <w:rsid w:val="00130CE9"/>
    <w:rsid w:val="001379BB"/>
    <w:rsid w:val="00154F01"/>
    <w:rsid w:val="00157C7E"/>
    <w:rsid w:val="00161A14"/>
    <w:rsid w:val="001658FB"/>
    <w:rsid w:val="00173FAA"/>
    <w:rsid w:val="00186A29"/>
    <w:rsid w:val="001A140F"/>
    <w:rsid w:val="001A47BC"/>
    <w:rsid w:val="001E247B"/>
    <w:rsid w:val="001E4C9F"/>
    <w:rsid w:val="00211275"/>
    <w:rsid w:val="0021323D"/>
    <w:rsid w:val="00233FB1"/>
    <w:rsid w:val="00241570"/>
    <w:rsid w:val="00251D49"/>
    <w:rsid w:val="00255B28"/>
    <w:rsid w:val="002562B3"/>
    <w:rsid w:val="00262D74"/>
    <w:rsid w:val="0029117F"/>
    <w:rsid w:val="002923DA"/>
    <w:rsid w:val="00295821"/>
    <w:rsid w:val="002A660E"/>
    <w:rsid w:val="002B5B09"/>
    <w:rsid w:val="002B72E4"/>
    <w:rsid w:val="002C3F03"/>
    <w:rsid w:val="002D1646"/>
    <w:rsid w:val="002F6947"/>
    <w:rsid w:val="0030148F"/>
    <w:rsid w:val="00315D38"/>
    <w:rsid w:val="003419AE"/>
    <w:rsid w:val="003426EE"/>
    <w:rsid w:val="00353489"/>
    <w:rsid w:val="003625DE"/>
    <w:rsid w:val="003637F5"/>
    <w:rsid w:val="00365DE6"/>
    <w:rsid w:val="00372BEB"/>
    <w:rsid w:val="00385971"/>
    <w:rsid w:val="00391FA4"/>
    <w:rsid w:val="003B4AF9"/>
    <w:rsid w:val="003C1572"/>
    <w:rsid w:val="003C2CF5"/>
    <w:rsid w:val="003D5BAA"/>
    <w:rsid w:val="003E036A"/>
    <w:rsid w:val="003E2A14"/>
    <w:rsid w:val="003E513F"/>
    <w:rsid w:val="003E5328"/>
    <w:rsid w:val="003E58A2"/>
    <w:rsid w:val="003F0341"/>
    <w:rsid w:val="00412106"/>
    <w:rsid w:val="0041232F"/>
    <w:rsid w:val="0041262A"/>
    <w:rsid w:val="0041479C"/>
    <w:rsid w:val="00424DDF"/>
    <w:rsid w:val="00432584"/>
    <w:rsid w:val="00436523"/>
    <w:rsid w:val="004375A3"/>
    <w:rsid w:val="00447282"/>
    <w:rsid w:val="004547B2"/>
    <w:rsid w:val="00457A2E"/>
    <w:rsid w:val="004601EE"/>
    <w:rsid w:val="004A36FD"/>
    <w:rsid w:val="004B30B0"/>
    <w:rsid w:val="004D3B45"/>
    <w:rsid w:val="004D4C2C"/>
    <w:rsid w:val="004E5C73"/>
    <w:rsid w:val="00505E71"/>
    <w:rsid w:val="005102E6"/>
    <w:rsid w:val="00537D39"/>
    <w:rsid w:val="00545080"/>
    <w:rsid w:val="005514D1"/>
    <w:rsid w:val="00553CAA"/>
    <w:rsid w:val="00557ED8"/>
    <w:rsid w:val="00587832"/>
    <w:rsid w:val="005A74C6"/>
    <w:rsid w:val="005C1C83"/>
    <w:rsid w:val="005D2E88"/>
    <w:rsid w:val="005E1909"/>
    <w:rsid w:val="005F0D6E"/>
    <w:rsid w:val="005F69A3"/>
    <w:rsid w:val="00601830"/>
    <w:rsid w:val="00602EAD"/>
    <w:rsid w:val="00617EFF"/>
    <w:rsid w:val="006243CD"/>
    <w:rsid w:val="00626E74"/>
    <w:rsid w:val="00631B4A"/>
    <w:rsid w:val="00633993"/>
    <w:rsid w:val="00635850"/>
    <w:rsid w:val="00646A96"/>
    <w:rsid w:val="00655F9B"/>
    <w:rsid w:val="0065660C"/>
    <w:rsid w:val="0066069E"/>
    <w:rsid w:val="006666F2"/>
    <w:rsid w:val="0067357A"/>
    <w:rsid w:val="006B32DC"/>
    <w:rsid w:val="006C0FDD"/>
    <w:rsid w:val="006C3DA2"/>
    <w:rsid w:val="006C75BE"/>
    <w:rsid w:val="006D0B77"/>
    <w:rsid w:val="006D1077"/>
    <w:rsid w:val="006F6536"/>
    <w:rsid w:val="007001AC"/>
    <w:rsid w:val="0071028C"/>
    <w:rsid w:val="007105DD"/>
    <w:rsid w:val="00731863"/>
    <w:rsid w:val="00744A6C"/>
    <w:rsid w:val="00764E8B"/>
    <w:rsid w:val="007707FE"/>
    <w:rsid w:val="00776441"/>
    <w:rsid w:val="0078681F"/>
    <w:rsid w:val="007A16B3"/>
    <w:rsid w:val="007A6303"/>
    <w:rsid w:val="007A6839"/>
    <w:rsid w:val="007A6D4E"/>
    <w:rsid w:val="007B3850"/>
    <w:rsid w:val="007B68BF"/>
    <w:rsid w:val="007C7223"/>
    <w:rsid w:val="007D0C52"/>
    <w:rsid w:val="007E0A07"/>
    <w:rsid w:val="007E7B39"/>
    <w:rsid w:val="007F186E"/>
    <w:rsid w:val="00800F56"/>
    <w:rsid w:val="00830CAB"/>
    <w:rsid w:val="00831B3F"/>
    <w:rsid w:val="00833FAE"/>
    <w:rsid w:val="00843328"/>
    <w:rsid w:val="00845085"/>
    <w:rsid w:val="00877DEB"/>
    <w:rsid w:val="008906ED"/>
    <w:rsid w:val="00897B8F"/>
    <w:rsid w:val="008B2348"/>
    <w:rsid w:val="008B7E1E"/>
    <w:rsid w:val="008C4C66"/>
    <w:rsid w:val="008E3491"/>
    <w:rsid w:val="008E4031"/>
    <w:rsid w:val="008E4622"/>
    <w:rsid w:val="008F3371"/>
    <w:rsid w:val="0090189A"/>
    <w:rsid w:val="00914788"/>
    <w:rsid w:val="00927397"/>
    <w:rsid w:val="00937D84"/>
    <w:rsid w:val="009645E1"/>
    <w:rsid w:val="009972E7"/>
    <w:rsid w:val="009A642E"/>
    <w:rsid w:val="009C06F2"/>
    <w:rsid w:val="009C07B1"/>
    <w:rsid w:val="009D4838"/>
    <w:rsid w:val="009E7460"/>
    <w:rsid w:val="00A00F2D"/>
    <w:rsid w:val="00A047AA"/>
    <w:rsid w:val="00A10E0E"/>
    <w:rsid w:val="00A13719"/>
    <w:rsid w:val="00A27970"/>
    <w:rsid w:val="00A360B6"/>
    <w:rsid w:val="00A44BB1"/>
    <w:rsid w:val="00A545CA"/>
    <w:rsid w:val="00A5594A"/>
    <w:rsid w:val="00A81E42"/>
    <w:rsid w:val="00A81E50"/>
    <w:rsid w:val="00AA6B22"/>
    <w:rsid w:val="00AB125D"/>
    <w:rsid w:val="00AD5FFF"/>
    <w:rsid w:val="00AF044F"/>
    <w:rsid w:val="00AF5C6C"/>
    <w:rsid w:val="00B00078"/>
    <w:rsid w:val="00B03C4E"/>
    <w:rsid w:val="00B34D22"/>
    <w:rsid w:val="00B34D3E"/>
    <w:rsid w:val="00B47440"/>
    <w:rsid w:val="00B52316"/>
    <w:rsid w:val="00B80447"/>
    <w:rsid w:val="00B80FAD"/>
    <w:rsid w:val="00B90D96"/>
    <w:rsid w:val="00B90EA8"/>
    <w:rsid w:val="00B91C64"/>
    <w:rsid w:val="00B949B5"/>
    <w:rsid w:val="00BA0C25"/>
    <w:rsid w:val="00BE04E4"/>
    <w:rsid w:val="00BF118E"/>
    <w:rsid w:val="00BF4D80"/>
    <w:rsid w:val="00C10915"/>
    <w:rsid w:val="00C12B46"/>
    <w:rsid w:val="00C42EA8"/>
    <w:rsid w:val="00C47C3D"/>
    <w:rsid w:val="00C5626C"/>
    <w:rsid w:val="00C66835"/>
    <w:rsid w:val="00C70652"/>
    <w:rsid w:val="00C706BF"/>
    <w:rsid w:val="00C77BD1"/>
    <w:rsid w:val="00C85BE6"/>
    <w:rsid w:val="00CA0620"/>
    <w:rsid w:val="00CB0839"/>
    <w:rsid w:val="00CB3518"/>
    <w:rsid w:val="00CD19A6"/>
    <w:rsid w:val="00CD3751"/>
    <w:rsid w:val="00CF656B"/>
    <w:rsid w:val="00D044E4"/>
    <w:rsid w:val="00D14F40"/>
    <w:rsid w:val="00D23444"/>
    <w:rsid w:val="00D3308D"/>
    <w:rsid w:val="00D42013"/>
    <w:rsid w:val="00D64B32"/>
    <w:rsid w:val="00D67668"/>
    <w:rsid w:val="00D72EC0"/>
    <w:rsid w:val="00D73062"/>
    <w:rsid w:val="00D80A0D"/>
    <w:rsid w:val="00D82872"/>
    <w:rsid w:val="00D91ACD"/>
    <w:rsid w:val="00D93B4C"/>
    <w:rsid w:val="00D97CCE"/>
    <w:rsid w:val="00DA6512"/>
    <w:rsid w:val="00DA762F"/>
    <w:rsid w:val="00DB1A9C"/>
    <w:rsid w:val="00DB27AB"/>
    <w:rsid w:val="00DE048A"/>
    <w:rsid w:val="00DF38A6"/>
    <w:rsid w:val="00E33A56"/>
    <w:rsid w:val="00E40590"/>
    <w:rsid w:val="00E440B0"/>
    <w:rsid w:val="00E56D47"/>
    <w:rsid w:val="00E80EB4"/>
    <w:rsid w:val="00E8144B"/>
    <w:rsid w:val="00E82536"/>
    <w:rsid w:val="00E95155"/>
    <w:rsid w:val="00EA476A"/>
    <w:rsid w:val="00EA4829"/>
    <w:rsid w:val="00EB5B2D"/>
    <w:rsid w:val="00EE071E"/>
    <w:rsid w:val="00EE15FB"/>
    <w:rsid w:val="00EE64B1"/>
    <w:rsid w:val="00F34FF1"/>
    <w:rsid w:val="00F40172"/>
    <w:rsid w:val="00F52D43"/>
    <w:rsid w:val="00F53263"/>
    <w:rsid w:val="00F70763"/>
    <w:rsid w:val="00F81213"/>
    <w:rsid w:val="00F942C9"/>
    <w:rsid w:val="00FB6F91"/>
    <w:rsid w:val="00FC4171"/>
    <w:rsid w:val="00FC438A"/>
    <w:rsid w:val="00FE13FD"/>
    <w:rsid w:val="00FF26E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1D196B"/>
  <w15:chartTrackingRefBased/>
  <w15:docId w15:val="{BC3A9100-3DD2-422F-99C2-0CF5A0C48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376">
    <w:lsdException w:name="Normal" w:qFormat="1"/>
    <w:lsdException w:name="heading 1" w:uiPriority="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es-ES_tradnl" w:eastAsia="es-ES"/>
    </w:rPr>
  </w:style>
  <w:style w:type="paragraph" w:styleId="Ttulo1">
    <w:name w:val="heading 1"/>
    <w:basedOn w:val="Normal"/>
    <w:next w:val="Normal"/>
    <w:link w:val="Ttulo1Car"/>
    <w:uiPriority w:val="1"/>
    <w:qFormat/>
    <w:pPr>
      <w:keepNext/>
      <w:outlineLvl w:val="0"/>
    </w:pPr>
    <w:rPr>
      <w:sz w:val="24"/>
      <w:u w:val="single"/>
      <w:lang w:val="es-AR"/>
    </w:rPr>
  </w:style>
  <w:style w:type="paragraph" w:styleId="Ttulo2">
    <w:name w:val="heading 2"/>
    <w:basedOn w:val="Normal"/>
    <w:next w:val="Normal"/>
    <w:link w:val="Ttulo2Car"/>
    <w:qFormat/>
    <w:pPr>
      <w:keepNext/>
      <w:jc w:val="both"/>
      <w:outlineLvl w:val="1"/>
    </w:pPr>
    <w:rPr>
      <w:sz w:val="24"/>
      <w:u w:val="single"/>
      <w:lang w:val="es-AR"/>
    </w:rPr>
  </w:style>
  <w:style w:type="paragraph" w:styleId="Ttulo3">
    <w:name w:val="heading 3"/>
    <w:basedOn w:val="Normal"/>
    <w:next w:val="Normal"/>
    <w:link w:val="Ttulo3Car"/>
    <w:qFormat/>
    <w:pPr>
      <w:keepNext/>
      <w:widowControl w:val="0"/>
      <w:jc w:val="both"/>
      <w:outlineLvl w:val="2"/>
    </w:pPr>
    <w:rPr>
      <w:rFonts w:ascii="Roman" w:hAnsi="Roman"/>
      <w:sz w:val="24"/>
    </w:rPr>
  </w:style>
  <w:style w:type="paragraph" w:styleId="Ttulo4">
    <w:name w:val="heading 4"/>
    <w:basedOn w:val="Normal"/>
    <w:next w:val="Normal"/>
    <w:link w:val="Ttulo4Car"/>
    <w:qFormat/>
    <w:pPr>
      <w:keepNext/>
      <w:outlineLvl w:val="3"/>
    </w:pPr>
    <w:rPr>
      <w:sz w:val="24"/>
      <w:lang w:val="es-AR"/>
    </w:rPr>
  </w:style>
  <w:style w:type="paragraph" w:styleId="Ttulo9">
    <w:name w:val="heading 9"/>
    <w:basedOn w:val="Normal"/>
    <w:next w:val="Normal"/>
    <w:link w:val="Ttulo9Car"/>
    <w:qFormat/>
    <w:pPr>
      <w:keepNext/>
      <w:tabs>
        <w:tab w:val="left" w:pos="-1440"/>
        <w:tab w:val="left" w:pos="-720"/>
        <w:tab w:val="left" w:pos="0"/>
        <w:tab w:val="left" w:pos="339"/>
        <w:tab w:val="left" w:pos="720"/>
      </w:tabs>
      <w:jc w:val="both"/>
      <w:outlineLvl w:val="8"/>
    </w:pPr>
    <w:rPr>
      <w:sz w:val="24"/>
      <w:u w:val="single"/>
      <w:lang w:val="es-AR"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notaalpie">
    <w:name w:val="footnote reference"/>
    <w:basedOn w:val="Fuentedeprrafopredeter"/>
    <w:semiHidden/>
  </w:style>
  <w:style w:type="paragraph" w:styleId="Textoindependiente">
    <w:name w:val="Body Text"/>
    <w:basedOn w:val="Normal"/>
    <w:link w:val="TextoindependienteCar"/>
    <w:pPr>
      <w:jc w:val="both"/>
    </w:pPr>
    <w:rPr>
      <w:sz w:val="24"/>
      <w:lang w:val="es-AR"/>
    </w:rPr>
  </w:style>
  <w:style w:type="paragraph" w:styleId="Sangradetextonormal">
    <w:name w:val="Body Text Indent"/>
    <w:basedOn w:val="Normal"/>
    <w:link w:val="SangradetextonormalCar"/>
    <w:pPr>
      <w:ind w:left="435"/>
      <w:jc w:val="both"/>
    </w:pPr>
    <w:rPr>
      <w:rFonts w:ascii="Courier New" w:hAnsi="Courier New"/>
      <w:sz w:val="24"/>
      <w:lang w:val="es-AR"/>
    </w:rPr>
  </w:style>
  <w:style w:type="paragraph" w:styleId="Textoindependiente2">
    <w:name w:val="Body Text 2"/>
    <w:basedOn w:val="Normal"/>
    <w:link w:val="Textoindependiente2Car"/>
    <w:pPr>
      <w:jc w:val="center"/>
    </w:pPr>
    <w:rPr>
      <w:sz w:val="16"/>
      <w:lang w:eastAsia="en-US"/>
    </w:rPr>
  </w:style>
  <w:style w:type="paragraph" w:customStyle="1" w:styleId="Textodetabla">
    <w:name w:val="Texto de tabla"/>
    <w:basedOn w:val="Normal"/>
    <w:pPr>
      <w:tabs>
        <w:tab w:val="decimal"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pPr>
    <w:rPr>
      <w:rFonts w:ascii="Arial" w:hAnsi="Arial"/>
      <w:lang w:val="en-US" w:eastAsia="en-US"/>
    </w:rPr>
  </w:style>
  <w:style w:type="paragraph" w:styleId="Piedepgina">
    <w:name w:val="footer"/>
    <w:basedOn w:val="Normal"/>
    <w:link w:val="PiedepginaCar"/>
    <w:uiPriority w:val="99"/>
    <w:pPr>
      <w:tabs>
        <w:tab w:val="center" w:pos="4252"/>
        <w:tab w:val="right" w:pos="8504"/>
      </w:tabs>
    </w:pPr>
    <w:rPr>
      <w:rFonts w:ascii="Courier" w:hAnsi="Courier"/>
      <w:sz w:val="24"/>
      <w:lang w:eastAsia="en-US"/>
    </w:rPr>
  </w:style>
  <w:style w:type="paragraph" w:customStyle="1" w:styleId="Textopredeterminado">
    <w:name w:val="Texto predeterminado"/>
    <w:basedOn w:val="Normal"/>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both"/>
    </w:pPr>
    <w:rPr>
      <w:rFonts w:ascii="Arial" w:hAnsi="Arial"/>
      <w:sz w:val="24"/>
      <w:lang w:val="en-US" w:eastAsia="en-US"/>
    </w:rPr>
  </w:style>
  <w:style w:type="paragraph" w:styleId="Sangra2detindependiente">
    <w:name w:val="Body Text Indent 2"/>
    <w:basedOn w:val="Normal"/>
    <w:link w:val="Sangra2detindependienteCar"/>
    <w:rsid w:val="00CA0620"/>
    <w:pPr>
      <w:spacing w:after="120" w:line="480" w:lineRule="auto"/>
      <w:ind w:left="283"/>
    </w:pPr>
  </w:style>
  <w:style w:type="paragraph" w:customStyle="1" w:styleId="informaudit">
    <w:name w:val="inform. audit."/>
    <w:basedOn w:val="Normal"/>
    <w:rsid w:val="00CA0620"/>
    <w:pPr>
      <w:spacing w:line="360" w:lineRule="auto"/>
      <w:jc w:val="both"/>
    </w:pPr>
    <w:rPr>
      <w:rFonts w:ascii="Book Antiqua" w:hAnsi="Book Antiqua"/>
      <w:lang w:val="es-AR" w:eastAsia="en-US"/>
    </w:rPr>
  </w:style>
  <w:style w:type="paragraph" w:customStyle="1" w:styleId="Auditor">
    <w:name w:val="Auditor"/>
    <w:basedOn w:val="Normal"/>
    <w:rsid w:val="00CA0620"/>
    <w:pPr>
      <w:spacing w:line="360" w:lineRule="auto"/>
      <w:jc w:val="both"/>
    </w:pPr>
    <w:rPr>
      <w:rFonts w:ascii="Book Antiqua" w:hAnsi="Book Antiqua"/>
      <w:lang w:eastAsia="en-US"/>
    </w:rPr>
  </w:style>
  <w:style w:type="table" w:styleId="Tablaconcuadrcula">
    <w:name w:val="Table Grid"/>
    <w:basedOn w:val="Tablanormal"/>
    <w:uiPriority w:val="59"/>
    <w:rsid w:val="00BE04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aliases w:val="encabezado,Header1"/>
    <w:basedOn w:val="Normal"/>
    <w:link w:val="EncabezadoCar"/>
    <w:rsid w:val="00B949B5"/>
    <w:pPr>
      <w:tabs>
        <w:tab w:val="center" w:pos="4419"/>
        <w:tab w:val="right" w:pos="8838"/>
      </w:tabs>
    </w:pPr>
    <w:rPr>
      <w:rFonts w:ascii="Arial" w:hAnsi="Arial"/>
      <w:sz w:val="16"/>
      <w:szCs w:val="24"/>
      <w:lang w:val="en-US" w:eastAsia="en-US"/>
    </w:rPr>
  </w:style>
  <w:style w:type="character" w:customStyle="1" w:styleId="EncabezadoCar">
    <w:name w:val="Encabezado Car"/>
    <w:aliases w:val="encabezado Car,Header1 Car"/>
    <w:link w:val="Encabezado"/>
    <w:locked/>
    <w:rsid w:val="00B949B5"/>
    <w:rPr>
      <w:rFonts w:ascii="Arial" w:hAnsi="Arial"/>
      <w:sz w:val="16"/>
      <w:szCs w:val="24"/>
      <w:lang w:val="en-US" w:eastAsia="en-US" w:bidi="ar-SA"/>
    </w:rPr>
  </w:style>
  <w:style w:type="paragraph" w:styleId="Prrafodelista">
    <w:name w:val="List Paragraph"/>
    <w:basedOn w:val="Normal"/>
    <w:link w:val="PrrafodelistaCar"/>
    <w:uiPriority w:val="34"/>
    <w:qFormat/>
    <w:rsid w:val="00C70652"/>
    <w:pPr>
      <w:ind w:left="720"/>
      <w:contextualSpacing/>
    </w:pPr>
    <w:rPr>
      <w:rFonts w:ascii="Arial" w:hAnsi="Arial"/>
      <w:sz w:val="24"/>
      <w:lang w:eastAsia="en-US"/>
    </w:rPr>
  </w:style>
  <w:style w:type="paragraph" w:customStyle="1" w:styleId="Prrafodelista1">
    <w:name w:val="Párrafo de lista1"/>
    <w:basedOn w:val="Normal"/>
    <w:rsid w:val="00066D57"/>
    <w:pPr>
      <w:ind w:left="720"/>
      <w:contextualSpacing/>
    </w:pPr>
    <w:rPr>
      <w:rFonts w:ascii="Arial" w:eastAsia="Calibri" w:hAnsi="Arial"/>
      <w:sz w:val="24"/>
      <w:lang w:eastAsia="en-US"/>
    </w:rPr>
  </w:style>
  <w:style w:type="character" w:customStyle="1" w:styleId="PiedepginaCar">
    <w:name w:val="Pie de página Car"/>
    <w:basedOn w:val="Fuentedeprrafopredeter"/>
    <w:link w:val="Piedepgina"/>
    <w:uiPriority w:val="99"/>
    <w:rsid w:val="007D0C52"/>
    <w:rPr>
      <w:rFonts w:ascii="Courier" w:hAnsi="Courier"/>
      <w:sz w:val="24"/>
      <w:lang w:val="es-ES_tradnl" w:eastAsia="en-US"/>
    </w:rPr>
  </w:style>
  <w:style w:type="paragraph" w:customStyle="1" w:styleId="DSLxStyle">
    <w:name w:val="DSLxStyle"/>
    <w:basedOn w:val="Normal"/>
    <w:link w:val="DSLxStyleChar"/>
    <w:rsid w:val="007D0C52"/>
    <w:pPr>
      <w:tabs>
        <w:tab w:val="left" w:pos="-1440"/>
        <w:tab w:val="left" w:pos="-720"/>
        <w:tab w:val="left" w:pos="0"/>
        <w:tab w:val="left" w:pos="339"/>
        <w:tab w:val="left" w:pos="720"/>
      </w:tabs>
      <w:jc w:val="right"/>
    </w:pPr>
    <w:rPr>
      <w:color w:val="666666"/>
      <w:sz w:val="12"/>
      <w:szCs w:val="24"/>
      <w:lang w:val="es-AR" w:eastAsia="es-AR"/>
    </w:rPr>
  </w:style>
  <w:style w:type="character" w:customStyle="1" w:styleId="DSLxStyleChar">
    <w:name w:val="DSLxStyle Char"/>
    <w:link w:val="DSLxStyle"/>
    <w:rsid w:val="007D0C52"/>
    <w:rPr>
      <w:color w:val="666666"/>
      <w:sz w:val="12"/>
      <w:szCs w:val="24"/>
    </w:rPr>
  </w:style>
  <w:style w:type="paragraph" w:customStyle="1" w:styleId="s2-100235">
    <w:name w:val="s2-100235"/>
    <w:basedOn w:val="Normal"/>
    <w:rsid w:val="00D044E4"/>
    <w:rPr>
      <w:color w:val="333333"/>
      <w:lang w:val="es-AR" w:eastAsia="es-AR"/>
    </w:rPr>
  </w:style>
  <w:style w:type="paragraph" w:styleId="Sinespaciado">
    <w:name w:val="No Spacing"/>
    <w:qFormat/>
    <w:rsid w:val="006F6536"/>
    <w:pPr>
      <w:suppressAutoHyphens/>
    </w:pPr>
    <w:rPr>
      <w:rFonts w:ascii="Calibri" w:eastAsia="Calibri" w:hAnsi="Calibri" w:cs="Calibri"/>
      <w:sz w:val="22"/>
      <w:szCs w:val="22"/>
      <w:lang w:val="es-ES" w:eastAsia="ar-SA"/>
    </w:rPr>
  </w:style>
  <w:style w:type="paragraph" w:customStyle="1" w:styleId="post-pagina-interior">
    <w:name w:val="post-pagina-interior"/>
    <w:basedOn w:val="Normal"/>
    <w:rsid w:val="003637F5"/>
    <w:pPr>
      <w:spacing w:before="100" w:beforeAutospacing="1" w:after="100" w:afterAutospacing="1"/>
    </w:pPr>
    <w:rPr>
      <w:sz w:val="24"/>
      <w:szCs w:val="24"/>
      <w:lang w:val="es-AR" w:eastAsia="es-AR"/>
    </w:rPr>
  </w:style>
  <w:style w:type="character" w:customStyle="1" w:styleId="PrrafodelistaCar">
    <w:name w:val="Párrafo de lista Car"/>
    <w:link w:val="Prrafodelista"/>
    <w:uiPriority w:val="34"/>
    <w:locked/>
    <w:rsid w:val="001A47BC"/>
    <w:rPr>
      <w:rFonts w:ascii="Arial" w:hAnsi="Arial"/>
      <w:sz w:val="24"/>
      <w:lang w:val="es-ES_tradnl" w:eastAsia="en-US"/>
    </w:rPr>
  </w:style>
  <w:style w:type="character" w:customStyle="1" w:styleId="Ttulo3Car">
    <w:name w:val="Título 3 Car"/>
    <w:basedOn w:val="Fuentedeprrafopredeter"/>
    <w:link w:val="Ttulo3"/>
    <w:rsid w:val="00D72EC0"/>
    <w:rPr>
      <w:rFonts w:ascii="Roman" w:hAnsi="Roman"/>
      <w:sz w:val="24"/>
      <w:lang w:val="es-ES_tradnl" w:eastAsia="es-ES"/>
    </w:rPr>
  </w:style>
  <w:style w:type="character" w:customStyle="1" w:styleId="TextoindependienteCar">
    <w:name w:val="Texto independiente Car"/>
    <w:basedOn w:val="Fuentedeprrafopredeter"/>
    <w:link w:val="Textoindependiente"/>
    <w:rsid w:val="006D1077"/>
    <w:rPr>
      <w:sz w:val="24"/>
      <w:lang w:eastAsia="es-ES"/>
    </w:rPr>
  </w:style>
  <w:style w:type="character" w:customStyle="1" w:styleId="SangradetextonormalCar">
    <w:name w:val="Sangría de texto normal Car"/>
    <w:basedOn w:val="Fuentedeprrafopredeter"/>
    <w:link w:val="Sangradetextonormal"/>
    <w:rsid w:val="006D1077"/>
    <w:rPr>
      <w:rFonts w:ascii="Courier New" w:hAnsi="Courier New"/>
      <w:sz w:val="24"/>
      <w:lang w:eastAsia="es-ES"/>
    </w:rPr>
  </w:style>
  <w:style w:type="character" w:customStyle="1" w:styleId="Ttulo1Car">
    <w:name w:val="Título 1 Car"/>
    <w:basedOn w:val="Fuentedeprrafopredeter"/>
    <w:link w:val="Ttulo1"/>
    <w:uiPriority w:val="1"/>
    <w:rsid w:val="00255B28"/>
    <w:rPr>
      <w:sz w:val="24"/>
      <w:u w:val="single"/>
      <w:lang w:eastAsia="es-ES"/>
    </w:rPr>
  </w:style>
  <w:style w:type="paragraph" w:styleId="NormalWeb">
    <w:name w:val="Normal (Web)"/>
    <w:basedOn w:val="Normal"/>
    <w:uiPriority w:val="99"/>
    <w:unhideWhenUsed/>
    <w:rsid w:val="00255B28"/>
    <w:pPr>
      <w:spacing w:before="100" w:beforeAutospacing="1" w:after="100" w:afterAutospacing="1"/>
    </w:pPr>
    <w:rPr>
      <w:sz w:val="24"/>
      <w:szCs w:val="24"/>
      <w:lang w:val="es-AR" w:eastAsia="es-AR"/>
    </w:rPr>
  </w:style>
  <w:style w:type="character" w:styleId="Hipervnculo">
    <w:name w:val="Hyperlink"/>
    <w:basedOn w:val="Fuentedeprrafopredeter"/>
    <w:uiPriority w:val="99"/>
    <w:unhideWhenUsed/>
    <w:rsid w:val="00255B28"/>
    <w:rPr>
      <w:color w:val="0000FF"/>
      <w:u w:val="single"/>
    </w:rPr>
  </w:style>
  <w:style w:type="paragraph" w:customStyle="1" w:styleId="Default">
    <w:name w:val="Default"/>
    <w:rsid w:val="00255B28"/>
    <w:pPr>
      <w:autoSpaceDE w:val="0"/>
      <w:autoSpaceDN w:val="0"/>
      <w:adjustRightInd w:val="0"/>
    </w:pPr>
    <w:rPr>
      <w:rFonts w:ascii="Lato" w:eastAsiaTheme="minorHAnsi" w:hAnsi="Lato" w:cs="Lato"/>
      <w:color w:val="000000"/>
      <w:sz w:val="24"/>
      <w:szCs w:val="24"/>
      <w:lang w:val="es-419" w:eastAsia="en-US"/>
    </w:rPr>
  </w:style>
  <w:style w:type="character" w:customStyle="1" w:styleId="Ttulo2Car">
    <w:name w:val="Título 2 Car"/>
    <w:basedOn w:val="Fuentedeprrafopredeter"/>
    <w:link w:val="Ttulo2"/>
    <w:rsid w:val="00D67668"/>
    <w:rPr>
      <w:sz w:val="24"/>
      <w:u w:val="single"/>
      <w:lang w:eastAsia="es-ES"/>
    </w:rPr>
  </w:style>
  <w:style w:type="character" w:customStyle="1" w:styleId="Ttulo4Car">
    <w:name w:val="Título 4 Car"/>
    <w:basedOn w:val="Fuentedeprrafopredeter"/>
    <w:link w:val="Ttulo4"/>
    <w:rsid w:val="00D67668"/>
    <w:rPr>
      <w:sz w:val="24"/>
      <w:lang w:eastAsia="es-ES"/>
    </w:rPr>
  </w:style>
  <w:style w:type="character" w:customStyle="1" w:styleId="Ttulo9Car">
    <w:name w:val="Título 9 Car"/>
    <w:basedOn w:val="Fuentedeprrafopredeter"/>
    <w:link w:val="Ttulo9"/>
    <w:rsid w:val="00D67668"/>
    <w:rPr>
      <w:sz w:val="24"/>
      <w:u w:val="single"/>
      <w:lang w:eastAsia="en-US"/>
    </w:rPr>
  </w:style>
  <w:style w:type="character" w:customStyle="1" w:styleId="Textoindependiente2Car">
    <w:name w:val="Texto independiente 2 Car"/>
    <w:basedOn w:val="Fuentedeprrafopredeter"/>
    <w:link w:val="Textoindependiente2"/>
    <w:rsid w:val="00D67668"/>
    <w:rPr>
      <w:sz w:val="16"/>
      <w:lang w:val="es-ES_tradnl" w:eastAsia="en-US"/>
    </w:rPr>
  </w:style>
  <w:style w:type="character" w:customStyle="1" w:styleId="Sangra2detindependienteCar">
    <w:name w:val="Sangría 2 de t. independiente Car"/>
    <w:basedOn w:val="Fuentedeprrafopredeter"/>
    <w:link w:val="Sangra2detindependiente"/>
    <w:rsid w:val="00D67668"/>
    <w:rPr>
      <w:lang w:val="es-ES_tradnl" w:eastAsia="es-ES"/>
    </w:rPr>
  </w:style>
  <w:style w:type="paragraph" w:customStyle="1" w:styleId="Style1">
    <w:name w:val="Style 1"/>
    <w:basedOn w:val="Normal"/>
    <w:rsid w:val="00D67668"/>
    <w:pPr>
      <w:widowControl w:val="0"/>
      <w:autoSpaceDE w:val="0"/>
      <w:autoSpaceDN w:val="0"/>
      <w:adjustRightInd w:val="0"/>
    </w:pPr>
    <w:rPr>
      <w:noProof/>
      <w:szCs w:val="24"/>
      <w:lang w:val="es-AR" w:eastAsia="en-US"/>
    </w:rPr>
  </w:style>
  <w:style w:type="paragraph" w:customStyle="1" w:styleId="elementtoproof">
    <w:name w:val="elementtoproof"/>
    <w:basedOn w:val="Normal"/>
    <w:rsid w:val="00D67668"/>
    <w:rPr>
      <w:rFonts w:ascii="Calibri" w:eastAsiaTheme="minorHAnsi" w:hAnsi="Calibri" w:cs="Calibri"/>
      <w:sz w:val="22"/>
      <w:szCs w:val="22"/>
      <w:lang w:val="es-419" w:eastAsia="es-419"/>
    </w:rPr>
  </w:style>
  <w:style w:type="character" w:styleId="Refdecomentario">
    <w:name w:val="annotation reference"/>
    <w:basedOn w:val="Fuentedeprrafopredeter"/>
    <w:uiPriority w:val="99"/>
    <w:unhideWhenUsed/>
    <w:rsid w:val="00D67668"/>
    <w:rPr>
      <w:sz w:val="16"/>
      <w:szCs w:val="16"/>
    </w:rPr>
  </w:style>
  <w:style w:type="paragraph" w:styleId="Textocomentario">
    <w:name w:val="annotation text"/>
    <w:basedOn w:val="Normal"/>
    <w:link w:val="TextocomentarioCar"/>
    <w:uiPriority w:val="99"/>
    <w:unhideWhenUsed/>
    <w:rsid w:val="00D67668"/>
    <w:pPr>
      <w:spacing w:after="160"/>
    </w:pPr>
    <w:rPr>
      <w:rFonts w:asciiTheme="minorHAnsi" w:eastAsiaTheme="minorHAnsi" w:hAnsiTheme="minorHAnsi" w:cstheme="minorBidi"/>
      <w:lang w:val="es-AR" w:eastAsia="en-US"/>
    </w:rPr>
  </w:style>
  <w:style w:type="character" w:customStyle="1" w:styleId="TextocomentarioCar">
    <w:name w:val="Texto comentario Car"/>
    <w:basedOn w:val="Fuentedeprrafopredeter"/>
    <w:link w:val="Textocomentario"/>
    <w:uiPriority w:val="99"/>
    <w:rsid w:val="00D67668"/>
    <w:rPr>
      <w:rFonts w:asciiTheme="minorHAnsi" w:eastAsiaTheme="minorHAnsi" w:hAnsiTheme="minorHAnsi" w:cstheme="minorBidi"/>
      <w:lang w:eastAsia="en-US"/>
    </w:rPr>
  </w:style>
  <w:style w:type="paragraph" w:styleId="Asuntodelcomentario">
    <w:name w:val="annotation subject"/>
    <w:basedOn w:val="Textocomentario"/>
    <w:next w:val="Textocomentario"/>
    <w:link w:val="AsuntodelcomentarioCar"/>
    <w:uiPriority w:val="99"/>
    <w:semiHidden/>
    <w:unhideWhenUsed/>
    <w:rsid w:val="00D67668"/>
    <w:rPr>
      <w:b/>
      <w:bCs/>
    </w:rPr>
  </w:style>
  <w:style w:type="character" w:customStyle="1" w:styleId="AsuntodelcomentarioCar">
    <w:name w:val="Asunto del comentario Car"/>
    <w:basedOn w:val="TextocomentarioCar"/>
    <w:link w:val="Asuntodelcomentario"/>
    <w:uiPriority w:val="99"/>
    <w:semiHidden/>
    <w:rsid w:val="00D67668"/>
    <w:rPr>
      <w:rFonts w:asciiTheme="minorHAnsi" w:eastAsiaTheme="minorHAnsi" w:hAnsiTheme="minorHAnsi" w:cstheme="minorBidi"/>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204768">
      <w:bodyDiv w:val="1"/>
      <w:marLeft w:val="0"/>
      <w:marRight w:val="0"/>
      <w:marTop w:val="0"/>
      <w:marBottom w:val="0"/>
      <w:divBdr>
        <w:top w:val="none" w:sz="0" w:space="0" w:color="auto"/>
        <w:left w:val="none" w:sz="0" w:space="0" w:color="auto"/>
        <w:bottom w:val="none" w:sz="0" w:space="0" w:color="auto"/>
        <w:right w:val="none" w:sz="0" w:space="0" w:color="auto"/>
      </w:divBdr>
    </w:div>
    <w:div w:id="82069165">
      <w:bodyDiv w:val="1"/>
      <w:marLeft w:val="0"/>
      <w:marRight w:val="0"/>
      <w:marTop w:val="0"/>
      <w:marBottom w:val="0"/>
      <w:divBdr>
        <w:top w:val="none" w:sz="0" w:space="0" w:color="auto"/>
        <w:left w:val="none" w:sz="0" w:space="0" w:color="auto"/>
        <w:bottom w:val="none" w:sz="0" w:space="0" w:color="auto"/>
        <w:right w:val="none" w:sz="0" w:space="0" w:color="auto"/>
      </w:divBdr>
    </w:div>
    <w:div w:id="169032029">
      <w:bodyDiv w:val="1"/>
      <w:marLeft w:val="0"/>
      <w:marRight w:val="0"/>
      <w:marTop w:val="0"/>
      <w:marBottom w:val="0"/>
      <w:divBdr>
        <w:top w:val="none" w:sz="0" w:space="0" w:color="auto"/>
        <w:left w:val="none" w:sz="0" w:space="0" w:color="auto"/>
        <w:bottom w:val="none" w:sz="0" w:space="0" w:color="auto"/>
        <w:right w:val="none" w:sz="0" w:space="0" w:color="auto"/>
      </w:divBdr>
    </w:div>
    <w:div w:id="197134638">
      <w:bodyDiv w:val="1"/>
      <w:marLeft w:val="0"/>
      <w:marRight w:val="0"/>
      <w:marTop w:val="0"/>
      <w:marBottom w:val="0"/>
      <w:divBdr>
        <w:top w:val="none" w:sz="0" w:space="0" w:color="auto"/>
        <w:left w:val="none" w:sz="0" w:space="0" w:color="auto"/>
        <w:bottom w:val="none" w:sz="0" w:space="0" w:color="auto"/>
        <w:right w:val="none" w:sz="0" w:space="0" w:color="auto"/>
      </w:divBdr>
    </w:div>
    <w:div w:id="272135474">
      <w:bodyDiv w:val="1"/>
      <w:marLeft w:val="0"/>
      <w:marRight w:val="0"/>
      <w:marTop w:val="0"/>
      <w:marBottom w:val="0"/>
      <w:divBdr>
        <w:top w:val="none" w:sz="0" w:space="0" w:color="auto"/>
        <w:left w:val="none" w:sz="0" w:space="0" w:color="auto"/>
        <w:bottom w:val="none" w:sz="0" w:space="0" w:color="auto"/>
        <w:right w:val="none" w:sz="0" w:space="0" w:color="auto"/>
      </w:divBdr>
    </w:div>
    <w:div w:id="397167806">
      <w:bodyDiv w:val="1"/>
      <w:marLeft w:val="0"/>
      <w:marRight w:val="0"/>
      <w:marTop w:val="0"/>
      <w:marBottom w:val="0"/>
      <w:divBdr>
        <w:top w:val="none" w:sz="0" w:space="0" w:color="auto"/>
        <w:left w:val="none" w:sz="0" w:space="0" w:color="auto"/>
        <w:bottom w:val="none" w:sz="0" w:space="0" w:color="auto"/>
        <w:right w:val="none" w:sz="0" w:space="0" w:color="auto"/>
      </w:divBdr>
    </w:div>
    <w:div w:id="449976043">
      <w:bodyDiv w:val="1"/>
      <w:marLeft w:val="0"/>
      <w:marRight w:val="0"/>
      <w:marTop w:val="0"/>
      <w:marBottom w:val="0"/>
      <w:divBdr>
        <w:top w:val="none" w:sz="0" w:space="0" w:color="auto"/>
        <w:left w:val="none" w:sz="0" w:space="0" w:color="auto"/>
        <w:bottom w:val="none" w:sz="0" w:space="0" w:color="auto"/>
        <w:right w:val="none" w:sz="0" w:space="0" w:color="auto"/>
      </w:divBdr>
    </w:div>
    <w:div w:id="507721041">
      <w:bodyDiv w:val="1"/>
      <w:marLeft w:val="0"/>
      <w:marRight w:val="0"/>
      <w:marTop w:val="0"/>
      <w:marBottom w:val="0"/>
      <w:divBdr>
        <w:top w:val="none" w:sz="0" w:space="0" w:color="auto"/>
        <w:left w:val="none" w:sz="0" w:space="0" w:color="auto"/>
        <w:bottom w:val="none" w:sz="0" w:space="0" w:color="auto"/>
        <w:right w:val="none" w:sz="0" w:space="0" w:color="auto"/>
      </w:divBdr>
    </w:div>
    <w:div w:id="578101506">
      <w:bodyDiv w:val="1"/>
      <w:marLeft w:val="0"/>
      <w:marRight w:val="0"/>
      <w:marTop w:val="0"/>
      <w:marBottom w:val="0"/>
      <w:divBdr>
        <w:top w:val="none" w:sz="0" w:space="0" w:color="auto"/>
        <w:left w:val="none" w:sz="0" w:space="0" w:color="auto"/>
        <w:bottom w:val="none" w:sz="0" w:space="0" w:color="auto"/>
        <w:right w:val="none" w:sz="0" w:space="0" w:color="auto"/>
      </w:divBdr>
    </w:div>
    <w:div w:id="592250577">
      <w:bodyDiv w:val="1"/>
      <w:marLeft w:val="0"/>
      <w:marRight w:val="0"/>
      <w:marTop w:val="0"/>
      <w:marBottom w:val="0"/>
      <w:divBdr>
        <w:top w:val="none" w:sz="0" w:space="0" w:color="auto"/>
        <w:left w:val="none" w:sz="0" w:space="0" w:color="auto"/>
        <w:bottom w:val="none" w:sz="0" w:space="0" w:color="auto"/>
        <w:right w:val="none" w:sz="0" w:space="0" w:color="auto"/>
      </w:divBdr>
    </w:div>
    <w:div w:id="624696730">
      <w:bodyDiv w:val="1"/>
      <w:marLeft w:val="0"/>
      <w:marRight w:val="0"/>
      <w:marTop w:val="0"/>
      <w:marBottom w:val="0"/>
      <w:divBdr>
        <w:top w:val="none" w:sz="0" w:space="0" w:color="auto"/>
        <w:left w:val="none" w:sz="0" w:space="0" w:color="auto"/>
        <w:bottom w:val="none" w:sz="0" w:space="0" w:color="auto"/>
        <w:right w:val="none" w:sz="0" w:space="0" w:color="auto"/>
      </w:divBdr>
    </w:div>
    <w:div w:id="641891978">
      <w:bodyDiv w:val="1"/>
      <w:marLeft w:val="0"/>
      <w:marRight w:val="0"/>
      <w:marTop w:val="0"/>
      <w:marBottom w:val="0"/>
      <w:divBdr>
        <w:top w:val="none" w:sz="0" w:space="0" w:color="auto"/>
        <w:left w:val="none" w:sz="0" w:space="0" w:color="auto"/>
        <w:bottom w:val="none" w:sz="0" w:space="0" w:color="auto"/>
        <w:right w:val="none" w:sz="0" w:space="0" w:color="auto"/>
      </w:divBdr>
    </w:div>
    <w:div w:id="666130794">
      <w:bodyDiv w:val="1"/>
      <w:marLeft w:val="0"/>
      <w:marRight w:val="0"/>
      <w:marTop w:val="0"/>
      <w:marBottom w:val="0"/>
      <w:divBdr>
        <w:top w:val="none" w:sz="0" w:space="0" w:color="auto"/>
        <w:left w:val="none" w:sz="0" w:space="0" w:color="auto"/>
        <w:bottom w:val="none" w:sz="0" w:space="0" w:color="auto"/>
        <w:right w:val="none" w:sz="0" w:space="0" w:color="auto"/>
      </w:divBdr>
    </w:div>
    <w:div w:id="675957014">
      <w:bodyDiv w:val="1"/>
      <w:marLeft w:val="0"/>
      <w:marRight w:val="0"/>
      <w:marTop w:val="0"/>
      <w:marBottom w:val="0"/>
      <w:divBdr>
        <w:top w:val="none" w:sz="0" w:space="0" w:color="auto"/>
        <w:left w:val="none" w:sz="0" w:space="0" w:color="auto"/>
        <w:bottom w:val="none" w:sz="0" w:space="0" w:color="auto"/>
        <w:right w:val="none" w:sz="0" w:space="0" w:color="auto"/>
      </w:divBdr>
    </w:div>
    <w:div w:id="852109979">
      <w:bodyDiv w:val="1"/>
      <w:marLeft w:val="0"/>
      <w:marRight w:val="0"/>
      <w:marTop w:val="0"/>
      <w:marBottom w:val="0"/>
      <w:divBdr>
        <w:top w:val="none" w:sz="0" w:space="0" w:color="auto"/>
        <w:left w:val="none" w:sz="0" w:space="0" w:color="auto"/>
        <w:bottom w:val="none" w:sz="0" w:space="0" w:color="auto"/>
        <w:right w:val="none" w:sz="0" w:space="0" w:color="auto"/>
      </w:divBdr>
    </w:div>
    <w:div w:id="928008254">
      <w:bodyDiv w:val="1"/>
      <w:marLeft w:val="0"/>
      <w:marRight w:val="0"/>
      <w:marTop w:val="0"/>
      <w:marBottom w:val="0"/>
      <w:divBdr>
        <w:top w:val="none" w:sz="0" w:space="0" w:color="auto"/>
        <w:left w:val="none" w:sz="0" w:space="0" w:color="auto"/>
        <w:bottom w:val="none" w:sz="0" w:space="0" w:color="auto"/>
        <w:right w:val="none" w:sz="0" w:space="0" w:color="auto"/>
      </w:divBdr>
    </w:div>
    <w:div w:id="999235741">
      <w:bodyDiv w:val="1"/>
      <w:marLeft w:val="0"/>
      <w:marRight w:val="0"/>
      <w:marTop w:val="0"/>
      <w:marBottom w:val="0"/>
      <w:divBdr>
        <w:top w:val="none" w:sz="0" w:space="0" w:color="auto"/>
        <w:left w:val="none" w:sz="0" w:space="0" w:color="auto"/>
        <w:bottom w:val="none" w:sz="0" w:space="0" w:color="auto"/>
        <w:right w:val="none" w:sz="0" w:space="0" w:color="auto"/>
      </w:divBdr>
    </w:div>
    <w:div w:id="1045299968">
      <w:bodyDiv w:val="1"/>
      <w:marLeft w:val="0"/>
      <w:marRight w:val="0"/>
      <w:marTop w:val="0"/>
      <w:marBottom w:val="0"/>
      <w:divBdr>
        <w:top w:val="none" w:sz="0" w:space="0" w:color="auto"/>
        <w:left w:val="none" w:sz="0" w:space="0" w:color="auto"/>
        <w:bottom w:val="none" w:sz="0" w:space="0" w:color="auto"/>
        <w:right w:val="none" w:sz="0" w:space="0" w:color="auto"/>
      </w:divBdr>
    </w:div>
    <w:div w:id="1113327045">
      <w:bodyDiv w:val="1"/>
      <w:marLeft w:val="0"/>
      <w:marRight w:val="0"/>
      <w:marTop w:val="0"/>
      <w:marBottom w:val="0"/>
      <w:divBdr>
        <w:top w:val="none" w:sz="0" w:space="0" w:color="auto"/>
        <w:left w:val="none" w:sz="0" w:space="0" w:color="auto"/>
        <w:bottom w:val="none" w:sz="0" w:space="0" w:color="auto"/>
        <w:right w:val="none" w:sz="0" w:space="0" w:color="auto"/>
      </w:divBdr>
    </w:div>
    <w:div w:id="1158887313">
      <w:bodyDiv w:val="1"/>
      <w:marLeft w:val="0"/>
      <w:marRight w:val="0"/>
      <w:marTop w:val="0"/>
      <w:marBottom w:val="0"/>
      <w:divBdr>
        <w:top w:val="none" w:sz="0" w:space="0" w:color="auto"/>
        <w:left w:val="none" w:sz="0" w:space="0" w:color="auto"/>
        <w:bottom w:val="none" w:sz="0" w:space="0" w:color="auto"/>
        <w:right w:val="none" w:sz="0" w:space="0" w:color="auto"/>
      </w:divBdr>
    </w:div>
    <w:div w:id="1183013172">
      <w:bodyDiv w:val="1"/>
      <w:marLeft w:val="0"/>
      <w:marRight w:val="0"/>
      <w:marTop w:val="0"/>
      <w:marBottom w:val="0"/>
      <w:divBdr>
        <w:top w:val="none" w:sz="0" w:space="0" w:color="auto"/>
        <w:left w:val="none" w:sz="0" w:space="0" w:color="auto"/>
        <w:bottom w:val="none" w:sz="0" w:space="0" w:color="auto"/>
        <w:right w:val="none" w:sz="0" w:space="0" w:color="auto"/>
      </w:divBdr>
    </w:div>
    <w:div w:id="1210338215">
      <w:bodyDiv w:val="1"/>
      <w:marLeft w:val="0"/>
      <w:marRight w:val="0"/>
      <w:marTop w:val="0"/>
      <w:marBottom w:val="0"/>
      <w:divBdr>
        <w:top w:val="none" w:sz="0" w:space="0" w:color="auto"/>
        <w:left w:val="none" w:sz="0" w:space="0" w:color="auto"/>
        <w:bottom w:val="none" w:sz="0" w:space="0" w:color="auto"/>
        <w:right w:val="none" w:sz="0" w:space="0" w:color="auto"/>
      </w:divBdr>
    </w:div>
    <w:div w:id="1385718283">
      <w:bodyDiv w:val="1"/>
      <w:marLeft w:val="0"/>
      <w:marRight w:val="0"/>
      <w:marTop w:val="0"/>
      <w:marBottom w:val="0"/>
      <w:divBdr>
        <w:top w:val="none" w:sz="0" w:space="0" w:color="auto"/>
        <w:left w:val="none" w:sz="0" w:space="0" w:color="auto"/>
        <w:bottom w:val="none" w:sz="0" w:space="0" w:color="auto"/>
        <w:right w:val="none" w:sz="0" w:space="0" w:color="auto"/>
      </w:divBdr>
    </w:div>
    <w:div w:id="1386952000">
      <w:bodyDiv w:val="1"/>
      <w:marLeft w:val="0"/>
      <w:marRight w:val="0"/>
      <w:marTop w:val="0"/>
      <w:marBottom w:val="0"/>
      <w:divBdr>
        <w:top w:val="none" w:sz="0" w:space="0" w:color="auto"/>
        <w:left w:val="none" w:sz="0" w:space="0" w:color="auto"/>
        <w:bottom w:val="none" w:sz="0" w:space="0" w:color="auto"/>
        <w:right w:val="none" w:sz="0" w:space="0" w:color="auto"/>
      </w:divBdr>
    </w:div>
    <w:div w:id="1534733602">
      <w:bodyDiv w:val="1"/>
      <w:marLeft w:val="0"/>
      <w:marRight w:val="0"/>
      <w:marTop w:val="0"/>
      <w:marBottom w:val="0"/>
      <w:divBdr>
        <w:top w:val="none" w:sz="0" w:space="0" w:color="auto"/>
        <w:left w:val="none" w:sz="0" w:space="0" w:color="auto"/>
        <w:bottom w:val="none" w:sz="0" w:space="0" w:color="auto"/>
        <w:right w:val="none" w:sz="0" w:space="0" w:color="auto"/>
      </w:divBdr>
    </w:div>
    <w:div w:id="1540817793">
      <w:bodyDiv w:val="1"/>
      <w:marLeft w:val="0"/>
      <w:marRight w:val="0"/>
      <w:marTop w:val="0"/>
      <w:marBottom w:val="0"/>
      <w:divBdr>
        <w:top w:val="none" w:sz="0" w:space="0" w:color="auto"/>
        <w:left w:val="none" w:sz="0" w:space="0" w:color="auto"/>
        <w:bottom w:val="none" w:sz="0" w:space="0" w:color="auto"/>
        <w:right w:val="none" w:sz="0" w:space="0" w:color="auto"/>
      </w:divBdr>
    </w:div>
    <w:div w:id="1598446020">
      <w:bodyDiv w:val="1"/>
      <w:marLeft w:val="0"/>
      <w:marRight w:val="0"/>
      <w:marTop w:val="0"/>
      <w:marBottom w:val="0"/>
      <w:divBdr>
        <w:top w:val="none" w:sz="0" w:space="0" w:color="auto"/>
        <w:left w:val="none" w:sz="0" w:space="0" w:color="auto"/>
        <w:bottom w:val="none" w:sz="0" w:space="0" w:color="auto"/>
        <w:right w:val="none" w:sz="0" w:space="0" w:color="auto"/>
      </w:divBdr>
    </w:div>
    <w:div w:id="1602832844">
      <w:bodyDiv w:val="1"/>
      <w:marLeft w:val="0"/>
      <w:marRight w:val="0"/>
      <w:marTop w:val="0"/>
      <w:marBottom w:val="0"/>
      <w:divBdr>
        <w:top w:val="none" w:sz="0" w:space="0" w:color="auto"/>
        <w:left w:val="none" w:sz="0" w:space="0" w:color="auto"/>
        <w:bottom w:val="none" w:sz="0" w:space="0" w:color="auto"/>
        <w:right w:val="none" w:sz="0" w:space="0" w:color="auto"/>
      </w:divBdr>
    </w:div>
    <w:div w:id="1639336853">
      <w:bodyDiv w:val="1"/>
      <w:marLeft w:val="0"/>
      <w:marRight w:val="0"/>
      <w:marTop w:val="0"/>
      <w:marBottom w:val="0"/>
      <w:divBdr>
        <w:top w:val="none" w:sz="0" w:space="0" w:color="auto"/>
        <w:left w:val="none" w:sz="0" w:space="0" w:color="auto"/>
        <w:bottom w:val="none" w:sz="0" w:space="0" w:color="auto"/>
        <w:right w:val="none" w:sz="0" w:space="0" w:color="auto"/>
      </w:divBdr>
    </w:div>
    <w:div w:id="1672639571">
      <w:bodyDiv w:val="1"/>
      <w:marLeft w:val="0"/>
      <w:marRight w:val="0"/>
      <w:marTop w:val="0"/>
      <w:marBottom w:val="0"/>
      <w:divBdr>
        <w:top w:val="none" w:sz="0" w:space="0" w:color="auto"/>
        <w:left w:val="none" w:sz="0" w:space="0" w:color="auto"/>
        <w:bottom w:val="none" w:sz="0" w:space="0" w:color="auto"/>
        <w:right w:val="none" w:sz="0" w:space="0" w:color="auto"/>
      </w:divBdr>
    </w:div>
    <w:div w:id="1707297216">
      <w:bodyDiv w:val="1"/>
      <w:marLeft w:val="0"/>
      <w:marRight w:val="0"/>
      <w:marTop w:val="0"/>
      <w:marBottom w:val="0"/>
      <w:divBdr>
        <w:top w:val="none" w:sz="0" w:space="0" w:color="auto"/>
        <w:left w:val="none" w:sz="0" w:space="0" w:color="auto"/>
        <w:bottom w:val="none" w:sz="0" w:space="0" w:color="auto"/>
        <w:right w:val="none" w:sz="0" w:space="0" w:color="auto"/>
      </w:divBdr>
    </w:div>
    <w:div w:id="1710914272">
      <w:bodyDiv w:val="1"/>
      <w:marLeft w:val="0"/>
      <w:marRight w:val="0"/>
      <w:marTop w:val="0"/>
      <w:marBottom w:val="0"/>
      <w:divBdr>
        <w:top w:val="none" w:sz="0" w:space="0" w:color="auto"/>
        <w:left w:val="none" w:sz="0" w:space="0" w:color="auto"/>
        <w:bottom w:val="none" w:sz="0" w:space="0" w:color="auto"/>
        <w:right w:val="none" w:sz="0" w:space="0" w:color="auto"/>
      </w:divBdr>
    </w:div>
    <w:div w:id="1748069238">
      <w:bodyDiv w:val="1"/>
      <w:marLeft w:val="0"/>
      <w:marRight w:val="0"/>
      <w:marTop w:val="0"/>
      <w:marBottom w:val="0"/>
      <w:divBdr>
        <w:top w:val="none" w:sz="0" w:space="0" w:color="auto"/>
        <w:left w:val="none" w:sz="0" w:space="0" w:color="auto"/>
        <w:bottom w:val="none" w:sz="0" w:space="0" w:color="auto"/>
        <w:right w:val="none" w:sz="0" w:space="0" w:color="auto"/>
      </w:divBdr>
    </w:div>
    <w:div w:id="1751388552">
      <w:bodyDiv w:val="1"/>
      <w:marLeft w:val="0"/>
      <w:marRight w:val="0"/>
      <w:marTop w:val="0"/>
      <w:marBottom w:val="0"/>
      <w:divBdr>
        <w:top w:val="none" w:sz="0" w:space="0" w:color="auto"/>
        <w:left w:val="none" w:sz="0" w:space="0" w:color="auto"/>
        <w:bottom w:val="none" w:sz="0" w:space="0" w:color="auto"/>
        <w:right w:val="none" w:sz="0" w:space="0" w:color="auto"/>
      </w:divBdr>
    </w:div>
    <w:div w:id="1764649444">
      <w:bodyDiv w:val="1"/>
      <w:marLeft w:val="0"/>
      <w:marRight w:val="0"/>
      <w:marTop w:val="0"/>
      <w:marBottom w:val="0"/>
      <w:divBdr>
        <w:top w:val="none" w:sz="0" w:space="0" w:color="auto"/>
        <w:left w:val="none" w:sz="0" w:space="0" w:color="auto"/>
        <w:bottom w:val="none" w:sz="0" w:space="0" w:color="auto"/>
        <w:right w:val="none" w:sz="0" w:space="0" w:color="auto"/>
      </w:divBdr>
    </w:div>
    <w:div w:id="1793818048">
      <w:bodyDiv w:val="1"/>
      <w:marLeft w:val="0"/>
      <w:marRight w:val="0"/>
      <w:marTop w:val="0"/>
      <w:marBottom w:val="0"/>
      <w:divBdr>
        <w:top w:val="none" w:sz="0" w:space="0" w:color="auto"/>
        <w:left w:val="none" w:sz="0" w:space="0" w:color="auto"/>
        <w:bottom w:val="none" w:sz="0" w:space="0" w:color="auto"/>
        <w:right w:val="none" w:sz="0" w:space="0" w:color="auto"/>
      </w:divBdr>
    </w:div>
    <w:div w:id="1878807893">
      <w:bodyDiv w:val="1"/>
      <w:marLeft w:val="0"/>
      <w:marRight w:val="0"/>
      <w:marTop w:val="0"/>
      <w:marBottom w:val="0"/>
      <w:divBdr>
        <w:top w:val="none" w:sz="0" w:space="0" w:color="auto"/>
        <w:left w:val="none" w:sz="0" w:space="0" w:color="auto"/>
        <w:bottom w:val="none" w:sz="0" w:space="0" w:color="auto"/>
        <w:right w:val="none" w:sz="0" w:space="0" w:color="auto"/>
      </w:divBdr>
    </w:div>
    <w:div w:id="1922518038">
      <w:bodyDiv w:val="1"/>
      <w:marLeft w:val="0"/>
      <w:marRight w:val="0"/>
      <w:marTop w:val="0"/>
      <w:marBottom w:val="0"/>
      <w:divBdr>
        <w:top w:val="none" w:sz="0" w:space="0" w:color="auto"/>
        <w:left w:val="none" w:sz="0" w:space="0" w:color="auto"/>
        <w:bottom w:val="none" w:sz="0" w:space="0" w:color="auto"/>
        <w:right w:val="none" w:sz="0" w:space="0" w:color="auto"/>
      </w:divBdr>
    </w:div>
    <w:div w:id="1952206000">
      <w:bodyDiv w:val="1"/>
      <w:marLeft w:val="0"/>
      <w:marRight w:val="0"/>
      <w:marTop w:val="0"/>
      <w:marBottom w:val="0"/>
      <w:divBdr>
        <w:top w:val="none" w:sz="0" w:space="0" w:color="auto"/>
        <w:left w:val="none" w:sz="0" w:space="0" w:color="auto"/>
        <w:bottom w:val="none" w:sz="0" w:space="0" w:color="auto"/>
        <w:right w:val="none" w:sz="0" w:space="0" w:color="auto"/>
      </w:divBdr>
    </w:div>
    <w:div w:id="1954628329">
      <w:bodyDiv w:val="1"/>
      <w:marLeft w:val="0"/>
      <w:marRight w:val="0"/>
      <w:marTop w:val="0"/>
      <w:marBottom w:val="0"/>
      <w:divBdr>
        <w:top w:val="none" w:sz="0" w:space="0" w:color="auto"/>
        <w:left w:val="none" w:sz="0" w:space="0" w:color="auto"/>
        <w:bottom w:val="none" w:sz="0" w:space="0" w:color="auto"/>
        <w:right w:val="none" w:sz="0" w:space="0" w:color="auto"/>
      </w:divBdr>
    </w:div>
    <w:div w:id="1999841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emf"/><Relationship Id="rId26" Type="http://schemas.openxmlformats.org/officeDocument/2006/relationships/image" Target="media/image16.png"/><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emf"/><Relationship Id="rId25" Type="http://schemas.openxmlformats.org/officeDocument/2006/relationships/image" Target="media/image15.png"/><Relationship Id="rId2" Type="http://schemas.openxmlformats.org/officeDocument/2006/relationships/customXml" Target="../customXml/item2.xml"/><Relationship Id="rId16" Type="http://schemas.openxmlformats.org/officeDocument/2006/relationships/image" Target="media/image6.emf"/><Relationship Id="rId20" Type="http://schemas.openxmlformats.org/officeDocument/2006/relationships/image" Target="media/image10.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emf"/><Relationship Id="rId23" Type="http://schemas.openxmlformats.org/officeDocument/2006/relationships/image" Target="media/image13.png"/><Relationship Id="rId28" Type="http://schemas.openxmlformats.org/officeDocument/2006/relationships/image" Target="media/image18.emf"/><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5E39212C85FDC345A844C2ACFBB89EB6" ma:contentTypeVersion="20" ma:contentTypeDescription="Crear nuevo documento." ma:contentTypeScope="" ma:versionID="76956bc5142706620656af7b81a063c9">
  <xsd:schema xmlns:xsd="http://www.w3.org/2001/XMLSchema" xmlns:xs="http://www.w3.org/2001/XMLSchema" xmlns:p="http://schemas.microsoft.com/office/2006/metadata/properties" xmlns:ns1="http://schemas.microsoft.com/sharepoint/v3" xmlns:ns2="2d9253c2-8053-40e0-ace7-d6a7649a6ecd" xmlns:ns3="cf8de79e-aaf8-41b6-b8d8-132c69311909" targetNamespace="http://schemas.microsoft.com/office/2006/metadata/properties" ma:root="true" ma:fieldsID="91c3673aef95f675b0f98a579affdb93" ns1:_="" ns2:_="" ns3:_="">
    <xsd:import namespace="http://schemas.microsoft.com/sharepoint/v3"/>
    <xsd:import namespace="2d9253c2-8053-40e0-ace7-d6a7649a6ecd"/>
    <xsd:import namespace="cf8de79e-aaf8-41b6-b8d8-132c69311909"/>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2:SharedWithUsers" minOccurs="0"/>
                <xsd:element ref="ns2:SharedWithDetails"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1:_ip_UnifiedCompliancePolicyProperties" minOccurs="0"/>
                <xsd:element ref="ns1:_ip_UnifiedCompliancePolicyUIAc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8" nillable="true" ma:displayName="Propiedades de la Directiva de cumplimiento unificado" ma:hidden="true" ma:internalName="_ip_UnifiedCompliancePolicyProperties">
      <xsd:simpleType>
        <xsd:restriction base="dms:Note"/>
      </xsd:simpleType>
    </xsd:element>
    <xsd:element name="_ip_UnifiedCompliancePolicyUIAction" ma:index="29" nillable="true" ma:displayName="Acción de IU de la Directiva de cumplimiento unificado"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d9253c2-8053-40e0-ace7-d6a7649a6ecd" elementFormDefault="qualified">
    <xsd:import namespace="http://schemas.microsoft.com/office/2006/documentManagement/types"/>
    <xsd:import namespace="http://schemas.microsoft.com/office/infopath/2007/PartnerControls"/>
    <xsd:element name="_dlc_DocId" ma:index="8" nillable="true" ma:displayName="Valor de Id. de documento" ma:description="El valor del identificador de documento asignado a este elemento." ma:internalName="_dlc_DocId" ma:readOnly="true">
      <xsd:simpleType>
        <xsd:restriction base="dms:Text"/>
      </xsd:simpleType>
    </xsd:element>
    <xsd:element name="_dlc_DocIdUrl" ma:index="9" nillable="true" ma:displayName="Id. de documento" ma:description="Vínculo permanente a este documento."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element name="TaxCatchAll" ma:index="26" nillable="true" ma:displayName="Taxonomy Catch All Column" ma:hidden="true" ma:list="{3f6349f2-4d0c-41d3-a20f-b8d3a1412283}" ma:internalName="TaxCatchAll" ma:showField="CatchAllData" ma:web="2d9253c2-8053-40e0-ace7-d6a7649a6ec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f8de79e-aaf8-41b6-b8d8-132c6931190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21" nillable="true" ma:displayName="MediaServiceDateTaken" ma:hidden="true" ma:internalName="MediaServiceDateTaken"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Etiquetas de imagen" ma:readOnly="false" ma:fieldId="{5cf76f15-5ced-4ddc-b409-7134ff3c332f}" ma:taxonomyMulti="true" ma:sspId="bcac3745-7621-4e3a-b5c4-5231ce28eb2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_dlc_DocId xmlns="2d9253c2-8053-40e0-ace7-d6a7649a6ecd">BDSDOC-1100141068-508230</_dlc_DocId>
    <_dlc_DocIdUrl xmlns="2d9253c2-8053-40e0-ace7-d6a7649a6ecd">
      <Url>https://bdsolcomar.sharepoint.com/sites/Documentos/_layouts/15/DocIdRedir.aspx?ID=BDSDOC-1100141068-508230</Url>
      <Description>BDSDOC-1100141068-508230</Description>
    </_dlc_DocIdUrl>
    <TaxCatchAll xmlns="2d9253c2-8053-40e0-ace7-d6a7649a6ecd" xsi:nil="true"/>
    <_ip_UnifiedCompliancePolicyUIAction xmlns="http://schemas.microsoft.com/sharepoint/v3" xsi:nil="true"/>
    <_ip_UnifiedCompliancePolicyProperties xmlns="http://schemas.microsoft.com/sharepoint/v3" xsi:nil="true"/>
    <lcf76f155ced4ddcb4097134ff3c332f xmlns="cf8de79e-aaf8-41b6-b8d8-132c6931190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57C96D5-A701-4CD2-B7C5-A2E8C0DC1791}"/>
</file>

<file path=customXml/itemProps2.xml><?xml version="1.0" encoding="utf-8"?>
<ds:datastoreItem xmlns:ds="http://schemas.openxmlformats.org/officeDocument/2006/customXml" ds:itemID="{5935BF83-2430-4453-9BC0-F38C9B75FA45}">
  <ds:schemaRefs>
    <ds:schemaRef ds:uri="http://schemas.microsoft.com/sharepoint/v3/contenttype/forms"/>
  </ds:schemaRefs>
</ds:datastoreItem>
</file>

<file path=customXml/itemProps3.xml><?xml version="1.0" encoding="utf-8"?>
<ds:datastoreItem xmlns:ds="http://schemas.openxmlformats.org/officeDocument/2006/customXml" ds:itemID="{7C5B6C6B-11D6-40B3-B994-3E98D9AE3C10}">
  <ds:schemaRefs>
    <ds:schemaRef ds:uri="http://schemas.microsoft.com/sharepoint/events"/>
  </ds:schemaRefs>
</ds:datastoreItem>
</file>

<file path=customXml/itemProps4.xml><?xml version="1.0" encoding="utf-8"?>
<ds:datastoreItem xmlns:ds="http://schemas.openxmlformats.org/officeDocument/2006/customXml" ds:itemID="{208005A5-20CE-4F10-856E-BB26C9D33AB8}">
  <ds:schemaRefs>
    <ds:schemaRef ds:uri="http://schemas.microsoft.com/office/2006/metadata/properties"/>
    <ds:schemaRef ds:uri="http://schemas.microsoft.com/office/infopath/2007/PartnerControls"/>
    <ds:schemaRef ds:uri="2d9253c2-8053-40e0-ace7-d6a7649a6ecd"/>
    <ds:schemaRef ds:uri="40b67884-82f4-4a06-84cb-b3f6b1164e9d"/>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14</Pages>
  <Words>6363</Words>
  <Characters>35001</Characters>
  <Application>Microsoft Office Word</Application>
  <DocSecurity>0</DocSecurity>
  <Lines>291</Lines>
  <Paragraphs>82</Paragraphs>
  <ScaleCrop>false</ScaleCrop>
  <HeadingPairs>
    <vt:vector size="2" baseType="variant">
      <vt:variant>
        <vt:lpstr>Título</vt:lpstr>
      </vt:variant>
      <vt:variant>
        <vt:i4>1</vt:i4>
      </vt:variant>
    </vt:vector>
  </HeadingPairs>
  <TitlesOfParts>
    <vt:vector size="1" baseType="lpstr">
      <vt:lpstr>ACTA DE DIRECTORIO Nº 122</vt:lpstr>
    </vt:vector>
  </TitlesOfParts>
  <Company>CASA - JUJUY 2090 8º B</Company>
  <LinksUpToDate>false</LinksUpToDate>
  <CharactersWithSpaces>41282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ACTA DE DIRECTORIO Nº 122</dc:title>
  <dc:subject/>
  <dc:creator>MARCELO Y ALEJANDRA</dc:creator>
  <cp:keywords/>
  <dc:description/>
  <cp:lastModifiedBy>Laura Lafuente</cp:lastModifiedBy>
  <cp:revision>37</cp:revision>
  <cp:lastPrinted>2008-08-20T20:23:00Z</cp:lastPrinted>
  <dcterms:created xsi:type="dcterms:W3CDTF">2025-03-10T17:03:00Z</dcterms:created>
  <dcterms:modified xsi:type="dcterms:W3CDTF">2025-03-14T21:12:00Z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0x0101005E39212C85FDC345A844C2ACFBB89EB6</vt:lpwstr>
  </property>
  <property fmtid="{D5CDD505-2E9C-101B-9397-08002B2CF9AE}" pid="3" name="MediaServiceImageTags">
    <vt:lpwstr/>
  </property>
  <property fmtid="{D5CDD505-2E9C-101B-9397-08002B2CF9AE}" pid="4" name="_dlc_DocIdItemGuid">
    <vt:lpwstr>5a4fa7f6-7ffb-4cb6-ae53-90ae0d65bf4e</vt:lpwstr>
  </property>
</Properties>
</file>