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B8D" w:rsidRPr="00712B23" w:rsidRDefault="00833B8D" w:rsidP="00833B8D">
      <w:pPr>
        <w:widowControl w:val="0"/>
        <w:jc w:val="right"/>
        <w:rPr>
          <w:rFonts w:ascii="Cambria" w:hAnsi="Cambria"/>
          <w:sz w:val="22"/>
          <w:szCs w:val="22"/>
        </w:rPr>
      </w:pPr>
      <w:r w:rsidRPr="00AC3EE0">
        <w:rPr>
          <w:rFonts w:ascii="Cambria" w:hAnsi="Cambria"/>
          <w:sz w:val="22"/>
          <w:szCs w:val="22"/>
        </w:rPr>
        <w:t>Ciudad Autónoma de Buenos Aires,</w:t>
      </w:r>
      <w:r>
        <w:rPr>
          <w:rFonts w:ascii="Cambria" w:hAnsi="Cambria"/>
          <w:sz w:val="22"/>
          <w:szCs w:val="22"/>
        </w:rPr>
        <w:t xml:space="preserve"> </w:t>
      </w:r>
      <w:r w:rsidR="000E1153">
        <w:rPr>
          <w:rFonts w:ascii="Cambria" w:hAnsi="Cambria"/>
          <w:sz w:val="22"/>
          <w:szCs w:val="22"/>
        </w:rPr>
        <w:t>1</w:t>
      </w:r>
      <w:r w:rsidR="0049216A">
        <w:rPr>
          <w:rFonts w:ascii="Cambria" w:hAnsi="Cambria"/>
          <w:sz w:val="22"/>
          <w:szCs w:val="22"/>
        </w:rPr>
        <w:t>7</w:t>
      </w:r>
      <w:r>
        <w:rPr>
          <w:rFonts w:ascii="Cambria" w:hAnsi="Cambria"/>
          <w:sz w:val="22"/>
          <w:szCs w:val="22"/>
        </w:rPr>
        <w:t xml:space="preserve"> de </w:t>
      </w:r>
      <w:r w:rsidR="0049216A">
        <w:rPr>
          <w:rFonts w:ascii="Cambria" w:hAnsi="Cambria"/>
          <w:sz w:val="22"/>
          <w:szCs w:val="22"/>
        </w:rPr>
        <w:t xml:space="preserve">abril </w:t>
      </w:r>
      <w:r>
        <w:rPr>
          <w:rFonts w:ascii="Cambria" w:hAnsi="Cambria"/>
          <w:sz w:val="22"/>
          <w:szCs w:val="22"/>
        </w:rPr>
        <w:t>de 201</w:t>
      </w:r>
      <w:r w:rsidR="000E1153">
        <w:rPr>
          <w:rFonts w:ascii="Cambria" w:hAnsi="Cambria"/>
          <w:sz w:val="22"/>
          <w:szCs w:val="22"/>
        </w:rPr>
        <w:t>9</w:t>
      </w:r>
      <w:r w:rsidRPr="00AC3EE0">
        <w:rPr>
          <w:rFonts w:ascii="Cambria" w:hAnsi="Cambria"/>
          <w:sz w:val="22"/>
          <w:szCs w:val="22"/>
        </w:rPr>
        <w:t>.</w:t>
      </w:r>
    </w:p>
    <w:p w:rsidR="00833B8D" w:rsidRPr="00712B23" w:rsidRDefault="00833B8D" w:rsidP="00833B8D">
      <w:pPr>
        <w:widowControl w:val="0"/>
        <w:jc w:val="both"/>
        <w:rPr>
          <w:rFonts w:ascii="Cambria" w:hAnsi="Cambria"/>
          <w:sz w:val="22"/>
          <w:szCs w:val="22"/>
        </w:rPr>
      </w:pPr>
    </w:p>
    <w:p w:rsidR="00833B8D" w:rsidRPr="00712B23" w:rsidRDefault="00833B8D" w:rsidP="00833B8D">
      <w:pPr>
        <w:widowControl w:val="0"/>
        <w:jc w:val="both"/>
        <w:rPr>
          <w:rFonts w:ascii="Cambria" w:hAnsi="Cambria"/>
          <w:sz w:val="22"/>
          <w:szCs w:val="22"/>
        </w:rPr>
      </w:pPr>
      <w:r w:rsidRPr="00712B23">
        <w:rPr>
          <w:rFonts w:ascii="Cambria" w:hAnsi="Cambria"/>
          <w:sz w:val="22"/>
          <w:szCs w:val="22"/>
        </w:rPr>
        <w:t>Señores</w:t>
      </w:r>
    </w:p>
    <w:p w:rsidR="00833B8D" w:rsidRPr="00A75FEB" w:rsidRDefault="000514FC" w:rsidP="00833B8D">
      <w:pPr>
        <w:widowControl w:val="0"/>
        <w:jc w:val="both"/>
        <w:rPr>
          <w:rFonts w:ascii="Cambria" w:hAnsi="Cambria"/>
          <w:b/>
          <w:sz w:val="22"/>
          <w:szCs w:val="22"/>
        </w:rPr>
      </w:pPr>
      <w:r>
        <w:rPr>
          <w:rFonts w:ascii="Cambria" w:hAnsi="Cambria"/>
          <w:b/>
          <w:sz w:val="22"/>
          <w:szCs w:val="22"/>
        </w:rPr>
        <w:t>Comisión Nacional de Valores</w:t>
      </w:r>
    </w:p>
    <w:p w:rsidR="00833B8D" w:rsidRPr="00A75FEB" w:rsidRDefault="00833B8D" w:rsidP="00833B8D">
      <w:pPr>
        <w:widowControl w:val="0"/>
        <w:jc w:val="both"/>
        <w:rPr>
          <w:rFonts w:ascii="Cambria" w:hAnsi="Cambria"/>
          <w:sz w:val="22"/>
          <w:szCs w:val="22"/>
          <w:u w:val="single"/>
        </w:rPr>
      </w:pPr>
      <w:r w:rsidRPr="003F1CD4">
        <w:rPr>
          <w:rFonts w:ascii="Cambria" w:hAnsi="Cambria"/>
          <w:b/>
          <w:bCs/>
          <w:sz w:val="22"/>
          <w:szCs w:val="22"/>
          <w:u w:val="single"/>
          <w:lang w:val="es-ES"/>
        </w:rPr>
        <w:t>Presente</w:t>
      </w:r>
    </w:p>
    <w:p w:rsidR="00833B8D" w:rsidRPr="00712B23" w:rsidRDefault="00833B8D" w:rsidP="00833B8D">
      <w:pPr>
        <w:pStyle w:val="Ttulo1"/>
        <w:keepNext w:val="0"/>
        <w:widowControl w:val="0"/>
        <w:ind w:left="3969"/>
        <w:jc w:val="both"/>
        <w:rPr>
          <w:rFonts w:ascii="Cambria" w:hAnsi="Cambria"/>
          <w:sz w:val="22"/>
          <w:szCs w:val="22"/>
          <w:lang w:val="es-AR"/>
        </w:rPr>
      </w:pPr>
      <w:r w:rsidRPr="00712B23">
        <w:rPr>
          <w:rFonts w:ascii="Cambria" w:hAnsi="Cambria"/>
          <w:i/>
          <w:iCs/>
          <w:sz w:val="22"/>
          <w:szCs w:val="22"/>
          <w:lang w:val="es-AR"/>
        </w:rPr>
        <w:t>Ref.:</w:t>
      </w:r>
      <w:r w:rsidR="00E72281">
        <w:rPr>
          <w:rFonts w:ascii="Cambria" w:hAnsi="Cambria"/>
          <w:sz w:val="22"/>
          <w:szCs w:val="22"/>
          <w:u w:val="none"/>
          <w:lang w:val="es-AR"/>
        </w:rPr>
        <w:tab/>
      </w:r>
      <w:r w:rsidR="00E72281">
        <w:rPr>
          <w:rFonts w:ascii="Cambria" w:hAnsi="Cambria"/>
          <w:b/>
          <w:sz w:val="22"/>
          <w:szCs w:val="22"/>
          <w:u w:val="none"/>
          <w:lang w:val="es-AR"/>
        </w:rPr>
        <w:t xml:space="preserve">Tarjeta Naranja </w:t>
      </w:r>
      <w:r w:rsidRPr="00712B23">
        <w:rPr>
          <w:rFonts w:ascii="Cambria" w:hAnsi="Cambria"/>
          <w:i/>
          <w:iCs/>
          <w:sz w:val="22"/>
          <w:szCs w:val="22"/>
          <w:u w:val="none"/>
          <w:lang w:val="es-AR"/>
        </w:rPr>
        <w:t>Aviso de Pago Obligaciones Negociables Clase X</w:t>
      </w:r>
      <w:r>
        <w:rPr>
          <w:rFonts w:ascii="Cambria" w:hAnsi="Cambria"/>
          <w:i/>
          <w:iCs/>
          <w:sz w:val="22"/>
          <w:szCs w:val="22"/>
          <w:u w:val="none"/>
          <w:lang w:val="es-AR"/>
        </w:rPr>
        <w:t>XV- Serie II.</w:t>
      </w:r>
    </w:p>
    <w:p w:rsidR="00833B8D" w:rsidRPr="00712B23" w:rsidRDefault="00833B8D" w:rsidP="00833B8D">
      <w:pPr>
        <w:widowControl w:val="0"/>
        <w:jc w:val="both"/>
        <w:rPr>
          <w:rFonts w:ascii="Cambria" w:hAnsi="Cambria"/>
          <w:sz w:val="22"/>
          <w:szCs w:val="22"/>
        </w:rPr>
      </w:pPr>
    </w:p>
    <w:p w:rsidR="00833B8D" w:rsidRPr="00712B23" w:rsidRDefault="00833B8D" w:rsidP="00833B8D">
      <w:pPr>
        <w:widowControl w:val="0"/>
        <w:spacing w:line="260" w:lineRule="atLeast"/>
        <w:jc w:val="both"/>
        <w:rPr>
          <w:rFonts w:ascii="Cambria" w:hAnsi="Cambria"/>
          <w:sz w:val="22"/>
          <w:szCs w:val="22"/>
        </w:rPr>
      </w:pPr>
      <w:r w:rsidRPr="00712B23">
        <w:rPr>
          <w:rFonts w:ascii="Cambria" w:hAnsi="Cambria"/>
          <w:sz w:val="22"/>
          <w:szCs w:val="22"/>
        </w:rPr>
        <w:t>De mi consideración:</w:t>
      </w:r>
    </w:p>
    <w:p w:rsidR="00833B8D" w:rsidRPr="00712B23" w:rsidRDefault="00833B8D" w:rsidP="00833B8D">
      <w:pPr>
        <w:widowControl w:val="0"/>
        <w:spacing w:line="260" w:lineRule="atLeast"/>
        <w:ind w:firstLine="567"/>
        <w:jc w:val="both"/>
        <w:rPr>
          <w:rFonts w:ascii="Cambria" w:hAnsi="Cambria"/>
          <w:sz w:val="22"/>
          <w:szCs w:val="22"/>
        </w:rPr>
      </w:pPr>
    </w:p>
    <w:p w:rsidR="00833B8D" w:rsidRPr="00712B23" w:rsidRDefault="00833B8D" w:rsidP="00833B8D">
      <w:pPr>
        <w:widowControl w:val="0"/>
        <w:spacing w:line="260" w:lineRule="atLeast"/>
        <w:ind w:firstLine="1985"/>
        <w:jc w:val="both"/>
        <w:rPr>
          <w:rFonts w:ascii="Cambria" w:hAnsi="Cambria"/>
          <w:sz w:val="22"/>
          <w:szCs w:val="22"/>
        </w:rPr>
      </w:pPr>
      <w:r w:rsidRPr="00712B23">
        <w:rPr>
          <w:rFonts w:ascii="Cambria" w:hAnsi="Cambria"/>
          <w:sz w:val="22"/>
          <w:szCs w:val="22"/>
        </w:rPr>
        <w:t>Me dirijo a Ustedes a fin de informar que Tar</w:t>
      </w:r>
      <w:r>
        <w:rPr>
          <w:rFonts w:ascii="Cambria" w:hAnsi="Cambria"/>
          <w:sz w:val="22"/>
          <w:szCs w:val="22"/>
        </w:rPr>
        <w:t>jeta</w:t>
      </w:r>
      <w:r w:rsidR="00FB77AA">
        <w:rPr>
          <w:rFonts w:ascii="Cambria" w:hAnsi="Cambria"/>
          <w:sz w:val="22"/>
          <w:szCs w:val="22"/>
        </w:rPr>
        <w:t xml:space="preserve"> Naranja </w:t>
      </w:r>
      <w:r>
        <w:rPr>
          <w:rFonts w:ascii="Cambria" w:hAnsi="Cambria"/>
          <w:sz w:val="22"/>
          <w:szCs w:val="22"/>
        </w:rPr>
        <w:t>S.A. efectuará</w:t>
      </w:r>
      <w:r w:rsidR="00FB77AA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 xml:space="preserve">el </w:t>
      </w:r>
      <w:r w:rsidR="0049216A">
        <w:rPr>
          <w:rFonts w:ascii="Cambria" w:hAnsi="Cambria"/>
          <w:sz w:val="22"/>
          <w:szCs w:val="22"/>
        </w:rPr>
        <w:t>un</w:t>
      </w:r>
      <w:r w:rsidR="000E1153">
        <w:rPr>
          <w:rFonts w:ascii="Cambria" w:hAnsi="Cambria"/>
          <w:sz w:val="22"/>
          <w:szCs w:val="22"/>
        </w:rPr>
        <w:t>décimo</w:t>
      </w:r>
      <w:r w:rsidR="007C15F7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</w:t>
      </w:r>
      <w:r w:rsidRPr="00712B23">
        <w:rPr>
          <w:rFonts w:ascii="Cambria" w:hAnsi="Cambria"/>
          <w:sz w:val="22"/>
          <w:szCs w:val="22"/>
        </w:rPr>
        <w:t>ago de Intereses correspondientes a las Obligaciones Negociables Clase X</w:t>
      </w:r>
      <w:r>
        <w:rPr>
          <w:rFonts w:ascii="Cambria" w:hAnsi="Cambria"/>
          <w:sz w:val="22"/>
          <w:szCs w:val="22"/>
        </w:rPr>
        <w:t>XV -Serie II</w:t>
      </w:r>
      <w:r w:rsidRPr="00712B23">
        <w:rPr>
          <w:rFonts w:ascii="Cambria" w:hAnsi="Cambria"/>
          <w:sz w:val="22"/>
          <w:szCs w:val="22"/>
        </w:rPr>
        <w:t>, emitidas bajo el Programa Global de Emisión de Obligaciones Negociables a Corto, Mediano y/o Largo Plazo, por un monto máximo</w:t>
      </w:r>
      <w:r>
        <w:rPr>
          <w:rFonts w:ascii="Cambria" w:hAnsi="Cambria"/>
          <w:sz w:val="22"/>
          <w:szCs w:val="22"/>
        </w:rPr>
        <w:t xml:space="preserve"> en circulación de hasta U$S25</w:t>
      </w:r>
      <w:r w:rsidRPr="00712B23">
        <w:rPr>
          <w:rFonts w:ascii="Cambria" w:hAnsi="Cambria"/>
          <w:sz w:val="22"/>
          <w:szCs w:val="22"/>
        </w:rPr>
        <w:t>0.000.000, o su equivalente en otras monedas</w:t>
      </w:r>
      <w:r w:rsidR="00E72281">
        <w:rPr>
          <w:rFonts w:ascii="Cambria" w:hAnsi="Cambria"/>
          <w:sz w:val="22"/>
          <w:szCs w:val="22"/>
        </w:rPr>
        <w:t>, de Tarjeta Cuyanas S.A.</w:t>
      </w:r>
      <w:r w:rsidR="00C30A2F">
        <w:rPr>
          <w:rFonts w:ascii="Cambria" w:hAnsi="Cambria"/>
          <w:sz w:val="22"/>
          <w:szCs w:val="22"/>
        </w:rPr>
        <w:t xml:space="preserve"> </w:t>
      </w:r>
      <w:r w:rsidRPr="00712B23">
        <w:rPr>
          <w:rFonts w:ascii="Cambria" w:hAnsi="Cambria"/>
          <w:sz w:val="22"/>
          <w:szCs w:val="22"/>
        </w:rPr>
        <w:t>Los términos en mayúscula se encuentran definidos en el Suplemento de Precio de las Obligaciones Negociables Clase X</w:t>
      </w:r>
      <w:r>
        <w:rPr>
          <w:rFonts w:ascii="Cambria" w:hAnsi="Cambria"/>
          <w:sz w:val="22"/>
          <w:szCs w:val="22"/>
        </w:rPr>
        <w:t>XV</w:t>
      </w:r>
      <w:r w:rsidRPr="00712B23">
        <w:rPr>
          <w:rFonts w:ascii="Cambria" w:hAnsi="Cambria"/>
          <w:sz w:val="22"/>
          <w:szCs w:val="22"/>
        </w:rPr>
        <w:t xml:space="preserve"> de fecha </w:t>
      </w:r>
      <w:r>
        <w:rPr>
          <w:rFonts w:ascii="Cambria" w:hAnsi="Cambria"/>
          <w:sz w:val="22"/>
          <w:szCs w:val="22"/>
        </w:rPr>
        <w:t>13 de julio de 2016</w:t>
      </w:r>
      <w:r w:rsidRPr="00712B23">
        <w:rPr>
          <w:rFonts w:ascii="Cambria" w:hAnsi="Cambria"/>
          <w:sz w:val="22"/>
          <w:szCs w:val="22"/>
        </w:rPr>
        <w:t>. El pago mencionado será efectuado en las siguientes condiciones:</w:t>
      </w:r>
    </w:p>
    <w:p w:rsidR="00833B8D" w:rsidRPr="00712B23" w:rsidRDefault="00833B8D" w:rsidP="00833B8D">
      <w:pPr>
        <w:widowControl w:val="0"/>
        <w:spacing w:line="260" w:lineRule="atLeast"/>
        <w:jc w:val="both"/>
        <w:rPr>
          <w:rFonts w:ascii="Cambria" w:hAnsi="Cambria"/>
          <w:sz w:val="22"/>
          <w:szCs w:val="22"/>
        </w:rPr>
      </w:pPr>
    </w:p>
    <w:p w:rsidR="00833B8D" w:rsidRPr="006314EC" w:rsidRDefault="00833B8D" w:rsidP="00833B8D">
      <w:pPr>
        <w:widowControl w:val="0"/>
        <w:spacing w:line="260" w:lineRule="atLeast"/>
        <w:jc w:val="both"/>
        <w:rPr>
          <w:rFonts w:ascii="Cambria" w:hAnsi="Cambria"/>
          <w:sz w:val="22"/>
          <w:szCs w:val="22"/>
        </w:rPr>
      </w:pPr>
      <w:r w:rsidRPr="00712B23">
        <w:rPr>
          <w:rFonts w:ascii="Cambria" w:hAnsi="Cambria"/>
          <w:b/>
          <w:bCs/>
          <w:sz w:val="22"/>
          <w:szCs w:val="22"/>
        </w:rPr>
        <w:t>Domicilio de pago:</w:t>
      </w:r>
      <w:r w:rsidRPr="00712B23">
        <w:rPr>
          <w:rFonts w:ascii="Cambria" w:hAnsi="Cambria"/>
          <w:sz w:val="22"/>
          <w:szCs w:val="22"/>
        </w:rPr>
        <w:t xml:space="preserve"> 25 de Mayo 362,</w:t>
      </w:r>
      <w:r w:rsidRPr="00712B23">
        <w:rPr>
          <w:rFonts w:ascii="Cambria" w:hAnsi="Cambria"/>
          <w:bCs/>
          <w:sz w:val="22"/>
          <w:szCs w:val="22"/>
        </w:rPr>
        <w:t xml:space="preserve"> (C1002ABH)</w:t>
      </w:r>
      <w:r w:rsidRPr="00712B23">
        <w:rPr>
          <w:rFonts w:ascii="Cambria" w:hAnsi="Cambria"/>
          <w:sz w:val="22"/>
          <w:szCs w:val="22"/>
        </w:rPr>
        <w:t xml:space="preserve"> Ciudad Autónoma de Buenos Aires.</w:t>
      </w:r>
    </w:p>
    <w:p w:rsidR="00833B8D" w:rsidRPr="006314EC" w:rsidRDefault="00833B8D" w:rsidP="00833B8D">
      <w:pPr>
        <w:widowControl w:val="0"/>
        <w:spacing w:line="260" w:lineRule="atLeast"/>
        <w:jc w:val="both"/>
        <w:rPr>
          <w:rFonts w:ascii="Cambria" w:hAnsi="Cambria"/>
          <w:b/>
          <w:bCs/>
          <w:sz w:val="22"/>
          <w:szCs w:val="22"/>
        </w:rPr>
      </w:pPr>
    </w:p>
    <w:p w:rsidR="00833B8D" w:rsidRPr="006314EC" w:rsidRDefault="00833B8D" w:rsidP="00833B8D">
      <w:pPr>
        <w:widowControl w:val="0"/>
        <w:spacing w:line="260" w:lineRule="atLeast"/>
        <w:jc w:val="both"/>
        <w:rPr>
          <w:rFonts w:ascii="Cambria" w:hAnsi="Cambria"/>
          <w:sz w:val="22"/>
          <w:szCs w:val="22"/>
        </w:rPr>
      </w:pPr>
      <w:r w:rsidRPr="006314EC">
        <w:rPr>
          <w:rFonts w:ascii="Cambria" w:hAnsi="Cambria"/>
          <w:b/>
          <w:bCs/>
          <w:sz w:val="22"/>
          <w:szCs w:val="22"/>
        </w:rPr>
        <w:t>Agente de Pago:</w:t>
      </w:r>
      <w:r w:rsidRPr="006314EC">
        <w:rPr>
          <w:rFonts w:ascii="Cambria" w:hAnsi="Cambria"/>
          <w:sz w:val="22"/>
          <w:szCs w:val="22"/>
        </w:rPr>
        <w:t xml:space="preserve"> Caja de Valores S.A.</w:t>
      </w:r>
    </w:p>
    <w:p w:rsidR="00833B8D" w:rsidRPr="006314EC" w:rsidRDefault="00833B8D" w:rsidP="00833B8D">
      <w:pPr>
        <w:widowControl w:val="0"/>
        <w:spacing w:line="260" w:lineRule="atLeast"/>
        <w:jc w:val="both"/>
        <w:rPr>
          <w:rFonts w:ascii="Cambria" w:hAnsi="Cambria"/>
          <w:b/>
          <w:bCs/>
          <w:sz w:val="22"/>
          <w:szCs w:val="22"/>
        </w:rPr>
      </w:pPr>
    </w:p>
    <w:p w:rsidR="00833B8D" w:rsidRPr="006314EC" w:rsidRDefault="00833B8D" w:rsidP="00833B8D">
      <w:pPr>
        <w:widowControl w:val="0"/>
        <w:spacing w:line="260" w:lineRule="atLeast"/>
        <w:jc w:val="both"/>
        <w:rPr>
          <w:rFonts w:ascii="Cambria" w:hAnsi="Cambria"/>
          <w:sz w:val="22"/>
          <w:szCs w:val="22"/>
        </w:rPr>
      </w:pPr>
      <w:r w:rsidRPr="006314EC">
        <w:rPr>
          <w:rFonts w:ascii="Cambria" w:hAnsi="Cambria"/>
          <w:b/>
          <w:bCs/>
          <w:sz w:val="22"/>
          <w:szCs w:val="22"/>
        </w:rPr>
        <w:t>Fecha de Pago:</w:t>
      </w:r>
      <w:r w:rsidRPr="006314EC">
        <w:rPr>
          <w:rFonts w:ascii="Cambria" w:hAnsi="Cambria"/>
          <w:sz w:val="22"/>
          <w:szCs w:val="22"/>
        </w:rPr>
        <w:t xml:space="preserve"> </w:t>
      </w:r>
      <w:r w:rsidR="000E1153">
        <w:rPr>
          <w:rFonts w:ascii="Cambria" w:hAnsi="Cambria"/>
          <w:sz w:val="22"/>
          <w:szCs w:val="22"/>
        </w:rPr>
        <w:t>2</w:t>
      </w:r>
      <w:r w:rsidR="0049216A">
        <w:rPr>
          <w:rFonts w:ascii="Cambria" w:hAnsi="Cambria"/>
          <w:sz w:val="22"/>
          <w:szCs w:val="22"/>
        </w:rPr>
        <w:t>6</w:t>
      </w:r>
      <w:r>
        <w:rPr>
          <w:rFonts w:ascii="Cambria" w:hAnsi="Cambria"/>
          <w:sz w:val="22"/>
          <w:szCs w:val="22"/>
        </w:rPr>
        <w:t xml:space="preserve"> de </w:t>
      </w:r>
      <w:r w:rsidR="0049216A">
        <w:rPr>
          <w:rFonts w:ascii="Cambria" w:hAnsi="Cambria"/>
          <w:sz w:val="22"/>
          <w:szCs w:val="22"/>
        </w:rPr>
        <w:t xml:space="preserve">abril </w:t>
      </w:r>
      <w:r>
        <w:rPr>
          <w:rFonts w:ascii="Cambria" w:hAnsi="Cambria"/>
          <w:sz w:val="22"/>
          <w:szCs w:val="22"/>
        </w:rPr>
        <w:t>de 201</w:t>
      </w:r>
      <w:r w:rsidR="000E1153">
        <w:rPr>
          <w:rFonts w:ascii="Cambria" w:hAnsi="Cambria"/>
          <w:sz w:val="22"/>
          <w:szCs w:val="22"/>
        </w:rPr>
        <w:t>9</w:t>
      </w:r>
      <w:r>
        <w:rPr>
          <w:rFonts w:ascii="Cambria" w:hAnsi="Cambria"/>
          <w:sz w:val="22"/>
          <w:szCs w:val="22"/>
        </w:rPr>
        <w:t>.</w:t>
      </w:r>
    </w:p>
    <w:p w:rsidR="00833B8D" w:rsidRPr="000F45CD" w:rsidRDefault="00833B8D" w:rsidP="00833B8D">
      <w:pPr>
        <w:widowControl w:val="0"/>
        <w:spacing w:line="260" w:lineRule="atLeast"/>
        <w:jc w:val="both"/>
        <w:rPr>
          <w:rFonts w:ascii="Cambria" w:hAnsi="Cambria"/>
          <w:b/>
          <w:bCs/>
          <w:sz w:val="22"/>
          <w:szCs w:val="22"/>
        </w:rPr>
      </w:pPr>
    </w:p>
    <w:p w:rsidR="00833B8D" w:rsidRPr="000F45CD" w:rsidRDefault="00833B8D" w:rsidP="00833B8D">
      <w:pPr>
        <w:widowControl w:val="0"/>
        <w:spacing w:line="260" w:lineRule="atLeast"/>
        <w:jc w:val="both"/>
        <w:rPr>
          <w:rFonts w:ascii="Cambria" w:hAnsi="Cambria"/>
          <w:sz w:val="22"/>
          <w:szCs w:val="22"/>
        </w:rPr>
      </w:pPr>
      <w:r w:rsidRPr="000F45CD">
        <w:rPr>
          <w:rFonts w:ascii="Cambria" w:hAnsi="Cambria"/>
          <w:b/>
          <w:bCs/>
          <w:sz w:val="22"/>
          <w:szCs w:val="22"/>
        </w:rPr>
        <w:t>Concepto:</w:t>
      </w:r>
      <w:r w:rsidR="00E069E5">
        <w:rPr>
          <w:rFonts w:ascii="Cambria" w:hAnsi="Cambria"/>
          <w:sz w:val="22"/>
          <w:szCs w:val="22"/>
        </w:rPr>
        <w:t xml:space="preserve"> </w:t>
      </w:r>
      <w:r w:rsidR="0080563D">
        <w:rPr>
          <w:rFonts w:ascii="Cambria" w:hAnsi="Cambria"/>
          <w:sz w:val="22"/>
          <w:szCs w:val="22"/>
        </w:rPr>
        <w:t>Und</w:t>
      </w:r>
      <w:r w:rsidR="000E1153">
        <w:rPr>
          <w:rFonts w:ascii="Cambria" w:hAnsi="Cambria"/>
          <w:sz w:val="22"/>
          <w:szCs w:val="22"/>
        </w:rPr>
        <w:t>écimo</w:t>
      </w:r>
      <w:r w:rsidRPr="000F45CD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</w:rPr>
        <w:t>P</w:t>
      </w:r>
      <w:r w:rsidRPr="000F45CD">
        <w:rPr>
          <w:rFonts w:ascii="Cambria" w:hAnsi="Cambria"/>
          <w:sz w:val="22"/>
          <w:szCs w:val="22"/>
        </w:rPr>
        <w:t xml:space="preserve">ago de </w:t>
      </w:r>
      <w:r>
        <w:rPr>
          <w:rFonts w:ascii="Cambria" w:hAnsi="Cambria"/>
          <w:sz w:val="22"/>
          <w:szCs w:val="22"/>
        </w:rPr>
        <w:t>I</w:t>
      </w:r>
      <w:r w:rsidRPr="000F45CD">
        <w:rPr>
          <w:rFonts w:ascii="Cambria" w:hAnsi="Cambria"/>
          <w:sz w:val="22"/>
          <w:szCs w:val="22"/>
        </w:rPr>
        <w:t xml:space="preserve">ntereses correspondientes al Período de Intereses iniciado el </w:t>
      </w:r>
      <w:r>
        <w:rPr>
          <w:rFonts w:ascii="Cambria" w:hAnsi="Cambria"/>
          <w:sz w:val="22"/>
          <w:szCs w:val="22"/>
        </w:rPr>
        <w:t xml:space="preserve">26 de </w:t>
      </w:r>
      <w:r w:rsidR="0049216A">
        <w:rPr>
          <w:rFonts w:ascii="Cambria" w:hAnsi="Cambria"/>
          <w:sz w:val="22"/>
          <w:szCs w:val="22"/>
        </w:rPr>
        <w:t xml:space="preserve">enero </w:t>
      </w:r>
      <w:r>
        <w:rPr>
          <w:rFonts w:ascii="Cambria" w:hAnsi="Cambria"/>
          <w:sz w:val="22"/>
          <w:szCs w:val="22"/>
        </w:rPr>
        <w:t>201</w:t>
      </w:r>
      <w:r w:rsidR="0049216A">
        <w:rPr>
          <w:rFonts w:ascii="Cambria" w:hAnsi="Cambria"/>
          <w:sz w:val="22"/>
          <w:szCs w:val="22"/>
        </w:rPr>
        <w:t>9</w:t>
      </w:r>
      <w:r w:rsidRPr="000F45CD">
        <w:rPr>
          <w:rFonts w:ascii="Cambria" w:hAnsi="Cambria"/>
          <w:sz w:val="22"/>
          <w:szCs w:val="22"/>
        </w:rPr>
        <w:t xml:space="preserve"> y que finaliza el </w:t>
      </w:r>
      <w:r>
        <w:rPr>
          <w:rFonts w:ascii="Cambria" w:hAnsi="Cambria"/>
          <w:sz w:val="22"/>
          <w:szCs w:val="22"/>
        </w:rPr>
        <w:t xml:space="preserve">25 de </w:t>
      </w:r>
      <w:r w:rsidR="0049216A">
        <w:rPr>
          <w:rFonts w:ascii="Cambria" w:hAnsi="Cambria"/>
          <w:sz w:val="22"/>
          <w:szCs w:val="22"/>
        </w:rPr>
        <w:t xml:space="preserve">abril </w:t>
      </w:r>
      <w:r>
        <w:rPr>
          <w:rFonts w:ascii="Cambria" w:hAnsi="Cambria"/>
          <w:sz w:val="22"/>
          <w:szCs w:val="22"/>
        </w:rPr>
        <w:t>de 201</w:t>
      </w:r>
      <w:r w:rsidR="000E1153">
        <w:rPr>
          <w:rFonts w:ascii="Cambria" w:hAnsi="Cambria"/>
          <w:sz w:val="22"/>
          <w:szCs w:val="22"/>
        </w:rPr>
        <w:t>9</w:t>
      </w:r>
      <w:r w:rsidRPr="000F45CD">
        <w:rPr>
          <w:rFonts w:ascii="Cambria" w:hAnsi="Cambria"/>
          <w:sz w:val="22"/>
          <w:szCs w:val="22"/>
        </w:rPr>
        <w:t>.</w:t>
      </w:r>
    </w:p>
    <w:p w:rsidR="00833B8D" w:rsidRPr="000F45CD" w:rsidRDefault="00833B8D" w:rsidP="00833B8D">
      <w:pPr>
        <w:widowControl w:val="0"/>
        <w:spacing w:line="260" w:lineRule="atLeast"/>
        <w:jc w:val="both"/>
        <w:rPr>
          <w:rFonts w:ascii="Cambria" w:hAnsi="Cambria"/>
          <w:sz w:val="22"/>
          <w:szCs w:val="22"/>
        </w:rPr>
      </w:pPr>
    </w:p>
    <w:p w:rsidR="00833B8D" w:rsidRPr="00E069E5" w:rsidRDefault="00833B8D" w:rsidP="00E069E5">
      <w:pPr>
        <w:rPr>
          <w:rFonts w:ascii="Arial Narrow" w:hAnsi="Arial Narrow" w:cs="Arial"/>
          <w:lang w:val="es-ES" w:eastAsia="es-ES"/>
        </w:rPr>
      </w:pPr>
      <w:r w:rsidRPr="00B06189">
        <w:rPr>
          <w:rFonts w:ascii="Cambria" w:hAnsi="Cambria"/>
          <w:b/>
          <w:bCs/>
          <w:sz w:val="22"/>
          <w:szCs w:val="22"/>
        </w:rPr>
        <w:t>Monto de Intereses</w:t>
      </w:r>
      <w:r w:rsidRPr="00B06189">
        <w:rPr>
          <w:rFonts w:ascii="Cambria" w:hAnsi="Cambria"/>
          <w:sz w:val="22"/>
          <w:szCs w:val="22"/>
        </w:rPr>
        <w:t xml:space="preserve">: </w:t>
      </w:r>
      <w:r w:rsidRPr="003F1CD4">
        <w:rPr>
          <w:rFonts w:ascii="Cambria" w:hAnsi="Cambria"/>
          <w:sz w:val="22"/>
          <w:szCs w:val="22"/>
        </w:rPr>
        <w:t xml:space="preserve">$ </w:t>
      </w:r>
      <w:r>
        <w:rPr>
          <w:rFonts w:ascii="Cambria" w:hAnsi="Cambria"/>
          <w:sz w:val="22"/>
          <w:szCs w:val="22"/>
        </w:rPr>
        <w:t xml:space="preserve"> </w:t>
      </w:r>
      <w:r w:rsidR="0049216A" w:rsidRPr="0049216A">
        <w:rPr>
          <w:rFonts w:ascii="Cambria" w:hAnsi="Cambria"/>
          <w:sz w:val="22"/>
          <w:szCs w:val="22"/>
        </w:rPr>
        <w:t>45.257.260,27  </w:t>
      </w:r>
    </w:p>
    <w:p w:rsidR="00833B8D" w:rsidRPr="00E069E5" w:rsidRDefault="00833B8D" w:rsidP="00833B8D">
      <w:pPr>
        <w:rPr>
          <w:rFonts w:ascii="Cambria" w:hAnsi="Cambria"/>
          <w:sz w:val="22"/>
          <w:szCs w:val="22"/>
        </w:rPr>
      </w:pPr>
    </w:p>
    <w:p w:rsidR="00E069E5" w:rsidRPr="00E069E5" w:rsidRDefault="00833B8D" w:rsidP="00E069E5">
      <w:pPr>
        <w:rPr>
          <w:rFonts w:ascii="Cambria" w:hAnsi="Cambria"/>
          <w:sz w:val="22"/>
          <w:szCs w:val="22"/>
        </w:rPr>
      </w:pPr>
      <w:r w:rsidRPr="00E069E5">
        <w:rPr>
          <w:b/>
        </w:rPr>
        <w:t>Margen de Corte:</w:t>
      </w:r>
      <w:r w:rsidRPr="00E069E5">
        <w:rPr>
          <w:rFonts w:ascii="Cambria" w:hAnsi="Cambria"/>
          <w:sz w:val="22"/>
          <w:szCs w:val="22"/>
        </w:rPr>
        <w:t xml:space="preserve"> </w:t>
      </w:r>
      <w:r w:rsidR="00E069E5" w:rsidRPr="00E069E5">
        <w:rPr>
          <w:rFonts w:ascii="Cambria" w:hAnsi="Cambria"/>
          <w:sz w:val="22"/>
          <w:szCs w:val="22"/>
        </w:rPr>
        <w:t>3,9400%</w:t>
      </w:r>
    </w:p>
    <w:p w:rsidR="00833B8D" w:rsidRPr="00E069E5" w:rsidRDefault="00833B8D" w:rsidP="00833B8D">
      <w:pPr>
        <w:rPr>
          <w:rFonts w:ascii="Cambria" w:hAnsi="Cambria"/>
          <w:b/>
          <w:sz w:val="22"/>
          <w:szCs w:val="22"/>
          <w:lang w:val="es-ES"/>
        </w:rPr>
      </w:pPr>
    </w:p>
    <w:p w:rsidR="00E069E5" w:rsidRPr="00E069E5" w:rsidRDefault="00833B8D" w:rsidP="00E069E5">
      <w:pPr>
        <w:rPr>
          <w:rFonts w:ascii="Cambria" w:hAnsi="Cambria"/>
          <w:sz w:val="22"/>
          <w:szCs w:val="22"/>
        </w:rPr>
      </w:pPr>
      <w:r w:rsidRPr="000F45CD">
        <w:rPr>
          <w:rFonts w:ascii="Cambria" w:hAnsi="Cambria"/>
          <w:b/>
          <w:sz w:val="22"/>
          <w:szCs w:val="22"/>
        </w:rPr>
        <w:t xml:space="preserve">Tasa </w:t>
      </w:r>
      <w:r>
        <w:rPr>
          <w:rFonts w:ascii="Cambria" w:hAnsi="Cambria"/>
          <w:b/>
          <w:sz w:val="22"/>
          <w:szCs w:val="22"/>
        </w:rPr>
        <w:t>de Referencia</w:t>
      </w:r>
      <w:r>
        <w:rPr>
          <w:rFonts w:ascii="Cambria" w:hAnsi="Cambria"/>
          <w:sz w:val="22"/>
          <w:szCs w:val="22"/>
        </w:rPr>
        <w:t xml:space="preserve">: </w:t>
      </w:r>
      <w:r w:rsidR="0049216A" w:rsidRPr="0049216A">
        <w:rPr>
          <w:rFonts w:ascii="Cambria" w:hAnsi="Cambria"/>
          <w:sz w:val="22"/>
          <w:szCs w:val="22"/>
        </w:rPr>
        <w:t>41,9458</w:t>
      </w:r>
      <w:r w:rsidR="00E069E5" w:rsidRPr="00E069E5">
        <w:rPr>
          <w:rFonts w:ascii="Cambria" w:hAnsi="Cambria"/>
          <w:sz w:val="22"/>
          <w:szCs w:val="22"/>
        </w:rPr>
        <w:t>%</w:t>
      </w:r>
    </w:p>
    <w:p w:rsidR="00833B8D" w:rsidRDefault="00833B8D" w:rsidP="00833B8D">
      <w:pPr>
        <w:jc w:val="both"/>
        <w:rPr>
          <w:rFonts w:ascii="Cambria" w:hAnsi="Cambria"/>
          <w:sz w:val="22"/>
          <w:szCs w:val="22"/>
          <w:highlight w:val="yellow"/>
        </w:rPr>
      </w:pPr>
    </w:p>
    <w:p w:rsidR="00E069E5" w:rsidRPr="00E069E5" w:rsidRDefault="00833B8D" w:rsidP="00E069E5">
      <w:pPr>
        <w:jc w:val="both"/>
        <w:rPr>
          <w:rFonts w:ascii="Arial" w:hAnsi="Arial" w:cs="Arial"/>
          <w:lang w:val="es-ES" w:eastAsia="es-ES"/>
        </w:rPr>
      </w:pPr>
      <w:r w:rsidRPr="00B06189">
        <w:rPr>
          <w:rFonts w:ascii="Cambria" w:hAnsi="Cambria"/>
          <w:b/>
          <w:sz w:val="22"/>
          <w:szCs w:val="22"/>
        </w:rPr>
        <w:t>Porcentaje de Interés aplicable</w:t>
      </w:r>
      <w:r w:rsidRPr="00B06189">
        <w:rPr>
          <w:rFonts w:ascii="Cambria" w:hAnsi="Cambria"/>
          <w:sz w:val="22"/>
          <w:szCs w:val="22"/>
        </w:rPr>
        <w:t>:</w:t>
      </w:r>
      <w:r>
        <w:rPr>
          <w:rFonts w:ascii="Cambria" w:hAnsi="Cambria"/>
          <w:sz w:val="22"/>
          <w:szCs w:val="22"/>
        </w:rPr>
        <w:t xml:space="preserve"> </w:t>
      </w:r>
      <w:r w:rsidR="0049216A" w:rsidRPr="0049216A">
        <w:rPr>
          <w:rFonts w:ascii="Cambria" w:hAnsi="Cambria"/>
          <w:sz w:val="22"/>
          <w:szCs w:val="22"/>
        </w:rPr>
        <w:t>11,3143</w:t>
      </w:r>
      <w:r w:rsidR="00E069E5" w:rsidRPr="00E069E5">
        <w:rPr>
          <w:rFonts w:ascii="Cambria" w:hAnsi="Cambria"/>
          <w:sz w:val="22"/>
          <w:szCs w:val="22"/>
        </w:rPr>
        <w:t>%</w:t>
      </w:r>
    </w:p>
    <w:p w:rsidR="00833B8D" w:rsidRPr="00E069E5" w:rsidRDefault="00833B8D" w:rsidP="00833B8D">
      <w:pPr>
        <w:widowControl w:val="0"/>
        <w:spacing w:line="260" w:lineRule="atLeast"/>
        <w:jc w:val="both"/>
        <w:rPr>
          <w:rFonts w:ascii="Cambria" w:hAnsi="Cambria"/>
          <w:sz w:val="22"/>
          <w:szCs w:val="22"/>
          <w:lang w:val="es-ES"/>
        </w:rPr>
      </w:pPr>
    </w:p>
    <w:p w:rsidR="00833B8D" w:rsidRPr="00D00392" w:rsidRDefault="00833B8D" w:rsidP="00833B8D">
      <w:pPr>
        <w:widowControl w:val="0"/>
        <w:spacing w:line="260" w:lineRule="atLeast"/>
        <w:jc w:val="both"/>
        <w:rPr>
          <w:rFonts w:ascii="Calibri" w:hAnsi="Calibri"/>
          <w:color w:val="000000"/>
          <w:sz w:val="22"/>
          <w:szCs w:val="22"/>
          <w:lang w:val="es-ES" w:eastAsia="es-ES"/>
        </w:rPr>
      </w:pPr>
    </w:p>
    <w:p w:rsidR="00833B8D" w:rsidRPr="00F44744" w:rsidRDefault="00833B8D" w:rsidP="00833B8D">
      <w:pPr>
        <w:jc w:val="both"/>
        <w:rPr>
          <w:rFonts w:ascii="Cambria" w:hAnsi="Cambria"/>
          <w:sz w:val="22"/>
          <w:szCs w:val="22"/>
        </w:rPr>
      </w:pPr>
    </w:p>
    <w:p w:rsidR="00833B8D" w:rsidRPr="00411E7F" w:rsidRDefault="00833B8D" w:rsidP="00833B8D">
      <w:pPr>
        <w:widowControl w:val="0"/>
        <w:spacing w:line="260" w:lineRule="atLeast"/>
        <w:jc w:val="both"/>
        <w:rPr>
          <w:rFonts w:ascii="Cambria" w:hAnsi="Cambria"/>
          <w:sz w:val="22"/>
          <w:szCs w:val="22"/>
        </w:rPr>
      </w:pPr>
    </w:p>
    <w:p w:rsidR="00833B8D" w:rsidRPr="006314EC" w:rsidRDefault="00833B8D" w:rsidP="00833B8D">
      <w:pPr>
        <w:widowControl w:val="0"/>
        <w:spacing w:line="260" w:lineRule="atLeast"/>
        <w:ind w:firstLine="1985"/>
        <w:jc w:val="both"/>
        <w:rPr>
          <w:rFonts w:ascii="Cambria" w:hAnsi="Cambria"/>
          <w:sz w:val="22"/>
          <w:szCs w:val="22"/>
        </w:rPr>
      </w:pPr>
      <w:r w:rsidRPr="00411E7F">
        <w:rPr>
          <w:rFonts w:ascii="Cambria" w:hAnsi="Cambria"/>
          <w:sz w:val="22"/>
          <w:szCs w:val="22"/>
        </w:rPr>
        <w:t>Sin otro particular, aprovechamos la oportunidad para saludar a Ustedes atentamente.</w:t>
      </w:r>
    </w:p>
    <w:p w:rsidR="00833B8D" w:rsidRPr="006314EC" w:rsidRDefault="00833B8D" w:rsidP="00833B8D">
      <w:pPr>
        <w:pStyle w:val="Textodebloque"/>
        <w:tabs>
          <w:tab w:val="clear" w:pos="567"/>
          <w:tab w:val="clear" w:pos="664"/>
          <w:tab w:val="left" w:pos="708"/>
        </w:tabs>
        <w:spacing w:before="0" w:after="0" w:line="240" w:lineRule="auto"/>
        <w:rPr>
          <w:rFonts w:ascii="Cambria" w:hAnsi="Cambria"/>
          <w:sz w:val="22"/>
          <w:szCs w:val="22"/>
          <w:lang w:val="es-AR"/>
        </w:rPr>
      </w:pPr>
    </w:p>
    <w:p w:rsidR="00833B8D" w:rsidRDefault="00833B8D" w:rsidP="00833B8D">
      <w:pPr>
        <w:pStyle w:val="Textodebloque"/>
        <w:tabs>
          <w:tab w:val="clear" w:pos="567"/>
          <w:tab w:val="clear" w:pos="664"/>
          <w:tab w:val="left" w:pos="708"/>
        </w:tabs>
        <w:spacing w:before="0" w:after="0" w:line="240" w:lineRule="auto"/>
        <w:rPr>
          <w:rFonts w:ascii="Cambria" w:hAnsi="Cambria"/>
          <w:sz w:val="22"/>
          <w:szCs w:val="22"/>
          <w:lang w:val="es-AR"/>
        </w:rPr>
      </w:pPr>
    </w:p>
    <w:p w:rsidR="00833B8D" w:rsidRPr="006314EC" w:rsidRDefault="00833B8D" w:rsidP="00833B8D">
      <w:pPr>
        <w:pStyle w:val="Textodebloque"/>
        <w:tabs>
          <w:tab w:val="clear" w:pos="567"/>
          <w:tab w:val="clear" w:pos="664"/>
          <w:tab w:val="left" w:pos="708"/>
        </w:tabs>
        <w:spacing w:before="0" w:after="0" w:line="240" w:lineRule="auto"/>
        <w:rPr>
          <w:rFonts w:ascii="Cambria" w:hAnsi="Cambria"/>
          <w:sz w:val="22"/>
          <w:szCs w:val="22"/>
          <w:lang w:val="es-AR"/>
        </w:rPr>
      </w:pPr>
    </w:p>
    <w:p w:rsidR="00833B8D" w:rsidRPr="00F06886" w:rsidRDefault="00833B8D" w:rsidP="00833B8D">
      <w:pPr>
        <w:spacing w:line="360" w:lineRule="auto"/>
        <w:jc w:val="center"/>
        <w:rPr>
          <w:rFonts w:ascii="Cambria" w:hAnsi="Cambria"/>
          <w:sz w:val="22"/>
          <w:szCs w:val="22"/>
        </w:rPr>
      </w:pPr>
      <w:r w:rsidRPr="00F06886">
        <w:rPr>
          <w:rFonts w:ascii="Cambria" w:hAnsi="Cambria"/>
          <w:sz w:val="22"/>
          <w:szCs w:val="22"/>
        </w:rPr>
        <w:t>_____________</w:t>
      </w:r>
      <w:r>
        <w:rPr>
          <w:rFonts w:ascii="Cambria" w:hAnsi="Cambria"/>
          <w:sz w:val="22"/>
          <w:szCs w:val="22"/>
        </w:rPr>
        <w:t>__________</w:t>
      </w:r>
      <w:r w:rsidRPr="00F06886">
        <w:rPr>
          <w:rFonts w:ascii="Cambria" w:hAnsi="Cambria"/>
          <w:sz w:val="22"/>
          <w:szCs w:val="22"/>
        </w:rPr>
        <w:t>_____________</w:t>
      </w:r>
    </w:p>
    <w:p w:rsidR="00833B8D" w:rsidRPr="00F06886" w:rsidRDefault="000E1153" w:rsidP="00833B8D">
      <w:pPr>
        <w:jc w:val="center"/>
        <w:rPr>
          <w:rFonts w:ascii="Cambria" w:hAnsi="Cambria"/>
          <w:bCs/>
          <w:sz w:val="22"/>
          <w:szCs w:val="22"/>
        </w:rPr>
      </w:pPr>
      <w:r>
        <w:rPr>
          <w:rFonts w:ascii="Cambria" w:hAnsi="Cambria"/>
          <w:bCs/>
          <w:sz w:val="22"/>
          <w:szCs w:val="22"/>
        </w:rPr>
        <w:t>Jorge D. Ozamis</w:t>
      </w:r>
    </w:p>
    <w:p w:rsidR="00833B8D" w:rsidRDefault="0048031A" w:rsidP="00833B8D">
      <w:pPr>
        <w:jc w:val="center"/>
        <w:rPr>
          <w:rFonts w:ascii="Cambria" w:hAnsi="Cambria"/>
          <w:bCs/>
          <w:i/>
          <w:sz w:val="22"/>
          <w:szCs w:val="22"/>
        </w:rPr>
      </w:pPr>
      <w:r>
        <w:rPr>
          <w:rFonts w:ascii="Cambria" w:hAnsi="Cambria"/>
          <w:bCs/>
          <w:i/>
          <w:sz w:val="22"/>
          <w:szCs w:val="22"/>
        </w:rPr>
        <w:t>Responsable</w:t>
      </w:r>
      <w:r w:rsidR="000E1153">
        <w:rPr>
          <w:rFonts w:ascii="Cambria" w:hAnsi="Cambria"/>
          <w:bCs/>
          <w:i/>
          <w:sz w:val="22"/>
          <w:szCs w:val="22"/>
        </w:rPr>
        <w:t xml:space="preserve"> Suplente</w:t>
      </w:r>
      <w:r>
        <w:rPr>
          <w:rFonts w:ascii="Cambria" w:hAnsi="Cambria"/>
          <w:bCs/>
          <w:i/>
          <w:sz w:val="22"/>
          <w:szCs w:val="22"/>
        </w:rPr>
        <w:t xml:space="preserve"> de </w:t>
      </w:r>
    </w:p>
    <w:p w:rsidR="0048031A" w:rsidRPr="00F06886" w:rsidRDefault="0048031A" w:rsidP="00833B8D">
      <w:pPr>
        <w:jc w:val="center"/>
        <w:rPr>
          <w:rFonts w:ascii="Cambria" w:hAnsi="Cambria"/>
          <w:bCs/>
          <w:i/>
          <w:sz w:val="22"/>
          <w:szCs w:val="22"/>
        </w:rPr>
      </w:pPr>
      <w:r>
        <w:rPr>
          <w:rFonts w:ascii="Cambria" w:hAnsi="Cambria"/>
          <w:bCs/>
          <w:i/>
          <w:sz w:val="22"/>
          <w:szCs w:val="22"/>
        </w:rPr>
        <w:t>Relaciones con el mercado</w:t>
      </w:r>
    </w:p>
    <w:p w:rsidR="00833B8D" w:rsidRDefault="00833B8D" w:rsidP="00833B8D">
      <w:pPr>
        <w:jc w:val="center"/>
        <w:rPr>
          <w:rFonts w:ascii="Cambria" w:hAnsi="Cambria"/>
          <w:b/>
          <w:bCs/>
          <w:sz w:val="22"/>
          <w:szCs w:val="22"/>
        </w:rPr>
      </w:pPr>
      <w:r w:rsidRPr="00F06886">
        <w:rPr>
          <w:rFonts w:ascii="Cambria" w:hAnsi="Cambria"/>
          <w:b/>
          <w:bCs/>
          <w:sz w:val="22"/>
          <w:szCs w:val="22"/>
        </w:rPr>
        <w:t>Tarjeta</w:t>
      </w:r>
      <w:r w:rsidR="00FB77AA">
        <w:rPr>
          <w:rFonts w:ascii="Cambria" w:hAnsi="Cambria"/>
          <w:b/>
          <w:bCs/>
          <w:sz w:val="22"/>
          <w:szCs w:val="22"/>
        </w:rPr>
        <w:t xml:space="preserve"> N</w:t>
      </w:r>
      <w:r w:rsidRPr="00F06886">
        <w:rPr>
          <w:rFonts w:ascii="Cambria" w:hAnsi="Cambria"/>
          <w:b/>
          <w:bCs/>
          <w:sz w:val="22"/>
          <w:szCs w:val="22"/>
        </w:rPr>
        <w:t>a</w:t>
      </w:r>
      <w:r w:rsidR="00FB77AA">
        <w:rPr>
          <w:rFonts w:ascii="Cambria" w:hAnsi="Cambria"/>
          <w:b/>
          <w:bCs/>
          <w:sz w:val="22"/>
          <w:szCs w:val="22"/>
        </w:rPr>
        <w:t>ranja</w:t>
      </w:r>
      <w:r w:rsidRPr="00F06886">
        <w:rPr>
          <w:rFonts w:ascii="Cambria" w:hAnsi="Cambria"/>
          <w:b/>
          <w:bCs/>
          <w:sz w:val="22"/>
          <w:szCs w:val="22"/>
        </w:rPr>
        <w:t xml:space="preserve"> S.A</w:t>
      </w:r>
    </w:p>
    <w:p w:rsidR="007C568A" w:rsidRDefault="007C568A" w:rsidP="007C568A">
      <w:pPr>
        <w:jc w:val="center"/>
      </w:pPr>
    </w:p>
    <w:p w:rsidR="0075627A" w:rsidRDefault="0075627A" w:rsidP="008D3284">
      <w:pPr>
        <w:jc w:val="center"/>
      </w:pPr>
    </w:p>
    <w:sectPr w:rsidR="0075627A" w:rsidSect="00FB77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33B8D"/>
    <w:rsid w:val="000514FC"/>
    <w:rsid w:val="000E1153"/>
    <w:rsid w:val="000E4AFC"/>
    <w:rsid w:val="001D4DE1"/>
    <w:rsid w:val="00217C1B"/>
    <w:rsid w:val="00234345"/>
    <w:rsid w:val="00246DF6"/>
    <w:rsid w:val="002552CA"/>
    <w:rsid w:val="00293AD8"/>
    <w:rsid w:val="002F3546"/>
    <w:rsid w:val="0031681C"/>
    <w:rsid w:val="003201B3"/>
    <w:rsid w:val="00340FE2"/>
    <w:rsid w:val="003511B3"/>
    <w:rsid w:val="004214FE"/>
    <w:rsid w:val="0048031A"/>
    <w:rsid w:val="0049216A"/>
    <w:rsid w:val="004A6BDA"/>
    <w:rsid w:val="004C58E0"/>
    <w:rsid w:val="00515A8C"/>
    <w:rsid w:val="005D22F1"/>
    <w:rsid w:val="00617BE0"/>
    <w:rsid w:val="006364DC"/>
    <w:rsid w:val="006C5A83"/>
    <w:rsid w:val="0075627A"/>
    <w:rsid w:val="007577AF"/>
    <w:rsid w:val="007C15F7"/>
    <w:rsid w:val="007C568A"/>
    <w:rsid w:val="0080563D"/>
    <w:rsid w:val="00833B8D"/>
    <w:rsid w:val="00841E73"/>
    <w:rsid w:val="008500B1"/>
    <w:rsid w:val="00892AFF"/>
    <w:rsid w:val="008A3363"/>
    <w:rsid w:val="008D3284"/>
    <w:rsid w:val="009C3E0E"/>
    <w:rsid w:val="009C79E5"/>
    <w:rsid w:val="00AD1F94"/>
    <w:rsid w:val="00B4308E"/>
    <w:rsid w:val="00B510C1"/>
    <w:rsid w:val="00B74C75"/>
    <w:rsid w:val="00B97970"/>
    <w:rsid w:val="00BD228D"/>
    <w:rsid w:val="00BE0084"/>
    <w:rsid w:val="00C02908"/>
    <w:rsid w:val="00C07209"/>
    <w:rsid w:val="00C30A2F"/>
    <w:rsid w:val="00C57DCE"/>
    <w:rsid w:val="00CB411A"/>
    <w:rsid w:val="00CE6EA4"/>
    <w:rsid w:val="00D60BB0"/>
    <w:rsid w:val="00E069E5"/>
    <w:rsid w:val="00E72281"/>
    <w:rsid w:val="00E94DD1"/>
    <w:rsid w:val="00EF507E"/>
    <w:rsid w:val="00FA2DCA"/>
    <w:rsid w:val="00FB77AA"/>
    <w:rsid w:val="00FE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3B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AR"/>
    </w:rPr>
  </w:style>
  <w:style w:type="paragraph" w:styleId="Ttulo1">
    <w:name w:val="heading 1"/>
    <w:basedOn w:val="Normal"/>
    <w:next w:val="Normal"/>
    <w:link w:val="Ttulo1Car"/>
    <w:qFormat/>
    <w:rsid w:val="00833B8D"/>
    <w:pPr>
      <w:keepNext/>
      <w:jc w:val="right"/>
      <w:outlineLvl w:val="0"/>
    </w:pPr>
    <w:rPr>
      <w:rFonts w:ascii="Palatino" w:hAnsi="Palatino"/>
      <w:u w:val="single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33B8D"/>
    <w:rPr>
      <w:rFonts w:ascii="Palatino" w:eastAsia="Times New Roman" w:hAnsi="Palatino" w:cs="Times New Roman"/>
      <w:sz w:val="24"/>
      <w:szCs w:val="24"/>
      <w:u w:val="single"/>
    </w:rPr>
  </w:style>
  <w:style w:type="paragraph" w:styleId="Textodebloque">
    <w:name w:val="Block Text"/>
    <w:basedOn w:val="Normal"/>
    <w:rsid w:val="00833B8D"/>
    <w:pPr>
      <w:widowControl w:val="0"/>
      <w:tabs>
        <w:tab w:val="left" w:pos="567"/>
        <w:tab w:val="left" w:pos="664"/>
      </w:tabs>
      <w:spacing w:before="120" w:after="60" w:line="220" w:lineRule="atLeast"/>
      <w:jc w:val="both"/>
    </w:pPr>
    <w:rPr>
      <w:rFonts w:ascii="Arial" w:hAnsi="Arial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7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Estudio Beccar Varela</Company>
  <LinksUpToDate>false</LinksUpToDate>
  <CharactersWithSpaces>1474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mtutzer</dc:creator>
  <cp:lastModifiedBy>lgonzalez</cp:lastModifiedBy>
  <cp:revision>3</cp:revision>
  <dcterms:created xsi:type="dcterms:W3CDTF">2019-04-16T14:27:00Z</dcterms:created>
  <dcterms:modified xsi:type="dcterms:W3CDTF">2019-04-16T14:32:00Z</dcterms:modified>
</cp:coreProperties>
</file>