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0756" w:rsidRPr="00251FDB" w:rsidRDefault="00D50756" w:rsidP="0020667A">
      <w:pPr>
        <w:widowControl w:val="0"/>
        <w:tabs>
          <w:tab w:val="left" w:pos="567"/>
        </w:tabs>
        <w:rPr>
          <w:b/>
          <w:smallCaps/>
          <w:sz w:val="20"/>
          <w:szCs w:val="20"/>
          <w:lang w:val="es-AR"/>
        </w:rPr>
      </w:pPr>
      <w:r w:rsidRPr="00251FDB">
        <w:rPr>
          <w:b/>
          <w:smallCaps/>
          <w:sz w:val="20"/>
          <w:szCs w:val="20"/>
          <w:lang w:val="es-AR"/>
        </w:rPr>
        <w:t>Suplemento de Precio</w:t>
      </w:r>
    </w:p>
    <w:p w:rsidR="00DF5359" w:rsidRPr="00251FDB" w:rsidRDefault="00DF5359" w:rsidP="00D50756">
      <w:pPr>
        <w:widowControl w:val="0"/>
        <w:rPr>
          <w:b/>
          <w:smallCaps/>
          <w:sz w:val="20"/>
          <w:szCs w:val="20"/>
          <w:lang w:val="es-AR"/>
        </w:rPr>
      </w:pPr>
    </w:p>
    <w:p w:rsidR="00D50756" w:rsidRPr="00251FDB" w:rsidRDefault="00EB010D" w:rsidP="00D50756">
      <w:pPr>
        <w:widowControl w:val="0"/>
        <w:rPr>
          <w:sz w:val="20"/>
          <w:szCs w:val="20"/>
          <w:lang w:val="es-AR"/>
        </w:rPr>
      </w:pPr>
      <w:bookmarkStart w:id="0" w:name="_Hlk528841074"/>
      <w:bookmarkEnd w:id="0"/>
      <w:r w:rsidRPr="00251FDB">
        <w:rPr>
          <w:noProof/>
          <w:sz w:val="20"/>
          <w:szCs w:val="20"/>
          <w:lang w:val="es-AR" w:eastAsia="es-AR"/>
        </w:rPr>
        <w:drawing>
          <wp:inline distT="0" distB="0" distL="0" distR="0" wp14:anchorId="64C9FB41" wp14:editId="33B8CEFF">
            <wp:extent cx="709575" cy="913096"/>
            <wp:effectExtent l="0" t="0" r="0" b="1905"/>
            <wp:docPr id="3" name="Imagen 1" descr="C:\Users\u0105034\AppData\Local\Microsoft\Windows\Temporary Internet Files\Content.Outlook\BZ8XBBKN\IsologotipoJPG A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0105034\AppData\Local\Microsoft\Windows\Temporary Internet Files\Content.Outlook\BZ8XBBKN\IsologotipoJPG Alt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0414" cy="952780"/>
                    </a:xfrm>
                    <a:prstGeom prst="rect">
                      <a:avLst/>
                    </a:prstGeom>
                    <a:noFill/>
                    <a:ln>
                      <a:noFill/>
                    </a:ln>
                  </pic:spPr>
                </pic:pic>
              </a:graphicData>
            </a:graphic>
          </wp:inline>
        </w:drawing>
      </w:r>
    </w:p>
    <w:p w:rsidR="00D50756" w:rsidRPr="00251FDB" w:rsidRDefault="00D50756" w:rsidP="00D50756">
      <w:pPr>
        <w:widowControl w:val="0"/>
        <w:rPr>
          <w:b/>
          <w:sz w:val="20"/>
          <w:szCs w:val="20"/>
          <w:lang w:val="es-AR"/>
        </w:rPr>
      </w:pPr>
      <w:r w:rsidRPr="00251FDB">
        <w:rPr>
          <w:b/>
          <w:bCs/>
          <w:smallCaps/>
          <w:sz w:val="20"/>
          <w:szCs w:val="20"/>
          <w:lang w:val="es-AR"/>
        </w:rPr>
        <w:t>Tarjeta Naranja S.A.</w:t>
      </w:r>
    </w:p>
    <w:p w:rsidR="00D50756" w:rsidRDefault="00D50756" w:rsidP="00EA1080">
      <w:pPr>
        <w:jc w:val="both"/>
        <w:rPr>
          <w:smallCaps/>
          <w:sz w:val="20"/>
          <w:szCs w:val="20"/>
          <w:lang w:val="es-AR"/>
        </w:rPr>
      </w:pPr>
    </w:p>
    <w:p w:rsidR="00251FDB" w:rsidRPr="00EA1080" w:rsidRDefault="00251FDB">
      <w:pPr>
        <w:rPr>
          <w:rFonts w:eastAsiaTheme="minorHAnsi"/>
          <w:b/>
          <w:sz w:val="20"/>
          <w:szCs w:val="20"/>
          <w:lang w:val="es-AR"/>
        </w:rPr>
      </w:pPr>
      <w:r w:rsidRPr="00EA1080">
        <w:rPr>
          <w:rFonts w:eastAsiaTheme="minorHAnsi"/>
          <w:b/>
          <w:sz w:val="20"/>
          <w:szCs w:val="20"/>
          <w:lang w:val="es-AR"/>
        </w:rPr>
        <w:t>Obligaciones Negociables Clase XLIV</w:t>
      </w:r>
      <w:r>
        <w:rPr>
          <w:rFonts w:eastAsiaTheme="minorHAnsi"/>
          <w:b/>
          <w:sz w:val="20"/>
          <w:szCs w:val="20"/>
          <w:lang w:val="es-AR"/>
        </w:rPr>
        <w:t xml:space="preserve">, </w:t>
      </w:r>
      <w:r w:rsidRPr="00EA1080">
        <w:rPr>
          <w:rFonts w:eastAsiaTheme="minorHAnsi"/>
          <w:b/>
          <w:sz w:val="20"/>
          <w:szCs w:val="20"/>
          <w:lang w:val="es-AR"/>
        </w:rPr>
        <w:t>simples, no convertibles en acciones, no garantizadas</w:t>
      </w:r>
      <w:r>
        <w:rPr>
          <w:rFonts w:eastAsiaTheme="minorHAnsi"/>
          <w:b/>
          <w:sz w:val="20"/>
          <w:szCs w:val="20"/>
          <w:lang w:val="es-AR"/>
        </w:rPr>
        <w:t xml:space="preserve"> </w:t>
      </w:r>
      <w:r w:rsidRPr="00EA1080">
        <w:rPr>
          <w:rFonts w:eastAsiaTheme="minorHAnsi"/>
          <w:b/>
          <w:sz w:val="20"/>
          <w:szCs w:val="20"/>
          <w:lang w:val="es-AR"/>
        </w:rPr>
        <w:t>por un valor nominal</w:t>
      </w:r>
      <w:r w:rsidR="00B9516D">
        <w:rPr>
          <w:rFonts w:eastAsiaTheme="minorHAnsi"/>
          <w:b/>
          <w:sz w:val="20"/>
          <w:szCs w:val="20"/>
          <w:lang w:val="es-AR"/>
        </w:rPr>
        <w:t xml:space="preserve"> de referencia de</w:t>
      </w:r>
      <w:r w:rsidR="00F36D7D">
        <w:rPr>
          <w:rFonts w:eastAsiaTheme="minorHAnsi"/>
          <w:b/>
          <w:sz w:val="20"/>
          <w:szCs w:val="20"/>
          <w:lang w:val="es-AR"/>
        </w:rPr>
        <w:t xml:space="preserve"> hasta</w:t>
      </w:r>
      <w:r w:rsidR="00B9516D">
        <w:rPr>
          <w:rFonts w:eastAsiaTheme="minorHAnsi"/>
          <w:b/>
          <w:sz w:val="20"/>
          <w:szCs w:val="20"/>
          <w:lang w:val="es-AR"/>
        </w:rPr>
        <w:t xml:space="preserve"> $1.000.000.000 (Pesos mil millones) ampliable por hasta un</w:t>
      </w:r>
      <w:r w:rsidRPr="00EA1080">
        <w:rPr>
          <w:rFonts w:eastAsiaTheme="minorHAnsi"/>
          <w:b/>
          <w:sz w:val="20"/>
          <w:szCs w:val="20"/>
          <w:lang w:val="es-AR"/>
        </w:rPr>
        <w:t xml:space="preserve"> </w:t>
      </w:r>
      <w:r>
        <w:rPr>
          <w:rFonts w:eastAsiaTheme="minorHAnsi"/>
          <w:b/>
          <w:sz w:val="20"/>
          <w:szCs w:val="20"/>
          <w:lang w:val="es-AR"/>
        </w:rPr>
        <w:t xml:space="preserve">total </w:t>
      </w:r>
      <w:r w:rsidRPr="00EA1080">
        <w:rPr>
          <w:rFonts w:eastAsiaTheme="minorHAnsi"/>
          <w:b/>
          <w:sz w:val="20"/>
          <w:szCs w:val="20"/>
          <w:lang w:val="es-AR"/>
        </w:rPr>
        <w:t xml:space="preserve">de </w:t>
      </w:r>
      <w:r>
        <w:rPr>
          <w:rFonts w:eastAsiaTheme="minorHAnsi"/>
          <w:b/>
          <w:sz w:val="20"/>
          <w:szCs w:val="20"/>
          <w:lang w:val="es-AR"/>
        </w:rPr>
        <w:t>$</w:t>
      </w:r>
      <w:r w:rsidRPr="00EA1080">
        <w:rPr>
          <w:rFonts w:eastAsiaTheme="minorHAnsi"/>
          <w:b/>
          <w:sz w:val="20"/>
          <w:szCs w:val="20"/>
          <w:lang w:val="es-AR"/>
        </w:rPr>
        <w:t>4.000.000.000</w:t>
      </w:r>
      <w:r>
        <w:rPr>
          <w:rFonts w:eastAsiaTheme="minorHAnsi"/>
          <w:b/>
          <w:sz w:val="20"/>
          <w:szCs w:val="20"/>
          <w:lang w:val="es-AR"/>
        </w:rPr>
        <w:t xml:space="preserve"> (Pesos cuatro mil millones) </w:t>
      </w:r>
      <w:r w:rsidRPr="00EA1080">
        <w:rPr>
          <w:rFonts w:eastAsiaTheme="minorHAnsi"/>
          <w:b/>
          <w:sz w:val="20"/>
          <w:szCs w:val="20"/>
          <w:lang w:val="es-AR"/>
        </w:rPr>
        <w:t xml:space="preserve">con vencimiento a los 18 </w:t>
      </w:r>
      <w:r w:rsidR="003D6E1B">
        <w:rPr>
          <w:rFonts w:eastAsiaTheme="minorHAnsi"/>
          <w:b/>
          <w:sz w:val="20"/>
          <w:szCs w:val="20"/>
          <w:lang w:val="es-AR"/>
        </w:rPr>
        <w:t xml:space="preserve">(dieciocho) </w:t>
      </w:r>
      <w:r w:rsidRPr="00EA1080">
        <w:rPr>
          <w:rFonts w:eastAsiaTheme="minorHAnsi"/>
          <w:b/>
          <w:sz w:val="20"/>
          <w:szCs w:val="20"/>
          <w:lang w:val="es-AR"/>
        </w:rPr>
        <w:t>meses de la Fecha de Emisión y Liquidación</w:t>
      </w:r>
      <w:r>
        <w:rPr>
          <w:rFonts w:eastAsiaTheme="minorHAnsi"/>
          <w:b/>
          <w:sz w:val="20"/>
          <w:szCs w:val="20"/>
          <w:lang w:val="es-AR"/>
        </w:rPr>
        <w:t xml:space="preserve"> </w:t>
      </w:r>
      <w:r w:rsidRPr="00EA1080">
        <w:rPr>
          <w:rFonts w:eastAsiaTheme="minorHAnsi"/>
          <w:b/>
          <w:sz w:val="20"/>
          <w:szCs w:val="20"/>
          <w:lang w:val="es-AR"/>
        </w:rPr>
        <w:t>a tasa variable. Precio de Suscripción: 100% del valor nominal</w:t>
      </w:r>
    </w:p>
    <w:p w:rsidR="00251FDB" w:rsidRDefault="00251FDB" w:rsidP="00D50756">
      <w:pPr>
        <w:widowControl w:val="0"/>
        <w:rPr>
          <w:smallCaps/>
          <w:sz w:val="20"/>
          <w:szCs w:val="20"/>
          <w:lang w:val="es-AR"/>
        </w:rPr>
      </w:pPr>
    </w:p>
    <w:p w:rsidR="00DD69DD" w:rsidRPr="00EA1080" w:rsidRDefault="00251FDB" w:rsidP="00EA1080">
      <w:pPr>
        <w:rPr>
          <w:rFonts w:eastAsiaTheme="minorHAnsi"/>
          <w:sz w:val="20"/>
          <w:szCs w:val="20"/>
          <w:lang w:val="es-AR"/>
        </w:rPr>
      </w:pPr>
      <w:bookmarkStart w:id="1" w:name="_Hlk255812"/>
      <w:r w:rsidRPr="00EA1080">
        <w:rPr>
          <w:rFonts w:eastAsiaTheme="minorHAnsi"/>
          <w:sz w:val="20"/>
          <w:szCs w:val="20"/>
          <w:lang w:val="es-AR"/>
        </w:rPr>
        <w:t xml:space="preserve">A ser emitidas </w:t>
      </w:r>
      <w:r>
        <w:rPr>
          <w:rFonts w:eastAsiaTheme="minorHAnsi"/>
          <w:sz w:val="20"/>
          <w:szCs w:val="20"/>
          <w:lang w:val="es-AR"/>
        </w:rPr>
        <w:t>e</w:t>
      </w:r>
      <w:r w:rsidR="00DD69DD" w:rsidRPr="00EA1080">
        <w:rPr>
          <w:rFonts w:eastAsiaTheme="minorHAnsi"/>
          <w:sz w:val="20"/>
          <w:szCs w:val="20"/>
          <w:lang w:val="es-AR"/>
        </w:rPr>
        <w:t>n el marco del Programa Global de Emisión de Obligaciones Negociables</w:t>
      </w:r>
      <w:r w:rsidR="006A5709" w:rsidRPr="00EA1080">
        <w:rPr>
          <w:rFonts w:eastAsiaTheme="minorHAnsi"/>
          <w:sz w:val="20"/>
          <w:szCs w:val="20"/>
          <w:lang w:val="es-AR"/>
        </w:rPr>
        <w:t xml:space="preserve"> </w:t>
      </w:r>
      <w:r w:rsidR="00DD69DD" w:rsidRPr="00EA1080">
        <w:rPr>
          <w:rFonts w:eastAsiaTheme="minorHAnsi"/>
          <w:sz w:val="20"/>
          <w:szCs w:val="20"/>
          <w:lang w:val="es-AR"/>
        </w:rPr>
        <w:t>a Corto, Mediano y/o Largo</w:t>
      </w:r>
      <w:r>
        <w:rPr>
          <w:rFonts w:eastAsiaTheme="minorHAnsi"/>
          <w:sz w:val="20"/>
          <w:szCs w:val="20"/>
          <w:lang w:val="es-AR"/>
        </w:rPr>
        <w:t xml:space="preserve"> </w:t>
      </w:r>
      <w:r w:rsidR="00DD69DD" w:rsidRPr="00EA1080">
        <w:rPr>
          <w:rFonts w:eastAsiaTheme="minorHAnsi"/>
          <w:sz w:val="20"/>
          <w:szCs w:val="20"/>
          <w:lang w:val="es-AR"/>
        </w:rPr>
        <w:t xml:space="preserve">Plazo por un </w:t>
      </w:r>
      <w:r>
        <w:rPr>
          <w:rFonts w:eastAsiaTheme="minorHAnsi"/>
          <w:sz w:val="20"/>
          <w:szCs w:val="20"/>
          <w:lang w:val="es-AR"/>
        </w:rPr>
        <w:t>valor nominal de hasta</w:t>
      </w:r>
      <w:r w:rsidR="00DD69DD" w:rsidRPr="00EA1080">
        <w:rPr>
          <w:rFonts w:eastAsiaTheme="minorHAnsi"/>
          <w:sz w:val="20"/>
          <w:szCs w:val="20"/>
          <w:lang w:val="es-AR"/>
        </w:rPr>
        <w:t xml:space="preserve"> U$S 1.000.000.000 (o su equivalente en otras monedas, unidades de medida o unidades de valor).</w:t>
      </w:r>
    </w:p>
    <w:bookmarkEnd w:id="1"/>
    <w:p w:rsidR="000E2687" w:rsidRPr="00EA1080" w:rsidRDefault="000E2687" w:rsidP="00EA1080">
      <w:pPr>
        <w:jc w:val="both"/>
        <w:rPr>
          <w:rFonts w:eastAsiaTheme="minorHAnsi"/>
          <w:sz w:val="20"/>
          <w:szCs w:val="20"/>
          <w:lang w:val="es-AR"/>
        </w:rPr>
      </w:pPr>
    </w:p>
    <w:p w:rsidR="000E2687" w:rsidRPr="00EA1080" w:rsidRDefault="000E2687" w:rsidP="00EA1080">
      <w:pPr>
        <w:jc w:val="both"/>
        <w:rPr>
          <w:rFonts w:eastAsiaTheme="minorHAnsi"/>
          <w:sz w:val="20"/>
          <w:szCs w:val="20"/>
          <w:lang w:val="es-AR"/>
        </w:rPr>
      </w:pPr>
      <w:r w:rsidRPr="00EA1080">
        <w:rPr>
          <w:rFonts w:eastAsiaTheme="minorHAnsi"/>
          <w:sz w:val="20"/>
          <w:szCs w:val="20"/>
          <w:lang w:val="es-AR"/>
        </w:rPr>
        <w:t>El presente suplemento de pr</w:t>
      </w:r>
      <w:r>
        <w:rPr>
          <w:rFonts w:eastAsiaTheme="minorHAnsi"/>
          <w:sz w:val="20"/>
          <w:szCs w:val="20"/>
          <w:lang w:val="es-AR"/>
        </w:rPr>
        <w:t>ecio</w:t>
      </w:r>
      <w:r w:rsidRPr="00EA1080">
        <w:rPr>
          <w:rFonts w:eastAsiaTheme="minorHAnsi"/>
          <w:sz w:val="20"/>
          <w:szCs w:val="20"/>
          <w:lang w:val="es-AR"/>
        </w:rPr>
        <w:t xml:space="preserve"> (el “</w:t>
      </w:r>
      <w:r w:rsidRPr="00EA1080">
        <w:rPr>
          <w:rFonts w:eastAsiaTheme="minorHAnsi"/>
          <w:sz w:val="20"/>
          <w:szCs w:val="20"/>
          <w:u w:val="single"/>
          <w:lang w:val="es-AR"/>
        </w:rPr>
        <w:t>Suplemento</w:t>
      </w:r>
      <w:r w:rsidRPr="00EA1080">
        <w:rPr>
          <w:rFonts w:eastAsiaTheme="minorHAnsi"/>
          <w:sz w:val="20"/>
          <w:szCs w:val="20"/>
          <w:lang w:val="es-AR"/>
        </w:rPr>
        <w:t>”</w:t>
      </w:r>
      <w:r>
        <w:rPr>
          <w:rFonts w:eastAsiaTheme="minorHAnsi"/>
          <w:sz w:val="20"/>
          <w:szCs w:val="20"/>
          <w:lang w:val="es-AR"/>
        </w:rPr>
        <w:t xml:space="preserve"> o “</w:t>
      </w:r>
      <w:r>
        <w:rPr>
          <w:rFonts w:eastAsiaTheme="minorHAnsi"/>
          <w:sz w:val="20"/>
          <w:szCs w:val="20"/>
          <w:u w:val="single"/>
          <w:lang w:val="es-AR"/>
        </w:rPr>
        <w:t>Suplemento de Precio</w:t>
      </w:r>
      <w:r w:rsidRPr="00EA1080">
        <w:rPr>
          <w:rFonts w:eastAsiaTheme="minorHAnsi"/>
          <w:sz w:val="20"/>
          <w:szCs w:val="20"/>
          <w:lang w:val="es-AR"/>
        </w:rPr>
        <w:t>”</w:t>
      </w:r>
      <w:r>
        <w:rPr>
          <w:rFonts w:eastAsiaTheme="minorHAnsi"/>
          <w:sz w:val="20"/>
          <w:szCs w:val="20"/>
          <w:lang w:val="es-AR"/>
        </w:rPr>
        <w:t>, en forma indistinta</w:t>
      </w:r>
      <w:r w:rsidRPr="00EA1080">
        <w:rPr>
          <w:rFonts w:eastAsiaTheme="minorHAnsi"/>
          <w:sz w:val="20"/>
          <w:szCs w:val="20"/>
          <w:lang w:val="es-AR"/>
        </w:rPr>
        <w:t xml:space="preserve">) corresponde a las </w:t>
      </w:r>
      <w:r w:rsidRPr="000E2687">
        <w:rPr>
          <w:rFonts w:eastAsiaTheme="minorHAnsi"/>
          <w:sz w:val="20"/>
          <w:szCs w:val="20"/>
          <w:lang w:val="es-AR"/>
        </w:rPr>
        <w:t xml:space="preserve">Obligaciones Negociables Clase XLIV, simples, no convertibles en acciones, no garantizadas por un valor nominal </w:t>
      </w:r>
      <w:r w:rsidR="00B9516D">
        <w:rPr>
          <w:rFonts w:eastAsiaTheme="minorHAnsi"/>
          <w:sz w:val="20"/>
          <w:szCs w:val="20"/>
          <w:lang w:val="es-AR"/>
        </w:rPr>
        <w:t>de referencia de</w:t>
      </w:r>
      <w:r w:rsidR="00F36D7D">
        <w:rPr>
          <w:rFonts w:eastAsiaTheme="minorHAnsi"/>
          <w:sz w:val="20"/>
          <w:szCs w:val="20"/>
          <w:lang w:val="es-AR"/>
        </w:rPr>
        <w:t xml:space="preserve"> hasta</w:t>
      </w:r>
      <w:r w:rsidR="00B9516D">
        <w:rPr>
          <w:rFonts w:eastAsiaTheme="minorHAnsi"/>
          <w:sz w:val="20"/>
          <w:szCs w:val="20"/>
          <w:lang w:val="es-AR"/>
        </w:rPr>
        <w:t xml:space="preserve"> $1.000.000.000 (Pesos mil millones) ampliable por un </w:t>
      </w:r>
      <w:r w:rsidRPr="000E2687">
        <w:rPr>
          <w:rFonts w:eastAsiaTheme="minorHAnsi"/>
          <w:sz w:val="20"/>
          <w:szCs w:val="20"/>
          <w:lang w:val="es-AR"/>
        </w:rPr>
        <w:t>total de hasta $4.000.000.00</w:t>
      </w:r>
      <w:r>
        <w:rPr>
          <w:rFonts w:eastAsiaTheme="minorHAnsi"/>
          <w:sz w:val="20"/>
          <w:szCs w:val="20"/>
          <w:lang w:val="es-AR"/>
        </w:rPr>
        <w:t xml:space="preserve">0 (Pesos cuatro mil millones) </w:t>
      </w:r>
      <w:r w:rsidRPr="000E2687">
        <w:rPr>
          <w:rFonts w:eastAsiaTheme="minorHAnsi"/>
          <w:sz w:val="20"/>
          <w:szCs w:val="20"/>
          <w:lang w:val="es-AR"/>
        </w:rPr>
        <w:t xml:space="preserve">con vencimiento a los 18 </w:t>
      </w:r>
      <w:r w:rsidR="003D6E1B">
        <w:rPr>
          <w:rFonts w:eastAsiaTheme="minorHAnsi"/>
          <w:sz w:val="20"/>
          <w:szCs w:val="20"/>
          <w:lang w:val="es-AR"/>
        </w:rPr>
        <w:t xml:space="preserve">(dieciocho) </w:t>
      </w:r>
      <w:r w:rsidRPr="000E2687">
        <w:rPr>
          <w:rFonts w:eastAsiaTheme="minorHAnsi"/>
          <w:sz w:val="20"/>
          <w:szCs w:val="20"/>
          <w:lang w:val="es-AR"/>
        </w:rPr>
        <w:t>meses de la Fecha de Emisión y Liquidación a tasa variable</w:t>
      </w:r>
      <w:r>
        <w:rPr>
          <w:rFonts w:eastAsiaTheme="minorHAnsi"/>
          <w:sz w:val="20"/>
          <w:szCs w:val="20"/>
          <w:lang w:val="es-AR"/>
        </w:rPr>
        <w:t xml:space="preserve"> (las “</w:t>
      </w:r>
      <w:r>
        <w:rPr>
          <w:rFonts w:eastAsiaTheme="minorHAnsi"/>
          <w:sz w:val="20"/>
          <w:szCs w:val="20"/>
          <w:u w:val="single"/>
          <w:lang w:val="es-AR"/>
        </w:rPr>
        <w:t>Obligaciones Negociables</w:t>
      </w:r>
      <w:r>
        <w:rPr>
          <w:rFonts w:eastAsiaTheme="minorHAnsi"/>
          <w:sz w:val="20"/>
          <w:szCs w:val="20"/>
          <w:lang w:val="es-AR"/>
        </w:rPr>
        <w:t>” o las “</w:t>
      </w:r>
      <w:r>
        <w:rPr>
          <w:rFonts w:eastAsiaTheme="minorHAnsi"/>
          <w:sz w:val="20"/>
          <w:szCs w:val="20"/>
          <w:u w:val="single"/>
          <w:lang w:val="es-AR"/>
        </w:rPr>
        <w:t>Obligaciones Negociables Clase XLIV</w:t>
      </w:r>
      <w:r>
        <w:rPr>
          <w:rFonts w:eastAsiaTheme="minorHAnsi"/>
          <w:sz w:val="20"/>
          <w:szCs w:val="20"/>
          <w:lang w:val="es-AR"/>
        </w:rPr>
        <w:t xml:space="preserve">”) a ser emitidas por el Emisor (conforme dicho término se define a continuación) </w:t>
      </w:r>
      <w:r w:rsidRPr="00EA1080">
        <w:rPr>
          <w:rFonts w:eastAsiaTheme="minorHAnsi"/>
          <w:sz w:val="20"/>
          <w:szCs w:val="20"/>
          <w:lang w:val="es-AR"/>
        </w:rPr>
        <w:t xml:space="preserve">en el marco de su </w:t>
      </w:r>
      <w:r w:rsidRPr="009D7303">
        <w:rPr>
          <w:rFonts w:eastAsiaTheme="minorHAnsi"/>
          <w:sz w:val="20"/>
          <w:szCs w:val="20"/>
          <w:lang w:val="es-AR"/>
        </w:rPr>
        <w:t>del Programa Global de Emisión de Obligaciones Negociables a Corto, Mediano y/o Largo</w:t>
      </w:r>
      <w:r>
        <w:rPr>
          <w:rFonts w:eastAsiaTheme="minorHAnsi"/>
          <w:sz w:val="20"/>
          <w:szCs w:val="20"/>
          <w:lang w:val="es-AR"/>
        </w:rPr>
        <w:t xml:space="preserve"> </w:t>
      </w:r>
      <w:r w:rsidRPr="009D7303">
        <w:rPr>
          <w:rFonts w:eastAsiaTheme="minorHAnsi"/>
          <w:sz w:val="20"/>
          <w:szCs w:val="20"/>
          <w:lang w:val="es-AR"/>
        </w:rPr>
        <w:t xml:space="preserve">Plazo por un </w:t>
      </w:r>
      <w:r>
        <w:rPr>
          <w:rFonts w:eastAsiaTheme="minorHAnsi"/>
          <w:sz w:val="20"/>
          <w:szCs w:val="20"/>
          <w:lang w:val="es-AR"/>
        </w:rPr>
        <w:t>valor nominal de hasta</w:t>
      </w:r>
      <w:r w:rsidRPr="009D7303">
        <w:rPr>
          <w:rFonts w:eastAsiaTheme="minorHAnsi"/>
          <w:sz w:val="20"/>
          <w:szCs w:val="20"/>
          <w:lang w:val="es-AR"/>
        </w:rPr>
        <w:t xml:space="preserve"> U$S 1.000.000.000 (o su equivalente en otras monedas, unidades de medida o unidades de valor)</w:t>
      </w:r>
      <w:r w:rsidRPr="000E2687">
        <w:rPr>
          <w:rFonts w:eastAsiaTheme="minorHAnsi"/>
          <w:sz w:val="20"/>
          <w:szCs w:val="20"/>
          <w:lang w:val="es-AR"/>
        </w:rPr>
        <w:t xml:space="preserve"> </w:t>
      </w:r>
      <w:r w:rsidRPr="00EA1080">
        <w:rPr>
          <w:rFonts w:eastAsiaTheme="minorHAnsi"/>
          <w:sz w:val="20"/>
          <w:szCs w:val="20"/>
          <w:lang w:val="es-AR"/>
        </w:rPr>
        <w:t>(el “</w:t>
      </w:r>
      <w:r w:rsidRPr="00EA1080">
        <w:rPr>
          <w:rFonts w:eastAsiaTheme="minorHAnsi"/>
          <w:sz w:val="20"/>
          <w:szCs w:val="20"/>
          <w:u w:val="single"/>
          <w:lang w:val="es-AR"/>
        </w:rPr>
        <w:t>Programa</w:t>
      </w:r>
      <w:r w:rsidRPr="00EA1080">
        <w:rPr>
          <w:rFonts w:eastAsiaTheme="minorHAnsi"/>
          <w:sz w:val="20"/>
          <w:szCs w:val="20"/>
          <w:lang w:val="es-AR"/>
        </w:rPr>
        <w:t>”).</w:t>
      </w:r>
    </w:p>
    <w:p w:rsidR="000453D9" w:rsidRPr="00EA1080" w:rsidRDefault="000453D9">
      <w:pPr>
        <w:jc w:val="both"/>
        <w:rPr>
          <w:rFonts w:eastAsiaTheme="minorHAnsi"/>
          <w:sz w:val="20"/>
          <w:szCs w:val="20"/>
          <w:lang w:val="es-AR"/>
        </w:rPr>
      </w:pPr>
    </w:p>
    <w:p w:rsidR="00DC721C" w:rsidRPr="00EA1080" w:rsidRDefault="00374887" w:rsidP="00D97E76">
      <w:pPr>
        <w:jc w:val="both"/>
        <w:rPr>
          <w:rFonts w:eastAsiaTheme="minorHAnsi"/>
          <w:b/>
          <w:sz w:val="20"/>
          <w:szCs w:val="20"/>
          <w:lang w:val="es-AR"/>
        </w:rPr>
      </w:pPr>
      <w:r w:rsidRPr="00251FDB">
        <w:rPr>
          <w:rFonts w:eastAsiaTheme="minorHAnsi"/>
          <w:b/>
          <w:sz w:val="20"/>
          <w:szCs w:val="20"/>
          <w:lang w:val="es-AR"/>
        </w:rPr>
        <w:t xml:space="preserve">La oferta pública de las Obligaciones Negociables emitidas bajo el Programa ha sido autorizada por Resolución Nº 15.220 de fecha 26 de octubre de 2005 de la </w:t>
      </w:r>
      <w:r w:rsidR="00DD24B5" w:rsidRPr="00251FDB">
        <w:rPr>
          <w:rFonts w:eastAsiaTheme="minorHAnsi"/>
          <w:b/>
          <w:sz w:val="20"/>
          <w:szCs w:val="20"/>
          <w:lang w:val="es-AR"/>
        </w:rPr>
        <w:t>Comisión Nacional de Valores (la “</w:t>
      </w:r>
      <w:r w:rsidRPr="00251FDB">
        <w:rPr>
          <w:rFonts w:eastAsiaTheme="minorHAnsi"/>
          <w:b/>
          <w:sz w:val="20"/>
          <w:szCs w:val="20"/>
          <w:u w:val="single"/>
          <w:lang w:val="es-AR"/>
        </w:rPr>
        <w:t>CNV</w:t>
      </w:r>
      <w:r w:rsidR="00DD24B5" w:rsidRPr="00251FDB">
        <w:rPr>
          <w:rFonts w:eastAsiaTheme="minorHAnsi"/>
          <w:b/>
          <w:sz w:val="20"/>
          <w:szCs w:val="20"/>
          <w:lang w:val="es-AR"/>
        </w:rPr>
        <w:t>”)</w:t>
      </w:r>
      <w:r w:rsidRPr="00251FDB">
        <w:rPr>
          <w:rFonts w:eastAsiaTheme="minorHAnsi"/>
          <w:b/>
          <w:sz w:val="20"/>
          <w:szCs w:val="20"/>
          <w:lang w:val="es-AR"/>
        </w:rPr>
        <w:t>. El aumento del monto máximo del Programa (que originariamente era de U$S 50.000.000) ha sido autorizado mediante las siguientes resoluciones de la CNV: Resolución Nº 15.361 de fecha 23 de marzo de 2006 (a U$S 150.000.000), Resolución Nº 15.785 de fecha 16 de noviembre de 2007 (a U$S350.000.000), Resolución Nº 16.571 de fecha 24 de mayo de 2011 (a U$S 450.000.000), Resolución Nº 16.822 de fecha 23 de mayo de 2012 (a U$S 650.000.000) y Resolución Nº 19.508 de fecha 10 de mayo de 2018 (a U$S 1.000.000.000)</w:t>
      </w:r>
      <w:r w:rsidR="004F13C2" w:rsidRPr="00251FDB">
        <w:rPr>
          <w:rFonts w:eastAsiaTheme="minorHAnsi"/>
          <w:b/>
          <w:sz w:val="20"/>
          <w:szCs w:val="20"/>
          <w:lang w:val="es-AR"/>
        </w:rPr>
        <w:t>, mediante la cual se modificaron, asimismo, los términos y condiciones del Programa</w:t>
      </w:r>
      <w:r w:rsidRPr="00251FDB">
        <w:rPr>
          <w:rFonts w:eastAsiaTheme="minorHAnsi"/>
          <w:b/>
          <w:sz w:val="20"/>
          <w:szCs w:val="20"/>
          <w:lang w:val="es-AR"/>
        </w:rPr>
        <w:t>. Las prórrogas de la vigencia del Programa han sido autorizadas por las Resoluciones de la CNV Nº 16.319 de fecha 27 de abril de 2010</w:t>
      </w:r>
      <w:r w:rsidR="00D97E76" w:rsidRPr="00251FDB">
        <w:rPr>
          <w:rFonts w:eastAsiaTheme="minorHAnsi"/>
          <w:b/>
          <w:sz w:val="20"/>
          <w:szCs w:val="20"/>
          <w:lang w:val="es-AR"/>
        </w:rPr>
        <w:t xml:space="preserve">, </w:t>
      </w:r>
      <w:r w:rsidRPr="00251FDB">
        <w:rPr>
          <w:rFonts w:eastAsiaTheme="minorHAnsi"/>
          <w:b/>
          <w:sz w:val="20"/>
          <w:szCs w:val="20"/>
          <w:lang w:val="es-AR"/>
        </w:rPr>
        <w:t>Nº 17.676 de fecha 21 de mayo de 2015</w:t>
      </w:r>
      <w:r w:rsidR="00D97E76" w:rsidRPr="00251FDB">
        <w:rPr>
          <w:rFonts w:eastAsiaTheme="minorHAnsi"/>
          <w:b/>
          <w:sz w:val="20"/>
          <w:szCs w:val="20"/>
          <w:lang w:val="es-AR"/>
        </w:rPr>
        <w:t xml:space="preserve"> y </w:t>
      </w:r>
      <w:r w:rsidR="00D97E76" w:rsidRPr="00251FDB">
        <w:rPr>
          <w:rFonts w:eastAsiaTheme="minorHAnsi"/>
          <w:b/>
          <w:bCs/>
          <w:sz w:val="20"/>
          <w:szCs w:val="20"/>
          <w:lang w:val="es-AR"/>
        </w:rPr>
        <w:t>por Disposición de la Gerencia de Emisoras de la CNV N°DI-2020-20-APN-GE#CNV de fecha 18 de marzo de 2020.</w:t>
      </w:r>
      <w:r w:rsidRPr="00251FDB">
        <w:rPr>
          <w:rFonts w:eastAsiaTheme="minorHAnsi"/>
          <w:b/>
          <w:sz w:val="20"/>
          <w:szCs w:val="20"/>
          <w:lang w:val="es-AR"/>
        </w:rPr>
        <w:t xml:space="preserve"> Estas autorizaciones sólo significan que se ha cumplido con los requisitos establecidos en materia de información. La CNV no ha emitido juicio sobre los datos contenidos en el presente Suplemento de Precio. La veracidad de la información contable, económica y financiera, así como de toda otra información suministrada en el presente suplemento de precio es exclusiva responsabilidad del órgano de administración y, en lo que les atañe, del órgano de fiscalización del emisor y de los auditores en cuanto a sus respectivos informes sobre los estados financieros que se acompañan y demás responsables contemplados en los artículos 119 y 120 de la Ley Nº 26.831 (con sus modificatorias y complementarias, incluyendo sin limitación a la Ley Nº 27.440 de Financiamiento Productivo y al Decreto 4781/18, la “</w:t>
      </w:r>
      <w:r w:rsidRPr="00251FDB">
        <w:rPr>
          <w:rFonts w:eastAsiaTheme="minorHAnsi"/>
          <w:b/>
          <w:sz w:val="20"/>
          <w:szCs w:val="20"/>
          <w:u w:val="single"/>
          <w:lang w:val="es-AR"/>
        </w:rPr>
        <w:t>Ley de Mercado de Capitales</w:t>
      </w:r>
      <w:r w:rsidRPr="00251FDB">
        <w:rPr>
          <w:rFonts w:eastAsiaTheme="minorHAnsi"/>
          <w:b/>
          <w:sz w:val="20"/>
          <w:szCs w:val="20"/>
          <w:lang w:val="es-AR"/>
        </w:rPr>
        <w:t>”). El órgano de administración manifiesta, con carácter de declaración jurada, que el presente Suplemento de Precio contiene a la fecha de su publicación información veraz y suficiente sobre todo hecho relevante que pueda afectar la situación patrimonial, económica y financiera del emisor y de toda aquella que deba ser de conocimiento del público inversor con relación a la presente emisión, conforme las normas vigentes.</w:t>
      </w:r>
    </w:p>
    <w:p w:rsidR="00DC721C" w:rsidRPr="00251FDB" w:rsidRDefault="00DC721C" w:rsidP="00EF5C62">
      <w:pPr>
        <w:jc w:val="both"/>
        <w:rPr>
          <w:b/>
          <w:smallCaps/>
          <w:sz w:val="20"/>
          <w:szCs w:val="20"/>
          <w:lang w:val="es-AR"/>
        </w:rPr>
      </w:pPr>
    </w:p>
    <w:p w:rsidR="00EF5C62" w:rsidRDefault="00EF5C62" w:rsidP="00EF5C62">
      <w:pPr>
        <w:pStyle w:val="Textoindependiente"/>
        <w:widowControl w:val="0"/>
        <w:tabs>
          <w:tab w:val="clear" w:pos="397"/>
        </w:tabs>
        <w:rPr>
          <w:lang w:val="es-AR"/>
        </w:rPr>
      </w:pPr>
      <w:r w:rsidRPr="00251FDB">
        <w:rPr>
          <w:lang w:val="es-AR"/>
        </w:rPr>
        <w:t>Tarjeta Naranja S.A. CUIT Nº 30-68537634-9</w:t>
      </w:r>
      <w:r w:rsidRPr="00251FDB">
        <w:rPr>
          <w:bCs/>
          <w:lang w:val="es-AR"/>
        </w:rPr>
        <w:t xml:space="preserve"> </w:t>
      </w:r>
      <w:r w:rsidRPr="00251FDB">
        <w:rPr>
          <w:lang w:val="es-AR"/>
        </w:rPr>
        <w:t>(el “</w:t>
      </w:r>
      <w:r w:rsidRPr="00251FDB">
        <w:rPr>
          <w:u w:val="single"/>
          <w:lang w:val="es-AR"/>
        </w:rPr>
        <w:t>Emisor</w:t>
      </w:r>
      <w:r w:rsidRPr="00251FDB">
        <w:rPr>
          <w:lang w:val="es-AR"/>
        </w:rPr>
        <w:t>”, la “</w:t>
      </w:r>
      <w:r w:rsidRPr="00251FDB">
        <w:rPr>
          <w:u w:val="single"/>
          <w:lang w:val="es-AR"/>
        </w:rPr>
        <w:t>Compañía</w:t>
      </w:r>
      <w:r w:rsidRPr="00251FDB">
        <w:rPr>
          <w:lang w:val="es-AR"/>
        </w:rPr>
        <w:t>”, y/o “</w:t>
      </w:r>
      <w:r w:rsidRPr="00251FDB">
        <w:rPr>
          <w:u w:val="single"/>
          <w:lang w:val="es-AR"/>
        </w:rPr>
        <w:t>Sociedad</w:t>
      </w:r>
      <w:r w:rsidRPr="00251FDB">
        <w:rPr>
          <w:lang w:val="es-AR"/>
        </w:rPr>
        <w:t xml:space="preserve">” indistintamente), </w:t>
      </w:r>
      <w:r w:rsidR="00DD24B5" w:rsidRPr="00251FDB">
        <w:rPr>
          <w:lang w:val="es-AR"/>
        </w:rPr>
        <w:t xml:space="preserve">tiene su </w:t>
      </w:r>
      <w:r w:rsidRPr="00251FDB">
        <w:rPr>
          <w:lang w:val="es-AR"/>
        </w:rPr>
        <w:t>sede social sita en la calle La Tablada 451 (</w:t>
      </w:r>
      <w:r w:rsidR="005756A0" w:rsidRPr="00251FDB">
        <w:rPr>
          <w:lang w:val="es-AR"/>
        </w:rPr>
        <w:t>X5000FEK</w:t>
      </w:r>
      <w:r w:rsidRPr="00251FDB">
        <w:rPr>
          <w:lang w:val="es-AR"/>
        </w:rPr>
        <w:t>), de la Ciudad de Córdoba, Provincia de Córd</w:t>
      </w:r>
      <w:r w:rsidR="00575C3F" w:rsidRPr="00251FDB">
        <w:rPr>
          <w:lang w:val="es-AR"/>
        </w:rPr>
        <w:t>oba. El teléfono del Emisor es 54-(0351) 4200590</w:t>
      </w:r>
      <w:r w:rsidRPr="00251FDB">
        <w:rPr>
          <w:lang w:val="es-AR"/>
        </w:rPr>
        <w:t xml:space="preserve">, su correo electrónico es </w:t>
      </w:r>
      <w:r w:rsidR="00575C3F" w:rsidRPr="00251FDB">
        <w:rPr>
          <w:lang w:val="es-AR"/>
        </w:rPr>
        <w:t>directorio@naranja.com.ar</w:t>
      </w:r>
      <w:r w:rsidRPr="00251FDB">
        <w:rPr>
          <w:lang w:val="es-AR"/>
        </w:rPr>
        <w:t xml:space="preserve"> y su página web es www.naranja.com (la “</w:t>
      </w:r>
      <w:r w:rsidRPr="00251FDB">
        <w:rPr>
          <w:u w:val="single"/>
          <w:lang w:val="es-AR"/>
        </w:rPr>
        <w:t>Página Web Institucional</w:t>
      </w:r>
      <w:r w:rsidRPr="00251FDB">
        <w:rPr>
          <w:lang w:val="es-AR"/>
        </w:rPr>
        <w:t>”).</w:t>
      </w:r>
    </w:p>
    <w:p w:rsidR="003707F1" w:rsidRDefault="003707F1" w:rsidP="00EF5C62">
      <w:pPr>
        <w:pStyle w:val="Textoindependiente"/>
        <w:widowControl w:val="0"/>
        <w:tabs>
          <w:tab w:val="clear" w:pos="397"/>
        </w:tabs>
        <w:rPr>
          <w:lang w:val="es-AR"/>
        </w:rPr>
      </w:pPr>
    </w:p>
    <w:p w:rsidR="003707F1" w:rsidRPr="003707F1" w:rsidRDefault="003707F1" w:rsidP="00EA1080">
      <w:pPr>
        <w:jc w:val="both"/>
        <w:rPr>
          <w:lang w:val="es-AR"/>
        </w:rPr>
      </w:pPr>
      <w:r w:rsidRPr="00EA1080">
        <w:rPr>
          <w:sz w:val="20"/>
          <w:szCs w:val="20"/>
          <w:lang w:val="es-AR"/>
        </w:rPr>
        <w:t>Las Obligaciones Negociables constituirán, una vez emitidas, obligaciones negociables simples no convertibles en acciones, emitidas conforme a la Ley Nº 23.576 (junto con sus modificatorias, la “</w:t>
      </w:r>
      <w:r w:rsidRPr="00EA1080">
        <w:rPr>
          <w:sz w:val="20"/>
          <w:szCs w:val="20"/>
          <w:u w:val="single"/>
          <w:lang w:val="es-AR"/>
        </w:rPr>
        <w:t xml:space="preserve">Ley de </w:t>
      </w:r>
      <w:r w:rsidRPr="00EA1080">
        <w:rPr>
          <w:sz w:val="20"/>
          <w:szCs w:val="20"/>
          <w:u w:val="single"/>
          <w:lang w:val="es-AR"/>
        </w:rPr>
        <w:lastRenderedPageBreak/>
        <w:t>Obligaciones Negociables</w:t>
      </w:r>
      <w:r w:rsidRPr="00EA1080">
        <w:rPr>
          <w:sz w:val="20"/>
          <w:szCs w:val="20"/>
          <w:lang w:val="es-AR"/>
        </w:rPr>
        <w:t>”), y se emitirán y colocarán de acuerdo con dicha ley, la Ley de Mercado de Capitales, las normas de la CNV según texto ordenado mediante Resolución General Nº 622/2013 (junto con sus modificatorias y complementarias, incluyendo, sin limitación, la Resolución General N° 662/2016, las “</w:t>
      </w:r>
      <w:r w:rsidRPr="00EA1080">
        <w:rPr>
          <w:sz w:val="20"/>
          <w:szCs w:val="20"/>
          <w:u w:val="single"/>
          <w:lang w:val="es-AR"/>
        </w:rPr>
        <w:t>Normas de la CNV</w:t>
      </w:r>
      <w:r w:rsidRPr="00EA1080">
        <w:rPr>
          <w:sz w:val="20"/>
          <w:szCs w:val="20"/>
          <w:lang w:val="es-AR"/>
        </w:rPr>
        <w:t>”), y cualquier otra ley y/o reglamentación aplicable, y gozarán de los beneficios establecidos en la Ley de Obligaciones Negociables, y estarán sujetas a los requisitos de procedimiento establecidos en dichas normas.</w:t>
      </w:r>
    </w:p>
    <w:p w:rsidR="006A78C1" w:rsidRPr="00251FDB" w:rsidRDefault="006A78C1" w:rsidP="00275A09">
      <w:pPr>
        <w:pStyle w:val="Textoindependiente"/>
        <w:widowControl w:val="0"/>
        <w:tabs>
          <w:tab w:val="clear" w:pos="397"/>
        </w:tabs>
        <w:rPr>
          <w:smallCaps/>
          <w:lang w:val="es-AR"/>
        </w:rPr>
      </w:pPr>
    </w:p>
    <w:p w:rsidR="00AF3DDC" w:rsidRPr="00EA1080" w:rsidRDefault="000E2687" w:rsidP="003079F0">
      <w:pPr>
        <w:pStyle w:val="Default"/>
        <w:jc w:val="both"/>
        <w:rPr>
          <w:rFonts w:eastAsiaTheme="minorHAnsi"/>
          <w:i/>
          <w:sz w:val="20"/>
          <w:szCs w:val="20"/>
        </w:rPr>
      </w:pPr>
      <w:r w:rsidRPr="00EA1080">
        <w:rPr>
          <w:rFonts w:eastAsiaTheme="minorHAnsi"/>
          <w:i/>
          <w:sz w:val="20"/>
          <w:szCs w:val="20"/>
        </w:rPr>
        <w:t xml:space="preserve">La oferta pública </w:t>
      </w:r>
      <w:r w:rsidR="00AF3DDC" w:rsidRPr="00EA1080">
        <w:rPr>
          <w:rFonts w:eastAsiaTheme="minorHAnsi"/>
          <w:i/>
          <w:sz w:val="20"/>
          <w:szCs w:val="20"/>
        </w:rPr>
        <w:t>de las Obligaciones Negociables que se describen en el presente Suplemento se encuentra comprendida dentro de la autorización de oferta pública otorgada por la CNV en el marco del Programa, en virtud de lo establecido por el artículo 41 del Título II del Capítulo V de las Normas de la CNV. Este Suplemento no ha sido previamente revisado ni conformado por la CNV. De conformidad con el procedimiento establecido por el artículo 51 del Título II del Capítulo V de las Normas de la CNV, dentro de los cinco (5) Días Hábiles de suscriptas las Obligaciones Negociables el Emisor presentará la documentación definitiva relativa a las mismas ante la CNV</w:t>
      </w:r>
      <w:r w:rsidR="00AF3DDC" w:rsidRPr="00EA1080">
        <w:rPr>
          <w:i/>
          <w:sz w:val="20"/>
          <w:szCs w:val="20"/>
          <w:lang w:val="es-MX"/>
        </w:rPr>
        <w:t>.</w:t>
      </w:r>
    </w:p>
    <w:p w:rsidR="00AF3DDC" w:rsidRDefault="00AF3DDC" w:rsidP="003079F0">
      <w:pPr>
        <w:pStyle w:val="Default"/>
        <w:jc w:val="both"/>
        <w:rPr>
          <w:rFonts w:eastAsiaTheme="minorHAnsi"/>
          <w:sz w:val="20"/>
          <w:szCs w:val="20"/>
        </w:rPr>
      </w:pPr>
    </w:p>
    <w:p w:rsidR="0016657B" w:rsidRPr="003707F1" w:rsidRDefault="0016657B" w:rsidP="003707F1">
      <w:pPr>
        <w:pStyle w:val="Default"/>
        <w:jc w:val="both"/>
        <w:rPr>
          <w:rFonts w:eastAsiaTheme="minorHAnsi"/>
          <w:sz w:val="20"/>
          <w:szCs w:val="20"/>
        </w:rPr>
      </w:pPr>
      <w:r>
        <w:rPr>
          <w:rFonts w:eastAsiaTheme="minorHAnsi"/>
          <w:sz w:val="20"/>
          <w:szCs w:val="20"/>
        </w:rPr>
        <w:t xml:space="preserve">El Emisor </w:t>
      </w:r>
      <w:r w:rsidRPr="0016657B">
        <w:rPr>
          <w:rFonts w:eastAsiaTheme="minorHAnsi"/>
          <w:sz w:val="20"/>
          <w:szCs w:val="20"/>
        </w:rPr>
        <w:t>ha solicitado autorización para el listado y negociación de las Obligaciones Negociables en B</w:t>
      </w:r>
      <w:r>
        <w:rPr>
          <w:rFonts w:eastAsiaTheme="minorHAnsi"/>
          <w:sz w:val="20"/>
          <w:szCs w:val="20"/>
        </w:rPr>
        <w:t xml:space="preserve">olsas y </w:t>
      </w:r>
      <w:r w:rsidRPr="0016657B">
        <w:rPr>
          <w:rFonts w:eastAsiaTheme="minorHAnsi"/>
          <w:sz w:val="20"/>
          <w:szCs w:val="20"/>
        </w:rPr>
        <w:t>M</w:t>
      </w:r>
      <w:r>
        <w:rPr>
          <w:rFonts w:eastAsiaTheme="minorHAnsi"/>
          <w:sz w:val="20"/>
          <w:szCs w:val="20"/>
        </w:rPr>
        <w:t xml:space="preserve">ercados </w:t>
      </w:r>
      <w:r w:rsidRPr="0016657B">
        <w:rPr>
          <w:rFonts w:eastAsiaTheme="minorHAnsi"/>
          <w:sz w:val="20"/>
          <w:szCs w:val="20"/>
        </w:rPr>
        <w:t>A</w:t>
      </w:r>
      <w:r>
        <w:rPr>
          <w:rFonts w:eastAsiaTheme="minorHAnsi"/>
          <w:sz w:val="20"/>
          <w:szCs w:val="20"/>
        </w:rPr>
        <w:t>rgentinos (“</w:t>
      </w:r>
      <w:r>
        <w:rPr>
          <w:rFonts w:eastAsiaTheme="minorHAnsi"/>
          <w:sz w:val="20"/>
          <w:szCs w:val="20"/>
          <w:u w:val="single"/>
        </w:rPr>
        <w:t>BYMA</w:t>
      </w:r>
      <w:r>
        <w:rPr>
          <w:rFonts w:eastAsiaTheme="minorHAnsi"/>
          <w:sz w:val="20"/>
          <w:szCs w:val="20"/>
        </w:rPr>
        <w:t>”), a través de la Bolsa de Comercio de Buenos Aires (la “</w:t>
      </w:r>
      <w:r>
        <w:rPr>
          <w:rFonts w:eastAsiaTheme="minorHAnsi"/>
          <w:sz w:val="20"/>
          <w:szCs w:val="20"/>
          <w:u w:val="single"/>
        </w:rPr>
        <w:t>BCBA</w:t>
      </w:r>
      <w:r w:rsidRPr="00EA1080">
        <w:rPr>
          <w:rFonts w:eastAsiaTheme="minorHAnsi"/>
          <w:sz w:val="20"/>
          <w:szCs w:val="20"/>
        </w:rPr>
        <w:t>”</w:t>
      </w:r>
      <w:r>
        <w:rPr>
          <w:rFonts w:eastAsiaTheme="minorHAnsi"/>
          <w:sz w:val="20"/>
          <w:szCs w:val="20"/>
        </w:rPr>
        <w:t xml:space="preserve">), </w:t>
      </w:r>
      <w:r w:rsidRPr="0016657B">
        <w:rPr>
          <w:rFonts w:eastAsiaTheme="minorHAnsi"/>
          <w:sz w:val="20"/>
          <w:szCs w:val="20"/>
        </w:rPr>
        <w:t>en virtud del ejercicio de la facultad delegada por BYMA a la BCBA, conforme lo dispuesto por la R</w:t>
      </w:r>
      <w:r>
        <w:rPr>
          <w:rFonts w:eastAsiaTheme="minorHAnsi"/>
          <w:sz w:val="20"/>
          <w:szCs w:val="20"/>
        </w:rPr>
        <w:t xml:space="preserve">esolución N°18.629 de la CNV, y </w:t>
      </w:r>
      <w:r w:rsidRPr="0016657B">
        <w:rPr>
          <w:rFonts w:eastAsiaTheme="minorHAnsi"/>
          <w:sz w:val="20"/>
          <w:szCs w:val="20"/>
        </w:rPr>
        <w:t xml:space="preserve">ha solicitado autorización para la negociación de las Obligaciones Negociables en el Mercado Abierto Electrónico </w:t>
      </w:r>
      <w:r>
        <w:rPr>
          <w:rFonts w:eastAsiaTheme="minorHAnsi"/>
          <w:sz w:val="20"/>
          <w:szCs w:val="20"/>
        </w:rPr>
        <w:t xml:space="preserve">S.A. </w:t>
      </w:r>
      <w:r w:rsidRPr="0016657B">
        <w:rPr>
          <w:rFonts w:eastAsiaTheme="minorHAnsi"/>
          <w:sz w:val="20"/>
          <w:szCs w:val="20"/>
        </w:rPr>
        <w:t>(el “</w:t>
      </w:r>
      <w:r w:rsidRPr="00EA1080">
        <w:rPr>
          <w:rFonts w:eastAsiaTheme="minorHAnsi"/>
          <w:sz w:val="20"/>
          <w:szCs w:val="20"/>
          <w:u w:val="single"/>
        </w:rPr>
        <w:t>MAE</w:t>
      </w:r>
      <w:r>
        <w:rPr>
          <w:rFonts w:eastAsiaTheme="minorHAnsi"/>
          <w:sz w:val="20"/>
          <w:szCs w:val="20"/>
        </w:rPr>
        <w:t xml:space="preserve">”). Sin </w:t>
      </w:r>
      <w:r w:rsidRPr="0016657B">
        <w:rPr>
          <w:rFonts w:eastAsiaTheme="minorHAnsi"/>
          <w:sz w:val="20"/>
          <w:szCs w:val="20"/>
        </w:rPr>
        <w:t xml:space="preserve">perjuicio de ello, </w:t>
      </w:r>
      <w:r>
        <w:rPr>
          <w:rFonts w:eastAsiaTheme="minorHAnsi"/>
          <w:sz w:val="20"/>
          <w:szCs w:val="20"/>
        </w:rPr>
        <w:t>el Emisor</w:t>
      </w:r>
      <w:r w:rsidRPr="0016657B">
        <w:rPr>
          <w:rFonts w:eastAsiaTheme="minorHAnsi"/>
          <w:sz w:val="20"/>
          <w:szCs w:val="20"/>
        </w:rPr>
        <w:t xml:space="preserve"> no puede asegurar que dichas autorizaciones serán otorgadas, o que, una </w:t>
      </w:r>
      <w:r>
        <w:rPr>
          <w:rFonts w:eastAsiaTheme="minorHAnsi"/>
          <w:sz w:val="20"/>
          <w:szCs w:val="20"/>
        </w:rPr>
        <w:t xml:space="preserve">vez otorgadas, las Obligaciones </w:t>
      </w:r>
      <w:r w:rsidRPr="0016657B">
        <w:rPr>
          <w:rFonts w:eastAsiaTheme="minorHAnsi"/>
          <w:sz w:val="20"/>
          <w:szCs w:val="20"/>
        </w:rPr>
        <w:t>Negociables continuarán listando y/o negociándose en dichos mercados</w:t>
      </w:r>
      <w:r>
        <w:rPr>
          <w:rFonts w:eastAsiaTheme="minorHAnsi"/>
          <w:sz w:val="20"/>
          <w:szCs w:val="20"/>
        </w:rPr>
        <w:t>.</w:t>
      </w:r>
      <w:r w:rsidR="003707F1">
        <w:rPr>
          <w:rFonts w:eastAsiaTheme="minorHAnsi"/>
          <w:sz w:val="20"/>
          <w:szCs w:val="20"/>
        </w:rPr>
        <w:t xml:space="preserve"> </w:t>
      </w:r>
      <w:r w:rsidR="003707F1" w:rsidRPr="003707F1">
        <w:rPr>
          <w:rFonts w:eastAsiaTheme="minorHAnsi"/>
          <w:sz w:val="20"/>
          <w:szCs w:val="20"/>
        </w:rPr>
        <w:t>El Emisor podrá solicitar que las Obligaciones Negociables sean elegibles para su transferencia a través de Euroclear Bank S.A./N.V. (“</w:t>
      </w:r>
      <w:r w:rsidR="003707F1" w:rsidRPr="00EA1080">
        <w:rPr>
          <w:rFonts w:eastAsiaTheme="minorHAnsi"/>
          <w:sz w:val="20"/>
          <w:szCs w:val="20"/>
          <w:u w:val="single"/>
        </w:rPr>
        <w:t>Euroclear</w:t>
      </w:r>
      <w:r w:rsidR="003707F1" w:rsidRPr="003707F1">
        <w:rPr>
          <w:rFonts w:eastAsiaTheme="minorHAnsi"/>
          <w:sz w:val="20"/>
          <w:szCs w:val="20"/>
        </w:rPr>
        <w:t>”).</w:t>
      </w:r>
    </w:p>
    <w:p w:rsidR="000506DD" w:rsidRPr="00251FDB" w:rsidRDefault="000506DD" w:rsidP="000506DD">
      <w:pPr>
        <w:widowControl w:val="0"/>
        <w:tabs>
          <w:tab w:val="left" w:pos="2475"/>
        </w:tabs>
        <w:jc w:val="both"/>
        <w:rPr>
          <w:smallCaps/>
          <w:sz w:val="20"/>
          <w:szCs w:val="20"/>
          <w:lang w:val="es-AR" w:eastAsia="es-ES"/>
        </w:rPr>
      </w:pPr>
    </w:p>
    <w:p w:rsidR="000506DD" w:rsidRPr="00251FDB" w:rsidRDefault="00374887" w:rsidP="000506DD">
      <w:pPr>
        <w:widowControl w:val="0"/>
        <w:jc w:val="both"/>
        <w:rPr>
          <w:rFonts w:eastAsiaTheme="minorHAnsi"/>
          <w:color w:val="000000"/>
          <w:sz w:val="20"/>
          <w:szCs w:val="20"/>
          <w:lang w:val="es-ES" w:eastAsia="es-ES"/>
        </w:rPr>
      </w:pPr>
      <w:r w:rsidRPr="00251FDB">
        <w:rPr>
          <w:rFonts w:eastAsiaTheme="minorHAnsi"/>
          <w:color w:val="000000"/>
          <w:sz w:val="20"/>
          <w:szCs w:val="20"/>
          <w:lang w:val="es-ES" w:eastAsia="es-ES"/>
        </w:rPr>
        <w:t>La colocación primaria de las Obligaciones Negociables se realizará mediante subasta pública abierta con posibilidad de participación de todos los interesados que oportunamente soliciten autorización (“</w:t>
      </w:r>
      <w:r w:rsidRPr="00251FDB">
        <w:rPr>
          <w:rFonts w:eastAsiaTheme="minorHAnsi"/>
          <w:color w:val="000000"/>
          <w:sz w:val="20"/>
          <w:szCs w:val="20"/>
          <w:u w:val="single"/>
          <w:lang w:val="es-ES" w:eastAsia="es-ES"/>
        </w:rPr>
        <w:t>Subasta Pública</w:t>
      </w:r>
      <w:r w:rsidRPr="00251FDB">
        <w:rPr>
          <w:rFonts w:eastAsiaTheme="minorHAnsi"/>
          <w:color w:val="000000"/>
          <w:sz w:val="20"/>
          <w:szCs w:val="20"/>
          <w:lang w:val="es-ES" w:eastAsia="es-ES"/>
        </w:rPr>
        <w:t xml:space="preserve">”), a través del módulo de licitaciones del sistema informático SIOPEL del </w:t>
      </w:r>
      <w:r w:rsidR="0016657B">
        <w:rPr>
          <w:rFonts w:eastAsiaTheme="minorHAnsi"/>
          <w:color w:val="000000"/>
          <w:sz w:val="20"/>
          <w:szCs w:val="20"/>
          <w:lang w:val="es-ES" w:eastAsia="es-ES"/>
        </w:rPr>
        <w:t>MAE</w:t>
      </w:r>
      <w:r w:rsidR="00DB3CD6" w:rsidRPr="00251FDB">
        <w:rPr>
          <w:rFonts w:eastAsiaTheme="minorHAnsi"/>
          <w:color w:val="000000"/>
          <w:sz w:val="20"/>
          <w:szCs w:val="20"/>
          <w:lang w:val="es-ES" w:eastAsia="es-ES"/>
        </w:rPr>
        <w:t xml:space="preserve"> </w:t>
      </w:r>
      <w:r w:rsidR="0016657B">
        <w:rPr>
          <w:rFonts w:eastAsiaTheme="minorHAnsi"/>
          <w:color w:val="000000"/>
          <w:sz w:val="20"/>
          <w:szCs w:val="20"/>
          <w:lang w:val="es-ES" w:eastAsia="es-ES"/>
        </w:rPr>
        <w:t>(</w:t>
      </w:r>
      <w:r w:rsidR="00DB3CD6" w:rsidRPr="00251FDB">
        <w:rPr>
          <w:rFonts w:eastAsiaTheme="minorHAnsi"/>
          <w:color w:val="000000"/>
          <w:sz w:val="20"/>
          <w:szCs w:val="20"/>
          <w:lang w:val="es-ES" w:eastAsia="es-ES"/>
        </w:rPr>
        <w:t>el</w:t>
      </w:r>
      <w:r w:rsidRPr="00251FDB">
        <w:rPr>
          <w:rFonts w:eastAsiaTheme="minorHAnsi"/>
          <w:color w:val="000000"/>
          <w:sz w:val="20"/>
          <w:szCs w:val="20"/>
          <w:lang w:val="es-ES" w:eastAsia="es-ES"/>
        </w:rPr>
        <w:t xml:space="preserve"> “</w:t>
      </w:r>
      <w:r w:rsidRPr="00251FDB">
        <w:rPr>
          <w:rFonts w:eastAsiaTheme="minorHAnsi"/>
          <w:color w:val="000000"/>
          <w:sz w:val="20"/>
          <w:szCs w:val="20"/>
          <w:u w:val="single"/>
          <w:lang w:val="es-ES" w:eastAsia="es-ES"/>
        </w:rPr>
        <w:t>Sistema SIOPEL</w:t>
      </w:r>
      <w:r w:rsidRPr="00251FDB">
        <w:rPr>
          <w:rFonts w:eastAsiaTheme="minorHAnsi"/>
          <w:color w:val="000000"/>
          <w:sz w:val="20"/>
          <w:szCs w:val="20"/>
          <w:lang w:val="es-ES" w:eastAsia="es-ES"/>
        </w:rPr>
        <w:t>”</w:t>
      </w:r>
      <w:r w:rsidR="00DB3CD6" w:rsidRPr="00251FDB">
        <w:rPr>
          <w:rFonts w:eastAsiaTheme="minorHAnsi"/>
          <w:color w:val="000000"/>
          <w:sz w:val="20"/>
          <w:szCs w:val="20"/>
          <w:lang w:val="es-ES" w:eastAsia="es-ES"/>
        </w:rPr>
        <w:t>, respectivamente</w:t>
      </w:r>
      <w:r w:rsidRPr="00251FDB">
        <w:rPr>
          <w:rFonts w:eastAsiaTheme="minorHAnsi"/>
          <w:color w:val="000000"/>
          <w:sz w:val="20"/>
          <w:szCs w:val="20"/>
          <w:lang w:val="es-ES" w:eastAsia="es-ES"/>
        </w:rPr>
        <w:t xml:space="preserve">), un sistema que garantiza la transparencia y la igualdad de trato entre los </w:t>
      </w:r>
      <w:r w:rsidR="00DD24B5" w:rsidRPr="00251FDB">
        <w:rPr>
          <w:rFonts w:eastAsiaTheme="minorHAnsi"/>
          <w:color w:val="000000"/>
          <w:sz w:val="20"/>
          <w:szCs w:val="20"/>
          <w:lang w:val="es-ES" w:eastAsia="es-ES"/>
        </w:rPr>
        <w:t>i</w:t>
      </w:r>
      <w:r w:rsidRPr="00251FDB">
        <w:rPr>
          <w:rFonts w:eastAsiaTheme="minorHAnsi"/>
          <w:color w:val="000000"/>
          <w:sz w:val="20"/>
          <w:szCs w:val="20"/>
          <w:lang w:val="es-ES" w:eastAsia="es-ES"/>
        </w:rPr>
        <w:t xml:space="preserve">nversores, de conformidad con las Normas de la CNV. </w:t>
      </w:r>
    </w:p>
    <w:p w:rsidR="000506DD" w:rsidRPr="0016657B" w:rsidRDefault="000506DD" w:rsidP="000506DD">
      <w:pPr>
        <w:widowControl w:val="0"/>
        <w:jc w:val="both"/>
        <w:rPr>
          <w:iCs/>
          <w:snapToGrid w:val="0"/>
          <w:sz w:val="20"/>
          <w:szCs w:val="20"/>
          <w:lang w:val="es-AR"/>
        </w:rPr>
      </w:pPr>
    </w:p>
    <w:p w:rsidR="006A78C1" w:rsidRPr="0016657B" w:rsidRDefault="00374887" w:rsidP="00AF3DDC">
      <w:pPr>
        <w:pStyle w:val="Default"/>
        <w:jc w:val="both"/>
        <w:rPr>
          <w:rFonts w:eastAsiaTheme="minorHAnsi"/>
          <w:sz w:val="20"/>
          <w:szCs w:val="20"/>
          <w:lang w:val="es-AR"/>
        </w:rPr>
      </w:pPr>
      <w:r w:rsidRPr="00EA1080">
        <w:rPr>
          <w:rFonts w:eastAsiaTheme="minorHAnsi"/>
          <w:sz w:val="20"/>
          <w:szCs w:val="20"/>
        </w:rPr>
        <w:t>La remisión de una Orden</w:t>
      </w:r>
      <w:r w:rsidR="0016657B" w:rsidRPr="00EA1080">
        <w:rPr>
          <w:rFonts w:eastAsiaTheme="minorHAnsi"/>
          <w:sz w:val="20"/>
          <w:szCs w:val="20"/>
        </w:rPr>
        <w:t xml:space="preserve"> </w:t>
      </w:r>
      <w:r w:rsidR="0049449D">
        <w:rPr>
          <w:rFonts w:eastAsiaTheme="minorHAnsi"/>
          <w:sz w:val="20"/>
          <w:szCs w:val="20"/>
        </w:rPr>
        <w:t xml:space="preserve">de Compra </w:t>
      </w:r>
      <w:r w:rsidR="0016657B" w:rsidRPr="00EA1080">
        <w:rPr>
          <w:rFonts w:eastAsiaTheme="minorHAnsi"/>
          <w:sz w:val="20"/>
          <w:szCs w:val="20"/>
        </w:rPr>
        <w:t>(conforme dicho término se define más abajo en el presente)</w:t>
      </w:r>
      <w:r w:rsidRPr="00EA1080">
        <w:rPr>
          <w:rFonts w:eastAsiaTheme="minorHAnsi"/>
          <w:sz w:val="20"/>
          <w:szCs w:val="20"/>
        </w:rPr>
        <w:t xml:space="preserve"> por parte de los </w:t>
      </w:r>
      <w:r w:rsidR="0016657B" w:rsidRPr="00EA1080">
        <w:rPr>
          <w:rFonts w:eastAsiaTheme="minorHAnsi"/>
          <w:sz w:val="20"/>
          <w:szCs w:val="20"/>
        </w:rPr>
        <w:t xml:space="preserve">inversores </w:t>
      </w:r>
      <w:r w:rsidRPr="00EA1080">
        <w:rPr>
          <w:rFonts w:eastAsiaTheme="minorHAnsi"/>
          <w:sz w:val="20"/>
          <w:szCs w:val="20"/>
        </w:rPr>
        <w:t xml:space="preserve">o de una Oferta </w:t>
      </w:r>
      <w:r w:rsidR="0016657B" w:rsidRPr="00EA1080">
        <w:rPr>
          <w:rFonts w:eastAsiaTheme="minorHAnsi"/>
          <w:sz w:val="20"/>
          <w:szCs w:val="20"/>
        </w:rPr>
        <w:t xml:space="preserve">(conforme dicho término se define más abajo en el presente) </w:t>
      </w:r>
      <w:r w:rsidRPr="00EA1080">
        <w:rPr>
          <w:rFonts w:eastAsiaTheme="minorHAnsi"/>
          <w:sz w:val="20"/>
          <w:szCs w:val="20"/>
        </w:rPr>
        <w:t xml:space="preserve">por parte de los Agentes del MAE </w:t>
      </w:r>
      <w:r w:rsidR="0016657B" w:rsidRPr="00EA1080">
        <w:rPr>
          <w:rFonts w:eastAsiaTheme="minorHAnsi"/>
          <w:sz w:val="20"/>
          <w:szCs w:val="20"/>
        </w:rPr>
        <w:t xml:space="preserve">(conforme dicho término se define más abajo en el presente) </w:t>
      </w:r>
      <w:r w:rsidRPr="00EA1080">
        <w:rPr>
          <w:rFonts w:eastAsiaTheme="minorHAnsi"/>
          <w:sz w:val="20"/>
          <w:szCs w:val="20"/>
        </w:rPr>
        <w:t xml:space="preserve">implicará la aceptación y el conocimiento de todos y cada uno de los términos y mecanismos establecidos bajo </w:t>
      </w:r>
      <w:r w:rsidR="00AE1803" w:rsidRPr="00EA1080">
        <w:rPr>
          <w:rFonts w:eastAsiaTheme="minorHAnsi"/>
          <w:sz w:val="20"/>
          <w:szCs w:val="20"/>
        </w:rPr>
        <w:t>e</w:t>
      </w:r>
      <w:r w:rsidRPr="00EA1080">
        <w:rPr>
          <w:rFonts w:eastAsiaTheme="minorHAnsi"/>
          <w:sz w:val="20"/>
          <w:szCs w:val="20"/>
        </w:rPr>
        <w:t xml:space="preserve">l presente </w:t>
      </w:r>
      <w:r w:rsidR="00AE1803" w:rsidRPr="00EA1080">
        <w:rPr>
          <w:rFonts w:eastAsiaTheme="minorHAnsi"/>
          <w:sz w:val="20"/>
          <w:szCs w:val="20"/>
        </w:rPr>
        <w:t>Suplemento de Precio</w:t>
      </w:r>
      <w:r w:rsidRPr="00EA1080">
        <w:rPr>
          <w:rFonts w:eastAsiaTheme="minorHAnsi"/>
          <w:sz w:val="20"/>
          <w:szCs w:val="20"/>
        </w:rPr>
        <w:t>.</w:t>
      </w:r>
    </w:p>
    <w:p w:rsidR="00AF3DDC" w:rsidRPr="00EA1080" w:rsidRDefault="00AF3DDC" w:rsidP="00EA1080">
      <w:pPr>
        <w:widowControl w:val="0"/>
        <w:jc w:val="both"/>
        <w:rPr>
          <w:rFonts w:eastAsiaTheme="minorHAnsi"/>
          <w:b/>
          <w:sz w:val="20"/>
          <w:szCs w:val="20"/>
          <w:lang w:val="es-MX"/>
        </w:rPr>
      </w:pPr>
    </w:p>
    <w:p w:rsidR="003707F1" w:rsidRPr="00EA1080" w:rsidRDefault="000D6A7B" w:rsidP="00EA1080">
      <w:pPr>
        <w:widowControl w:val="0"/>
        <w:jc w:val="both"/>
        <w:rPr>
          <w:rFonts w:eastAsiaTheme="minorHAnsi"/>
          <w:b/>
          <w:sz w:val="20"/>
          <w:szCs w:val="20"/>
          <w:lang w:val="es-MX"/>
        </w:rPr>
      </w:pPr>
      <w:r w:rsidRPr="000D6A7B">
        <w:rPr>
          <w:rFonts w:eastAsiaTheme="minorHAnsi"/>
          <w:b/>
          <w:sz w:val="20"/>
          <w:szCs w:val="20"/>
          <w:lang w:val="es-MX"/>
        </w:rPr>
        <w:t xml:space="preserve">Las Obligaciones Negociables </w:t>
      </w:r>
      <w:r w:rsidR="00291761">
        <w:rPr>
          <w:rFonts w:eastAsiaTheme="minorHAnsi"/>
          <w:b/>
          <w:sz w:val="20"/>
          <w:szCs w:val="20"/>
          <w:lang w:val="es-MX"/>
        </w:rPr>
        <w:t>contarán con una calificación</w:t>
      </w:r>
      <w:r w:rsidRPr="000D6A7B">
        <w:rPr>
          <w:rFonts w:eastAsiaTheme="minorHAnsi"/>
          <w:b/>
          <w:sz w:val="20"/>
          <w:szCs w:val="20"/>
          <w:lang w:val="es-MX"/>
        </w:rPr>
        <w:t xml:space="preserve"> otorgada por FIX SCR S.A. Agente de Calificación de Riesgo (antes denominada Fitch Argentina Calificadora de Riesgo S.A) </w:t>
      </w:r>
      <w:r w:rsidR="00291761">
        <w:rPr>
          <w:rFonts w:eastAsiaTheme="minorHAnsi"/>
          <w:b/>
          <w:sz w:val="20"/>
          <w:szCs w:val="20"/>
          <w:lang w:val="es-MX"/>
        </w:rPr>
        <w:t>la cual será informada mediante la publicación de un aviso complementario al presente</w:t>
      </w:r>
      <w:r w:rsidRPr="000D6A7B">
        <w:rPr>
          <w:rFonts w:eastAsiaTheme="minorHAnsi"/>
          <w:b/>
          <w:sz w:val="20"/>
          <w:szCs w:val="20"/>
          <w:lang w:val="es-MX"/>
        </w:rPr>
        <w:t>.</w:t>
      </w:r>
      <w:r w:rsidR="003707F1" w:rsidRPr="00EA1080">
        <w:rPr>
          <w:rFonts w:eastAsiaTheme="minorHAnsi"/>
          <w:b/>
          <w:sz w:val="20"/>
          <w:szCs w:val="20"/>
          <w:lang w:val="es-MX"/>
        </w:rPr>
        <w:t xml:space="preserve"> Para, más información véase “</w:t>
      </w:r>
      <w:r w:rsidR="003707F1" w:rsidRPr="00EA1080">
        <w:rPr>
          <w:rFonts w:eastAsiaTheme="minorHAnsi"/>
          <w:b/>
          <w:i/>
          <w:sz w:val="20"/>
          <w:szCs w:val="20"/>
          <w:lang w:val="es-MX"/>
        </w:rPr>
        <w:t>Calificación de Riesgo</w:t>
      </w:r>
      <w:r w:rsidR="003707F1" w:rsidRPr="00EA1080">
        <w:rPr>
          <w:rFonts w:eastAsiaTheme="minorHAnsi"/>
          <w:b/>
          <w:sz w:val="20"/>
          <w:szCs w:val="20"/>
          <w:lang w:val="es-MX"/>
        </w:rPr>
        <w:t>” en este Suplemento de Precio.</w:t>
      </w:r>
    </w:p>
    <w:p w:rsidR="000506DD" w:rsidRPr="00EA1080" w:rsidRDefault="000506DD" w:rsidP="00501142">
      <w:pPr>
        <w:autoSpaceDE w:val="0"/>
        <w:autoSpaceDN w:val="0"/>
        <w:adjustRightInd w:val="0"/>
        <w:jc w:val="both"/>
        <w:rPr>
          <w:smallCaps/>
          <w:sz w:val="20"/>
          <w:szCs w:val="20"/>
          <w:lang w:val="es-AR" w:eastAsia="es-ES"/>
        </w:rPr>
      </w:pPr>
    </w:p>
    <w:p w:rsidR="00DF5359" w:rsidRPr="00EA1080" w:rsidRDefault="00374887" w:rsidP="00874553">
      <w:pPr>
        <w:widowControl w:val="0"/>
        <w:jc w:val="both"/>
        <w:rPr>
          <w:rFonts w:eastAsiaTheme="minorHAnsi"/>
          <w:sz w:val="20"/>
          <w:szCs w:val="20"/>
          <w:lang w:val="es-MX"/>
        </w:rPr>
      </w:pPr>
      <w:r w:rsidRPr="00EA1080">
        <w:rPr>
          <w:rFonts w:eastAsiaTheme="minorHAnsi"/>
          <w:sz w:val="20"/>
          <w:szCs w:val="20"/>
          <w:lang w:val="es-ES"/>
        </w:rPr>
        <w:t xml:space="preserve">El presente Suplemento de </w:t>
      </w:r>
      <w:r w:rsidR="008D54D1" w:rsidRPr="00EA1080">
        <w:rPr>
          <w:rFonts w:eastAsiaTheme="minorHAnsi"/>
          <w:sz w:val="20"/>
          <w:szCs w:val="20"/>
          <w:lang w:val="es-ES"/>
        </w:rPr>
        <w:t>Precio</w:t>
      </w:r>
      <w:r w:rsidRPr="00EA1080">
        <w:rPr>
          <w:rFonts w:eastAsiaTheme="minorHAnsi"/>
          <w:sz w:val="20"/>
          <w:szCs w:val="20"/>
          <w:lang w:val="es-ES"/>
        </w:rPr>
        <w:t xml:space="preserve"> </w:t>
      </w:r>
      <w:r w:rsidR="0016657B">
        <w:rPr>
          <w:rFonts w:eastAsiaTheme="minorHAnsi"/>
          <w:sz w:val="20"/>
          <w:szCs w:val="20"/>
          <w:lang w:val="es-ES"/>
        </w:rPr>
        <w:t xml:space="preserve">es complementario y </w:t>
      </w:r>
      <w:r w:rsidRPr="00EA1080">
        <w:rPr>
          <w:rFonts w:eastAsiaTheme="minorHAnsi"/>
          <w:sz w:val="20"/>
          <w:szCs w:val="20"/>
          <w:lang w:val="es-ES"/>
        </w:rPr>
        <w:t xml:space="preserve">debe ser leído en forma conjunta con el </w:t>
      </w:r>
      <w:r w:rsidR="0016657B">
        <w:rPr>
          <w:rFonts w:eastAsiaTheme="minorHAnsi"/>
          <w:sz w:val="20"/>
          <w:szCs w:val="20"/>
          <w:lang w:val="es-ES"/>
        </w:rPr>
        <w:t>p</w:t>
      </w:r>
      <w:r w:rsidR="0016657B" w:rsidRPr="00EA1080">
        <w:rPr>
          <w:rFonts w:eastAsiaTheme="minorHAnsi"/>
          <w:sz w:val="20"/>
          <w:szCs w:val="20"/>
          <w:lang w:val="es-ES"/>
        </w:rPr>
        <w:t xml:space="preserve">rospecto </w:t>
      </w:r>
      <w:r w:rsidR="00DD24B5" w:rsidRPr="00EA1080">
        <w:rPr>
          <w:rFonts w:eastAsiaTheme="minorHAnsi"/>
          <w:sz w:val="20"/>
          <w:szCs w:val="20"/>
          <w:lang w:val="es-MX"/>
        </w:rPr>
        <w:t>de</w:t>
      </w:r>
      <w:r w:rsidRPr="00EA1080">
        <w:rPr>
          <w:rFonts w:eastAsiaTheme="minorHAnsi"/>
          <w:sz w:val="20"/>
          <w:szCs w:val="20"/>
          <w:lang w:val="es-ES"/>
        </w:rPr>
        <w:t xml:space="preserve"> Programa </w:t>
      </w:r>
      <w:r w:rsidR="0016657B">
        <w:rPr>
          <w:rFonts w:eastAsiaTheme="minorHAnsi"/>
          <w:sz w:val="20"/>
          <w:szCs w:val="20"/>
          <w:lang w:val="es-MX"/>
        </w:rPr>
        <w:t>de fecha 27 de marzo de 2020 (el “</w:t>
      </w:r>
      <w:r w:rsidR="0016657B">
        <w:rPr>
          <w:rFonts w:eastAsiaTheme="minorHAnsi"/>
          <w:sz w:val="20"/>
          <w:szCs w:val="20"/>
          <w:u w:val="single"/>
          <w:lang w:val="es-MX"/>
        </w:rPr>
        <w:t>Prospecto</w:t>
      </w:r>
      <w:r w:rsidR="0016657B">
        <w:rPr>
          <w:rFonts w:eastAsiaTheme="minorHAnsi"/>
          <w:sz w:val="20"/>
          <w:szCs w:val="20"/>
          <w:lang w:val="es-MX"/>
        </w:rPr>
        <w:t>”)</w:t>
      </w:r>
      <w:r w:rsidR="009A7F65" w:rsidRPr="00EA1080">
        <w:rPr>
          <w:rFonts w:eastAsiaTheme="minorHAnsi"/>
          <w:sz w:val="20"/>
          <w:szCs w:val="20"/>
          <w:lang w:val="es-MX"/>
        </w:rPr>
        <w:t>,</w:t>
      </w:r>
      <w:r w:rsidR="00435859" w:rsidRPr="00EA1080">
        <w:rPr>
          <w:rFonts w:eastAsiaTheme="minorHAnsi"/>
          <w:sz w:val="20"/>
          <w:szCs w:val="20"/>
          <w:lang w:val="es-MX"/>
        </w:rPr>
        <w:t xml:space="preserve"> </w:t>
      </w:r>
      <w:r w:rsidR="00DD24B5" w:rsidRPr="00EA1080">
        <w:rPr>
          <w:rFonts w:eastAsiaTheme="minorHAnsi"/>
          <w:sz w:val="20"/>
          <w:szCs w:val="20"/>
          <w:lang w:val="es-MX"/>
        </w:rPr>
        <w:t xml:space="preserve">cuya versión más actualizada fuera </w:t>
      </w:r>
      <w:r w:rsidR="00435859" w:rsidRPr="00EA1080">
        <w:rPr>
          <w:rFonts w:eastAsiaTheme="minorHAnsi"/>
          <w:sz w:val="20"/>
          <w:szCs w:val="20"/>
          <w:lang w:val="es-MX"/>
        </w:rPr>
        <w:t>publicad</w:t>
      </w:r>
      <w:r w:rsidR="00DD24B5" w:rsidRPr="00EA1080">
        <w:rPr>
          <w:rFonts w:eastAsiaTheme="minorHAnsi"/>
          <w:sz w:val="20"/>
          <w:szCs w:val="20"/>
          <w:lang w:val="es-MX"/>
        </w:rPr>
        <w:t>a</w:t>
      </w:r>
      <w:r w:rsidR="00435859" w:rsidRPr="00EA1080">
        <w:rPr>
          <w:rFonts w:eastAsiaTheme="minorHAnsi"/>
          <w:sz w:val="20"/>
          <w:szCs w:val="20"/>
          <w:lang w:val="es-MX"/>
        </w:rPr>
        <w:t xml:space="preserve"> </w:t>
      </w:r>
      <w:r w:rsidRPr="00EA1080">
        <w:rPr>
          <w:rFonts w:eastAsiaTheme="minorHAnsi"/>
          <w:sz w:val="20"/>
          <w:szCs w:val="20"/>
          <w:lang w:val="es-ES"/>
        </w:rPr>
        <w:t xml:space="preserve">en </w:t>
      </w:r>
      <w:r w:rsidR="00DD24B5" w:rsidRPr="00EA1080">
        <w:rPr>
          <w:rFonts w:eastAsiaTheme="minorHAnsi"/>
          <w:sz w:val="20"/>
          <w:szCs w:val="20"/>
          <w:lang w:val="es-MX"/>
        </w:rPr>
        <w:t xml:space="preserve">el sitio web de la CNV: </w:t>
      </w:r>
      <w:hyperlink r:id="rId9" w:history="1">
        <w:r w:rsidR="00DD24B5" w:rsidRPr="00EA1080">
          <w:rPr>
            <w:rStyle w:val="Hipervnculo"/>
            <w:rFonts w:eastAsiaTheme="minorHAnsi"/>
            <w:sz w:val="20"/>
            <w:szCs w:val="20"/>
            <w:lang w:val="es-MX"/>
          </w:rPr>
          <w:t>www.cnv.gov.ar</w:t>
        </w:r>
      </w:hyperlink>
      <w:r w:rsidR="00DD24B5" w:rsidRPr="00EA1080">
        <w:rPr>
          <w:rFonts w:eastAsiaTheme="minorHAnsi"/>
          <w:sz w:val="20"/>
          <w:szCs w:val="20"/>
          <w:lang w:val="es-MX"/>
        </w:rPr>
        <w:t xml:space="preserve"> (la “</w:t>
      </w:r>
      <w:r w:rsidR="00DD24B5" w:rsidRPr="00EA1080">
        <w:rPr>
          <w:rFonts w:eastAsiaTheme="minorHAnsi"/>
          <w:sz w:val="20"/>
          <w:szCs w:val="20"/>
          <w:u w:val="single"/>
          <w:lang w:val="es-MX"/>
        </w:rPr>
        <w:t>Página Web de la CNV</w:t>
      </w:r>
      <w:r w:rsidR="00DD24B5" w:rsidRPr="00EA1080">
        <w:rPr>
          <w:rFonts w:eastAsiaTheme="minorHAnsi"/>
          <w:sz w:val="20"/>
          <w:szCs w:val="20"/>
          <w:lang w:val="es-MX"/>
        </w:rPr>
        <w:t>”)</w:t>
      </w:r>
      <w:r w:rsidR="0016657B">
        <w:rPr>
          <w:rFonts w:eastAsiaTheme="minorHAnsi"/>
          <w:sz w:val="20"/>
          <w:szCs w:val="20"/>
          <w:lang w:val="es-MX"/>
        </w:rPr>
        <w:t xml:space="preserve">, en la Página Web Institucional y </w:t>
      </w:r>
      <w:r w:rsidR="0016657B" w:rsidRPr="0016657B">
        <w:rPr>
          <w:rFonts w:eastAsiaTheme="minorHAnsi"/>
          <w:sz w:val="20"/>
          <w:szCs w:val="20"/>
          <w:lang w:val="es-MX"/>
        </w:rPr>
        <w:t xml:space="preserve">cuya versión resumida se publicó en el boletín diario de la </w:t>
      </w:r>
      <w:r w:rsidR="0016657B">
        <w:rPr>
          <w:rFonts w:eastAsiaTheme="minorHAnsi"/>
          <w:sz w:val="20"/>
          <w:szCs w:val="20"/>
          <w:lang w:val="es-MX"/>
        </w:rPr>
        <w:t>BCBA</w:t>
      </w:r>
      <w:r w:rsidR="0016657B" w:rsidRPr="0016657B">
        <w:rPr>
          <w:rFonts w:eastAsiaTheme="minorHAnsi"/>
          <w:sz w:val="20"/>
          <w:szCs w:val="20"/>
          <w:lang w:val="es-MX"/>
        </w:rPr>
        <w:t xml:space="preserve">, en virtud del ejercicio de las facultades delegadas por </w:t>
      </w:r>
      <w:r w:rsidR="0016657B">
        <w:rPr>
          <w:rFonts w:eastAsiaTheme="minorHAnsi"/>
          <w:sz w:val="20"/>
          <w:szCs w:val="20"/>
          <w:lang w:val="es-MX"/>
        </w:rPr>
        <w:t>BYMA a la BCBA</w:t>
      </w:r>
      <w:r w:rsidR="0016657B" w:rsidRPr="0016657B">
        <w:rPr>
          <w:rFonts w:eastAsiaTheme="minorHAnsi"/>
          <w:sz w:val="20"/>
          <w:szCs w:val="20"/>
          <w:lang w:val="es-MX"/>
        </w:rPr>
        <w:t xml:space="preserve"> (el “</w:t>
      </w:r>
      <w:r w:rsidR="0016657B" w:rsidRPr="00EA1080">
        <w:rPr>
          <w:rFonts w:eastAsiaTheme="minorHAnsi"/>
          <w:sz w:val="20"/>
          <w:szCs w:val="20"/>
          <w:u w:val="single"/>
          <w:lang w:val="es-MX"/>
        </w:rPr>
        <w:t>Boletín Diario de la BCBA</w:t>
      </w:r>
      <w:r w:rsidR="0016657B" w:rsidRPr="0016657B">
        <w:rPr>
          <w:rFonts w:eastAsiaTheme="minorHAnsi"/>
          <w:sz w:val="20"/>
          <w:szCs w:val="20"/>
          <w:lang w:val="es-MX"/>
        </w:rPr>
        <w:t>”)</w:t>
      </w:r>
      <w:r w:rsidR="00874553">
        <w:rPr>
          <w:rFonts w:eastAsiaTheme="minorHAnsi"/>
          <w:sz w:val="20"/>
          <w:szCs w:val="20"/>
          <w:lang w:val="es-MX"/>
        </w:rPr>
        <w:t xml:space="preserve"> </w:t>
      </w:r>
      <w:r w:rsidR="00874553" w:rsidRPr="00874553">
        <w:rPr>
          <w:rFonts w:eastAsiaTheme="minorHAnsi"/>
          <w:sz w:val="20"/>
          <w:szCs w:val="20"/>
          <w:lang w:val="es-MX"/>
        </w:rPr>
        <w:t>y en el sitio web del MAE, http://www.mae.com.ar, bajo la sección “</w:t>
      </w:r>
      <w:r w:rsidR="00874553" w:rsidRPr="00EA1080">
        <w:rPr>
          <w:rFonts w:eastAsiaTheme="minorHAnsi"/>
          <w:i/>
          <w:sz w:val="20"/>
          <w:szCs w:val="20"/>
          <w:lang w:val="es-MX"/>
        </w:rPr>
        <w:t>Mercado Primario</w:t>
      </w:r>
      <w:r w:rsidR="00874553" w:rsidRPr="00874553">
        <w:rPr>
          <w:rFonts w:eastAsiaTheme="minorHAnsi"/>
          <w:sz w:val="20"/>
          <w:szCs w:val="20"/>
          <w:lang w:val="es-MX"/>
        </w:rPr>
        <w:t>” (el “</w:t>
      </w:r>
      <w:r w:rsidR="00874553" w:rsidRPr="00EA1080">
        <w:rPr>
          <w:rFonts w:eastAsiaTheme="minorHAnsi"/>
          <w:sz w:val="20"/>
          <w:szCs w:val="20"/>
          <w:u w:val="single"/>
          <w:lang w:val="es-MX"/>
        </w:rPr>
        <w:t>Sitio Web del</w:t>
      </w:r>
      <w:r w:rsidR="006248E8">
        <w:rPr>
          <w:rFonts w:eastAsiaTheme="minorHAnsi"/>
          <w:sz w:val="20"/>
          <w:szCs w:val="20"/>
          <w:u w:val="single"/>
          <w:lang w:val="es-MX"/>
        </w:rPr>
        <w:t xml:space="preserve"> </w:t>
      </w:r>
      <w:r w:rsidR="00874553" w:rsidRPr="00EA1080">
        <w:rPr>
          <w:rFonts w:eastAsiaTheme="minorHAnsi"/>
          <w:sz w:val="20"/>
          <w:szCs w:val="20"/>
          <w:u w:val="single"/>
          <w:lang w:val="es-MX"/>
        </w:rPr>
        <w:t>MAE</w:t>
      </w:r>
      <w:r w:rsidR="00874553" w:rsidRPr="00874553">
        <w:rPr>
          <w:rFonts w:eastAsiaTheme="minorHAnsi"/>
          <w:sz w:val="20"/>
          <w:szCs w:val="20"/>
          <w:lang w:val="es-MX"/>
        </w:rPr>
        <w:t>”)</w:t>
      </w:r>
      <w:r w:rsidR="0016657B" w:rsidRPr="0016657B">
        <w:rPr>
          <w:rFonts w:eastAsiaTheme="minorHAnsi"/>
          <w:sz w:val="20"/>
          <w:szCs w:val="20"/>
          <w:lang w:val="es-MX"/>
        </w:rPr>
        <w:t>.</w:t>
      </w:r>
      <w:r w:rsidR="0016657B">
        <w:rPr>
          <w:rFonts w:eastAsiaTheme="minorHAnsi"/>
          <w:sz w:val="20"/>
          <w:szCs w:val="20"/>
          <w:lang w:val="es-MX"/>
        </w:rPr>
        <w:t xml:space="preserve"> </w:t>
      </w:r>
      <w:r w:rsidRPr="00EA1080">
        <w:rPr>
          <w:rFonts w:eastAsiaTheme="minorHAnsi"/>
          <w:sz w:val="20"/>
          <w:szCs w:val="20"/>
          <w:lang w:val="es-ES"/>
        </w:rPr>
        <w:t xml:space="preserve">Los responsables del presente documento manifiestan, con carácter de declaración jurada, que la totalidad de los términos y condiciones en el Suplemento de Precio se encuentran vigentes. </w:t>
      </w:r>
    </w:p>
    <w:p w:rsidR="0016657B" w:rsidRPr="00EA1080" w:rsidRDefault="0016657B" w:rsidP="005756A0">
      <w:pPr>
        <w:widowControl w:val="0"/>
        <w:jc w:val="both"/>
        <w:rPr>
          <w:rFonts w:eastAsiaTheme="minorHAnsi"/>
          <w:sz w:val="20"/>
          <w:szCs w:val="20"/>
          <w:lang w:val="es-MX"/>
        </w:rPr>
      </w:pPr>
    </w:p>
    <w:p w:rsidR="0016657B" w:rsidRPr="00EA1080" w:rsidRDefault="0016657B">
      <w:pPr>
        <w:widowControl w:val="0"/>
        <w:jc w:val="both"/>
        <w:rPr>
          <w:rFonts w:eastAsiaTheme="minorHAnsi"/>
          <w:sz w:val="20"/>
          <w:szCs w:val="20"/>
          <w:lang w:val="es-AR"/>
        </w:rPr>
      </w:pPr>
      <w:r w:rsidRPr="0016657B">
        <w:rPr>
          <w:rFonts w:eastAsiaTheme="minorHAnsi"/>
          <w:sz w:val="20"/>
          <w:szCs w:val="20"/>
          <w:lang w:val="es-AR"/>
        </w:rPr>
        <w:t>Antes de tomar decisiones de inversión respecto de las Obligaciones Negociables, véase los riesgos</w:t>
      </w:r>
      <w:r>
        <w:rPr>
          <w:rFonts w:eastAsiaTheme="minorHAnsi"/>
          <w:sz w:val="20"/>
          <w:szCs w:val="20"/>
          <w:lang w:val="es-AR"/>
        </w:rPr>
        <w:t xml:space="preserve"> que se describen en el Capítulo </w:t>
      </w:r>
      <w:r w:rsidRPr="0016657B">
        <w:rPr>
          <w:rFonts w:eastAsiaTheme="minorHAnsi"/>
          <w:sz w:val="20"/>
          <w:szCs w:val="20"/>
          <w:lang w:val="es-AR"/>
        </w:rPr>
        <w:t>“</w:t>
      </w:r>
      <w:r w:rsidRPr="00EA1080">
        <w:rPr>
          <w:rFonts w:eastAsiaTheme="minorHAnsi"/>
          <w:i/>
          <w:sz w:val="20"/>
          <w:szCs w:val="20"/>
          <w:lang w:val="es-AR"/>
        </w:rPr>
        <w:t>Factores de Riesgo</w:t>
      </w:r>
      <w:r w:rsidRPr="0016657B">
        <w:rPr>
          <w:rFonts w:eastAsiaTheme="minorHAnsi"/>
          <w:sz w:val="20"/>
          <w:szCs w:val="20"/>
          <w:lang w:val="es-AR"/>
        </w:rPr>
        <w:t>” en el Prospecto y en la sección “</w:t>
      </w:r>
      <w:r w:rsidRPr="00EA1080">
        <w:rPr>
          <w:rFonts w:eastAsiaTheme="minorHAnsi"/>
          <w:i/>
          <w:sz w:val="20"/>
          <w:szCs w:val="20"/>
          <w:lang w:val="es-AR"/>
        </w:rPr>
        <w:t>Factores de Riesgo</w:t>
      </w:r>
      <w:r w:rsidRPr="0016657B">
        <w:rPr>
          <w:rFonts w:eastAsiaTheme="minorHAnsi"/>
          <w:sz w:val="20"/>
          <w:szCs w:val="20"/>
          <w:lang w:val="es-AR"/>
        </w:rPr>
        <w:t>” en este Suplemento,</w:t>
      </w:r>
      <w:r>
        <w:rPr>
          <w:rFonts w:eastAsiaTheme="minorHAnsi"/>
          <w:sz w:val="20"/>
          <w:szCs w:val="20"/>
          <w:lang w:val="es-AR"/>
        </w:rPr>
        <w:t xml:space="preserve"> así como la información que se </w:t>
      </w:r>
      <w:r w:rsidRPr="0016657B">
        <w:rPr>
          <w:rFonts w:eastAsiaTheme="minorHAnsi"/>
          <w:sz w:val="20"/>
          <w:szCs w:val="20"/>
          <w:lang w:val="es-AR"/>
        </w:rPr>
        <w:t>describe bajo los títulos “</w:t>
      </w:r>
      <w:r w:rsidRPr="00EA1080">
        <w:rPr>
          <w:rFonts w:eastAsiaTheme="minorHAnsi"/>
          <w:i/>
          <w:sz w:val="20"/>
          <w:szCs w:val="20"/>
          <w:lang w:val="es-AR"/>
        </w:rPr>
        <w:t>Información Adicional</w:t>
      </w:r>
      <w:r>
        <w:rPr>
          <w:rFonts w:eastAsiaTheme="minorHAnsi"/>
          <w:i/>
          <w:sz w:val="20"/>
          <w:szCs w:val="20"/>
          <w:lang w:val="es-AR"/>
        </w:rPr>
        <w:t xml:space="preserve"> </w:t>
      </w:r>
      <w:r w:rsidRPr="00EA1080">
        <w:rPr>
          <w:rFonts w:eastAsiaTheme="minorHAnsi"/>
          <w:i/>
          <w:sz w:val="20"/>
          <w:szCs w:val="20"/>
          <w:lang w:val="es-AR"/>
        </w:rPr>
        <w:t>—</w:t>
      </w:r>
      <w:r>
        <w:rPr>
          <w:rFonts w:eastAsiaTheme="minorHAnsi"/>
          <w:i/>
          <w:sz w:val="20"/>
          <w:szCs w:val="20"/>
          <w:lang w:val="es-AR"/>
        </w:rPr>
        <w:t xml:space="preserve"> </w:t>
      </w:r>
      <w:r w:rsidRPr="00EA1080">
        <w:rPr>
          <w:rFonts w:eastAsiaTheme="minorHAnsi"/>
          <w:i/>
          <w:sz w:val="20"/>
          <w:szCs w:val="20"/>
          <w:lang w:val="es-AR"/>
        </w:rPr>
        <w:t>Controles de Cambio</w:t>
      </w:r>
      <w:r w:rsidRPr="0016657B">
        <w:rPr>
          <w:rFonts w:eastAsiaTheme="minorHAnsi"/>
          <w:sz w:val="20"/>
          <w:szCs w:val="20"/>
          <w:lang w:val="es-AR"/>
        </w:rPr>
        <w:t>”, “</w:t>
      </w:r>
      <w:r w:rsidRPr="00EA1080">
        <w:rPr>
          <w:rFonts w:eastAsiaTheme="minorHAnsi"/>
          <w:i/>
          <w:sz w:val="20"/>
          <w:szCs w:val="20"/>
          <w:lang w:val="es-AR"/>
        </w:rPr>
        <w:t>Información Adicional</w:t>
      </w:r>
      <w:r>
        <w:rPr>
          <w:rFonts w:eastAsiaTheme="minorHAnsi"/>
          <w:i/>
          <w:sz w:val="20"/>
          <w:szCs w:val="20"/>
          <w:lang w:val="es-AR"/>
        </w:rPr>
        <w:t xml:space="preserve"> </w:t>
      </w:r>
      <w:r w:rsidRPr="00EA1080">
        <w:rPr>
          <w:rFonts w:eastAsiaTheme="minorHAnsi"/>
          <w:i/>
          <w:sz w:val="20"/>
          <w:szCs w:val="20"/>
          <w:lang w:val="es-AR"/>
        </w:rPr>
        <w:t>—Carga Tributaria</w:t>
      </w:r>
      <w:r>
        <w:rPr>
          <w:rFonts w:eastAsiaTheme="minorHAnsi"/>
          <w:sz w:val="20"/>
          <w:szCs w:val="20"/>
          <w:lang w:val="es-AR"/>
        </w:rPr>
        <w:t>” y bajo el título “</w:t>
      </w:r>
      <w:r w:rsidRPr="00EA1080">
        <w:rPr>
          <w:rFonts w:eastAsiaTheme="minorHAnsi"/>
          <w:i/>
          <w:sz w:val="20"/>
          <w:szCs w:val="20"/>
          <w:lang w:val="es-AR"/>
        </w:rPr>
        <w:t>Prevención de lavado de activos y financiamiento del terrorismo</w:t>
      </w:r>
      <w:r w:rsidR="003707F1">
        <w:rPr>
          <w:rFonts w:eastAsiaTheme="minorHAnsi"/>
          <w:sz w:val="20"/>
          <w:szCs w:val="20"/>
          <w:lang w:val="es-AR"/>
        </w:rPr>
        <w:t>” del Prospecto</w:t>
      </w:r>
      <w:r w:rsidRPr="0016657B">
        <w:rPr>
          <w:rFonts w:eastAsiaTheme="minorHAnsi"/>
          <w:sz w:val="20"/>
          <w:szCs w:val="20"/>
          <w:lang w:val="es-AR"/>
        </w:rPr>
        <w:t xml:space="preserve"> y en este Suplemento</w:t>
      </w:r>
      <w:r w:rsidR="003707F1">
        <w:rPr>
          <w:rFonts w:eastAsiaTheme="minorHAnsi"/>
          <w:sz w:val="20"/>
          <w:szCs w:val="20"/>
          <w:lang w:val="es-AR"/>
        </w:rPr>
        <w:t xml:space="preserve"> de Precio.</w:t>
      </w:r>
    </w:p>
    <w:p w:rsidR="0016657B" w:rsidRPr="00EA1080" w:rsidRDefault="0016657B" w:rsidP="00EA1080">
      <w:pPr>
        <w:widowControl w:val="0"/>
        <w:jc w:val="both"/>
        <w:rPr>
          <w:rFonts w:eastAsiaTheme="minorHAnsi"/>
          <w:i/>
          <w:lang w:val="es-AR"/>
        </w:rPr>
      </w:pPr>
    </w:p>
    <w:p w:rsidR="003707F1" w:rsidRPr="00EA1080" w:rsidRDefault="003F5803" w:rsidP="00EA1080">
      <w:pPr>
        <w:widowControl w:val="0"/>
        <w:jc w:val="both"/>
        <w:rPr>
          <w:rFonts w:eastAsiaTheme="minorHAnsi"/>
          <w:i/>
          <w:sz w:val="20"/>
          <w:szCs w:val="20"/>
          <w:lang w:val="es-AR"/>
        </w:rPr>
      </w:pPr>
      <w:r>
        <w:rPr>
          <w:rFonts w:eastAsiaTheme="minorHAnsi"/>
          <w:i/>
          <w:sz w:val="20"/>
          <w:szCs w:val="20"/>
          <w:lang w:val="es-AR"/>
        </w:rPr>
        <w:t>Los</w:t>
      </w:r>
      <w:r w:rsidRPr="00EA1080">
        <w:rPr>
          <w:rFonts w:eastAsiaTheme="minorHAnsi"/>
          <w:i/>
          <w:sz w:val="20"/>
          <w:szCs w:val="20"/>
          <w:lang w:val="es-AR"/>
        </w:rPr>
        <w:t xml:space="preserve"> </w:t>
      </w:r>
      <w:r w:rsidR="003707F1" w:rsidRPr="00EA1080">
        <w:rPr>
          <w:rFonts w:eastAsiaTheme="minorHAnsi"/>
          <w:i/>
          <w:sz w:val="20"/>
          <w:szCs w:val="20"/>
          <w:lang w:val="es-AR"/>
        </w:rPr>
        <w:t>Colocador</w:t>
      </w:r>
      <w:r>
        <w:rPr>
          <w:rFonts w:eastAsiaTheme="minorHAnsi"/>
          <w:i/>
          <w:sz w:val="20"/>
          <w:szCs w:val="20"/>
          <w:lang w:val="es-AR"/>
        </w:rPr>
        <w:t>es</w:t>
      </w:r>
      <w:r w:rsidR="003707F1">
        <w:rPr>
          <w:rFonts w:eastAsiaTheme="minorHAnsi"/>
          <w:i/>
          <w:sz w:val="20"/>
          <w:szCs w:val="20"/>
          <w:lang w:val="es-AR"/>
        </w:rPr>
        <w:t xml:space="preserve"> (conforme dicho término se define más adelante)</w:t>
      </w:r>
      <w:r w:rsidR="003707F1" w:rsidRPr="00EA1080">
        <w:rPr>
          <w:rFonts w:eastAsiaTheme="minorHAnsi"/>
          <w:i/>
          <w:sz w:val="20"/>
          <w:szCs w:val="20"/>
          <w:lang w:val="es-AR"/>
        </w:rPr>
        <w:t xml:space="preserve"> deberá</w:t>
      </w:r>
      <w:r>
        <w:rPr>
          <w:rFonts w:eastAsiaTheme="minorHAnsi"/>
          <w:i/>
          <w:sz w:val="20"/>
          <w:szCs w:val="20"/>
          <w:lang w:val="es-AR"/>
        </w:rPr>
        <w:t>n</w:t>
      </w:r>
      <w:r w:rsidR="003707F1" w:rsidRPr="00EA1080">
        <w:rPr>
          <w:rFonts w:eastAsiaTheme="minorHAnsi"/>
          <w:i/>
          <w:sz w:val="20"/>
          <w:szCs w:val="20"/>
          <w:lang w:val="es-AR"/>
        </w:rPr>
        <w:t xml:space="preserve"> solicitar a los inversores, previo cumplimiento de la instrucción de adquisición de títulos valores en </w:t>
      </w:r>
      <w:r w:rsidR="003707F1" w:rsidRPr="003707F1">
        <w:rPr>
          <w:rFonts w:eastAsiaTheme="minorHAnsi"/>
          <w:i/>
          <w:sz w:val="20"/>
          <w:szCs w:val="20"/>
          <w:lang w:val="es-AR"/>
        </w:rPr>
        <w:t xml:space="preserve">Pesos </w:t>
      </w:r>
      <w:r w:rsidR="003707F1" w:rsidRPr="00EA1080">
        <w:rPr>
          <w:rFonts w:eastAsiaTheme="minorHAnsi"/>
          <w:i/>
          <w:sz w:val="20"/>
          <w:szCs w:val="20"/>
          <w:lang w:val="es-AR"/>
        </w:rPr>
        <w:t xml:space="preserve">para su posterior e inmediata venta en moneda extranjera o transferencias de los mismos a entidades depositarias del exterior, la presentación de una declaración jurada manifestando que no se encuentra alcanzado por ninguna restricción legal o reglamentaria para efectuar las operaciones y/o transferencias mencionadas y que no resulta beneficiario como empleador del salario complementario establecido en el Programa de Asistencia de Emergencia al Trabajo y a la Producción (ATP), creado por el Decreto N° 332/2020, conforme a los plazos y requisitos dispuestos por la DECAD-2020-817-APN-JGM de fecha 17/05/2020 y mod. </w:t>
      </w:r>
    </w:p>
    <w:p w:rsidR="003707F1" w:rsidRPr="009D7303" w:rsidRDefault="003707F1" w:rsidP="0016657B">
      <w:pPr>
        <w:pStyle w:val="Textoindependiente"/>
        <w:widowControl w:val="0"/>
        <w:tabs>
          <w:tab w:val="clear" w:pos="397"/>
        </w:tabs>
        <w:rPr>
          <w:lang w:val="es-AR"/>
        </w:rPr>
      </w:pPr>
    </w:p>
    <w:p w:rsidR="0016657B" w:rsidRPr="009D7303" w:rsidRDefault="0016657B" w:rsidP="0016657B">
      <w:pPr>
        <w:pStyle w:val="Default"/>
        <w:jc w:val="both"/>
        <w:rPr>
          <w:rFonts w:eastAsiaTheme="minorHAnsi"/>
          <w:b/>
          <w:sz w:val="20"/>
          <w:szCs w:val="20"/>
        </w:rPr>
      </w:pPr>
      <w:r w:rsidRPr="009D7303">
        <w:rPr>
          <w:rFonts w:eastAsiaTheme="minorHAnsi"/>
          <w:b/>
          <w:sz w:val="20"/>
          <w:szCs w:val="20"/>
        </w:rPr>
        <w:t>El Emisor, sus beneficiarios finales, y las personas humanas o jurídicas que tienen como mínimo el 20% de su capital o de los derechos a voto, o que por otros medios ejercen el control final, directo o indirecto sobre el mismo, no registran condena alguna por delitos de lavado de activos y/o financiamiento del terrorismo y/o no figuran en las listas de terroristas y organizaciones terroristas emitidas por el Consejo de Seguridad de las Naciones Unidas.</w:t>
      </w:r>
    </w:p>
    <w:p w:rsidR="000E2687" w:rsidRDefault="000E2687" w:rsidP="005756A0">
      <w:pPr>
        <w:widowControl w:val="0"/>
        <w:jc w:val="both"/>
        <w:rPr>
          <w:rFonts w:eastAsiaTheme="minorHAnsi"/>
          <w:sz w:val="20"/>
          <w:szCs w:val="20"/>
          <w:lang w:val="es-ES"/>
        </w:rPr>
      </w:pPr>
    </w:p>
    <w:p w:rsidR="00E870AA" w:rsidRDefault="00840FA0" w:rsidP="00EA1080">
      <w:pPr>
        <w:widowControl w:val="0"/>
        <w:rPr>
          <w:rFonts w:eastAsiaTheme="minorHAnsi"/>
          <w:b/>
          <w:sz w:val="20"/>
          <w:szCs w:val="20"/>
          <w:lang w:val="es-ES"/>
        </w:rPr>
      </w:pPr>
      <w:r>
        <w:rPr>
          <w:rFonts w:eastAsiaTheme="minorHAnsi"/>
          <w:b/>
          <w:sz w:val="20"/>
          <w:szCs w:val="20"/>
          <w:lang w:val="es-ES"/>
        </w:rPr>
        <w:t>ORGANIZADOR</w:t>
      </w:r>
    </w:p>
    <w:p w:rsidR="00E870AA" w:rsidRDefault="00E870AA" w:rsidP="00EA1080">
      <w:pPr>
        <w:widowControl w:val="0"/>
        <w:rPr>
          <w:rFonts w:eastAsiaTheme="minorHAnsi"/>
          <w:b/>
          <w:sz w:val="20"/>
          <w:szCs w:val="20"/>
          <w:lang w:val="es-ES"/>
        </w:rPr>
      </w:pPr>
    </w:p>
    <w:p w:rsidR="00E870AA" w:rsidRDefault="00E870AA" w:rsidP="00E870AA">
      <w:pPr>
        <w:widowControl w:val="0"/>
        <w:rPr>
          <w:rFonts w:eastAsiaTheme="minorHAnsi"/>
          <w:sz w:val="20"/>
          <w:szCs w:val="20"/>
          <w:lang w:val="es-ES"/>
        </w:rPr>
      </w:pPr>
      <w:r>
        <w:rPr>
          <w:noProof/>
          <w:lang w:val="es-AR" w:eastAsia="es-AR"/>
        </w:rPr>
        <w:drawing>
          <wp:inline distT="0" distB="0" distL="0" distR="0" wp14:anchorId="53E9D312" wp14:editId="4C53297D">
            <wp:extent cx="1133856" cy="296672"/>
            <wp:effectExtent l="0" t="0" r="0" b="8255"/>
            <wp:docPr id="1" name="Imagen 1" descr="LogoGaliciaS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GaliciaSA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8008" cy="305608"/>
                    </a:xfrm>
                    <a:prstGeom prst="rect">
                      <a:avLst/>
                    </a:prstGeom>
                    <a:noFill/>
                    <a:ln>
                      <a:noFill/>
                    </a:ln>
                  </pic:spPr>
                </pic:pic>
              </a:graphicData>
            </a:graphic>
          </wp:inline>
        </w:drawing>
      </w:r>
    </w:p>
    <w:p w:rsidR="00E870AA" w:rsidRPr="00EA1080" w:rsidRDefault="00E870AA" w:rsidP="00E870AA">
      <w:pPr>
        <w:widowControl w:val="0"/>
        <w:rPr>
          <w:rFonts w:eastAsiaTheme="minorHAnsi"/>
          <w:sz w:val="18"/>
          <w:szCs w:val="20"/>
          <w:lang w:val="es-ES"/>
        </w:rPr>
      </w:pPr>
    </w:p>
    <w:p w:rsidR="00E870AA" w:rsidRPr="00EA1080" w:rsidRDefault="00E870AA" w:rsidP="00E870AA">
      <w:pPr>
        <w:widowControl w:val="0"/>
        <w:rPr>
          <w:rFonts w:eastAsiaTheme="minorHAnsi"/>
          <w:b/>
          <w:sz w:val="18"/>
          <w:szCs w:val="18"/>
          <w:lang w:val="es-ES"/>
        </w:rPr>
      </w:pPr>
      <w:r w:rsidRPr="00EA1080">
        <w:rPr>
          <w:rFonts w:eastAsiaTheme="minorHAnsi"/>
          <w:b/>
          <w:sz w:val="18"/>
          <w:szCs w:val="18"/>
          <w:lang w:val="es-ES"/>
        </w:rPr>
        <w:t>Banco de Galicia y Buenos Aires S.A.U.</w:t>
      </w:r>
    </w:p>
    <w:p w:rsidR="00E870AA" w:rsidRPr="00EA1080" w:rsidRDefault="00E870AA" w:rsidP="00E870AA">
      <w:pPr>
        <w:widowControl w:val="0"/>
        <w:rPr>
          <w:rFonts w:eastAsiaTheme="minorHAnsi"/>
          <w:sz w:val="18"/>
          <w:szCs w:val="18"/>
          <w:lang w:val="es-ES"/>
        </w:rPr>
      </w:pPr>
      <w:r w:rsidRPr="002217AD">
        <w:rPr>
          <w:rFonts w:eastAsiaTheme="minorHAnsi"/>
          <w:sz w:val="18"/>
          <w:szCs w:val="18"/>
          <w:lang w:val="es-ES"/>
        </w:rPr>
        <w:t>Agente de Liquidación y</w:t>
      </w:r>
      <w:r>
        <w:rPr>
          <w:rFonts w:eastAsiaTheme="minorHAnsi"/>
          <w:sz w:val="18"/>
          <w:szCs w:val="18"/>
          <w:lang w:val="es-ES"/>
        </w:rPr>
        <w:t xml:space="preserve"> </w:t>
      </w:r>
      <w:r w:rsidRPr="00EA1080">
        <w:rPr>
          <w:rFonts w:eastAsiaTheme="minorHAnsi"/>
          <w:sz w:val="18"/>
          <w:szCs w:val="18"/>
          <w:lang w:val="es-ES"/>
        </w:rPr>
        <w:t>Compensación y Agente de</w:t>
      </w:r>
      <w:r>
        <w:rPr>
          <w:rFonts w:eastAsiaTheme="minorHAnsi"/>
          <w:sz w:val="18"/>
          <w:szCs w:val="18"/>
          <w:lang w:val="es-ES"/>
        </w:rPr>
        <w:t xml:space="preserve"> </w:t>
      </w:r>
      <w:r w:rsidRPr="00EA1080">
        <w:rPr>
          <w:rFonts w:eastAsiaTheme="minorHAnsi"/>
          <w:sz w:val="18"/>
          <w:szCs w:val="18"/>
          <w:lang w:val="es-ES"/>
        </w:rPr>
        <w:t>Negociación Integral</w:t>
      </w:r>
    </w:p>
    <w:p w:rsidR="00E870AA" w:rsidRDefault="00E870AA" w:rsidP="00E870AA">
      <w:pPr>
        <w:widowControl w:val="0"/>
        <w:rPr>
          <w:rFonts w:eastAsiaTheme="minorHAnsi"/>
          <w:sz w:val="18"/>
          <w:szCs w:val="18"/>
          <w:lang w:val="es-ES"/>
        </w:rPr>
      </w:pPr>
      <w:r w:rsidRPr="00EA1080">
        <w:rPr>
          <w:rFonts w:eastAsiaTheme="minorHAnsi"/>
          <w:sz w:val="18"/>
          <w:szCs w:val="18"/>
          <w:lang w:val="es-ES"/>
        </w:rPr>
        <w:t>Matrícula CNV N°22</w:t>
      </w:r>
    </w:p>
    <w:p w:rsidR="00E870AA" w:rsidRDefault="00E870AA" w:rsidP="00E870AA">
      <w:pPr>
        <w:widowControl w:val="0"/>
        <w:rPr>
          <w:rFonts w:eastAsiaTheme="minorHAnsi"/>
          <w:sz w:val="18"/>
          <w:szCs w:val="18"/>
          <w:lang w:val="es-ES"/>
        </w:rPr>
      </w:pPr>
    </w:p>
    <w:p w:rsidR="00840FA0" w:rsidRPr="00EA1080" w:rsidRDefault="00840FA0" w:rsidP="00E870AA">
      <w:pPr>
        <w:widowControl w:val="0"/>
        <w:rPr>
          <w:rFonts w:eastAsiaTheme="minorHAnsi"/>
          <w:b/>
          <w:sz w:val="20"/>
          <w:szCs w:val="20"/>
          <w:lang w:val="es-ES"/>
        </w:rPr>
      </w:pPr>
    </w:p>
    <w:p w:rsidR="00840FA0" w:rsidRDefault="00E870AA" w:rsidP="00E870AA">
      <w:pPr>
        <w:widowControl w:val="0"/>
        <w:rPr>
          <w:rFonts w:eastAsiaTheme="minorHAnsi"/>
          <w:b/>
          <w:sz w:val="20"/>
          <w:szCs w:val="20"/>
          <w:lang w:val="es-ES"/>
        </w:rPr>
      </w:pPr>
      <w:r>
        <w:rPr>
          <w:rFonts w:eastAsiaTheme="minorHAnsi"/>
          <w:b/>
          <w:sz w:val="20"/>
          <w:szCs w:val="20"/>
          <w:lang w:val="es-ES"/>
        </w:rPr>
        <w:t>COLOCADORES</w:t>
      </w:r>
    </w:p>
    <w:p w:rsidR="008F2C84" w:rsidRDefault="008F2C84" w:rsidP="009B26F9">
      <w:pPr>
        <w:widowControl w:val="0"/>
        <w:rPr>
          <w:rFonts w:eastAsiaTheme="minorHAnsi"/>
          <w:sz w:val="20"/>
          <w:szCs w:val="20"/>
          <w:lang w:val="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516"/>
        <w:gridCol w:w="2587"/>
      </w:tblGrid>
      <w:tr w:rsidR="00840FA0" w:rsidRPr="00291761" w:rsidTr="009B26F9">
        <w:trPr>
          <w:trHeight w:val="859"/>
          <w:jc w:val="center"/>
        </w:trPr>
        <w:tc>
          <w:tcPr>
            <w:tcW w:w="3402" w:type="dxa"/>
          </w:tcPr>
          <w:p w:rsidR="00840FA0" w:rsidRDefault="00840FA0" w:rsidP="00EA1080">
            <w:pPr>
              <w:widowControl w:val="0"/>
              <w:rPr>
                <w:rFonts w:eastAsiaTheme="minorHAnsi"/>
                <w:sz w:val="20"/>
                <w:szCs w:val="20"/>
                <w:lang w:val="es-ES"/>
              </w:rPr>
            </w:pPr>
            <w:r>
              <w:rPr>
                <w:noProof/>
                <w:lang w:val="es-AR" w:eastAsia="es-AR"/>
              </w:rPr>
              <w:drawing>
                <wp:inline distT="0" distB="0" distL="0" distR="0" wp14:anchorId="2D6B72FC" wp14:editId="0E26E778">
                  <wp:extent cx="1133856" cy="296672"/>
                  <wp:effectExtent l="0" t="0" r="0" b="8255"/>
                  <wp:docPr id="4" name="Imagen 4" descr="LogoGaliciaS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GaliciaSA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8008" cy="305608"/>
                          </a:xfrm>
                          <a:prstGeom prst="rect">
                            <a:avLst/>
                          </a:prstGeom>
                          <a:noFill/>
                          <a:ln>
                            <a:noFill/>
                          </a:ln>
                        </pic:spPr>
                      </pic:pic>
                    </a:graphicData>
                  </a:graphic>
                </wp:inline>
              </w:drawing>
            </w:r>
          </w:p>
          <w:p w:rsidR="00840FA0" w:rsidRPr="00EA1080" w:rsidRDefault="00840FA0" w:rsidP="00EA1080">
            <w:pPr>
              <w:widowControl w:val="0"/>
              <w:rPr>
                <w:rFonts w:eastAsiaTheme="minorHAnsi"/>
                <w:sz w:val="18"/>
                <w:szCs w:val="20"/>
                <w:lang w:val="es-ES"/>
              </w:rPr>
            </w:pPr>
          </w:p>
          <w:p w:rsidR="00840FA0" w:rsidRDefault="00840FA0" w:rsidP="00EA1080">
            <w:pPr>
              <w:widowControl w:val="0"/>
              <w:rPr>
                <w:rFonts w:eastAsiaTheme="minorHAnsi"/>
                <w:sz w:val="20"/>
                <w:szCs w:val="20"/>
                <w:lang w:val="es-ES"/>
              </w:rPr>
            </w:pPr>
          </w:p>
        </w:tc>
        <w:tc>
          <w:tcPr>
            <w:tcW w:w="2516" w:type="dxa"/>
          </w:tcPr>
          <w:p w:rsidR="00840FA0" w:rsidRDefault="003F5803" w:rsidP="00EA1080">
            <w:pPr>
              <w:widowControl w:val="0"/>
              <w:rPr>
                <w:rFonts w:eastAsiaTheme="minorHAnsi"/>
                <w:sz w:val="20"/>
                <w:szCs w:val="20"/>
                <w:lang w:val="es-ES"/>
              </w:rPr>
            </w:pPr>
            <w:r w:rsidRPr="00C357A6">
              <w:rPr>
                <w:noProof/>
                <w:sz w:val="18"/>
                <w:szCs w:val="18"/>
                <w:lang w:val="es-AR" w:eastAsia="es-AR"/>
              </w:rPr>
              <w:drawing>
                <wp:inline distT="0" distB="0" distL="0" distR="0" wp14:anchorId="58514227" wp14:editId="4063C855">
                  <wp:extent cx="1228648" cy="357809"/>
                  <wp:effectExtent l="0" t="0" r="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0839" cy="364271"/>
                          </a:xfrm>
                          <a:prstGeom prst="rect">
                            <a:avLst/>
                          </a:prstGeom>
                          <a:noFill/>
                          <a:ln>
                            <a:noFill/>
                          </a:ln>
                        </pic:spPr>
                      </pic:pic>
                    </a:graphicData>
                  </a:graphic>
                </wp:inline>
              </w:drawing>
            </w:r>
          </w:p>
          <w:p w:rsidR="00840FA0" w:rsidRPr="00EA1080" w:rsidRDefault="00840FA0" w:rsidP="00EA1080">
            <w:pPr>
              <w:widowControl w:val="0"/>
              <w:rPr>
                <w:rFonts w:eastAsiaTheme="minorHAnsi"/>
                <w:sz w:val="18"/>
                <w:szCs w:val="18"/>
                <w:lang w:val="es-AR"/>
              </w:rPr>
            </w:pPr>
          </w:p>
        </w:tc>
        <w:tc>
          <w:tcPr>
            <w:tcW w:w="2587" w:type="dxa"/>
          </w:tcPr>
          <w:p w:rsidR="00840FA0" w:rsidRDefault="00840FA0" w:rsidP="00EA1080">
            <w:pPr>
              <w:widowControl w:val="0"/>
              <w:rPr>
                <w:rFonts w:eastAsiaTheme="minorHAnsi"/>
                <w:sz w:val="20"/>
                <w:szCs w:val="20"/>
                <w:lang w:val="es-ES"/>
              </w:rPr>
            </w:pPr>
            <w:r>
              <w:rPr>
                <w:b/>
                <w:noProof/>
                <w:sz w:val="16"/>
                <w:szCs w:val="16"/>
                <w:lang w:val="es-AR" w:eastAsia="es-AR"/>
              </w:rPr>
              <w:drawing>
                <wp:inline distT="0" distB="0" distL="0" distR="0" wp14:anchorId="4F092983" wp14:editId="2D8A6F1E">
                  <wp:extent cx="1076960" cy="425554"/>
                  <wp:effectExtent l="0" t="0" r="8890" b="0"/>
                  <wp:docPr id="6" name="Imagen 6" descr="Santanderlogo1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Santanderlogo1 (00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0223" cy="478212"/>
                          </a:xfrm>
                          <a:prstGeom prst="rect">
                            <a:avLst/>
                          </a:prstGeom>
                          <a:noFill/>
                          <a:ln>
                            <a:noFill/>
                          </a:ln>
                        </pic:spPr>
                      </pic:pic>
                    </a:graphicData>
                  </a:graphic>
                </wp:inline>
              </w:drawing>
            </w:r>
          </w:p>
          <w:p w:rsidR="00840FA0" w:rsidRDefault="00840FA0" w:rsidP="00EA1080">
            <w:pPr>
              <w:widowControl w:val="0"/>
              <w:rPr>
                <w:rFonts w:eastAsiaTheme="minorHAnsi"/>
                <w:sz w:val="20"/>
                <w:szCs w:val="20"/>
                <w:lang w:val="es-ES"/>
              </w:rPr>
            </w:pPr>
          </w:p>
        </w:tc>
      </w:tr>
      <w:tr w:rsidR="008F2C84" w:rsidRPr="00291761" w:rsidTr="009B26F9">
        <w:trPr>
          <w:trHeight w:val="777"/>
          <w:jc w:val="center"/>
        </w:trPr>
        <w:tc>
          <w:tcPr>
            <w:tcW w:w="3402" w:type="dxa"/>
          </w:tcPr>
          <w:p w:rsidR="008F2C84" w:rsidRPr="00EA1080" w:rsidRDefault="008F2C84" w:rsidP="008F2C84">
            <w:pPr>
              <w:widowControl w:val="0"/>
              <w:rPr>
                <w:rFonts w:eastAsiaTheme="minorHAnsi"/>
                <w:b/>
                <w:sz w:val="18"/>
                <w:szCs w:val="18"/>
                <w:lang w:val="es-ES"/>
              </w:rPr>
            </w:pPr>
            <w:r w:rsidRPr="00EA1080">
              <w:rPr>
                <w:rFonts w:eastAsiaTheme="minorHAnsi"/>
                <w:b/>
                <w:sz w:val="18"/>
                <w:szCs w:val="18"/>
                <w:lang w:val="es-ES"/>
              </w:rPr>
              <w:t>Banco de Galicia y Buenos Aires S.A.U.</w:t>
            </w:r>
          </w:p>
          <w:p w:rsidR="008F2C84" w:rsidRDefault="008F2C84" w:rsidP="008F2C84">
            <w:pPr>
              <w:widowControl w:val="0"/>
              <w:rPr>
                <w:rFonts w:eastAsiaTheme="minorHAnsi"/>
                <w:sz w:val="18"/>
                <w:szCs w:val="18"/>
                <w:lang w:val="es-ES"/>
              </w:rPr>
            </w:pPr>
            <w:r w:rsidRPr="002217AD">
              <w:rPr>
                <w:rFonts w:eastAsiaTheme="minorHAnsi"/>
                <w:sz w:val="18"/>
                <w:szCs w:val="18"/>
                <w:lang w:val="es-ES"/>
              </w:rPr>
              <w:t>Agente de Liquidación y</w:t>
            </w:r>
            <w:r>
              <w:rPr>
                <w:rFonts w:eastAsiaTheme="minorHAnsi"/>
                <w:sz w:val="18"/>
                <w:szCs w:val="18"/>
                <w:lang w:val="es-ES"/>
              </w:rPr>
              <w:t xml:space="preserve"> </w:t>
            </w:r>
          </w:p>
          <w:p w:rsidR="008F2C84" w:rsidRDefault="008F2C84" w:rsidP="008F2C84">
            <w:pPr>
              <w:widowControl w:val="0"/>
              <w:rPr>
                <w:rFonts w:eastAsiaTheme="minorHAnsi"/>
                <w:sz w:val="18"/>
                <w:szCs w:val="18"/>
                <w:lang w:val="es-ES"/>
              </w:rPr>
            </w:pPr>
            <w:r w:rsidRPr="00EA1080">
              <w:rPr>
                <w:rFonts w:eastAsiaTheme="minorHAnsi"/>
                <w:sz w:val="18"/>
                <w:szCs w:val="18"/>
                <w:lang w:val="es-ES"/>
              </w:rPr>
              <w:t>Compensación y Agente de</w:t>
            </w:r>
            <w:r>
              <w:rPr>
                <w:rFonts w:eastAsiaTheme="minorHAnsi"/>
                <w:sz w:val="18"/>
                <w:szCs w:val="18"/>
                <w:lang w:val="es-ES"/>
              </w:rPr>
              <w:t xml:space="preserve"> </w:t>
            </w:r>
          </w:p>
          <w:p w:rsidR="008F2C84" w:rsidRPr="00EA1080" w:rsidRDefault="008F2C84" w:rsidP="008F2C84">
            <w:pPr>
              <w:widowControl w:val="0"/>
              <w:rPr>
                <w:rFonts w:eastAsiaTheme="minorHAnsi"/>
                <w:sz w:val="18"/>
                <w:szCs w:val="18"/>
                <w:lang w:val="es-ES"/>
              </w:rPr>
            </w:pPr>
            <w:r w:rsidRPr="00EA1080">
              <w:rPr>
                <w:rFonts w:eastAsiaTheme="minorHAnsi"/>
                <w:sz w:val="18"/>
                <w:szCs w:val="18"/>
                <w:lang w:val="es-ES"/>
              </w:rPr>
              <w:t>Negociación Integral</w:t>
            </w:r>
          </w:p>
          <w:p w:rsidR="008F2C84" w:rsidRPr="009B26F9" w:rsidRDefault="008F2C84" w:rsidP="008F2C84">
            <w:pPr>
              <w:widowControl w:val="0"/>
              <w:rPr>
                <w:noProof/>
                <w:lang w:val="es-AR"/>
              </w:rPr>
            </w:pPr>
            <w:r w:rsidRPr="00EA1080">
              <w:rPr>
                <w:rFonts w:eastAsiaTheme="minorHAnsi"/>
                <w:sz w:val="18"/>
                <w:szCs w:val="18"/>
                <w:lang w:val="es-ES"/>
              </w:rPr>
              <w:t>Matrícula CNV N°22</w:t>
            </w:r>
          </w:p>
        </w:tc>
        <w:tc>
          <w:tcPr>
            <w:tcW w:w="2516" w:type="dxa"/>
          </w:tcPr>
          <w:p w:rsidR="008F2C84" w:rsidRPr="00EA1080" w:rsidRDefault="008F2C84" w:rsidP="008F2C84">
            <w:pPr>
              <w:widowControl w:val="0"/>
              <w:rPr>
                <w:b/>
                <w:sz w:val="18"/>
                <w:szCs w:val="18"/>
                <w:lang w:val="es-AR"/>
              </w:rPr>
            </w:pPr>
            <w:r w:rsidRPr="00EA1080">
              <w:rPr>
                <w:b/>
                <w:sz w:val="18"/>
                <w:szCs w:val="18"/>
                <w:lang w:val="es-AR"/>
              </w:rPr>
              <w:t>Macro</w:t>
            </w:r>
            <w:r w:rsidR="003F5803">
              <w:rPr>
                <w:b/>
                <w:sz w:val="18"/>
                <w:szCs w:val="18"/>
                <w:lang w:val="es-AR"/>
              </w:rPr>
              <w:t xml:space="preserve"> Securities</w:t>
            </w:r>
            <w:r w:rsidRPr="00EA1080">
              <w:rPr>
                <w:b/>
                <w:sz w:val="18"/>
                <w:szCs w:val="18"/>
                <w:lang w:val="es-AR"/>
              </w:rPr>
              <w:t xml:space="preserve"> S.A. </w:t>
            </w:r>
          </w:p>
          <w:p w:rsidR="008F2C84" w:rsidRDefault="008F2C84" w:rsidP="008F2C84">
            <w:pPr>
              <w:widowControl w:val="0"/>
              <w:rPr>
                <w:sz w:val="18"/>
                <w:szCs w:val="18"/>
                <w:lang w:val="es-AR"/>
              </w:rPr>
            </w:pPr>
            <w:r w:rsidRPr="00EA1080">
              <w:rPr>
                <w:sz w:val="18"/>
                <w:szCs w:val="18"/>
                <w:lang w:val="es-AR"/>
              </w:rPr>
              <w:t xml:space="preserve">Agente de Liquidación y Compensación y Agente de Negociación Integral </w:t>
            </w:r>
          </w:p>
          <w:p w:rsidR="008F2C84" w:rsidRDefault="008F2C84" w:rsidP="008F2C84">
            <w:pPr>
              <w:widowControl w:val="0"/>
              <w:rPr>
                <w:noProof/>
              </w:rPr>
            </w:pPr>
            <w:r w:rsidRPr="00EA1080">
              <w:rPr>
                <w:sz w:val="18"/>
                <w:szCs w:val="18"/>
                <w:lang w:val="es-AR"/>
              </w:rPr>
              <w:t>Matrícula CNV N°</w:t>
            </w:r>
            <w:r w:rsidR="003F5803">
              <w:rPr>
                <w:sz w:val="18"/>
                <w:szCs w:val="18"/>
                <w:lang w:val="es-AR"/>
              </w:rPr>
              <w:t xml:space="preserve"> 59</w:t>
            </w:r>
          </w:p>
        </w:tc>
        <w:tc>
          <w:tcPr>
            <w:tcW w:w="2587" w:type="dxa"/>
          </w:tcPr>
          <w:p w:rsidR="008F2C84" w:rsidRPr="00EA1080" w:rsidRDefault="008F2C84" w:rsidP="008F2C84">
            <w:pPr>
              <w:widowControl w:val="0"/>
              <w:rPr>
                <w:rFonts w:eastAsiaTheme="minorHAnsi"/>
                <w:b/>
                <w:sz w:val="18"/>
                <w:szCs w:val="18"/>
                <w:lang w:val="es-ES"/>
              </w:rPr>
            </w:pPr>
            <w:r w:rsidRPr="00EA1080">
              <w:rPr>
                <w:rFonts w:eastAsiaTheme="minorHAnsi"/>
                <w:b/>
                <w:sz w:val="18"/>
                <w:szCs w:val="18"/>
                <w:lang w:val="es-ES"/>
              </w:rPr>
              <w:t>Banco Santander Río S.A.</w:t>
            </w:r>
          </w:p>
          <w:p w:rsidR="008F2C84" w:rsidRDefault="008F2C84" w:rsidP="008F2C84">
            <w:pPr>
              <w:widowControl w:val="0"/>
              <w:rPr>
                <w:rFonts w:eastAsiaTheme="minorHAnsi"/>
                <w:sz w:val="18"/>
                <w:szCs w:val="18"/>
                <w:lang w:val="es-ES"/>
              </w:rPr>
            </w:pPr>
            <w:r w:rsidRPr="00EA1080">
              <w:rPr>
                <w:rFonts w:eastAsiaTheme="minorHAnsi"/>
                <w:sz w:val="18"/>
                <w:szCs w:val="18"/>
                <w:lang w:val="es-ES"/>
              </w:rPr>
              <w:t xml:space="preserve">Agente </w:t>
            </w:r>
            <w:r w:rsidRPr="002217AD">
              <w:rPr>
                <w:rFonts w:eastAsiaTheme="minorHAnsi"/>
                <w:sz w:val="18"/>
                <w:szCs w:val="18"/>
                <w:lang w:val="es-ES"/>
              </w:rPr>
              <w:t>de Liquidación y Compensación y</w:t>
            </w:r>
            <w:r>
              <w:rPr>
                <w:rFonts w:eastAsiaTheme="minorHAnsi"/>
                <w:sz w:val="18"/>
                <w:szCs w:val="18"/>
                <w:lang w:val="es-ES"/>
              </w:rPr>
              <w:t xml:space="preserve"> </w:t>
            </w:r>
            <w:r w:rsidRPr="00EA1080">
              <w:rPr>
                <w:rFonts w:eastAsiaTheme="minorHAnsi"/>
                <w:sz w:val="18"/>
                <w:szCs w:val="18"/>
                <w:lang w:val="es-ES"/>
              </w:rPr>
              <w:t>Agente de Negociación Integral</w:t>
            </w:r>
          </w:p>
          <w:p w:rsidR="008F2C84" w:rsidRDefault="008F2C84" w:rsidP="008F2C84">
            <w:pPr>
              <w:widowControl w:val="0"/>
              <w:rPr>
                <w:b/>
                <w:noProof/>
                <w:sz w:val="16"/>
                <w:szCs w:val="16"/>
              </w:rPr>
            </w:pPr>
            <w:r w:rsidRPr="00EA1080">
              <w:rPr>
                <w:rFonts w:eastAsiaTheme="minorHAnsi"/>
                <w:sz w:val="18"/>
                <w:szCs w:val="18"/>
                <w:lang w:val="es-ES"/>
              </w:rPr>
              <w:t xml:space="preserve"> </w:t>
            </w:r>
            <w:r>
              <w:rPr>
                <w:rFonts w:eastAsiaTheme="minorHAnsi"/>
                <w:sz w:val="18"/>
                <w:szCs w:val="18"/>
                <w:lang w:val="es-ES"/>
              </w:rPr>
              <w:t>Matrícula CNV N°</w:t>
            </w:r>
            <w:r w:rsidR="003F5803">
              <w:rPr>
                <w:rFonts w:eastAsiaTheme="minorHAnsi"/>
                <w:sz w:val="18"/>
                <w:szCs w:val="18"/>
                <w:lang w:val="es-ES"/>
              </w:rPr>
              <w:t xml:space="preserve"> 72</w:t>
            </w:r>
          </w:p>
        </w:tc>
      </w:tr>
    </w:tbl>
    <w:p w:rsidR="00575C3F" w:rsidRPr="00251FDB" w:rsidRDefault="00575C3F" w:rsidP="000506DD">
      <w:pPr>
        <w:autoSpaceDE w:val="0"/>
        <w:autoSpaceDN w:val="0"/>
        <w:adjustRightInd w:val="0"/>
        <w:jc w:val="both"/>
        <w:rPr>
          <w:b/>
          <w:smallCaps/>
          <w:sz w:val="20"/>
          <w:szCs w:val="20"/>
          <w:lang w:val="es-AR" w:eastAsia="es-ES"/>
        </w:rPr>
      </w:pPr>
    </w:p>
    <w:p w:rsidR="008F2C84" w:rsidRDefault="008F2C84" w:rsidP="00EA1080">
      <w:pPr>
        <w:widowControl w:val="0"/>
        <w:jc w:val="right"/>
        <w:rPr>
          <w:sz w:val="20"/>
          <w:szCs w:val="20"/>
          <w:lang w:val="es-AR"/>
        </w:rPr>
      </w:pPr>
    </w:p>
    <w:p w:rsidR="003707F1" w:rsidRDefault="00DF5359" w:rsidP="00EA1080">
      <w:pPr>
        <w:widowControl w:val="0"/>
        <w:jc w:val="right"/>
        <w:rPr>
          <w:sz w:val="20"/>
          <w:szCs w:val="20"/>
          <w:lang w:val="es-AR"/>
        </w:rPr>
      </w:pPr>
      <w:r w:rsidRPr="00251FDB">
        <w:rPr>
          <w:sz w:val="20"/>
          <w:szCs w:val="20"/>
          <w:lang w:val="es-AR"/>
        </w:rPr>
        <w:t xml:space="preserve">La fecha </w:t>
      </w:r>
      <w:r w:rsidR="000B7826" w:rsidRPr="00251FDB">
        <w:rPr>
          <w:sz w:val="20"/>
          <w:szCs w:val="20"/>
          <w:lang w:val="es-AR"/>
        </w:rPr>
        <w:t xml:space="preserve">de este Suplemento de Precio es </w:t>
      </w:r>
      <w:r w:rsidR="003130A0">
        <w:rPr>
          <w:noProof/>
          <w:sz w:val="20"/>
          <w:szCs w:val="20"/>
          <w:lang w:val="es-AR"/>
        </w:rPr>
        <w:t>30</w:t>
      </w:r>
      <w:r w:rsidR="001B36F9">
        <w:rPr>
          <w:noProof/>
          <w:sz w:val="20"/>
          <w:szCs w:val="20"/>
          <w:lang w:val="es-AR"/>
        </w:rPr>
        <w:t xml:space="preserve"> </w:t>
      </w:r>
      <w:r w:rsidR="00275A09" w:rsidRPr="00251FDB">
        <w:rPr>
          <w:sz w:val="20"/>
          <w:szCs w:val="20"/>
          <w:lang w:val="es-AR"/>
        </w:rPr>
        <w:t xml:space="preserve">de </w:t>
      </w:r>
      <w:r w:rsidR="000D6A7B">
        <w:rPr>
          <w:sz w:val="20"/>
          <w:szCs w:val="20"/>
          <w:lang w:val="es-AR"/>
        </w:rPr>
        <w:t>junio</w:t>
      </w:r>
      <w:r w:rsidR="001B36F9">
        <w:rPr>
          <w:sz w:val="20"/>
          <w:szCs w:val="20"/>
          <w:lang w:val="es-AR"/>
        </w:rPr>
        <w:t xml:space="preserve"> </w:t>
      </w:r>
      <w:r w:rsidR="00275A09" w:rsidRPr="00251FDB">
        <w:rPr>
          <w:sz w:val="20"/>
          <w:szCs w:val="20"/>
          <w:lang w:val="es-AR"/>
        </w:rPr>
        <w:t xml:space="preserve">de </w:t>
      </w:r>
      <w:r w:rsidR="00F75D5C" w:rsidRPr="00251FDB">
        <w:rPr>
          <w:sz w:val="20"/>
          <w:szCs w:val="20"/>
          <w:lang w:val="es-AR"/>
        </w:rPr>
        <w:t>2020</w:t>
      </w:r>
    </w:p>
    <w:p w:rsidR="0061799F" w:rsidRPr="00251FDB" w:rsidRDefault="0061799F" w:rsidP="003012C8">
      <w:pPr>
        <w:widowControl w:val="0"/>
        <w:rPr>
          <w:b/>
          <w:smallCaps/>
          <w:sz w:val="20"/>
          <w:szCs w:val="20"/>
          <w:lang w:val="es-AR" w:eastAsia="es-ES"/>
        </w:rPr>
      </w:pPr>
      <w:r w:rsidRPr="00251FDB">
        <w:rPr>
          <w:b/>
          <w:smallCaps/>
          <w:sz w:val="20"/>
          <w:szCs w:val="20"/>
          <w:lang w:val="es-AR" w:eastAsia="es-ES"/>
        </w:rPr>
        <w:br w:type="page"/>
      </w:r>
    </w:p>
    <w:p w:rsidR="00DF5359" w:rsidRPr="00251FDB" w:rsidRDefault="00DF5359" w:rsidP="000506DD">
      <w:pPr>
        <w:autoSpaceDE w:val="0"/>
        <w:autoSpaceDN w:val="0"/>
        <w:adjustRightInd w:val="0"/>
        <w:jc w:val="both"/>
        <w:rPr>
          <w:b/>
          <w:smallCaps/>
          <w:sz w:val="20"/>
          <w:szCs w:val="20"/>
          <w:lang w:val="es-AR" w:eastAsia="es-ES"/>
        </w:rPr>
      </w:pPr>
    </w:p>
    <w:p w:rsidR="00D50756" w:rsidRPr="00251FDB" w:rsidRDefault="00D50756" w:rsidP="001A2A0C">
      <w:pPr>
        <w:widowControl w:val="0"/>
        <w:ind w:left="3540" w:firstLine="708"/>
        <w:jc w:val="both"/>
        <w:rPr>
          <w:b/>
          <w:smallCaps/>
          <w:sz w:val="20"/>
          <w:szCs w:val="20"/>
          <w:lang w:val="es-AR"/>
        </w:rPr>
      </w:pPr>
      <w:r w:rsidRPr="00251FDB">
        <w:rPr>
          <w:b/>
          <w:smallCaps/>
          <w:sz w:val="20"/>
          <w:szCs w:val="20"/>
          <w:lang w:val="es-AR"/>
        </w:rPr>
        <w:t xml:space="preserve">Índice </w:t>
      </w:r>
    </w:p>
    <w:p w:rsidR="00A46B7C" w:rsidRPr="00251FDB" w:rsidRDefault="00A46B7C" w:rsidP="001A2A0C">
      <w:pPr>
        <w:widowControl w:val="0"/>
        <w:jc w:val="both"/>
        <w:rPr>
          <w:sz w:val="20"/>
          <w:szCs w:val="20"/>
          <w:lang w:val="es-AR"/>
        </w:rPr>
      </w:pPr>
    </w:p>
    <w:p w:rsidR="00D50756" w:rsidRPr="00251FDB" w:rsidRDefault="00A46B7C" w:rsidP="008F2C84">
      <w:pPr>
        <w:widowControl w:val="0"/>
        <w:jc w:val="both"/>
        <w:rPr>
          <w:sz w:val="20"/>
          <w:szCs w:val="20"/>
          <w:lang w:val="es-AR"/>
        </w:rPr>
      </w:pPr>
      <w:r w:rsidRPr="00251FDB">
        <w:rPr>
          <w:sz w:val="20"/>
          <w:szCs w:val="20"/>
          <w:lang w:val="es-AR"/>
        </w:rPr>
        <w:t>Aviso de los Inversores y Declaraciones</w:t>
      </w:r>
      <w:r w:rsidRPr="00251FDB">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sidRPr="00251FDB">
        <w:rPr>
          <w:sz w:val="20"/>
          <w:szCs w:val="20"/>
          <w:lang w:val="es-AR"/>
        </w:rPr>
        <w:t>4</w:t>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p>
    <w:p w:rsidR="00A46B7C" w:rsidRPr="00251FDB" w:rsidRDefault="00A46B7C" w:rsidP="008F2C84">
      <w:pPr>
        <w:widowControl w:val="0"/>
        <w:jc w:val="both"/>
        <w:rPr>
          <w:sz w:val="20"/>
          <w:szCs w:val="20"/>
          <w:lang w:val="es-AR"/>
        </w:rPr>
      </w:pPr>
      <w:r w:rsidRPr="00251FDB">
        <w:rPr>
          <w:sz w:val="20"/>
          <w:szCs w:val="20"/>
          <w:lang w:val="es-AR"/>
        </w:rPr>
        <w:t>Oferta de los Valores Negociables</w:t>
      </w:r>
      <w:r w:rsidRPr="00251FDB">
        <w:rPr>
          <w:sz w:val="20"/>
          <w:szCs w:val="20"/>
          <w:lang w:val="es-AR"/>
        </w:rPr>
        <w:tab/>
      </w:r>
      <w:r w:rsidRPr="00251FDB">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sidRPr="00251FDB">
        <w:rPr>
          <w:sz w:val="20"/>
          <w:szCs w:val="20"/>
          <w:lang w:val="es-AR"/>
        </w:rPr>
        <w:t>11</w:t>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00200B5A" w:rsidRPr="00251FDB">
        <w:rPr>
          <w:sz w:val="20"/>
          <w:szCs w:val="20"/>
          <w:lang w:val="es-AR"/>
        </w:rPr>
        <w:tab/>
      </w:r>
    </w:p>
    <w:p w:rsidR="00A46B7C" w:rsidRPr="00251FDB" w:rsidRDefault="00A46B7C" w:rsidP="008F2C84">
      <w:pPr>
        <w:widowControl w:val="0"/>
        <w:jc w:val="both"/>
        <w:rPr>
          <w:sz w:val="20"/>
          <w:szCs w:val="20"/>
          <w:lang w:val="es-AR"/>
        </w:rPr>
      </w:pPr>
      <w:r w:rsidRPr="00251FDB">
        <w:rPr>
          <w:sz w:val="20"/>
          <w:szCs w:val="20"/>
          <w:lang w:val="es-AR"/>
        </w:rPr>
        <w:t>Plan de Distribución</w:t>
      </w:r>
      <w:r w:rsidRPr="00251FDB">
        <w:rPr>
          <w:sz w:val="20"/>
          <w:szCs w:val="20"/>
          <w:lang w:val="es-AR"/>
        </w:rPr>
        <w:tab/>
      </w:r>
      <w:r w:rsidRPr="00251FDB">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sidRPr="00251FDB">
        <w:rPr>
          <w:sz w:val="20"/>
          <w:szCs w:val="20"/>
          <w:lang w:val="es-AR"/>
        </w:rPr>
        <w:t>19</w:t>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p>
    <w:p w:rsidR="00A46B7C" w:rsidRPr="00251FDB" w:rsidRDefault="00A46B7C" w:rsidP="008F2C84">
      <w:pPr>
        <w:widowControl w:val="0"/>
        <w:jc w:val="both"/>
        <w:rPr>
          <w:sz w:val="20"/>
          <w:szCs w:val="20"/>
          <w:lang w:val="es-AR"/>
        </w:rPr>
      </w:pPr>
      <w:r w:rsidRPr="00251FDB">
        <w:rPr>
          <w:sz w:val="20"/>
          <w:szCs w:val="20"/>
          <w:lang w:val="es-AR"/>
        </w:rPr>
        <w:t>Factores de Riesgo</w:t>
      </w:r>
      <w:r w:rsidRPr="00251FDB">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Pr="00251FDB">
        <w:rPr>
          <w:sz w:val="20"/>
          <w:szCs w:val="20"/>
          <w:lang w:val="es-AR"/>
        </w:rPr>
        <w:tab/>
      </w:r>
      <w:r w:rsidR="008F2C84" w:rsidRPr="00251FDB">
        <w:rPr>
          <w:sz w:val="20"/>
          <w:szCs w:val="20"/>
          <w:lang w:val="es-AR"/>
        </w:rPr>
        <w:t>26</w:t>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p>
    <w:p w:rsidR="00A46B7C" w:rsidRPr="00251FDB" w:rsidRDefault="00A46B7C" w:rsidP="008F2C84">
      <w:pPr>
        <w:widowControl w:val="0"/>
        <w:jc w:val="both"/>
        <w:rPr>
          <w:sz w:val="20"/>
          <w:szCs w:val="20"/>
          <w:lang w:val="es-AR"/>
        </w:rPr>
      </w:pPr>
      <w:r w:rsidRPr="00251FDB">
        <w:rPr>
          <w:sz w:val="20"/>
          <w:szCs w:val="20"/>
          <w:lang w:val="es-AR"/>
        </w:rPr>
        <w:t>Información Financiera</w:t>
      </w:r>
      <w:r w:rsidR="008F2C84">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008F2C84">
        <w:rPr>
          <w:sz w:val="20"/>
          <w:szCs w:val="20"/>
          <w:lang w:val="es-AR"/>
        </w:rPr>
        <w:tab/>
      </w:r>
      <w:r w:rsidRPr="00251FDB">
        <w:rPr>
          <w:sz w:val="20"/>
          <w:szCs w:val="20"/>
          <w:lang w:val="es-AR"/>
        </w:rPr>
        <w:tab/>
      </w:r>
      <w:r w:rsidRPr="00251FDB">
        <w:rPr>
          <w:sz w:val="20"/>
          <w:szCs w:val="20"/>
          <w:lang w:val="es-AR"/>
        </w:rPr>
        <w:tab/>
      </w:r>
      <w:r w:rsidR="008F2C84" w:rsidRPr="00251FDB">
        <w:rPr>
          <w:sz w:val="20"/>
          <w:szCs w:val="20"/>
          <w:lang w:val="es-AR"/>
        </w:rPr>
        <w:t>29</w:t>
      </w:r>
      <w:r w:rsidRPr="00251FDB">
        <w:rPr>
          <w:sz w:val="20"/>
          <w:szCs w:val="20"/>
          <w:lang w:val="es-AR"/>
        </w:rPr>
        <w:tab/>
      </w:r>
      <w:r w:rsidRPr="00251FDB">
        <w:rPr>
          <w:sz w:val="20"/>
          <w:szCs w:val="20"/>
          <w:lang w:val="es-AR"/>
        </w:rPr>
        <w:tab/>
      </w:r>
      <w:r w:rsidRPr="00251FDB">
        <w:rPr>
          <w:sz w:val="20"/>
          <w:szCs w:val="20"/>
          <w:lang w:val="es-AR"/>
        </w:rPr>
        <w:tab/>
      </w:r>
    </w:p>
    <w:p w:rsidR="003012C8" w:rsidRPr="00251FDB" w:rsidRDefault="00A46B7C" w:rsidP="008F2C84">
      <w:pPr>
        <w:widowControl w:val="0"/>
        <w:jc w:val="both"/>
        <w:rPr>
          <w:sz w:val="20"/>
          <w:szCs w:val="20"/>
          <w:lang w:val="es-AR"/>
        </w:rPr>
      </w:pPr>
      <w:r w:rsidRPr="00251FDB">
        <w:rPr>
          <w:sz w:val="20"/>
          <w:szCs w:val="20"/>
          <w:lang w:val="es-AR"/>
        </w:rPr>
        <w:t>Destino de los fondos</w:t>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003012C8" w:rsidRPr="00251FDB">
        <w:rPr>
          <w:sz w:val="20"/>
          <w:szCs w:val="20"/>
          <w:lang w:val="es-AR"/>
        </w:rPr>
        <w:t>32</w:t>
      </w:r>
    </w:p>
    <w:p w:rsidR="008F2C84" w:rsidRDefault="008F2C84" w:rsidP="008F2C84">
      <w:pPr>
        <w:widowControl w:val="0"/>
        <w:jc w:val="both"/>
        <w:rPr>
          <w:sz w:val="20"/>
          <w:szCs w:val="20"/>
          <w:lang w:val="es-AR"/>
        </w:rPr>
      </w:pPr>
    </w:p>
    <w:p w:rsidR="00A46B7C" w:rsidRPr="00251FDB" w:rsidRDefault="00A46B7C" w:rsidP="008F2C84">
      <w:pPr>
        <w:widowControl w:val="0"/>
        <w:jc w:val="both"/>
        <w:rPr>
          <w:sz w:val="20"/>
          <w:szCs w:val="20"/>
          <w:lang w:val="es-AR"/>
        </w:rPr>
      </w:pPr>
      <w:r w:rsidRPr="00251FDB">
        <w:rPr>
          <w:sz w:val="20"/>
          <w:szCs w:val="20"/>
          <w:lang w:val="es-AR"/>
        </w:rPr>
        <w:t>Gastos de Emisión</w:t>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003012C8" w:rsidRPr="00251FDB">
        <w:rPr>
          <w:sz w:val="20"/>
          <w:szCs w:val="20"/>
          <w:lang w:val="es-AR"/>
        </w:rPr>
        <w:t>34</w:t>
      </w:r>
    </w:p>
    <w:p w:rsidR="008F2C84" w:rsidRDefault="008F2C84" w:rsidP="008F2C84">
      <w:pPr>
        <w:widowControl w:val="0"/>
        <w:jc w:val="both"/>
        <w:rPr>
          <w:sz w:val="20"/>
          <w:szCs w:val="20"/>
          <w:lang w:val="es-AR"/>
        </w:rPr>
      </w:pPr>
    </w:p>
    <w:p w:rsidR="00A46B7C" w:rsidRPr="00251FDB" w:rsidRDefault="00A46B7C" w:rsidP="008F2C84">
      <w:pPr>
        <w:widowControl w:val="0"/>
        <w:jc w:val="both"/>
        <w:rPr>
          <w:sz w:val="20"/>
          <w:szCs w:val="20"/>
          <w:lang w:val="es-AR"/>
        </w:rPr>
      </w:pPr>
      <w:r w:rsidRPr="00251FDB">
        <w:rPr>
          <w:sz w:val="20"/>
          <w:szCs w:val="20"/>
          <w:lang w:val="es-AR"/>
        </w:rPr>
        <w:t>Hechos Posteriores al Cierre</w:t>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003012C8" w:rsidRPr="00251FDB">
        <w:rPr>
          <w:sz w:val="20"/>
          <w:szCs w:val="20"/>
          <w:lang w:val="es-AR"/>
        </w:rPr>
        <w:t>35</w:t>
      </w:r>
    </w:p>
    <w:p w:rsidR="008F2C84" w:rsidRDefault="008F2C84" w:rsidP="008F2C84">
      <w:pPr>
        <w:widowControl w:val="0"/>
        <w:jc w:val="both"/>
        <w:rPr>
          <w:sz w:val="20"/>
          <w:szCs w:val="20"/>
          <w:lang w:val="es-AR"/>
        </w:rPr>
      </w:pPr>
    </w:p>
    <w:p w:rsidR="00A46B7C" w:rsidRPr="00251FDB" w:rsidRDefault="00A46B7C" w:rsidP="008F2C84">
      <w:pPr>
        <w:widowControl w:val="0"/>
        <w:jc w:val="both"/>
        <w:rPr>
          <w:sz w:val="20"/>
          <w:szCs w:val="20"/>
          <w:lang w:val="es-AR"/>
        </w:rPr>
      </w:pPr>
      <w:r w:rsidRPr="00251FDB">
        <w:rPr>
          <w:sz w:val="20"/>
          <w:szCs w:val="20"/>
          <w:lang w:val="es-AR"/>
        </w:rPr>
        <w:t>Información Adicional</w:t>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Pr="00251FDB">
        <w:rPr>
          <w:sz w:val="20"/>
          <w:szCs w:val="20"/>
          <w:lang w:val="es-AR"/>
        </w:rPr>
        <w:tab/>
      </w:r>
      <w:r w:rsidR="003012C8" w:rsidRPr="00251FDB">
        <w:rPr>
          <w:sz w:val="20"/>
          <w:szCs w:val="20"/>
          <w:lang w:val="es-AR"/>
        </w:rPr>
        <w:t>36</w:t>
      </w:r>
    </w:p>
    <w:p w:rsidR="00A46B7C" w:rsidRPr="00251FDB" w:rsidRDefault="00A46B7C" w:rsidP="001A2A0C">
      <w:pPr>
        <w:widowControl w:val="0"/>
        <w:jc w:val="both"/>
        <w:rPr>
          <w:sz w:val="20"/>
          <w:szCs w:val="20"/>
          <w:lang w:val="es-AR"/>
        </w:rPr>
      </w:pPr>
    </w:p>
    <w:p w:rsidR="00A46B7C" w:rsidRPr="00251FDB" w:rsidRDefault="002B312B" w:rsidP="001A2A0C">
      <w:pPr>
        <w:pStyle w:val="TDC1"/>
        <w:rPr>
          <w:rFonts w:ascii="Times New Roman" w:eastAsiaTheme="minorEastAsia" w:hAnsi="Times New Roman"/>
          <w:szCs w:val="20"/>
          <w:lang w:val="es-MX"/>
        </w:rPr>
      </w:pPr>
      <w:r w:rsidRPr="00840FA0">
        <w:rPr>
          <w:rFonts w:ascii="Times New Roman" w:hAnsi="Times New Roman"/>
          <w:szCs w:val="20"/>
          <w:lang w:val="es-AR"/>
        </w:rPr>
        <w:fldChar w:fldCharType="begin"/>
      </w:r>
      <w:r w:rsidR="00D50756" w:rsidRPr="00251FDB">
        <w:rPr>
          <w:rFonts w:ascii="Times New Roman" w:hAnsi="Times New Roman"/>
          <w:szCs w:val="20"/>
          <w:lang w:val="es-AR"/>
        </w:rPr>
        <w:instrText xml:space="preserve"> TOC \o "1-1" \h \z \u </w:instrText>
      </w:r>
      <w:r w:rsidRPr="00840FA0">
        <w:rPr>
          <w:rFonts w:ascii="Times New Roman" w:hAnsi="Times New Roman"/>
          <w:szCs w:val="20"/>
          <w:lang w:val="es-AR"/>
        </w:rPr>
        <w:fldChar w:fldCharType="separate"/>
      </w:r>
    </w:p>
    <w:p w:rsidR="00396D4A" w:rsidRPr="00251FDB" w:rsidRDefault="002B312B" w:rsidP="001A2A0C">
      <w:pPr>
        <w:widowControl w:val="0"/>
        <w:outlineLvl w:val="0"/>
        <w:rPr>
          <w:b/>
          <w:smallCaps/>
          <w:sz w:val="20"/>
          <w:szCs w:val="20"/>
          <w:lang w:val="es-AR"/>
        </w:rPr>
      </w:pPr>
      <w:r w:rsidRPr="00840FA0">
        <w:rPr>
          <w:sz w:val="20"/>
          <w:szCs w:val="20"/>
          <w:lang w:val="es-AR"/>
        </w:rPr>
        <w:fldChar w:fldCharType="end"/>
      </w:r>
      <w:r w:rsidR="00D50756" w:rsidRPr="00251FDB">
        <w:rPr>
          <w:sz w:val="20"/>
          <w:szCs w:val="20"/>
          <w:lang w:val="es-AR"/>
        </w:rPr>
        <w:br w:type="page"/>
      </w:r>
      <w:bookmarkStart w:id="2" w:name="_Toc276549581"/>
      <w:bookmarkStart w:id="3" w:name="_Toc276556106"/>
      <w:bookmarkStart w:id="4" w:name="_Toc277155654"/>
      <w:bookmarkStart w:id="5" w:name="_Toc289876953"/>
      <w:bookmarkStart w:id="6" w:name="_Toc293060801"/>
      <w:bookmarkStart w:id="7" w:name="_Toc305065422"/>
      <w:bookmarkStart w:id="8" w:name="_Toc310528260"/>
      <w:bookmarkStart w:id="9" w:name="_Toc308630529"/>
      <w:bookmarkStart w:id="10" w:name="_Toc328132840"/>
      <w:bookmarkStart w:id="11" w:name="_Toc329767341"/>
      <w:bookmarkStart w:id="12" w:name="_Toc331065791"/>
      <w:bookmarkStart w:id="13" w:name="_Toc528927602"/>
      <w:bookmarkStart w:id="14" w:name="_Toc258258776"/>
      <w:bookmarkStart w:id="15" w:name="_Toc258258915"/>
      <w:bookmarkStart w:id="16" w:name="_Toc258258995"/>
      <w:bookmarkStart w:id="17" w:name="_Toc258259234"/>
      <w:bookmarkStart w:id="18" w:name="_Toc258259290"/>
      <w:bookmarkStart w:id="19" w:name="_Toc258312885"/>
      <w:bookmarkStart w:id="20" w:name="_Toc258312907"/>
      <w:bookmarkStart w:id="21" w:name="_Toc258312932"/>
      <w:bookmarkStart w:id="22" w:name="_Toc258313024"/>
      <w:bookmarkStart w:id="23" w:name="_Toc258313052"/>
      <w:bookmarkStart w:id="24" w:name="_Toc258409997"/>
      <w:bookmarkStart w:id="25" w:name="_Toc274315190"/>
      <w:bookmarkStart w:id="26" w:name="_Toc275280764"/>
      <w:bookmarkStart w:id="27" w:name="_Toc275440936"/>
      <w:bookmarkStart w:id="28" w:name="_Toc277607019"/>
      <w:bookmarkStart w:id="29" w:name="_Toc276638925"/>
      <w:bookmarkStart w:id="30" w:name="_Toc293060803"/>
      <w:bookmarkStart w:id="31" w:name="_Toc305065424"/>
      <w:bookmarkStart w:id="32" w:name="_Toc310528262"/>
      <w:bookmarkStart w:id="33" w:name="_Toc308630531"/>
      <w:bookmarkStart w:id="34" w:name="_Toc310599154"/>
      <w:bookmarkStart w:id="35" w:name="_Toc258258777"/>
      <w:bookmarkStart w:id="36" w:name="_Toc258258916"/>
      <w:bookmarkStart w:id="37" w:name="_Toc258258996"/>
      <w:bookmarkStart w:id="38" w:name="_Toc258259235"/>
      <w:bookmarkStart w:id="39" w:name="_Toc258259291"/>
      <w:bookmarkStart w:id="40" w:name="_Toc258312886"/>
      <w:bookmarkStart w:id="41" w:name="_Toc258312908"/>
      <w:bookmarkStart w:id="42" w:name="_Toc258312933"/>
      <w:bookmarkStart w:id="43" w:name="_Toc258313025"/>
      <w:bookmarkStart w:id="44" w:name="_Toc258313053"/>
      <w:bookmarkStart w:id="45" w:name="_Toc258409998"/>
      <w:bookmarkStart w:id="46" w:name="_Toc274315191"/>
      <w:bookmarkStart w:id="47" w:name="_Toc274315282"/>
      <w:bookmarkStart w:id="48" w:name="_Toc275280765"/>
      <w:bookmarkStart w:id="49" w:name="_Toc275440937"/>
      <w:bookmarkStart w:id="50" w:name="_Toc275512930"/>
      <w:bookmarkStart w:id="51" w:name="_Toc276549585"/>
      <w:bookmarkStart w:id="52" w:name="_Toc276556110"/>
      <w:bookmarkStart w:id="53" w:name="_Toc277155659"/>
      <w:bookmarkStart w:id="54" w:name="_Toc289876955"/>
      <w:bookmarkStart w:id="55" w:name="_Toc293060804"/>
      <w:bookmarkStart w:id="56" w:name="_Toc305065425"/>
      <w:bookmarkStart w:id="57" w:name="_Toc310528263"/>
      <w:bookmarkStart w:id="58" w:name="_Toc308630532"/>
      <w:bookmarkStart w:id="59" w:name="_Toc328132842"/>
      <w:r w:rsidR="00FF04B3" w:rsidRPr="00251FDB">
        <w:rPr>
          <w:b/>
          <w:sz w:val="20"/>
          <w:szCs w:val="20"/>
          <w:lang w:val="es-AR"/>
        </w:rPr>
        <w:t xml:space="preserve">I. </w:t>
      </w:r>
      <w:r w:rsidR="00D50756" w:rsidRPr="00251FDB">
        <w:rPr>
          <w:b/>
          <w:smallCaps/>
          <w:sz w:val="20"/>
          <w:szCs w:val="20"/>
          <w:lang w:val="es-AR"/>
        </w:rPr>
        <w:t>A</w:t>
      </w:r>
      <w:bookmarkEnd w:id="2"/>
      <w:bookmarkEnd w:id="3"/>
      <w:bookmarkEnd w:id="4"/>
      <w:bookmarkEnd w:id="5"/>
      <w:bookmarkEnd w:id="6"/>
      <w:bookmarkEnd w:id="7"/>
      <w:bookmarkEnd w:id="8"/>
      <w:bookmarkEnd w:id="9"/>
      <w:bookmarkEnd w:id="10"/>
      <w:bookmarkEnd w:id="11"/>
      <w:bookmarkEnd w:id="12"/>
      <w:r w:rsidR="00DF5359" w:rsidRPr="00251FDB">
        <w:rPr>
          <w:b/>
          <w:smallCaps/>
          <w:sz w:val="20"/>
          <w:szCs w:val="20"/>
          <w:lang w:val="es-AR"/>
        </w:rPr>
        <w:t>viso a los Inversores y Declaraciones</w:t>
      </w:r>
      <w:bookmarkEnd w:id="13"/>
    </w:p>
    <w:p w:rsidR="00396D4A" w:rsidRDefault="00396D4A" w:rsidP="00396D4A">
      <w:pPr>
        <w:widowControl w:val="0"/>
        <w:jc w:val="both"/>
        <w:rPr>
          <w:sz w:val="20"/>
          <w:szCs w:val="20"/>
          <w:lang w:val="es-AR"/>
        </w:rPr>
      </w:pPr>
    </w:p>
    <w:p w:rsidR="00F655E1" w:rsidRPr="00EA1080" w:rsidRDefault="00F655E1" w:rsidP="00F655E1">
      <w:pPr>
        <w:spacing w:line="240" w:lineRule="atLeast"/>
        <w:jc w:val="both"/>
        <w:rPr>
          <w:i/>
          <w:noProof/>
          <w:sz w:val="20"/>
          <w:szCs w:val="20"/>
          <w:lang w:val="es-AR"/>
        </w:rPr>
      </w:pPr>
      <w:r w:rsidRPr="00EA1080">
        <w:rPr>
          <w:noProof/>
          <w:sz w:val="20"/>
          <w:szCs w:val="20"/>
          <w:lang w:val="es-AR"/>
        </w:rPr>
        <w:t>Para mayor información sobre el nuevo coronavirus COVID-19 y su impacto en el Emisor, véase “</w:t>
      </w:r>
      <w:r w:rsidRPr="00EA1080">
        <w:rPr>
          <w:i/>
          <w:noProof/>
          <w:sz w:val="20"/>
          <w:szCs w:val="20"/>
          <w:lang w:val="es-AR"/>
        </w:rPr>
        <w:t>Factores de Riesgo–</w:t>
      </w:r>
      <w:r w:rsidRPr="00EA1080">
        <w:rPr>
          <w:lang w:val="es-AR"/>
        </w:rPr>
        <w:t xml:space="preserve"> </w:t>
      </w:r>
      <w:r w:rsidRPr="00EA1080">
        <w:rPr>
          <w:i/>
          <w:noProof/>
          <w:sz w:val="20"/>
          <w:szCs w:val="20"/>
          <w:lang w:val="es-AR"/>
        </w:rPr>
        <w:t>La economía argentina podría verse afectada negativamente por factores externos que afecten al mundo, como el avance global del COVID-19 y consecuente implementación de medidas destinadas a lidiar con la pandemia, con impacto económico a nivel local y mundial”</w:t>
      </w:r>
      <w:r w:rsidRPr="00EA1080">
        <w:rPr>
          <w:noProof/>
          <w:sz w:val="20"/>
          <w:szCs w:val="20"/>
          <w:lang w:val="es-AR"/>
        </w:rPr>
        <w:t xml:space="preserve"> en el Prospecto </w:t>
      </w:r>
      <w:r w:rsidRPr="00EA1080">
        <w:rPr>
          <w:i/>
          <w:noProof/>
          <w:sz w:val="20"/>
          <w:szCs w:val="20"/>
          <w:lang w:val="es-AR"/>
        </w:rPr>
        <w:t>,</w:t>
      </w:r>
      <w:r w:rsidRPr="00EA1080">
        <w:rPr>
          <w:noProof/>
          <w:sz w:val="20"/>
          <w:szCs w:val="20"/>
          <w:lang w:val="es-AR"/>
        </w:rPr>
        <w:t xml:space="preserve"> y “</w:t>
      </w:r>
      <w:r w:rsidRPr="00EA1080">
        <w:rPr>
          <w:i/>
          <w:noProof/>
          <w:sz w:val="20"/>
          <w:szCs w:val="20"/>
          <w:lang w:val="es-AR"/>
        </w:rPr>
        <w:t>Factores de Riesgo – La economía argentina podría verse afectada negativamente por factores externos que afecten al mundo, como el avance global del COVID-19 y consecuente implementación de medidas destinadas a lidiar con la pandemia, con impacto económico a nivel local y mundial”</w:t>
      </w:r>
      <w:r w:rsidRPr="00EA1080">
        <w:rPr>
          <w:noProof/>
          <w:sz w:val="20"/>
          <w:szCs w:val="20"/>
          <w:lang w:val="es-AR"/>
        </w:rPr>
        <w:t xml:space="preserve"> en el presente Suplemento de Precio.</w:t>
      </w:r>
    </w:p>
    <w:p w:rsidR="00F655E1" w:rsidRPr="00251FDB" w:rsidRDefault="00F655E1" w:rsidP="00396D4A">
      <w:pPr>
        <w:widowControl w:val="0"/>
        <w:jc w:val="both"/>
        <w:rPr>
          <w:sz w:val="20"/>
          <w:szCs w:val="20"/>
          <w:lang w:val="es-AR"/>
        </w:rPr>
      </w:pPr>
    </w:p>
    <w:p w:rsidR="0000214F" w:rsidRPr="00251FDB" w:rsidRDefault="00396D4A" w:rsidP="00396D4A">
      <w:pPr>
        <w:widowControl w:val="0"/>
        <w:jc w:val="both"/>
        <w:rPr>
          <w:bCs/>
          <w:sz w:val="20"/>
          <w:szCs w:val="20"/>
          <w:lang w:val="es-AR"/>
        </w:rPr>
      </w:pPr>
      <w:r w:rsidRPr="00251FDB">
        <w:rPr>
          <w:bCs/>
          <w:sz w:val="20"/>
          <w:szCs w:val="20"/>
          <w:lang w:val="es-AR"/>
        </w:rPr>
        <w:t xml:space="preserve">La entrega del presente Suplemento de Precio en cualquier momento no implica que la información aquí incluida sea correcta en cualquier fecha posterior a la establecida en la carátula. </w:t>
      </w:r>
      <w:r w:rsidR="0000214F" w:rsidRPr="00251FDB">
        <w:rPr>
          <w:bCs/>
          <w:sz w:val="20"/>
          <w:szCs w:val="20"/>
          <w:lang w:val="es-AR"/>
        </w:rPr>
        <w:t>No deberá asumirse que la información contenida en este Suplemento de Precio sea correcta en cualquier fecha posterior a la establecida en la carátula del presente Suplemento de Precio.</w:t>
      </w:r>
    </w:p>
    <w:p w:rsidR="0000214F" w:rsidRDefault="0000214F" w:rsidP="00396D4A">
      <w:pPr>
        <w:widowControl w:val="0"/>
        <w:jc w:val="both"/>
        <w:rPr>
          <w:bCs/>
          <w:sz w:val="20"/>
          <w:szCs w:val="20"/>
          <w:lang w:val="es-AR"/>
        </w:rPr>
      </w:pPr>
    </w:p>
    <w:p w:rsidR="00F655E1" w:rsidRDefault="00F655E1" w:rsidP="00F655E1">
      <w:pPr>
        <w:widowControl w:val="0"/>
        <w:jc w:val="both"/>
        <w:rPr>
          <w:bCs/>
          <w:sz w:val="20"/>
          <w:szCs w:val="20"/>
          <w:lang w:val="es-AR"/>
        </w:rPr>
      </w:pPr>
      <w:r w:rsidRPr="009D7303">
        <w:rPr>
          <w:bCs/>
          <w:sz w:val="20"/>
          <w:szCs w:val="20"/>
          <w:lang w:val="es-AR"/>
        </w:rPr>
        <w:t xml:space="preserve">Al tomar una decisión de inversión, los potenciales inversores deberán basarse en sus propias evaluaciones sobre el Emisor, y los términos de la oferta, incluyendo las ventajas y riesgos involucrados. En este sentido, se sugiere a los inversores revisar el Capítulo III apartado e) </w:t>
      </w:r>
      <w:r w:rsidRPr="009D7303">
        <w:rPr>
          <w:bCs/>
          <w:i/>
          <w:sz w:val="20"/>
          <w:szCs w:val="20"/>
          <w:lang w:val="es-AR"/>
        </w:rPr>
        <w:t>“Factores de Riesgo”</w:t>
      </w:r>
      <w:r w:rsidRPr="009D7303">
        <w:rPr>
          <w:bCs/>
          <w:sz w:val="20"/>
          <w:szCs w:val="20"/>
          <w:lang w:val="es-AR"/>
        </w:rPr>
        <w:t xml:space="preserve"> del Prospecto y bajo el título respectivo de este Suplemento de Precio.</w:t>
      </w:r>
    </w:p>
    <w:p w:rsidR="00F655E1" w:rsidRPr="00251FDB" w:rsidRDefault="00F655E1" w:rsidP="00396D4A">
      <w:pPr>
        <w:widowControl w:val="0"/>
        <w:jc w:val="both"/>
        <w:rPr>
          <w:bCs/>
          <w:sz w:val="20"/>
          <w:szCs w:val="20"/>
          <w:lang w:val="es-AR"/>
        </w:rPr>
      </w:pPr>
    </w:p>
    <w:p w:rsidR="00396D4A" w:rsidRPr="00251FDB" w:rsidRDefault="00396D4A" w:rsidP="00396D4A">
      <w:pPr>
        <w:widowControl w:val="0"/>
        <w:jc w:val="both"/>
        <w:rPr>
          <w:bCs/>
          <w:sz w:val="20"/>
          <w:szCs w:val="20"/>
          <w:lang w:val="es-AR"/>
        </w:rPr>
      </w:pPr>
      <w:r w:rsidRPr="00251FDB">
        <w:rPr>
          <w:bCs/>
          <w:sz w:val="20"/>
          <w:szCs w:val="20"/>
          <w:lang w:val="es-AR"/>
        </w:rPr>
        <w:t>Cada persona que recibe este Suplemento de Precio reconoce que (i) se le ha proporcionado la oportunidad de solicitar al Emisor, de revisar y que ha recibido, toda la información adicional que consideraba necesaria para verificar la exactitud o para complementar la información aquí incluida, (ii) dicha persona no se ha basado en el análisis del Organizador</w:t>
      </w:r>
      <w:r w:rsidR="003F5803">
        <w:rPr>
          <w:bCs/>
          <w:sz w:val="20"/>
          <w:szCs w:val="20"/>
          <w:lang w:val="es-AR"/>
        </w:rPr>
        <w:t xml:space="preserve"> (según se define más adelante)</w:t>
      </w:r>
      <w:r w:rsidRPr="00251FDB">
        <w:rPr>
          <w:bCs/>
          <w:sz w:val="20"/>
          <w:szCs w:val="20"/>
          <w:lang w:val="es-AR"/>
        </w:rPr>
        <w:t xml:space="preserve"> o de</w:t>
      </w:r>
      <w:r w:rsidR="003F5803">
        <w:rPr>
          <w:bCs/>
          <w:sz w:val="20"/>
          <w:szCs w:val="20"/>
          <w:lang w:val="es-AR"/>
        </w:rPr>
        <w:t xml:space="preserve"> los</w:t>
      </w:r>
      <w:r w:rsidRPr="00251FDB">
        <w:rPr>
          <w:bCs/>
          <w:sz w:val="20"/>
          <w:szCs w:val="20"/>
          <w:lang w:val="es-AR"/>
        </w:rPr>
        <w:t xml:space="preserve"> Colocador</w:t>
      </w:r>
      <w:r w:rsidR="003F5803">
        <w:rPr>
          <w:bCs/>
          <w:sz w:val="20"/>
          <w:szCs w:val="20"/>
          <w:lang w:val="es-AR"/>
        </w:rPr>
        <w:t>es (según dicho término se define más adelante)</w:t>
      </w:r>
      <w:r w:rsidRPr="00251FDB">
        <w:rPr>
          <w:bCs/>
          <w:sz w:val="20"/>
          <w:szCs w:val="20"/>
          <w:lang w:val="es-AR"/>
        </w:rPr>
        <w:t xml:space="preserve"> ni de ninguna persona vinculada con </w:t>
      </w:r>
      <w:r w:rsidR="00AE1803" w:rsidRPr="00251FDB">
        <w:rPr>
          <w:bCs/>
          <w:sz w:val="20"/>
          <w:szCs w:val="20"/>
          <w:lang w:val="es-AR"/>
        </w:rPr>
        <w:t>e</w:t>
      </w:r>
      <w:r w:rsidRPr="00251FDB">
        <w:rPr>
          <w:bCs/>
          <w:sz w:val="20"/>
          <w:szCs w:val="20"/>
          <w:lang w:val="es-AR"/>
        </w:rPr>
        <w:t>l Organizador o</w:t>
      </w:r>
      <w:r w:rsidR="00AE1803" w:rsidRPr="00251FDB">
        <w:rPr>
          <w:bCs/>
          <w:sz w:val="20"/>
          <w:szCs w:val="20"/>
          <w:lang w:val="es-AR"/>
        </w:rPr>
        <w:t xml:space="preserve"> </w:t>
      </w:r>
      <w:r w:rsidR="003F5803">
        <w:rPr>
          <w:bCs/>
          <w:sz w:val="20"/>
          <w:szCs w:val="20"/>
          <w:lang w:val="es-AR"/>
        </w:rPr>
        <w:t xml:space="preserve">los </w:t>
      </w:r>
      <w:r w:rsidRPr="00251FDB">
        <w:rPr>
          <w:bCs/>
          <w:sz w:val="20"/>
          <w:szCs w:val="20"/>
          <w:lang w:val="es-AR"/>
        </w:rPr>
        <w:t>Colocador</w:t>
      </w:r>
      <w:r w:rsidR="003F5803">
        <w:rPr>
          <w:bCs/>
          <w:sz w:val="20"/>
          <w:szCs w:val="20"/>
          <w:lang w:val="es-AR"/>
        </w:rPr>
        <w:t>es</w:t>
      </w:r>
      <w:r w:rsidRPr="00251FDB">
        <w:rPr>
          <w:bCs/>
          <w:sz w:val="20"/>
          <w:szCs w:val="20"/>
          <w:lang w:val="es-AR"/>
        </w:rPr>
        <w:t xml:space="preserve"> respecto de la exactitud de dicha información o con respecto a su decisión de invertir, y (iii) ninguna persona ha sido autorizada a brindar información ni a realizar ninguna declaración referida al Emisor o a las Obligaciones Negociables (con la excepción de la incluida en el presente y los términos de la oferta de las Obligaciones Negociables) y, si esto hubiera ocurrido, no podrá tomarse como base dicha otra información o declaración como si hubiera sido autorizada por el Emisor, </w:t>
      </w:r>
      <w:r w:rsidR="00AE1803" w:rsidRPr="00251FDB">
        <w:rPr>
          <w:bCs/>
          <w:sz w:val="20"/>
          <w:szCs w:val="20"/>
          <w:lang w:val="es-AR"/>
        </w:rPr>
        <w:t>e</w:t>
      </w:r>
      <w:r w:rsidRPr="00251FDB">
        <w:rPr>
          <w:bCs/>
          <w:sz w:val="20"/>
          <w:szCs w:val="20"/>
          <w:lang w:val="es-AR"/>
        </w:rPr>
        <w:t xml:space="preserve">l Organizador </w:t>
      </w:r>
      <w:r w:rsidR="00156840" w:rsidRPr="00251FDB">
        <w:rPr>
          <w:bCs/>
          <w:sz w:val="20"/>
          <w:szCs w:val="20"/>
          <w:lang w:val="es-AR"/>
        </w:rPr>
        <w:t>y</w:t>
      </w:r>
      <w:r w:rsidRPr="00251FDB">
        <w:rPr>
          <w:bCs/>
          <w:sz w:val="20"/>
          <w:szCs w:val="20"/>
          <w:lang w:val="es-AR"/>
        </w:rPr>
        <w:t xml:space="preserve"> </w:t>
      </w:r>
      <w:r w:rsidR="003F5803">
        <w:rPr>
          <w:bCs/>
          <w:sz w:val="20"/>
          <w:szCs w:val="20"/>
          <w:lang w:val="es-AR"/>
        </w:rPr>
        <w:t>los</w:t>
      </w:r>
      <w:r w:rsidR="00AE1803" w:rsidRPr="00251FDB">
        <w:rPr>
          <w:bCs/>
          <w:sz w:val="20"/>
          <w:szCs w:val="20"/>
          <w:lang w:val="es-AR"/>
        </w:rPr>
        <w:t xml:space="preserve"> </w:t>
      </w:r>
      <w:r w:rsidRPr="00251FDB">
        <w:rPr>
          <w:bCs/>
          <w:sz w:val="20"/>
          <w:szCs w:val="20"/>
          <w:lang w:val="es-AR"/>
        </w:rPr>
        <w:t>Colocador</w:t>
      </w:r>
      <w:r w:rsidR="003F5803">
        <w:rPr>
          <w:bCs/>
          <w:sz w:val="20"/>
          <w:szCs w:val="20"/>
          <w:lang w:val="es-AR"/>
        </w:rPr>
        <w:t>es</w:t>
      </w:r>
      <w:r w:rsidRPr="00251FDB">
        <w:rPr>
          <w:bCs/>
          <w:sz w:val="20"/>
          <w:szCs w:val="20"/>
          <w:lang w:val="es-AR"/>
        </w:rPr>
        <w:t>.</w:t>
      </w:r>
    </w:p>
    <w:p w:rsidR="00396D4A" w:rsidRPr="00251FDB" w:rsidRDefault="00396D4A" w:rsidP="00396D4A">
      <w:pPr>
        <w:widowControl w:val="0"/>
        <w:jc w:val="both"/>
        <w:rPr>
          <w:bCs/>
          <w:sz w:val="20"/>
          <w:szCs w:val="20"/>
          <w:lang w:val="es-AR"/>
        </w:rPr>
      </w:pPr>
    </w:p>
    <w:p w:rsidR="00396D4A" w:rsidRPr="00251FDB" w:rsidRDefault="00396D4A" w:rsidP="00396D4A">
      <w:pPr>
        <w:widowControl w:val="0"/>
        <w:jc w:val="both"/>
        <w:rPr>
          <w:bCs/>
          <w:sz w:val="20"/>
          <w:szCs w:val="20"/>
          <w:lang w:val="es-AR"/>
        </w:rPr>
      </w:pPr>
      <w:r w:rsidRPr="00251FDB">
        <w:rPr>
          <w:bCs/>
          <w:sz w:val="20"/>
          <w:szCs w:val="20"/>
          <w:lang w:val="es-AR"/>
        </w:rPr>
        <w:t xml:space="preserve">Los potenciales inversores deberán basarse únicamente en la información brindada por este Suplemento de Precio y el Prospecto. El Emisor no ha autorizado a nadie a brindar otro tipo de información. El Emisor no está haciendo, y </w:t>
      </w:r>
      <w:r w:rsidR="003F5803">
        <w:rPr>
          <w:bCs/>
          <w:sz w:val="20"/>
          <w:szCs w:val="20"/>
          <w:lang w:val="es-AR"/>
        </w:rPr>
        <w:t>los</w:t>
      </w:r>
      <w:r w:rsidR="00F655E1">
        <w:rPr>
          <w:bCs/>
          <w:sz w:val="20"/>
          <w:szCs w:val="20"/>
          <w:lang w:val="es-AR"/>
        </w:rPr>
        <w:t xml:space="preserve"> Colocador</w:t>
      </w:r>
      <w:r w:rsidR="003F5803">
        <w:rPr>
          <w:bCs/>
          <w:sz w:val="20"/>
          <w:szCs w:val="20"/>
          <w:lang w:val="es-AR"/>
        </w:rPr>
        <w:t xml:space="preserve">es </w:t>
      </w:r>
      <w:r w:rsidRPr="00251FDB">
        <w:rPr>
          <w:bCs/>
          <w:sz w:val="20"/>
          <w:szCs w:val="20"/>
          <w:lang w:val="es-AR"/>
        </w:rPr>
        <w:t xml:space="preserve">de las Obligaciones Negociables tampoco están haciendo, una oferta de </w:t>
      </w:r>
      <w:r w:rsidR="0000214F" w:rsidRPr="00251FDB">
        <w:rPr>
          <w:bCs/>
          <w:sz w:val="20"/>
          <w:szCs w:val="20"/>
          <w:lang w:val="es-AR"/>
        </w:rPr>
        <w:t>las Obligaciones Negociables</w:t>
      </w:r>
      <w:r w:rsidRPr="00251FDB">
        <w:rPr>
          <w:bCs/>
          <w:sz w:val="20"/>
          <w:szCs w:val="20"/>
          <w:lang w:val="es-AR"/>
        </w:rPr>
        <w:t xml:space="preserve"> en cualquier jurisdicción donde dicha oferta no esté autorizada. </w:t>
      </w:r>
    </w:p>
    <w:p w:rsidR="00396D4A" w:rsidRDefault="00396D4A" w:rsidP="00396D4A">
      <w:pPr>
        <w:widowControl w:val="0"/>
        <w:jc w:val="both"/>
        <w:rPr>
          <w:bCs/>
          <w:sz w:val="20"/>
          <w:szCs w:val="20"/>
          <w:lang w:val="es-AR"/>
        </w:rPr>
      </w:pPr>
    </w:p>
    <w:p w:rsidR="00396D4A" w:rsidRPr="00EA1080" w:rsidRDefault="003F5803" w:rsidP="00396D4A">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bCs/>
          <w:lang w:val="es-AR"/>
        </w:rPr>
      </w:pPr>
      <w:r>
        <w:rPr>
          <w:bCs/>
          <w:lang w:val="es-AR"/>
        </w:rPr>
        <w:t xml:space="preserve">Los </w:t>
      </w:r>
      <w:r w:rsidR="00F655E1" w:rsidRPr="00EA1080">
        <w:rPr>
          <w:bCs/>
          <w:lang w:val="es-AR"/>
        </w:rPr>
        <w:t>Colocador</w:t>
      </w:r>
      <w:r>
        <w:rPr>
          <w:bCs/>
          <w:lang w:val="es-AR"/>
        </w:rPr>
        <w:t>es</w:t>
      </w:r>
      <w:r w:rsidR="00396D4A" w:rsidRPr="00EA1080">
        <w:rPr>
          <w:bCs/>
          <w:lang w:val="es-AR"/>
        </w:rPr>
        <w:t xml:space="preserve"> ofrecerá</w:t>
      </w:r>
      <w:r>
        <w:rPr>
          <w:bCs/>
          <w:lang w:val="es-AR"/>
        </w:rPr>
        <w:t xml:space="preserve">n </w:t>
      </w:r>
      <w:r w:rsidR="00396D4A" w:rsidRPr="00EA1080">
        <w:rPr>
          <w:bCs/>
          <w:lang w:val="es-AR"/>
        </w:rPr>
        <w:t xml:space="preserve">públicamente </w:t>
      </w:r>
      <w:r w:rsidR="00AE1803" w:rsidRPr="00EA1080">
        <w:rPr>
          <w:bCs/>
          <w:lang w:val="es-AR"/>
        </w:rPr>
        <w:t>las Obligaciones Negociables</w:t>
      </w:r>
      <w:r w:rsidR="00396D4A" w:rsidRPr="00EA1080">
        <w:rPr>
          <w:bCs/>
          <w:lang w:val="es-AR"/>
        </w:rPr>
        <w:t xml:space="preserve"> en los términos del artículo 2 de la Ley de Mercado de Capitales, efectuando a tal efecto los esfuerzos de colocación descriptos en la sección “</w:t>
      </w:r>
      <w:r w:rsidR="00F4085C" w:rsidRPr="00EA1080">
        <w:rPr>
          <w:bCs/>
          <w:i/>
          <w:lang w:val="es-MX"/>
        </w:rPr>
        <w:t>Plan de Distribución</w:t>
      </w:r>
      <w:r w:rsidR="00396D4A" w:rsidRPr="00EA1080">
        <w:rPr>
          <w:bCs/>
          <w:lang w:val="es-AR"/>
        </w:rPr>
        <w:t>”</w:t>
      </w:r>
      <w:r w:rsidR="00396D4A" w:rsidRPr="00EA1080">
        <w:rPr>
          <w:bCs/>
          <w:i/>
          <w:lang w:val="es-AR"/>
        </w:rPr>
        <w:t xml:space="preserve"> </w:t>
      </w:r>
      <w:r w:rsidR="00396D4A" w:rsidRPr="00EA1080">
        <w:rPr>
          <w:bCs/>
          <w:lang w:val="es-AR"/>
        </w:rPr>
        <w:t>en el punto “</w:t>
      </w:r>
      <w:r w:rsidR="0000214F" w:rsidRPr="00EA1080">
        <w:rPr>
          <w:bCs/>
          <w:i/>
          <w:lang w:val="es-AR"/>
        </w:rPr>
        <w:t xml:space="preserve">Esfuerzos </w:t>
      </w:r>
      <w:r w:rsidR="00396D4A" w:rsidRPr="00EA1080">
        <w:rPr>
          <w:bCs/>
          <w:i/>
          <w:lang w:val="es-AR"/>
        </w:rPr>
        <w:t xml:space="preserve">de </w:t>
      </w:r>
      <w:r w:rsidR="0000214F" w:rsidRPr="00EA1080">
        <w:rPr>
          <w:bCs/>
          <w:i/>
          <w:lang w:val="es-AR"/>
        </w:rPr>
        <w:t>Colocación</w:t>
      </w:r>
      <w:r w:rsidR="00396D4A" w:rsidRPr="00EA1080">
        <w:rPr>
          <w:bCs/>
          <w:i/>
          <w:lang w:val="es-AR"/>
        </w:rPr>
        <w:t>”</w:t>
      </w:r>
      <w:r w:rsidR="00396D4A" w:rsidRPr="00EA1080">
        <w:rPr>
          <w:bCs/>
          <w:lang w:val="es-AR"/>
        </w:rPr>
        <w:t xml:space="preserve">, a fin de que se goce de los beneficios impositivos. </w:t>
      </w:r>
      <w:r w:rsidR="0000214F" w:rsidRPr="00EA1080">
        <w:rPr>
          <w:bCs/>
          <w:lang w:val="es-AR"/>
        </w:rPr>
        <w:t>N</w:t>
      </w:r>
      <w:r w:rsidR="00396D4A" w:rsidRPr="00EA1080">
        <w:rPr>
          <w:bCs/>
          <w:lang w:val="es-AR"/>
        </w:rPr>
        <w:t>o obstante ello, se insta a los inversores a consultar a sus propios asesores al respecto.</w:t>
      </w:r>
    </w:p>
    <w:p w:rsidR="00396D4A" w:rsidRPr="00251FDB" w:rsidRDefault="00396D4A" w:rsidP="00396D4A">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b/>
          <w:bCs/>
          <w:lang w:val="es-AR"/>
        </w:rPr>
      </w:pPr>
    </w:p>
    <w:p w:rsidR="00396D4A" w:rsidRPr="00251FDB" w:rsidRDefault="00396D4A" w:rsidP="00396D4A">
      <w:pPr>
        <w:jc w:val="both"/>
        <w:rPr>
          <w:bCs/>
          <w:sz w:val="20"/>
          <w:szCs w:val="20"/>
          <w:lang w:val="es-AR"/>
        </w:rPr>
      </w:pPr>
      <w:r w:rsidRPr="00251FDB">
        <w:rPr>
          <w:bCs/>
          <w:sz w:val="20"/>
          <w:szCs w:val="20"/>
          <w:lang w:val="es-AR"/>
        </w:rPr>
        <w:t>En relación con la emisión de las Obligaciones Negociables,</w:t>
      </w:r>
      <w:r w:rsidR="003F5803">
        <w:rPr>
          <w:bCs/>
          <w:sz w:val="20"/>
          <w:szCs w:val="20"/>
          <w:lang w:val="es-AR"/>
        </w:rPr>
        <w:t xml:space="preserve"> los</w:t>
      </w:r>
      <w:r w:rsidR="00F655E1">
        <w:rPr>
          <w:bCs/>
          <w:sz w:val="20"/>
          <w:szCs w:val="20"/>
          <w:lang w:val="es-AR"/>
        </w:rPr>
        <w:t xml:space="preserve"> Colocador</w:t>
      </w:r>
      <w:r w:rsidR="003F5803">
        <w:rPr>
          <w:bCs/>
          <w:sz w:val="20"/>
          <w:szCs w:val="20"/>
          <w:lang w:val="es-AR"/>
        </w:rPr>
        <w:t>es</w:t>
      </w:r>
      <w:r w:rsidRPr="00251FDB">
        <w:rPr>
          <w:bCs/>
          <w:sz w:val="20"/>
          <w:szCs w:val="20"/>
          <w:lang w:val="es-AR"/>
        </w:rPr>
        <w:t xml:space="preserve"> que participe</w:t>
      </w:r>
      <w:r w:rsidR="003F5803">
        <w:rPr>
          <w:bCs/>
          <w:sz w:val="20"/>
          <w:szCs w:val="20"/>
          <w:lang w:val="es-AR"/>
        </w:rPr>
        <w:t>n</w:t>
      </w:r>
      <w:r w:rsidRPr="00251FDB">
        <w:rPr>
          <w:bCs/>
          <w:sz w:val="20"/>
          <w:szCs w:val="20"/>
          <w:lang w:val="es-AR"/>
        </w:rPr>
        <w:t xml:space="preserve"> en su colocación y distribución por cuenta propia o por cuenta del Emisor o podrán realizar operaciones destinadas a estabilizar el precio de mercado de </w:t>
      </w:r>
      <w:r w:rsidR="00AE1803" w:rsidRPr="00251FDB">
        <w:rPr>
          <w:bCs/>
          <w:sz w:val="20"/>
          <w:szCs w:val="20"/>
          <w:lang w:val="es-AR"/>
        </w:rPr>
        <w:t xml:space="preserve">las Obligaciones Negociables, </w:t>
      </w:r>
      <w:r w:rsidRPr="00251FDB">
        <w:rPr>
          <w:bCs/>
          <w:sz w:val="20"/>
          <w:szCs w:val="20"/>
          <w:lang w:val="es-AR"/>
        </w:rPr>
        <w:t xml:space="preserve">conforme el </w:t>
      </w:r>
      <w:r w:rsidR="0000214F" w:rsidRPr="00251FDB">
        <w:rPr>
          <w:bCs/>
          <w:sz w:val="20"/>
          <w:szCs w:val="20"/>
          <w:lang w:val="es-AR"/>
        </w:rPr>
        <w:t>A</w:t>
      </w:r>
      <w:r w:rsidRPr="00251FDB">
        <w:rPr>
          <w:bCs/>
          <w:sz w:val="20"/>
          <w:szCs w:val="20"/>
          <w:lang w:val="es-AR"/>
        </w:rPr>
        <w:t>rtículo 12 del Capítulo IV, Título VI de las Normas de la CNV</w:t>
      </w:r>
      <w:r w:rsidR="00AE1803" w:rsidRPr="00251FDB">
        <w:rPr>
          <w:bCs/>
          <w:sz w:val="20"/>
          <w:szCs w:val="20"/>
          <w:lang w:val="es-AR"/>
        </w:rPr>
        <w:t>.</w:t>
      </w:r>
      <w:r w:rsidRPr="00251FDB">
        <w:rPr>
          <w:bCs/>
          <w:sz w:val="20"/>
          <w:szCs w:val="20"/>
          <w:lang w:val="es-AR"/>
        </w:rPr>
        <w:t xml:space="preserve"> </w:t>
      </w:r>
      <w:r w:rsidR="00AE1803" w:rsidRPr="00251FDB">
        <w:rPr>
          <w:bCs/>
          <w:sz w:val="20"/>
          <w:szCs w:val="20"/>
          <w:lang w:val="es-AR"/>
        </w:rPr>
        <w:t>D</w:t>
      </w:r>
      <w:r w:rsidRPr="00251FDB">
        <w:rPr>
          <w:bCs/>
          <w:sz w:val="20"/>
          <w:szCs w:val="20"/>
          <w:lang w:val="es-AR"/>
        </w:rPr>
        <w:t xml:space="preserve">ichas operaciones deberán ajustarse a las siguientes condiciones: </w:t>
      </w:r>
    </w:p>
    <w:p w:rsidR="00396D4A" w:rsidRPr="00251FDB" w:rsidRDefault="00396D4A" w:rsidP="00396D4A">
      <w:pPr>
        <w:jc w:val="both"/>
        <w:rPr>
          <w:bCs/>
          <w:sz w:val="20"/>
          <w:szCs w:val="20"/>
          <w:lang w:val="es-AR"/>
        </w:rPr>
      </w:pPr>
    </w:p>
    <w:p w:rsidR="00396D4A" w:rsidRPr="00251FDB" w:rsidRDefault="00396D4A" w:rsidP="00396D4A">
      <w:pPr>
        <w:jc w:val="both"/>
        <w:rPr>
          <w:bCs/>
          <w:sz w:val="20"/>
          <w:szCs w:val="20"/>
          <w:lang w:val="es-AR"/>
        </w:rPr>
      </w:pPr>
      <w:r w:rsidRPr="00251FDB">
        <w:rPr>
          <w:bCs/>
          <w:sz w:val="20"/>
          <w:szCs w:val="20"/>
          <w:lang w:val="es-AR"/>
        </w:rPr>
        <w:t>(i)</w:t>
      </w:r>
      <w:r w:rsidRPr="00251FDB">
        <w:rPr>
          <w:bCs/>
          <w:sz w:val="20"/>
          <w:szCs w:val="20"/>
          <w:lang w:val="es-AR"/>
        </w:rPr>
        <w:tab/>
        <w:t xml:space="preserve">No podrán extenderse más allá de los primeros 30 días corridos desde el primer día en el cual se haya iniciado la negociación de las Obligaciones Negociables en el </w:t>
      </w:r>
      <w:r w:rsidR="0000214F" w:rsidRPr="00251FDB">
        <w:rPr>
          <w:bCs/>
          <w:sz w:val="20"/>
          <w:szCs w:val="20"/>
          <w:lang w:val="es-AR"/>
        </w:rPr>
        <w:t>M</w:t>
      </w:r>
      <w:r w:rsidRPr="00251FDB">
        <w:rPr>
          <w:bCs/>
          <w:sz w:val="20"/>
          <w:szCs w:val="20"/>
          <w:lang w:val="es-AR"/>
        </w:rPr>
        <w:t>ercado</w:t>
      </w:r>
      <w:r w:rsidR="0000214F" w:rsidRPr="00251FDB">
        <w:rPr>
          <w:bCs/>
          <w:sz w:val="20"/>
          <w:szCs w:val="20"/>
          <w:lang w:val="es-AR"/>
        </w:rPr>
        <w:t xml:space="preserve"> donde se listasen las mismas</w:t>
      </w:r>
      <w:r w:rsidRPr="00251FDB">
        <w:rPr>
          <w:bCs/>
          <w:sz w:val="20"/>
          <w:szCs w:val="20"/>
          <w:lang w:val="es-AR"/>
        </w:rPr>
        <w:t xml:space="preserve">; </w:t>
      </w:r>
    </w:p>
    <w:p w:rsidR="00396D4A" w:rsidRPr="00251FDB" w:rsidRDefault="00396D4A" w:rsidP="00396D4A">
      <w:pPr>
        <w:jc w:val="both"/>
        <w:rPr>
          <w:bCs/>
          <w:sz w:val="20"/>
          <w:szCs w:val="20"/>
          <w:lang w:val="es-AR"/>
        </w:rPr>
      </w:pPr>
    </w:p>
    <w:p w:rsidR="00396D4A" w:rsidRPr="00251FDB" w:rsidRDefault="00396D4A" w:rsidP="00396D4A">
      <w:pPr>
        <w:jc w:val="both"/>
        <w:rPr>
          <w:bCs/>
          <w:sz w:val="20"/>
          <w:szCs w:val="20"/>
          <w:lang w:val="es-AR"/>
        </w:rPr>
      </w:pPr>
      <w:r w:rsidRPr="00251FDB">
        <w:rPr>
          <w:bCs/>
          <w:sz w:val="20"/>
          <w:szCs w:val="20"/>
          <w:lang w:val="es-AR"/>
        </w:rPr>
        <w:t>(ii)</w:t>
      </w:r>
      <w:r w:rsidRPr="00251FDB">
        <w:rPr>
          <w:bCs/>
          <w:sz w:val="20"/>
          <w:szCs w:val="20"/>
          <w:lang w:val="es-AR"/>
        </w:rPr>
        <w:tab/>
        <w:t xml:space="preserve">Sólo podrán realizarse operaciones de estabilización destinadas a evitar o moderar las alteraciones bruscas en el precio al cual se negocien las Obligaciones Negociables que han sido objeto de colocación primaria por medio del sistema de subasta o licitación pública; </w:t>
      </w:r>
    </w:p>
    <w:p w:rsidR="00396D4A" w:rsidRPr="00251FDB" w:rsidRDefault="00396D4A" w:rsidP="00396D4A">
      <w:pPr>
        <w:jc w:val="both"/>
        <w:rPr>
          <w:bCs/>
          <w:sz w:val="20"/>
          <w:szCs w:val="20"/>
          <w:lang w:val="es-AR"/>
        </w:rPr>
      </w:pPr>
    </w:p>
    <w:p w:rsidR="00396D4A" w:rsidRPr="00251FDB" w:rsidRDefault="00396D4A" w:rsidP="00396D4A">
      <w:pPr>
        <w:jc w:val="both"/>
        <w:rPr>
          <w:bCs/>
          <w:sz w:val="20"/>
          <w:szCs w:val="20"/>
          <w:lang w:val="es-AR"/>
        </w:rPr>
      </w:pPr>
      <w:r w:rsidRPr="00251FDB">
        <w:rPr>
          <w:bCs/>
          <w:sz w:val="20"/>
          <w:szCs w:val="20"/>
          <w:lang w:val="es-AR"/>
        </w:rPr>
        <w:t>(iii)</w:t>
      </w:r>
      <w:r w:rsidRPr="00251FDB">
        <w:rPr>
          <w:bCs/>
          <w:sz w:val="20"/>
          <w:szCs w:val="20"/>
          <w:lang w:val="es-AR"/>
        </w:rPr>
        <w:tab/>
        <w:t xml:space="preserve">Ninguna operación de estabilización que se realice en el período autorizado podrá efectuarse a precios superiores a aquellos a los que se haya negociado las obligaciones negociables en cuestión en los mercados autorizados, en operaciones entre partes no vinculadas con la organización, distribución y colocación;  </w:t>
      </w:r>
    </w:p>
    <w:p w:rsidR="00396D4A" w:rsidRPr="00251FDB" w:rsidRDefault="00396D4A" w:rsidP="00396D4A">
      <w:pPr>
        <w:jc w:val="both"/>
        <w:rPr>
          <w:bCs/>
          <w:sz w:val="20"/>
          <w:szCs w:val="20"/>
          <w:lang w:val="es-AR"/>
        </w:rPr>
      </w:pPr>
    </w:p>
    <w:p w:rsidR="00396D4A" w:rsidRPr="00251FDB" w:rsidRDefault="00396D4A" w:rsidP="00396D4A">
      <w:pPr>
        <w:jc w:val="both"/>
        <w:rPr>
          <w:bCs/>
          <w:sz w:val="20"/>
          <w:szCs w:val="20"/>
          <w:lang w:val="es-AR"/>
        </w:rPr>
      </w:pPr>
      <w:r w:rsidRPr="00251FDB">
        <w:rPr>
          <w:bCs/>
          <w:sz w:val="20"/>
          <w:szCs w:val="20"/>
          <w:lang w:val="es-AR"/>
        </w:rPr>
        <w:t>(iv)</w:t>
      </w:r>
      <w:r w:rsidRPr="00251FDB">
        <w:rPr>
          <w:bCs/>
          <w:sz w:val="20"/>
          <w:szCs w:val="20"/>
          <w:lang w:val="es-AR"/>
        </w:rPr>
        <w:tab/>
        <w:t xml:space="preserve">Ninguna operación de estabilización podrá realizarse a precios superiores al de la colocación </w:t>
      </w:r>
      <w:r w:rsidR="005756A0" w:rsidRPr="00251FDB">
        <w:rPr>
          <w:bCs/>
          <w:sz w:val="20"/>
          <w:szCs w:val="20"/>
          <w:lang w:val="es-AR"/>
        </w:rPr>
        <w:t>inicial; y</w:t>
      </w:r>
    </w:p>
    <w:p w:rsidR="00396D4A" w:rsidRPr="00251FDB" w:rsidRDefault="00396D4A" w:rsidP="00396D4A">
      <w:pPr>
        <w:jc w:val="both"/>
        <w:rPr>
          <w:bCs/>
          <w:sz w:val="20"/>
          <w:szCs w:val="20"/>
          <w:lang w:val="es-AR"/>
        </w:rPr>
      </w:pPr>
    </w:p>
    <w:p w:rsidR="00396D4A" w:rsidRDefault="00396D4A" w:rsidP="00396D4A">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bCs/>
          <w:lang w:val="es-AR"/>
        </w:rPr>
      </w:pPr>
      <w:r w:rsidRPr="00251FDB">
        <w:rPr>
          <w:bCs/>
          <w:lang w:val="es-AR"/>
        </w:rPr>
        <w:t>(v)</w:t>
      </w:r>
      <w:r w:rsidRPr="00251FDB">
        <w:rPr>
          <w:bCs/>
          <w:lang w:val="es-AR"/>
        </w:rPr>
        <w:tab/>
        <w:t>Los mercados deberán individualizar como tales y hacer públicas las operaciones de estabilización, ya fuere en cada operación individual o al cierre diario de las operaciones.</w:t>
      </w:r>
    </w:p>
    <w:p w:rsidR="00C1188D" w:rsidRPr="00EA1080" w:rsidRDefault="00C1188D" w:rsidP="00396D4A">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b/>
          <w:smallCaps/>
          <w:lang w:val="es-AR"/>
        </w:rPr>
      </w:pPr>
    </w:p>
    <w:p w:rsidR="00C1188D" w:rsidRPr="00EA1080" w:rsidRDefault="00C1188D" w:rsidP="00C1188D">
      <w:pPr>
        <w:widowControl w:val="0"/>
        <w:rPr>
          <w:b/>
          <w:smallCaps/>
          <w:sz w:val="20"/>
          <w:szCs w:val="20"/>
          <w:lang w:val="es-AR"/>
        </w:rPr>
      </w:pPr>
      <w:r w:rsidRPr="00C1188D">
        <w:rPr>
          <w:b/>
          <w:smallCaps/>
          <w:sz w:val="20"/>
          <w:szCs w:val="20"/>
          <w:lang w:val="es-AR"/>
        </w:rPr>
        <w:t>Aprobaciones Societarias</w:t>
      </w:r>
    </w:p>
    <w:p w:rsidR="00C1188D" w:rsidRPr="009D7303" w:rsidRDefault="00C1188D" w:rsidP="00C1188D">
      <w:pPr>
        <w:widowControl w:val="0"/>
        <w:jc w:val="both"/>
        <w:rPr>
          <w:bCs/>
          <w:sz w:val="20"/>
          <w:szCs w:val="20"/>
          <w:lang w:val="es-AR"/>
        </w:rPr>
      </w:pPr>
    </w:p>
    <w:p w:rsidR="00C1188D" w:rsidRPr="009D7303" w:rsidRDefault="00C1188D" w:rsidP="00C1188D">
      <w:pPr>
        <w:widowControl w:val="0"/>
        <w:jc w:val="both"/>
        <w:rPr>
          <w:sz w:val="20"/>
          <w:szCs w:val="20"/>
          <w:lang w:val="es-AR"/>
        </w:rPr>
      </w:pPr>
      <w:r w:rsidRPr="009D7303">
        <w:rPr>
          <w:sz w:val="20"/>
          <w:szCs w:val="20"/>
          <w:lang w:val="es-AR"/>
        </w:rPr>
        <w:t>La creación del Programa ha sido aprobada por la Asamblea de Accionistas del Emisor celebrada el 14 de julio de 2005. Los aumentos del monto máximo del Programa a US$150.000.000, US$350.000.000, US$450.000.000, US$650.000.000 y finalmente a US$1.000.000.000 han sido resueltos por las Asambleas de Accionistas del Emisor de fechas 3 de marzo de 2006, 31 de octubre de 2007, 1 de abril de 2011, 8 de marzo de 2012 y 4 de abril de 2018, respectivamente. Las prórrogas del plazo de vigencia del Programa han sido aprobadas en las Asambleas de Accionistas del Emisor de fecha 26 de marzo de 2010, 19 de marzo de 2015</w:t>
      </w:r>
      <w:r w:rsidRPr="009D7303">
        <w:rPr>
          <w:rFonts w:eastAsia="SimSun"/>
          <w:color w:val="000000"/>
          <w:sz w:val="20"/>
          <w:szCs w:val="20"/>
          <w:lang w:val="es-AR"/>
        </w:rPr>
        <w:t xml:space="preserve"> </w:t>
      </w:r>
      <w:r w:rsidRPr="009D7303">
        <w:rPr>
          <w:sz w:val="20"/>
          <w:szCs w:val="20"/>
          <w:lang w:val="es-AR"/>
        </w:rPr>
        <w:t xml:space="preserve">y mediante Reunión de Directorio de fecha 19 de febrero de 2020. La última actualización de la información contable y financiera ha sido aprobada en la reunión de Directorio del Emisor de fecha 28 de mayo de 2020. La emisión de las Obligaciones Negociables fue aprobada por el Directorio del Emisor en su reunión de fecha </w:t>
      </w:r>
      <w:r w:rsidR="00291761">
        <w:rPr>
          <w:noProof/>
          <w:sz w:val="20"/>
          <w:szCs w:val="20"/>
          <w:lang w:val="es-AR"/>
        </w:rPr>
        <w:t>26</w:t>
      </w:r>
      <w:r w:rsidR="00291761" w:rsidRPr="00251FDB">
        <w:rPr>
          <w:sz w:val="20"/>
          <w:szCs w:val="20"/>
          <w:lang w:val="es-AR"/>
        </w:rPr>
        <w:t xml:space="preserve"> </w:t>
      </w:r>
      <w:r w:rsidRPr="009D7303">
        <w:rPr>
          <w:sz w:val="20"/>
          <w:szCs w:val="20"/>
          <w:lang w:val="es-AR"/>
        </w:rPr>
        <w:t xml:space="preserve">de </w:t>
      </w:r>
      <w:r>
        <w:rPr>
          <w:sz w:val="20"/>
          <w:szCs w:val="20"/>
          <w:lang w:val="es-AR"/>
        </w:rPr>
        <w:t>junio</w:t>
      </w:r>
      <w:r w:rsidRPr="00251FDB">
        <w:rPr>
          <w:sz w:val="20"/>
          <w:szCs w:val="20"/>
          <w:lang w:val="es-AR"/>
        </w:rPr>
        <w:t xml:space="preserve"> </w:t>
      </w:r>
      <w:r w:rsidRPr="009D7303">
        <w:rPr>
          <w:sz w:val="20"/>
          <w:szCs w:val="20"/>
          <w:lang w:val="es-AR"/>
        </w:rPr>
        <w:t>de 2020.</w:t>
      </w:r>
    </w:p>
    <w:p w:rsidR="00C1188D" w:rsidRDefault="00C1188D" w:rsidP="00396D4A">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bCs/>
          <w:lang w:val="es-AR"/>
        </w:rPr>
      </w:pPr>
    </w:p>
    <w:p w:rsidR="00C1188D" w:rsidRPr="00EA1080" w:rsidRDefault="00C1188D" w:rsidP="00C1188D">
      <w:pPr>
        <w:spacing w:line="240" w:lineRule="atLeast"/>
        <w:rPr>
          <w:b/>
          <w:smallCaps/>
          <w:sz w:val="20"/>
          <w:szCs w:val="20"/>
          <w:lang w:val="es-AR"/>
        </w:rPr>
      </w:pPr>
      <w:r w:rsidRPr="00C1188D">
        <w:rPr>
          <w:b/>
          <w:smallCaps/>
          <w:sz w:val="20"/>
          <w:szCs w:val="20"/>
          <w:lang w:val="es-AR"/>
        </w:rPr>
        <w:t>Definiciones</w:t>
      </w:r>
    </w:p>
    <w:p w:rsidR="00C1188D" w:rsidRPr="00BE275E" w:rsidRDefault="00C1188D" w:rsidP="00C1188D">
      <w:pPr>
        <w:spacing w:line="240" w:lineRule="atLeast"/>
        <w:jc w:val="both"/>
        <w:rPr>
          <w:sz w:val="20"/>
          <w:szCs w:val="20"/>
          <w:lang w:val="es-AR"/>
        </w:rPr>
      </w:pPr>
    </w:p>
    <w:p w:rsidR="00C1188D" w:rsidRDefault="00C1188D" w:rsidP="00C1188D">
      <w:pPr>
        <w:spacing w:line="240" w:lineRule="atLeast"/>
        <w:jc w:val="both"/>
        <w:rPr>
          <w:sz w:val="20"/>
          <w:szCs w:val="20"/>
          <w:lang w:val="es-AR"/>
        </w:rPr>
      </w:pPr>
      <w:r w:rsidRPr="00BE275E">
        <w:rPr>
          <w:sz w:val="20"/>
          <w:szCs w:val="20"/>
          <w:lang w:val="es-AR"/>
        </w:rPr>
        <w:t xml:space="preserve">Los términos en mayúscula que no se encuentren definidos en el presente Suplemento de Precio, tendrán el significado y alcance que se les otorga en el Prospecto. Asimismo, los términos definidos se utilizan indistintamente en plural y en singular. A su vez, a los fines de este Suplemento de Precio, “Argentina” significa la República Argentina, </w:t>
      </w:r>
      <w:r w:rsidRPr="006B0131">
        <w:rPr>
          <w:sz w:val="20"/>
          <w:szCs w:val="20"/>
          <w:lang w:val="es-AR"/>
        </w:rPr>
        <w:t>“Gobierno Nacional” o “Gobierno Argentino” o “Gobierno” se refiere al Gobierno de la Nación Argentina</w:t>
      </w:r>
      <w:r>
        <w:rPr>
          <w:sz w:val="20"/>
          <w:szCs w:val="20"/>
          <w:lang w:val="es-AR"/>
        </w:rPr>
        <w:t xml:space="preserve">, </w:t>
      </w:r>
      <w:r w:rsidRPr="00BE275E">
        <w:rPr>
          <w:sz w:val="20"/>
          <w:szCs w:val="20"/>
          <w:lang w:val="es-AR"/>
        </w:rPr>
        <w:t>“Pesos”, “Ps.” o “$” significa la moneda de curso legal en la Argentina, “Estados Unidos” significa los Estados Un</w:t>
      </w:r>
      <w:r>
        <w:rPr>
          <w:sz w:val="20"/>
          <w:szCs w:val="20"/>
          <w:lang w:val="es-AR"/>
        </w:rPr>
        <w:t>idos de América, “Dólares” o “U</w:t>
      </w:r>
      <w:r w:rsidRPr="00BE275E">
        <w:rPr>
          <w:sz w:val="20"/>
          <w:szCs w:val="20"/>
          <w:lang w:val="es-AR"/>
        </w:rPr>
        <w:t>S</w:t>
      </w:r>
      <w:r>
        <w:rPr>
          <w:sz w:val="20"/>
          <w:szCs w:val="20"/>
          <w:lang w:val="es-AR"/>
        </w:rPr>
        <w:t>$</w:t>
      </w:r>
      <w:r w:rsidRPr="00BE275E">
        <w:rPr>
          <w:sz w:val="20"/>
          <w:szCs w:val="20"/>
          <w:lang w:val="es-AR"/>
        </w:rPr>
        <w:t>” o “Dólares Estadounidenses” significa la moneda de curso legal en los Estados Unidos, y “Banco Central”</w:t>
      </w:r>
      <w:r>
        <w:rPr>
          <w:sz w:val="20"/>
          <w:szCs w:val="20"/>
          <w:lang w:val="es-AR"/>
        </w:rPr>
        <w:t xml:space="preserve"> o “BCRA”</w:t>
      </w:r>
      <w:r w:rsidRPr="00BE275E">
        <w:rPr>
          <w:sz w:val="20"/>
          <w:szCs w:val="20"/>
          <w:lang w:val="es-AR"/>
        </w:rPr>
        <w:t xml:space="preserve"> significa Banco Central de la República Argentina. Las referencias a cualquier norma contenida en el presente Suplemento de Precio son referencias a las normas en cuestión incluyendo sus modificatorias y reglamentarias.</w:t>
      </w:r>
    </w:p>
    <w:p w:rsidR="00C1188D" w:rsidRPr="00EA1080" w:rsidRDefault="00C1188D" w:rsidP="00396D4A">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b/>
          <w:smallCaps/>
          <w:lang w:val="es-AR"/>
        </w:rPr>
      </w:pPr>
    </w:p>
    <w:p w:rsidR="004C597A" w:rsidRPr="00C1188D" w:rsidRDefault="00C1188D">
      <w:pPr>
        <w:pStyle w:val="Textoindependiente"/>
        <w:tabs>
          <w:tab w:val="clear" w:pos="397"/>
        </w:tabs>
        <w:jc w:val="center"/>
        <w:rPr>
          <w:b/>
          <w:smallCaps/>
          <w:lang w:val="es-AR"/>
        </w:rPr>
      </w:pPr>
      <w:r w:rsidRPr="00C1188D">
        <w:rPr>
          <w:b/>
          <w:smallCaps/>
          <w:lang w:val="es-AR"/>
        </w:rPr>
        <w:t>aviso a los inversores sobre normativa referente a la prevención del lavado de activos y de la financiación del terrorismo</w:t>
      </w:r>
    </w:p>
    <w:p w:rsidR="004C597A" w:rsidRPr="00251FDB" w:rsidRDefault="004C597A" w:rsidP="004C597A">
      <w:pPr>
        <w:pStyle w:val="Textoindependiente"/>
        <w:tabs>
          <w:tab w:val="clear" w:pos="397"/>
        </w:tabs>
        <w:rPr>
          <w:lang w:val="es-AR"/>
        </w:rPr>
      </w:pPr>
    </w:p>
    <w:p w:rsidR="00C1188D" w:rsidRPr="00BE275E" w:rsidRDefault="00C1188D" w:rsidP="00C1188D">
      <w:pPr>
        <w:spacing w:line="240" w:lineRule="atLeast"/>
        <w:jc w:val="both"/>
        <w:rPr>
          <w:noProof/>
          <w:sz w:val="20"/>
          <w:szCs w:val="20"/>
          <w:lang w:val="es-AR"/>
        </w:rPr>
      </w:pPr>
      <w:r w:rsidRPr="00BE275E">
        <w:rPr>
          <w:noProof/>
          <w:sz w:val="20"/>
          <w:szCs w:val="20"/>
          <w:lang w:val="es-AR"/>
        </w:rPr>
        <w:t>Para obtener una des</w:t>
      </w:r>
      <w:r>
        <w:rPr>
          <w:noProof/>
          <w:sz w:val="20"/>
          <w:szCs w:val="20"/>
          <w:lang w:val="es-AR"/>
        </w:rPr>
        <w:t>cripción de ciertas cuestiones relacionadas con la normativa referente a la prevención del lavado de activos y de la financiaición del terrorismo</w:t>
      </w:r>
      <w:r w:rsidRPr="00BE275E">
        <w:rPr>
          <w:noProof/>
          <w:sz w:val="20"/>
          <w:szCs w:val="20"/>
          <w:lang w:val="es-AR"/>
        </w:rPr>
        <w:t>, véase la sección “</w:t>
      </w:r>
      <w:r w:rsidRPr="00C1188D">
        <w:rPr>
          <w:i/>
          <w:noProof/>
          <w:sz w:val="20"/>
          <w:szCs w:val="20"/>
          <w:lang w:val="es-AR"/>
        </w:rPr>
        <w:t>Información sobre Prevención del Lavado de Activos y Financiación del Terrorismo</w:t>
      </w:r>
      <w:r w:rsidRPr="00BE275E">
        <w:rPr>
          <w:i/>
          <w:noProof/>
          <w:sz w:val="20"/>
          <w:szCs w:val="20"/>
          <w:lang w:val="es-AR"/>
        </w:rPr>
        <w:t xml:space="preserve">” </w:t>
      </w:r>
      <w:r w:rsidRPr="00BE275E">
        <w:rPr>
          <w:noProof/>
          <w:sz w:val="20"/>
          <w:szCs w:val="20"/>
          <w:lang w:val="es-AR"/>
        </w:rPr>
        <w:t>en el Prospecto.</w:t>
      </w:r>
    </w:p>
    <w:p w:rsidR="00181FBE" w:rsidRPr="00251FDB" w:rsidRDefault="00181FBE" w:rsidP="00D50756">
      <w:pPr>
        <w:widowControl w:val="0"/>
        <w:outlineLvl w:val="0"/>
        <w:rPr>
          <w:b/>
          <w:smallCaps/>
          <w:sz w:val="20"/>
          <w:szCs w:val="20"/>
          <w:lang w:val="es-AR"/>
        </w:rPr>
      </w:pPr>
    </w:p>
    <w:p w:rsidR="005172FA" w:rsidRPr="00251FDB" w:rsidRDefault="00D50756" w:rsidP="008A30BD">
      <w:pPr>
        <w:widowControl w:val="0"/>
        <w:jc w:val="both"/>
        <w:outlineLvl w:val="0"/>
        <w:rPr>
          <w:sz w:val="20"/>
          <w:szCs w:val="20"/>
          <w:lang w:val="es-AR"/>
        </w:rPr>
      </w:pPr>
      <w:r w:rsidRPr="00251FDB">
        <w:rPr>
          <w:sz w:val="20"/>
          <w:szCs w:val="20"/>
          <w:lang w:val="es-AR"/>
        </w:rPr>
        <w:br w:type="page"/>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D50756" w:rsidRPr="00251FDB" w:rsidRDefault="00FF04B3" w:rsidP="00D50756">
      <w:pPr>
        <w:rPr>
          <w:b/>
          <w:smallCaps/>
          <w:sz w:val="20"/>
          <w:szCs w:val="20"/>
          <w:lang w:val="es-AR"/>
        </w:rPr>
      </w:pPr>
      <w:r w:rsidRPr="00251FDB">
        <w:rPr>
          <w:b/>
          <w:smallCaps/>
          <w:sz w:val="20"/>
          <w:szCs w:val="20"/>
          <w:lang w:val="es-AR"/>
        </w:rPr>
        <w:t xml:space="preserve">II. </w:t>
      </w:r>
      <w:r w:rsidR="00F83E06" w:rsidRPr="00251FDB">
        <w:rPr>
          <w:b/>
          <w:smallCaps/>
          <w:sz w:val="20"/>
          <w:szCs w:val="20"/>
          <w:lang w:val="es-AR"/>
        </w:rPr>
        <w:t xml:space="preserve">Oferta de </w:t>
      </w:r>
      <w:r w:rsidR="00C1188D">
        <w:rPr>
          <w:b/>
          <w:smallCaps/>
          <w:sz w:val="20"/>
          <w:szCs w:val="20"/>
          <w:lang w:val="es-AR"/>
        </w:rPr>
        <w:t>las Obligaciones Negociables</w:t>
      </w:r>
    </w:p>
    <w:p w:rsidR="00865D82" w:rsidRPr="00251FDB" w:rsidRDefault="00865D82" w:rsidP="00EA1080">
      <w:pPr>
        <w:jc w:val="both"/>
        <w:rPr>
          <w:b/>
          <w:smallCaps/>
          <w:sz w:val="20"/>
          <w:szCs w:val="20"/>
          <w:lang w:val="es-AR"/>
        </w:rPr>
      </w:pPr>
      <w:bookmarkStart w:id="60" w:name="_Hlk528861819"/>
    </w:p>
    <w:p w:rsidR="00E70D86" w:rsidRPr="00251FDB" w:rsidRDefault="00865D82" w:rsidP="00EA1080">
      <w:pPr>
        <w:widowControl w:val="0"/>
        <w:jc w:val="both"/>
        <w:rPr>
          <w:smallCaps/>
          <w:sz w:val="20"/>
          <w:szCs w:val="20"/>
          <w:lang w:val="es-AR"/>
        </w:rPr>
      </w:pPr>
      <w:r w:rsidRPr="00251FDB">
        <w:rPr>
          <w:b/>
          <w:smallCaps/>
          <w:sz w:val="20"/>
          <w:szCs w:val="20"/>
          <w:lang w:val="es-AR"/>
        </w:rPr>
        <w:t>1. T</w:t>
      </w:r>
      <w:r w:rsidRPr="00251FDB">
        <w:rPr>
          <w:rFonts w:hint="eastAsia"/>
          <w:b/>
          <w:smallCaps/>
          <w:sz w:val="20"/>
          <w:szCs w:val="20"/>
          <w:lang w:val="es-AR"/>
        </w:rPr>
        <w:t>é</w:t>
      </w:r>
      <w:r w:rsidRPr="00251FDB">
        <w:rPr>
          <w:b/>
          <w:smallCaps/>
          <w:sz w:val="20"/>
          <w:szCs w:val="20"/>
          <w:lang w:val="es-AR"/>
        </w:rPr>
        <w:t xml:space="preserve">rminos y Condiciones de las Obligaciones Negociables Clase </w:t>
      </w:r>
      <w:r w:rsidR="00D97E76" w:rsidRPr="00251FDB">
        <w:rPr>
          <w:b/>
          <w:smallCaps/>
          <w:sz w:val="20"/>
          <w:szCs w:val="20"/>
          <w:lang w:val="es-AR"/>
        </w:rPr>
        <w:t>XLIV</w:t>
      </w:r>
    </w:p>
    <w:p w:rsidR="00E70D86" w:rsidRPr="00251FDB" w:rsidRDefault="00E70D86" w:rsidP="00E70D86">
      <w:pPr>
        <w:widowControl w:val="0"/>
        <w:jc w:val="both"/>
        <w:rPr>
          <w:sz w:val="20"/>
          <w:szCs w:val="20"/>
          <w:lang w:val="es-AR"/>
        </w:rPr>
      </w:pPr>
    </w:p>
    <w:p w:rsidR="00C1188D" w:rsidRPr="00EA1080" w:rsidRDefault="00C1188D" w:rsidP="00C1188D">
      <w:pPr>
        <w:spacing w:line="240" w:lineRule="atLeast"/>
        <w:contextualSpacing/>
        <w:jc w:val="both"/>
        <w:rPr>
          <w:snapToGrid w:val="0"/>
          <w:sz w:val="20"/>
          <w:szCs w:val="20"/>
          <w:lang w:val="es-AR"/>
        </w:rPr>
      </w:pPr>
      <w:r w:rsidRPr="00EA1080">
        <w:rPr>
          <w:i/>
          <w:iCs/>
          <w:sz w:val="20"/>
          <w:szCs w:val="20"/>
          <w:lang w:val="es-AR"/>
        </w:rPr>
        <w:t xml:space="preserve">La siguiente descripción destaca información importante sobre esta oferta. Este resumen complementa la información incluida en el Prospecto. </w:t>
      </w:r>
      <w:r w:rsidRPr="00EA1080">
        <w:rPr>
          <w:i/>
          <w:snapToGrid w:val="0"/>
          <w:sz w:val="20"/>
          <w:szCs w:val="20"/>
          <w:lang w:val="es-AR"/>
        </w:rPr>
        <w:t xml:space="preserve">Los términos en mayúsculas utilizados en el presente y no definidos de otro modo tendrán los significados establecidos en el Prospecto. Asimismo, los términos definidos se utilizan indistintamente en plural y en singular. </w:t>
      </w:r>
    </w:p>
    <w:p w:rsidR="00E70D86" w:rsidRPr="00251FDB" w:rsidRDefault="00E70D86" w:rsidP="00E70D86">
      <w:pPr>
        <w:widowControl w:val="0"/>
        <w:jc w:val="both"/>
        <w:rPr>
          <w:sz w:val="20"/>
          <w:szCs w:val="20"/>
          <w:lang w:val="es-AR"/>
        </w:rPr>
      </w:pPr>
    </w:p>
    <w:tbl>
      <w:tblPr>
        <w:tblW w:w="5093" w:type="pct"/>
        <w:tblInd w:w="-5" w:type="dxa"/>
        <w:tblCellMar>
          <w:left w:w="0" w:type="dxa"/>
          <w:right w:w="0" w:type="dxa"/>
        </w:tblCellMar>
        <w:tblLook w:val="0000" w:firstRow="0" w:lastRow="0" w:firstColumn="0" w:lastColumn="0" w:noHBand="0" w:noVBand="0"/>
      </w:tblPr>
      <w:tblGrid>
        <w:gridCol w:w="2254"/>
        <w:gridCol w:w="6409"/>
      </w:tblGrid>
      <w:tr w:rsidR="00DB3CD6" w:rsidRPr="00251FDB" w:rsidTr="00EA1080">
        <w:trPr>
          <w:trHeight w:val="20"/>
        </w:trPr>
        <w:tc>
          <w:tcPr>
            <w:tcW w:w="1301" w:type="pct"/>
          </w:tcPr>
          <w:p w:rsidR="00E70D86" w:rsidRPr="00251FDB" w:rsidRDefault="00E70D86" w:rsidP="003079F0">
            <w:pPr>
              <w:widowControl w:val="0"/>
              <w:ind w:right="145"/>
              <w:jc w:val="left"/>
              <w:rPr>
                <w:b/>
                <w:sz w:val="20"/>
                <w:szCs w:val="20"/>
                <w:lang w:val="es-AR"/>
              </w:rPr>
            </w:pPr>
            <w:r w:rsidRPr="00251FDB">
              <w:rPr>
                <w:b/>
                <w:sz w:val="20"/>
                <w:szCs w:val="20"/>
                <w:lang w:val="es-AR"/>
              </w:rPr>
              <w:t>Emisor</w:t>
            </w:r>
          </w:p>
        </w:tc>
        <w:tc>
          <w:tcPr>
            <w:tcW w:w="3699" w:type="pct"/>
          </w:tcPr>
          <w:p w:rsidR="00E70D86" w:rsidRPr="00251FDB" w:rsidRDefault="00E70D86" w:rsidP="003079F0">
            <w:pPr>
              <w:widowControl w:val="0"/>
              <w:ind w:left="137" w:right="427"/>
              <w:jc w:val="both"/>
              <w:rPr>
                <w:sz w:val="20"/>
                <w:szCs w:val="20"/>
                <w:lang w:val="es-AR"/>
              </w:rPr>
            </w:pPr>
            <w:r w:rsidRPr="00251FDB">
              <w:rPr>
                <w:sz w:val="20"/>
                <w:szCs w:val="20"/>
                <w:lang w:val="es-AR"/>
              </w:rPr>
              <w:t>Tarjeta Naranja S.A.</w:t>
            </w:r>
          </w:p>
          <w:p w:rsidR="00E70D86" w:rsidRPr="00251FDB" w:rsidRDefault="00E70D86" w:rsidP="003079F0">
            <w:pPr>
              <w:widowControl w:val="0"/>
              <w:ind w:left="137" w:right="427"/>
              <w:jc w:val="both"/>
              <w:outlineLvl w:val="2"/>
              <w:rPr>
                <w:sz w:val="20"/>
                <w:szCs w:val="20"/>
                <w:lang w:val="es-AR"/>
              </w:rPr>
            </w:pPr>
          </w:p>
        </w:tc>
      </w:tr>
      <w:tr w:rsidR="00291761" w:rsidRPr="001633B5" w:rsidTr="00EA1080">
        <w:trPr>
          <w:trHeight w:val="20"/>
        </w:trPr>
        <w:tc>
          <w:tcPr>
            <w:tcW w:w="1301" w:type="pct"/>
          </w:tcPr>
          <w:p w:rsidR="00291761" w:rsidRPr="00251FDB" w:rsidRDefault="00291761" w:rsidP="003079F0">
            <w:pPr>
              <w:widowControl w:val="0"/>
              <w:ind w:right="145"/>
              <w:jc w:val="left"/>
              <w:rPr>
                <w:b/>
                <w:bCs/>
                <w:sz w:val="20"/>
                <w:szCs w:val="20"/>
                <w:lang w:val="es-AR"/>
              </w:rPr>
            </w:pPr>
            <w:r w:rsidRPr="00251FDB">
              <w:rPr>
                <w:b/>
                <w:bCs/>
                <w:sz w:val="20"/>
                <w:szCs w:val="20"/>
                <w:lang w:val="es-AR"/>
              </w:rPr>
              <w:t>Organizador</w:t>
            </w:r>
          </w:p>
        </w:tc>
        <w:tc>
          <w:tcPr>
            <w:tcW w:w="3699" w:type="pct"/>
          </w:tcPr>
          <w:p w:rsidR="00291761" w:rsidRPr="00251FDB" w:rsidRDefault="00291761" w:rsidP="005756A0">
            <w:pPr>
              <w:widowControl w:val="0"/>
              <w:ind w:left="137" w:right="285"/>
              <w:jc w:val="both"/>
              <w:outlineLvl w:val="2"/>
              <w:rPr>
                <w:sz w:val="20"/>
                <w:szCs w:val="20"/>
                <w:lang w:val="es-AR"/>
              </w:rPr>
            </w:pPr>
            <w:r w:rsidRPr="00251FDB">
              <w:rPr>
                <w:sz w:val="20"/>
                <w:szCs w:val="20"/>
                <w:lang w:val="es-AR"/>
              </w:rPr>
              <w:t xml:space="preserve">Banco de Galicia y Buenos Aires S.A.U. </w:t>
            </w:r>
            <w:r>
              <w:rPr>
                <w:sz w:val="20"/>
                <w:szCs w:val="20"/>
                <w:lang w:val="es-AR"/>
              </w:rPr>
              <w:t>(“</w:t>
            </w:r>
            <w:r>
              <w:rPr>
                <w:sz w:val="20"/>
                <w:szCs w:val="20"/>
                <w:u w:val="single"/>
                <w:lang w:val="es-AR"/>
              </w:rPr>
              <w:t>Banco Galicia</w:t>
            </w:r>
            <w:r>
              <w:rPr>
                <w:sz w:val="20"/>
                <w:szCs w:val="20"/>
                <w:lang w:val="es-AR"/>
              </w:rPr>
              <w:t>”</w:t>
            </w:r>
            <w:r w:rsidR="003F5803">
              <w:rPr>
                <w:sz w:val="20"/>
                <w:szCs w:val="20"/>
                <w:lang w:val="es-AR"/>
              </w:rPr>
              <w:t xml:space="preserve"> o el “</w:t>
            </w:r>
            <w:r w:rsidR="003F5803">
              <w:rPr>
                <w:sz w:val="20"/>
                <w:szCs w:val="20"/>
                <w:u w:val="single"/>
                <w:lang w:val="es-AR"/>
              </w:rPr>
              <w:t>Organizador</w:t>
            </w:r>
            <w:r w:rsidR="003F5803">
              <w:rPr>
                <w:sz w:val="20"/>
                <w:szCs w:val="20"/>
                <w:lang w:val="es-AR"/>
              </w:rPr>
              <w:t>”</w:t>
            </w:r>
            <w:r>
              <w:rPr>
                <w:sz w:val="20"/>
                <w:szCs w:val="20"/>
                <w:lang w:val="es-AR"/>
              </w:rPr>
              <w:t>),</w:t>
            </w:r>
          </w:p>
        </w:tc>
      </w:tr>
      <w:tr w:rsidR="003F5803" w:rsidRPr="001633B5" w:rsidTr="00EA1080">
        <w:trPr>
          <w:trHeight w:val="20"/>
        </w:trPr>
        <w:tc>
          <w:tcPr>
            <w:tcW w:w="1301" w:type="pct"/>
          </w:tcPr>
          <w:p w:rsidR="003F5803" w:rsidRPr="00251FDB" w:rsidRDefault="003F5803" w:rsidP="003079F0">
            <w:pPr>
              <w:widowControl w:val="0"/>
              <w:ind w:right="145"/>
              <w:jc w:val="left"/>
              <w:rPr>
                <w:b/>
                <w:bCs/>
                <w:sz w:val="20"/>
                <w:szCs w:val="20"/>
                <w:lang w:val="es-AR"/>
              </w:rPr>
            </w:pPr>
          </w:p>
        </w:tc>
        <w:tc>
          <w:tcPr>
            <w:tcW w:w="3699" w:type="pct"/>
          </w:tcPr>
          <w:p w:rsidR="003F5803" w:rsidRPr="00251FDB" w:rsidRDefault="003F5803" w:rsidP="005756A0">
            <w:pPr>
              <w:widowControl w:val="0"/>
              <w:ind w:left="137" w:right="285"/>
              <w:jc w:val="both"/>
              <w:outlineLvl w:val="2"/>
              <w:rPr>
                <w:sz w:val="20"/>
                <w:szCs w:val="20"/>
                <w:lang w:val="es-AR"/>
              </w:rPr>
            </w:pPr>
          </w:p>
        </w:tc>
      </w:tr>
      <w:tr w:rsidR="00DB3CD6" w:rsidRPr="001633B5" w:rsidTr="00EA1080">
        <w:trPr>
          <w:trHeight w:val="20"/>
        </w:trPr>
        <w:tc>
          <w:tcPr>
            <w:tcW w:w="1301" w:type="pct"/>
          </w:tcPr>
          <w:p w:rsidR="00E70D86" w:rsidRPr="00251FDB" w:rsidRDefault="001A2A0C" w:rsidP="003079F0">
            <w:pPr>
              <w:widowControl w:val="0"/>
              <w:ind w:right="145"/>
              <w:jc w:val="left"/>
              <w:rPr>
                <w:b/>
                <w:bCs/>
                <w:sz w:val="20"/>
                <w:szCs w:val="20"/>
                <w:lang w:val="es-AR"/>
              </w:rPr>
            </w:pPr>
            <w:r w:rsidRPr="00251FDB">
              <w:rPr>
                <w:b/>
                <w:bCs/>
                <w:sz w:val="20"/>
                <w:szCs w:val="20"/>
                <w:lang w:val="es-AR"/>
              </w:rPr>
              <w:t>Colocador</w:t>
            </w:r>
            <w:r w:rsidR="00840FA0">
              <w:rPr>
                <w:b/>
                <w:bCs/>
                <w:sz w:val="20"/>
                <w:szCs w:val="20"/>
                <w:lang w:val="es-AR"/>
              </w:rPr>
              <w:t>es</w:t>
            </w:r>
          </w:p>
          <w:p w:rsidR="00254AD2" w:rsidRPr="00251FDB" w:rsidRDefault="00254AD2" w:rsidP="003079F0">
            <w:pPr>
              <w:widowControl w:val="0"/>
              <w:ind w:right="145"/>
              <w:jc w:val="left"/>
              <w:rPr>
                <w:b/>
                <w:bCs/>
                <w:sz w:val="20"/>
                <w:szCs w:val="20"/>
                <w:lang w:val="es-AR"/>
              </w:rPr>
            </w:pPr>
          </w:p>
        </w:tc>
        <w:tc>
          <w:tcPr>
            <w:tcW w:w="3699" w:type="pct"/>
          </w:tcPr>
          <w:p w:rsidR="00840FA0" w:rsidRPr="00EA1080" w:rsidRDefault="00291761" w:rsidP="005756A0">
            <w:pPr>
              <w:widowControl w:val="0"/>
              <w:ind w:left="137" w:right="285"/>
              <w:jc w:val="both"/>
              <w:outlineLvl w:val="2"/>
              <w:rPr>
                <w:sz w:val="20"/>
                <w:szCs w:val="20"/>
                <w:u w:val="single"/>
                <w:lang w:val="es-AR"/>
              </w:rPr>
            </w:pPr>
            <w:r>
              <w:rPr>
                <w:sz w:val="20"/>
                <w:szCs w:val="20"/>
                <w:lang w:val="es-AR"/>
              </w:rPr>
              <w:t xml:space="preserve">Banco Galicia, </w:t>
            </w:r>
            <w:r w:rsidR="0049449D">
              <w:rPr>
                <w:sz w:val="20"/>
                <w:szCs w:val="20"/>
                <w:lang w:val="es-AR"/>
              </w:rPr>
              <w:t>Macro</w:t>
            </w:r>
            <w:r w:rsidR="003F5803">
              <w:rPr>
                <w:sz w:val="20"/>
                <w:szCs w:val="20"/>
                <w:lang w:val="es-AR"/>
              </w:rPr>
              <w:t xml:space="preserve"> Securities</w:t>
            </w:r>
            <w:r w:rsidR="0049449D">
              <w:rPr>
                <w:sz w:val="20"/>
                <w:szCs w:val="20"/>
                <w:lang w:val="es-AR"/>
              </w:rPr>
              <w:t xml:space="preserve"> S.A. (“</w:t>
            </w:r>
            <w:r w:rsidR="0049449D">
              <w:rPr>
                <w:sz w:val="20"/>
                <w:szCs w:val="20"/>
                <w:u w:val="single"/>
                <w:lang w:val="es-AR"/>
              </w:rPr>
              <w:t>Macro</w:t>
            </w:r>
            <w:r w:rsidR="003F5803">
              <w:rPr>
                <w:sz w:val="20"/>
                <w:szCs w:val="20"/>
                <w:u w:val="single"/>
                <w:lang w:val="es-AR"/>
              </w:rPr>
              <w:t xml:space="preserve"> Securities</w:t>
            </w:r>
            <w:r w:rsidR="0049449D">
              <w:rPr>
                <w:sz w:val="20"/>
                <w:szCs w:val="20"/>
                <w:lang w:val="es-AR"/>
              </w:rPr>
              <w:t>”) y Banco Santander Río S.A. (“</w:t>
            </w:r>
            <w:r w:rsidR="0049449D">
              <w:rPr>
                <w:sz w:val="20"/>
                <w:szCs w:val="20"/>
                <w:u w:val="single"/>
                <w:lang w:val="es-AR"/>
              </w:rPr>
              <w:t>Santande</w:t>
            </w:r>
            <w:r w:rsidR="0049449D" w:rsidRPr="002217AD">
              <w:rPr>
                <w:sz w:val="20"/>
                <w:szCs w:val="20"/>
                <w:u w:val="single"/>
                <w:lang w:val="es-AR"/>
              </w:rPr>
              <w:t>r</w:t>
            </w:r>
            <w:r w:rsidR="00E370DE">
              <w:rPr>
                <w:sz w:val="20"/>
                <w:szCs w:val="20"/>
                <w:u w:val="single"/>
                <w:lang w:val="es-AR"/>
              </w:rPr>
              <w:t xml:space="preserve"> Argentina</w:t>
            </w:r>
            <w:r w:rsidR="0049449D" w:rsidRPr="00EA1080">
              <w:rPr>
                <w:sz w:val="20"/>
                <w:szCs w:val="20"/>
                <w:lang w:val="es-AR"/>
              </w:rPr>
              <w:t>”</w:t>
            </w:r>
            <w:r w:rsidR="0049449D">
              <w:rPr>
                <w:sz w:val="20"/>
                <w:szCs w:val="20"/>
                <w:lang w:val="es-AR"/>
              </w:rPr>
              <w:t xml:space="preserve"> y en conjunto con Banco Galicia y Macro</w:t>
            </w:r>
            <w:r w:rsidR="003F5803">
              <w:rPr>
                <w:sz w:val="20"/>
                <w:szCs w:val="20"/>
                <w:lang w:val="es-AR"/>
              </w:rPr>
              <w:t xml:space="preserve"> Securities</w:t>
            </w:r>
            <w:r w:rsidR="0049449D">
              <w:rPr>
                <w:sz w:val="20"/>
                <w:szCs w:val="20"/>
                <w:lang w:val="es-AR"/>
              </w:rPr>
              <w:t>, los “</w:t>
            </w:r>
            <w:r w:rsidR="0049449D">
              <w:rPr>
                <w:sz w:val="20"/>
                <w:szCs w:val="20"/>
                <w:u w:val="single"/>
                <w:lang w:val="es-AR"/>
              </w:rPr>
              <w:t>Colocadores</w:t>
            </w:r>
            <w:r w:rsidR="0049449D">
              <w:rPr>
                <w:sz w:val="20"/>
                <w:szCs w:val="20"/>
                <w:lang w:val="es-AR"/>
              </w:rPr>
              <w:t>”)</w:t>
            </w:r>
            <w:r w:rsidR="0049449D">
              <w:rPr>
                <w:sz w:val="20"/>
                <w:szCs w:val="20"/>
                <w:u w:val="single"/>
                <w:lang w:val="es-AR"/>
              </w:rPr>
              <w:t xml:space="preserve"> </w:t>
            </w:r>
          </w:p>
          <w:p w:rsidR="00E70D86" w:rsidRPr="00251FDB" w:rsidRDefault="00E70D86" w:rsidP="002217AD">
            <w:pPr>
              <w:widowControl w:val="0"/>
              <w:ind w:left="137" w:right="285"/>
              <w:jc w:val="both"/>
              <w:outlineLvl w:val="2"/>
              <w:rPr>
                <w:sz w:val="20"/>
                <w:szCs w:val="20"/>
                <w:lang w:val="es-AR"/>
              </w:rPr>
            </w:pPr>
          </w:p>
        </w:tc>
      </w:tr>
      <w:tr w:rsidR="00DB3CD6" w:rsidRPr="001633B5" w:rsidTr="00EA1080">
        <w:trPr>
          <w:trHeight w:val="20"/>
        </w:trPr>
        <w:tc>
          <w:tcPr>
            <w:tcW w:w="1301" w:type="pct"/>
          </w:tcPr>
          <w:p w:rsidR="009A6499" w:rsidRPr="00251FDB" w:rsidRDefault="001A2A0C" w:rsidP="003079F0">
            <w:pPr>
              <w:widowControl w:val="0"/>
              <w:ind w:right="145"/>
              <w:jc w:val="left"/>
              <w:rPr>
                <w:b/>
                <w:sz w:val="20"/>
                <w:szCs w:val="20"/>
                <w:lang w:val="es-AR"/>
              </w:rPr>
            </w:pPr>
            <w:r w:rsidRPr="00251FDB">
              <w:rPr>
                <w:b/>
                <w:sz w:val="20"/>
                <w:szCs w:val="20"/>
                <w:lang w:val="es-AR"/>
              </w:rPr>
              <w:t>Subcolocadores</w:t>
            </w:r>
          </w:p>
          <w:p w:rsidR="009A6499" w:rsidRPr="00251FDB" w:rsidRDefault="009A6499" w:rsidP="003079F0">
            <w:pPr>
              <w:widowControl w:val="0"/>
              <w:ind w:right="145"/>
              <w:jc w:val="left"/>
              <w:rPr>
                <w:b/>
                <w:sz w:val="20"/>
                <w:szCs w:val="20"/>
                <w:lang w:val="es-AR"/>
              </w:rPr>
            </w:pPr>
          </w:p>
        </w:tc>
        <w:tc>
          <w:tcPr>
            <w:tcW w:w="3699" w:type="pct"/>
          </w:tcPr>
          <w:p w:rsidR="009A6499" w:rsidRPr="00251FDB" w:rsidRDefault="009A6499" w:rsidP="005756A0">
            <w:pPr>
              <w:widowControl w:val="0"/>
              <w:ind w:left="137" w:right="285"/>
              <w:jc w:val="both"/>
              <w:outlineLvl w:val="2"/>
              <w:rPr>
                <w:sz w:val="20"/>
                <w:szCs w:val="20"/>
                <w:lang w:val="es-AR"/>
              </w:rPr>
            </w:pPr>
            <w:r w:rsidRPr="00251FDB">
              <w:rPr>
                <w:sz w:val="20"/>
                <w:szCs w:val="20"/>
                <w:lang w:val="es-AR"/>
              </w:rPr>
              <w:t>Podrán designarse subcolocadores, hasta el inicio del Período de Difusión Pública</w:t>
            </w:r>
            <w:r w:rsidR="00C1188D">
              <w:rPr>
                <w:sz w:val="20"/>
                <w:szCs w:val="20"/>
                <w:lang w:val="es-AR"/>
              </w:rPr>
              <w:t xml:space="preserve"> (conforme dicho término se define más abajo en el presente)</w:t>
            </w:r>
            <w:r w:rsidRPr="00251FDB">
              <w:rPr>
                <w:sz w:val="20"/>
                <w:szCs w:val="20"/>
                <w:lang w:val="es-AR"/>
              </w:rPr>
              <w:t xml:space="preserve"> de conformidad con lo establecido en el contrato de colocación. En su caso, los subcolocadores serán informados en </w:t>
            </w:r>
            <w:r w:rsidR="00C1188D">
              <w:rPr>
                <w:sz w:val="20"/>
                <w:szCs w:val="20"/>
                <w:lang w:val="es-AR"/>
              </w:rPr>
              <w:t>un aviso complementario al presente Suplemento</w:t>
            </w:r>
            <w:r w:rsidRPr="00251FDB">
              <w:rPr>
                <w:sz w:val="20"/>
                <w:szCs w:val="20"/>
                <w:lang w:val="es-AR"/>
              </w:rPr>
              <w:t>.</w:t>
            </w:r>
          </w:p>
          <w:p w:rsidR="00E70D86" w:rsidRPr="00251FDB" w:rsidRDefault="00E70D86" w:rsidP="005756A0">
            <w:pPr>
              <w:widowControl w:val="0"/>
              <w:ind w:left="137" w:right="285"/>
              <w:jc w:val="both"/>
              <w:outlineLvl w:val="2"/>
              <w:rPr>
                <w:sz w:val="20"/>
                <w:szCs w:val="20"/>
                <w:lang w:val="es-AR"/>
              </w:rPr>
            </w:pPr>
          </w:p>
        </w:tc>
      </w:tr>
      <w:tr w:rsidR="00DB3CD6" w:rsidRPr="001633B5" w:rsidTr="00EA1080">
        <w:trPr>
          <w:trHeight w:val="20"/>
        </w:trPr>
        <w:tc>
          <w:tcPr>
            <w:tcW w:w="1301" w:type="pct"/>
          </w:tcPr>
          <w:p w:rsidR="00E70D86" w:rsidRPr="0060060A" w:rsidRDefault="00E70D86" w:rsidP="003079F0">
            <w:pPr>
              <w:widowControl w:val="0"/>
              <w:ind w:right="145"/>
              <w:jc w:val="left"/>
              <w:rPr>
                <w:b/>
                <w:sz w:val="20"/>
                <w:szCs w:val="20"/>
                <w:lang w:val="es-AR"/>
              </w:rPr>
            </w:pPr>
            <w:r w:rsidRPr="0060060A">
              <w:rPr>
                <w:b/>
                <w:sz w:val="20"/>
                <w:szCs w:val="20"/>
                <w:lang w:val="es-AR"/>
              </w:rPr>
              <w:t>Agente Creador</w:t>
            </w:r>
          </w:p>
        </w:tc>
        <w:tc>
          <w:tcPr>
            <w:tcW w:w="3699" w:type="pct"/>
          </w:tcPr>
          <w:p w:rsidR="00E70D86" w:rsidRPr="0060060A" w:rsidRDefault="00E70D86" w:rsidP="005756A0">
            <w:pPr>
              <w:widowControl w:val="0"/>
              <w:ind w:left="137" w:right="285"/>
              <w:jc w:val="both"/>
              <w:outlineLvl w:val="2"/>
              <w:rPr>
                <w:sz w:val="20"/>
                <w:szCs w:val="20"/>
                <w:lang w:val="es-AR"/>
              </w:rPr>
            </w:pPr>
            <w:r w:rsidRPr="0060060A">
              <w:rPr>
                <w:sz w:val="20"/>
                <w:szCs w:val="20"/>
                <w:lang w:val="es-AR"/>
              </w:rPr>
              <w:t>Banco Galicia será el encargado de generar en el Sistema SIOPEL el pliego de licitación de la colocación primaria de las Obligaciones Negociables.</w:t>
            </w:r>
          </w:p>
          <w:p w:rsidR="00E70D86" w:rsidRPr="0060060A" w:rsidRDefault="00E70D86" w:rsidP="005756A0">
            <w:pPr>
              <w:widowControl w:val="0"/>
              <w:ind w:left="137" w:right="285"/>
              <w:jc w:val="both"/>
              <w:outlineLvl w:val="2"/>
              <w:rPr>
                <w:sz w:val="20"/>
                <w:szCs w:val="20"/>
                <w:lang w:val="es-AR"/>
              </w:rPr>
            </w:pPr>
          </w:p>
        </w:tc>
      </w:tr>
      <w:tr w:rsidR="00DB3CD6" w:rsidRPr="001633B5" w:rsidTr="00EA1080">
        <w:trPr>
          <w:trHeight w:val="20"/>
        </w:trPr>
        <w:tc>
          <w:tcPr>
            <w:tcW w:w="1301" w:type="pct"/>
          </w:tcPr>
          <w:p w:rsidR="00E70D86" w:rsidRPr="0060060A" w:rsidRDefault="00E70D86" w:rsidP="003079F0">
            <w:pPr>
              <w:widowControl w:val="0"/>
              <w:ind w:right="145"/>
              <w:jc w:val="left"/>
              <w:rPr>
                <w:b/>
                <w:sz w:val="20"/>
                <w:szCs w:val="20"/>
                <w:lang w:val="es-AR"/>
              </w:rPr>
            </w:pPr>
            <w:r w:rsidRPr="0060060A">
              <w:rPr>
                <w:b/>
                <w:sz w:val="20"/>
                <w:szCs w:val="20"/>
                <w:lang w:val="es-AR"/>
              </w:rPr>
              <w:t>Agentes del MAE</w:t>
            </w:r>
          </w:p>
        </w:tc>
        <w:tc>
          <w:tcPr>
            <w:tcW w:w="3699" w:type="pct"/>
          </w:tcPr>
          <w:p w:rsidR="00E70D86" w:rsidRPr="0060060A" w:rsidRDefault="00E70D86" w:rsidP="005756A0">
            <w:pPr>
              <w:widowControl w:val="0"/>
              <w:ind w:left="137" w:right="285"/>
              <w:jc w:val="both"/>
              <w:outlineLvl w:val="2"/>
              <w:rPr>
                <w:sz w:val="20"/>
                <w:szCs w:val="20"/>
                <w:lang w:val="es-AR"/>
              </w:rPr>
            </w:pPr>
            <w:r w:rsidRPr="0060060A">
              <w:rPr>
                <w:sz w:val="20"/>
                <w:szCs w:val="20"/>
                <w:lang w:val="es-AR"/>
              </w:rPr>
              <w:t>Son los agentes del MAE,</w:t>
            </w:r>
            <w:r w:rsidR="009A6499" w:rsidRPr="0060060A">
              <w:rPr>
                <w:sz w:val="20"/>
                <w:szCs w:val="20"/>
                <w:lang w:val="es-AR"/>
              </w:rPr>
              <w:t xml:space="preserve"> los agentes adherentes del MAE</w:t>
            </w:r>
            <w:r w:rsidRPr="0060060A">
              <w:rPr>
                <w:sz w:val="20"/>
                <w:szCs w:val="20"/>
                <w:lang w:val="es-AR"/>
              </w:rPr>
              <w:t xml:space="preserve">, los agentes habilitados y/o demás intervinientes o intermediarios que oportunamente </w:t>
            </w:r>
            <w:r w:rsidR="001A2A0C" w:rsidRPr="0060060A">
              <w:rPr>
                <w:sz w:val="20"/>
                <w:szCs w:val="20"/>
                <w:lang w:val="es-AR"/>
              </w:rPr>
              <w:t xml:space="preserve">sean </w:t>
            </w:r>
            <w:r w:rsidRPr="0060060A">
              <w:rPr>
                <w:sz w:val="20"/>
                <w:szCs w:val="20"/>
                <w:lang w:val="es-AR"/>
              </w:rPr>
              <w:t>autorizados por el Agente Creador para ingresar Ofertas en la rueda del Sistema SIOPEL en que se encuentre habilitada la Subasta Pública</w:t>
            </w:r>
            <w:r w:rsidR="001A2A0C" w:rsidRPr="0060060A">
              <w:rPr>
                <w:sz w:val="20"/>
                <w:szCs w:val="20"/>
                <w:lang w:val="es-AR"/>
              </w:rPr>
              <w:t xml:space="preserve"> </w:t>
            </w:r>
            <w:r w:rsidRPr="0060060A">
              <w:rPr>
                <w:sz w:val="20"/>
                <w:szCs w:val="20"/>
                <w:lang w:val="es-AR"/>
              </w:rPr>
              <w:t>de las Obligaciones Negociables, excluyendo a los efectos del presente a los Colocadores.</w:t>
            </w:r>
          </w:p>
          <w:p w:rsidR="00E70D86" w:rsidRPr="0060060A" w:rsidRDefault="00E70D86" w:rsidP="005756A0">
            <w:pPr>
              <w:widowControl w:val="0"/>
              <w:ind w:left="137" w:right="285"/>
              <w:jc w:val="both"/>
              <w:outlineLvl w:val="2"/>
              <w:rPr>
                <w:sz w:val="20"/>
                <w:szCs w:val="20"/>
                <w:lang w:val="es-AR"/>
              </w:rPr>
            </w:pPr>
          </w:p>
        </w:tc>
      </w:tr>
      <w:tr w:rsidR="00DB3CD6" w:rsidRPr="00EA1080" w:rsidTr="00EA1080">
        <w:trPr>
          <w:trHeight w:val="20"/>
        </w:trPr>
        <w:tc>
          <w:tcPr>
            <w:tcW w:w="1301" w:type="pct"/>
          </w:tcPr>
          <w:p w:rsidR="00E70D86" w:rsidRPr="0060060A" w:rsidRDefault="00E70D86" w:rsidP="003079F0">
            <w:pPr>
              <w:widowControl w:val="0"/>
              <w:ind w:right="145"/>
              <w:jc w:val="left"/>
              <w:rPr>
                <w:b/>
                <w:sz w:val="20"/>
                <w:szCs w:val="20"/>
                <w:lang w:val="es-AR"/>
              </w:rPr>
            </w:pPr>
            <w:r w:rsidRPr="0060060A">
              <w:rPr>
                <w:b/>
                <w:sz w:val="20"/>
                <w:szCs w:val="20"/>
                <w:lang w:val="es-AR"/>
              </w:rPr>
              <w:t>Agente de Liquidación</w:t>
            </w:r>
            <w:r w:rsidR="002D1CA9" w:rsidRPr="0060060A">
              <w:rPr>
                <w:b/>
                <w:sz w:val="20"/>
                <w:szCs w:val="20"/>
                <w:lang w:val="es-AR"/>
              </w:rPr>
              <w:t xml:space="preserve"> </w:t>
            </w:r>
          </w:p>
          <w:p w:rsidR="00E70D86" w:rsidRPr="0060060A" w:rsidRDefault="00E70D86" w:rsidP="003079F0">
            <w:pPr>
              <w:widowControl w:val="0"/>
              <w:ind w:right="145"/>
              <w:jc w:val="left"/>
              <w:rPr>
                <w:b/>
                <w:sz w:val="20"/>
                <w:szCs w:val="20"/>
                <w:lang w:val="es-AR"/>
              </w:rPr>
            </w:pPr>
          </w:p>
        </w:tc>
        <w:tc>
          <w:tcPr>
            <w:tcW w:w="3699" w:type="pct"/>
          </w:tcPr>
          <w:p w:rsidR="00E70D86" w:rsidRPr="0060060A" w:rsidRDefault="00E70D86" w:rsidP="003079F0">
            <w:pPr>
              <w:widowControl w:val="0"/>
              <w:ind w:left="137" w:right="427"/>
              <w:jc w:val="both"/>
              <w:rPr>
                <w:sz w:val="20"/>
                <w:szCs w:val="20"/>
                <w:lang w:val="es-AR"/>
              </w:rPr>
            </w:pPr>
            <w:r w:rsidRPr="0060060A">
              <w:rPr>
                <w:sz w:val="20"/>
                <w:szCs w:val="20"/>
                <w:lang w:val="es-AR"/>
              </w:rPr>
              <w:t>Banco Galicia</w:t>
            </w:r>
            <w:r w:rsidR="0025549C" w:rsidRPr="0060060A">
              <w:rPr>
                <w:sz w:val="20"/>
                <w:szCs w:val="20"/>
                <w:lang w:val="es-AR"/>
              </w:rPr>
              <w:t>.</w:t>
            </w:r>
            <w:r w:rsidRPr="0060060A">
              <w:rPr>
                <w:sz w:val="20"/>
                <w:szCs w:val="20"/>
                <w:lang w:val="es-AR"/>
              </w:rPr>
              <w:t xml:space="preserve"> </w:t>
            </w:r>
          </w:p>
          <w:p w:rsidR="00E70D86" w:rsidRPr="0060060A" w:rsidRDefault="00E70D86" w:rsidP="003079F0">
            <w:pPr>
              <w:widowControl w:val="0"/>
              <w:ind w:left="137" w:right="427"/>
              <w:jc w:val="both"/>
              <w:rPr>
                <w:sz w:val="20"/>
                <w:szCs w:val="20"/>
                <w:lang w:val="es-AR"/>
              </w:rPr>
            </w:pPr>
          </w:p>
        </w:tc>
      </w:tr>
      <w:tr w:rsidR="00DB3CD6" w:rsidRPr="001633B5" w:rsidTr="00EA1080">
        <w:trPr>
          <w:trHeight w:val="20"/>
        </w:trPr>
        <w:tc>
          <w:tcPr>
            <w:tcW w:w="1301" w:type="pct"/>
          </w:tcPr>
          <w:p w:rsidR="00E70D86" w:rsidRPr="00251FDB" w:rsidRDefault="00094C73" w:rsidP="003079F0">
            <w:pPr>
              <w:widowControl w:val="0"/>
              <w:ind w:right="145"/>
              <w:jc w:val="left"/>
              <w:rPr>
                <w:b/>
                <w:sz w:val="20"/>
                <w:szCs w:val="20"/>
                <w:lang w:val="es-AR"/>
              </w:rPr>
            </w:pPr>
            <w:r>
              <w:rPr>
                <w:b/>
                <w:sz w:val="20"/>
                <w:szCs w:val="20"/>
                <w:lang w:val="es-AR"/>
              </w:rPr>
              <w:t>Método</w:t>
            </w:r>
            <w:r w:rsidRPr="00251FDB">
              <w:rPr>
                <w:b/>
                <w:sz w:val="20"/>
                <w:szCs w:val="20"/>
                <w:lang w:val="es-AR"/>
              </w:rPr>
              <w:t xml:space="preserve"> </w:t>
            </w:r>
            <w:r w:rsidR="00E70D86" w:rsidRPr="00251FDB">
              <w:rPr>
                <w:b/>
                <w:sz w:val="20"/>
                <w:szCs w:val="20"/>
                <w:lang w:val="es-AR"/>
              </w:rPr>
              <w:t>de Liquidación y Compensación</w:t>
            </w:r>
          </w:p>
        </w:tc>
        <w:tc>
          <w:tcPr>
            <w:tcW w:w="3699" w:type="pct"/>
          </w:tcPr>
          <w:p w:rsidR="00E70D86" w:rsidRPr="00251FDB" w:rsidRDefault="00E70D86" w:rsidP="005756A0">
            <w:pPr>
              <w:widowControl w:val="0"/>
              <w:ind w:left="137" w:right="285"/>
              <w:jc w:val="both"/>
              <w:outlineLvl w:val="2"/>
              <w:rPr>
                <w:sz w:val="20"/>
                <w:szCs w:val="20"/>
                <w:lang w:val="es-AR"/>
              </w:rPr>
            </w:pPr>
            <w:r w:rsidRPr="00251FDB">
              <w:rPr>
                <w:sz w:val="20"/>
                <w:szCs w:val="20"/>
                <w:lang w:val="es-AR"/>
              </w:rPr>
              <w:t>MAE Clear (“</w:t>
            </w:r>
            <w:r w:rsidRPr="00251FDB">
              <w:rPr>
                <w:sz w:val="20"/>
                <w:szCs w:val="20"/>
                <w:u w:val="single"/>
                <w:lang w:val="es-AR"/>
              </w:rPr>
              <w:t>MAE Clear</w:t>
            </w:r>
            <w:r w:rsidRPr="00251FDB">
              <w:rPr>
                <w:sz w:val="20"/>
                <w:szCs w:val="20"/>
                <w:lang w:val="es-AR"/>
              </w:rPr>
              <w:t xml:space="preserve">”) o aquél que en el futuro lo reemplace y los Colocadores, en caso de que los </w:t>
            </w:r>
            <w:r w:rsidR="00F116E8">
              <w:rPr>
                <w:sz w:val="20"/>
                <w:szCs w:val="20"/>
                <w:lang w:val="es-AR"/>
              </w:rPr>
              <w:t>i</w:t>
            </w:r>
            <w:r w:rsidR="00F116E8" w:rsidRPr="00251FDB">
              <w:rPr>
                <w:sz w:val="20"/>
                <w:szCs w:val="20"/>
                <w:lang w:val="es-AR"/>
              </w:rPr>
              <w:t xml:space="preserve">nversores </w:t>
            </w:r>
            <w:r w:rsidRPr="00251FDB">
              <w:rPr>
                <w:sz w:val="20"/>
                <w:szCs w:val="20"/>
                <w:lang w:val="es-AR"/>
              </w:rPr>
              <w:t xml:space="preserve">opten por suscribir e integrar las Obligaciones Negociables Clase </w:t>
            </w:r>
            <w:r w:rsidR="00D97E76" w:rsidRPr="00251FDB">
              <w:rPr>
                <w:sz w:val="20"/>
                <w:szCs w:val="20"/>
                <w:lang w:val="es-AR"/>
              </w:rPr>
              <w:t>XLIV</w:t>
            </w:r>
            <w:r w:rsidR="00DB3FC8" w:rsidRPr="00251FDB">
              <w:rPr>
                <w:sz w:val="20"/>
                <w:szCs w:val="20"/>
                <w:lang w:val="es-AR"/>
              </w:rPr>
              <w:t xml:space="preserve"> </w:t>
            </w:r>
            <w:r w:rsidRPr="00251FDB">
              <w:rPr>
                <w:sz w:val="20"/>
                <w:szCs w:val="20"/>
                <w:lang w:val="es-AR"/>
              </w:rPr>
              <w:t>por intermedio de éstos últimos.</w:t>
            </w:r>
          </w:p>
          <w:p w:rsidR="00254AD2" w:rsidRPr="00251FDB" w:rsidRDefault="00254AD2" w:rsidP="003079F0">
            <w:pPr>
              <w:widowControl w:val="0"/>
              <w:ind w:left="137" w:right="427"/>
              <w:jc w:val="both"/>
              <w:rPr>
                <w:sz w:val="20"/>
                <w:szCs w:val="20"/>
                <w:lang w:val="es-AR"/>
              </w:rPr>
            </w:pPr>
          </w:p>
        </w:tc>
      </w:tr>
      <w:tr w:rsidR="00ED11F8" w:rsidRPr="001633B5" w:rsidTr="00EA1080">
        <w:trPr>
          <w:trHeight w:val="20"/>
        </w:trPr>
        <w:tc>
          <w:tcPr>
            <w:tcW w:w="1301" w:type="pct"/>
          </w:tcPr>
          <w:p w:rsidR="00DB3CD6" w:rsidRPr="00251FDB" w:rsidRDefault="0049449D" w:rsidP="003079F0">
            <w:pPr>
              <w:widowControl w:val="0"/>
              <w:ind w:right="145"/>
              <w:jc w:val="left"/>
              <w:rPr>
                <w:b/>
                <w:sz w:val="20"/>
                <w:szCs w:val="20"/>
                <w:lang w:val="es-AR"/>
              </w:rPr>
            </w:pPr>
            <w:r>
              <w:rPr>
                <w:b/>
                <w:sz w:val="20"/>
                <w:szCs w:val="20"/>
                <w:lang w:val="es-AR"/>
              </w:rPr>
              <w:t>Descripción</w:t>
            </w:r>
          </w:p>
        </w:tc>
        <w:tc>
          <w:tcPr>
            <w:tcW w:w="3699" w:type="pct"/>
          </w:tcPr>
          <w:p w:rsidR="00DB3CD6" w:rsidRPr="00251FDB" w:rsidRDefault="00DB3CD6" w:rsidP="005756A0">
            <w:pPr>
              <w:widowControl w:val="0"/>
              <w:ind w:left="137" w:right="285"/>
              <w:jc w:val="both"/>
              <w:outlineLvl w:val="2"/>
              <w:rPr>
                <w:sz w:val="20"/>
                <w:szCs w:val="20"/>
                <w:lang w:val="es-AR"/>
              </w:rPr>
            </w:pPr>
            <w:r w:rsidRPr="00251FDB">
              <w:rPr>
                <w:sz w:val="20"/>
                <w:szCs w:val="20"/>
                <w:lang w:val="es-AR"/>
              </w:rPr>
              <w:t>Las Obligaciones Negociables serán obligaciones negociables simples, no convertibles en acciones en los términos de la Ley de Obligaciones Negociables. Tendrán en todo momento igual prioridad de pago entre sí y respecto a todas las demás obligaciones presentes y futuras, no subordinadas y con garantía común del Emisor, salvo las obligaciones que gozaren de privilegios y/o preferencias en virtud de disposiciones legales o en virtud de disposiciones convencionales.</w:t>
            </w:r>
          </w:p>
          <w:p w:rsidR="00DB3CD6" w:rsidRPr="00251FDB" w:rsidRDefault="00DB3CD6" w:rsidP="003079F0">
            <w:pPr>
              <w:widowControl w:val="0"/>
              <w:ind w:left="137" w:right="427"/>
              <w:jc w:val="both"/>
              <w:rPr>
                <w:sz w:val="20"/>
                <w:szCs w:val="20"/>
                <w:lang w:val="es-AR"/>
              </w:rPr>
            </w:pPr>
          </w:p>
        </w:tc>
      </w:tr>
      <w:tr w:rsidR="00ED11F8" w:rsidRPr="001633B5" w:rsidTr="00EA1080">
        <w:trPr>
          <w:trHeight w:val="20"/>
        </w:trPr>
        <w:tc>
          <w:tcPr>
            <w:tcW w:w="1301" w:type="pct"/>
          </w:tcPr>
          <w:p w:rsidR="00DB3CD6" w:rsidRPr="00251FDB" w:rsidRDefault="00DB3CD6" w:rsidP="003079F0">
            <w:pPr>
              <w:widowControl w:val="0"/>
              <w:ind w:right="145"/>
              <w:jc w:val="left"/>
              <w:rPr>
                <w:b/>
                <w:sz w:val="20"/>
                <w:szCs w:val="20"/>
                <w:lang w:val="es-AR"/>
              </w:rPr>
            </w:pPr>
            <w:r w:rsidRPr="00251FDB">
              <w:rPr>
                <w:b/>
                <w:sz w:val="20"/>
                <w:szCs w:val="20"/>
                <w:lang w:val="es-AR"/>
              </w:rPr>
              <w:t>Código ISIN</w:t>
            </w:r>
          </w:p>
        </w:tc>
        <w:tc>
          <w:tcPr>
            <w:tcW w:w="3699" w:type="pct"/>
          </w:tcPr>
          <w:p w:rsidR="00F116E8" w:rsidRDefault="00F116E8" w:rsidP="00EA1080">
            <w:pPr>
              <w:widowControl w:val="0"/>
              <w:ind w:left="137" w:right="285"/>
              <w:jc w:val="both"/>
              <w:outlineLvl w:val="2"/>
              <w:rPr>
                <w:sz w:val="20"/>
                <w:szCs w:val="20"/>
                <w:lang w:val="es-AR"/>
              </w:rPr>
            </w:pPr>
            <w:r w:rsidRPr="009D7303">
              <w:rPr>
                <w:sz w:val="20"/>
                <w:szCs w:val="20"/>
                <w:lang w:val="es-AR"/>
              </w:rPr>
              <w:t>La Sociedad podrá solicitar que las Obligaciones Negociables Clase XLIV sean elegibles para su trans</w:t>
            </w:r>
            <w:r>
              <w:rPr>
                <w:sz w:val="20"/>
                <w:szCs w:val="20"/>
                <w:lang w:val="es-AR"/>
              </w:rPr>
              <w:t>ferencia a través de Euroclear, en cuyo caso el Código ISIN s</w:t>
            </w:r>
            <w:r w:rsidRPr="00251FDB">
              <w:rPr>
                <w:sz w:val="20"/>
                <w:szCs w:val="20"/>
                <w:lang w:val="es-AR"/>
              </w:rPr>
              <w:t xml:space="preserve">erá </w:t>
            </w:r>
            <w:r w:rsidR="00DB3CD6" w:rsidRPr="00251FDB">
              <w:rPr>
                <w:sz w:val="20"/>
                <w:szCs w:val="20"/>
                <w:lang w:val="es-AR"/>
              </w:rPr>
              <w:t>informado mediante un aviso complementario al presente Suplemento de Precio</w:t>
            </w:r>
            <w:r>
              <w:rPr>
                <w:sz w:val="20"/>
                <w:szCs w:val="20"/>
                <w:lang w:val="es-AR"/>
              </w:rPr>
              <w:t>.</w:t>
            </w:r>
          </w:p>
          <w:p w:rsidR="00DB3CD6" w:rsidRPr="00251FDB" w:rsidRDefault="00DB3CD6" w:rsidP="00EA1080">
            <w:pPr>
              <w:widowControl w:val="0"/>
              <w:ind w:left="137" w:right="285"/>
              <w:jc w:val="both"/>
              <w:outlineLvl w:val="2"/>
              <w:rPr>
                <w:sz w:val="20"/>
                <w:szCs w:val="20"/>
                <w:lang w:val="es-AR"/>
              </w:rPr>
            </w:pPr>
          </w:p>
        </w:tc>
      </w:tr>
      <w:tr w:rsidR="00DB3CD6" w:rsidRPr="001633B5" w:rsidTr="00EA1080">
        <w:trPr>
          <w:trHeight w:val="20"/>
        </w:trPr>
        <w:tc>
          <w:tcPr>
            <w:tcW w:w="1301" w:type="pct"/>
          </w:tcPr>
          <w:p w:rsidR="00254AD2" w:rsidRPr="00251FDB" w:rsidRDefault="00254AD2" w:rsidP="003012C8">
            <w:pPr>
              <w:widowControl w:val="0"/>
              <w:jc w:val="left"/>
              <w:rPr>
                <w:b/>
                <w:sz w:val="20"/>
                <w:szCs w:val="20"/>
                <w:lang w:val="es-AR"/>
              </w:rPr>
            </w:pPr>
            <w:r w:rsidRPr="00251FDB">
              <w:rPr>
                <w:b/>
                <w:bCs/>
                <w:sz w:val="20"/>
                <w:szCs w:val="20"/>
                <w:lang w:val="es-AR"/>
              </w:rPr>
              <w:t>Monto de la Emisión</w:t>
            </w:r>
          </w:p>
        </w:tc>
        <w:tc>
          <w:tcPr>
            <w:tcW w:w="3699" w:type="pct"/>
          </w:tcPr>
          <w:p w:rsidR="00254AD2" w:rsidRPr="00251FDB" w:rsidRDefault="00254AD2" w:rsidP="005756A0">
            <w:pPr>
              <w:widowControl w:val="0"/>
              <w:ind w:left="137" w:right="285"/>
              <w:jc w:val="both"/>
              <w:outlineLvl w:val="2"/>
              <w:rPr>
                <w:sz w:val="20"/>
                <w:szCs w:val="20"/>
                <w:lang w:val="es-AR"/>
              </w:rPr>
            </w:pPr>
            <w:r w:rsidRPr="00251FDB">
              <w:rPr>
                <w:sz w:val="20"/>
                <w:szCs w:val="20"/>
                <w:lang w:val="es-AR"/>
              </w:rPr>
              <w:t>El valor nominal total de las Obligaciones Negociables podrá alcanzar el monto</w:t>
            </w:r>
            <w:r w:rsidR="005B7F0B">
              <w:rPr>
                <w:sz w:val="20"/>
                <w:szCs w:val="20"/>
                <w:lang w:val="es-AR"/>
              </w:rPr>
              <w:t xml:space="preserve"> de hasta $1.000.000.000 (Pesos mil millones) ampliable por el</w:t>
            </w:r>
            <w:r w:rsidRPr="00251FDB">
              <w:rPr>
                <w:sz w:val="20"/>
                <w:szCs w:val="20"/>
                <w:lang w:val="es-AR"/>
              </w:rPr>
              <w:t xml:space="preserve"> máximo de hasta $</w:t>
            </w:r>
            <w:r w:rsidR="00F75D5C" w:rsidRPr="00251FDB">
              <w:rPr>
                <w:sz w:val="20"/>
                <w:szCs w:val="20"/>
                <w:lang w:val="es-AR"/>
              </w:rPr>
              <w:t>4</w:t>
            </w:r>
            <w:r w:rsidRPr="00251FDB">
              <w:rPr>
                <w:sz w:val="20"/>
                <w:szCs w:val="20"/>
                <w:lang w:val="es-AR"/>
              </w:rPr>
              <w:t>.000.000.000</w:t>
            </w:r>
            <w:r w:rsidR="00F116E8">
              <w:rPr>
                <w:sz w:val="20"/>
                <w:szCs w:val="20"/>
                <w:lang w:val="es-AR"/>
              </w:rPr>
              <w:t xml:space="preserve"> (Pesos cuatro mil millones)</w:t>
            </w:r>
            <w:r w:rsidRPr="00251FDB">
              <w:rPr>
                <w:sz w:val="20"/>
                <w:szCs w:val="20"/>
                <w:lang w:val="es-AR"/>
              </w:rPr>
              <w:t>.</w:t>
            </w:r>
          </w:p>
          <w:p w:rsidR="00254AD2" w:rsidRPr="00251FDB" w:rsidRDefault="00254AD2" w:rsidP="005756A0">
            <w:pPr>
              <w:widowControl w:val="0"/>
              <w:ind w:left="137" w:right="285"/>
              <w:jc w:val="both"/>
              <w:outlineLvl w:val="2"/>
              <w:rPr>
                <w:sz w:val="20"/>
                <w:szCs w:val="20"/>
                <w:lang w:val="es-AR"/>
              </w:rPr>
            </w:pPr>
          </w:p>
          <w:p w:rsidR="00F529E8" w:rsidRPr="00251FDB" w:rsidRDefault="00254AD2" w:rsidP="00F529E8">
            <w:pPr>
              <w:widowControl w:val="0"/>
              <w:ind w:left="137" w:right="285"/>
              <w:jc w:val="both"/>
              <w:outlineLvl w:val="2"/>
              <w:rPr>
                <w:sz w:val="20"/>
                <w:szCs w:val="20"/>
                <w:lang w:val="es-AR"/>
              </w:rPr>
            </w:pPr>
            <w:r w:rsidRPr="00251FDB">
              <w:rPr>
                <w:sz w:val="20"/>
                <w:szCs w:val="20"/>
                <w:lang w:val="es-AR"/>
              </w:rPr>
              <w:t>El monto definitivo de la emisión será determinado con anterioridad a la Fecha de Emisión y Liquidación e informado mediante la publicación del Aviso de Resultados</w:t>
            </w:r>
            <w:r w:rsidR="00F116E8">
              <w:rPr>
                <w:sz w:val="20"/>
                <w:szCs w:val="20"/>
                <w:lang w:val="es-AR"/>
              </w:rPr>
              <w:t xml:space="preserve"> (conforme dicho término se define más adelante en el presente)</w:t>
            </w:r>
            <w:r w:rsidRPr="00251FDB">
              <w:rPr>
                <w:sz w:val="20"/>
                <w:szCs w:val="20"/>
                <w:lang w:val="es-AR"/>
              </w:rPr>
              <w:t xml:space="preserve"> el día del cierre del Período de Subasta Pública.</w:t>
            </w:r>
          </w:p>
          <w:p w:rsidR="00F529E8" w:rsidRPr="00251FDB" w:rsidRDefault="00F529E8" w:rsidP="00F529E8">
            <w:pPr>
              <w:widowControl w:val="0"/>
              <w:ind w:left="137" w:right="285"/>
              <w:jc w:val="both"/>
              <w:outlineLvl w:val="2"/>
              <w:rPr>
                <w:sz w:val="20"/>
                <w:szCs w:val="20"/>
                <w:lang w:val="es-AR"/>
              </w:rPr>
            </w:pPr>
          </w:p>
          <w:p w:rsidR="00F529E8" w:rsidRPr="008D06DF" w:rsidRDefault="008D06DF" w:rsidP="003012C8">
            <w:pPr>
              <w:widowControl w:val="0"/>
              <w:ind w:left="137" w:right="285"/>
              <w:jc w:val="both"/>
              <w:outlineLvl w:val="2"/>
              <w:rPr>
                <w:b/>
                <w:sz w:val="20"/>
                <w:szCs w:val="20"/>
                <w:lang w:val="es-AR"/>
              </w:rPr>
            </w:pPr>
            <w:r w:rsidRPr="00EA1080">
              <w:rPr>
                <w:b/>
                <w:sz w:val="20"/>
                <w:szCs w:val="20"/>
                <w:lang w:val="es-AR"/>
              </w:rPr>
              <w:t>El Emisor podrá declarar desierto el proceso de adjudicación de las Obligaciones Negociables, lo cual implicará que no se emitirá Obligación Negociable alguna. Esta circunstancia no generará responsabilidad alguna por parte de</w:t>
            </w:r>
            <w:r w:rsidR="003F5803">
              <w:rPr>
                <w:b/>
                <w:sz w:val="20"/>
                <w:szCs w:val="20"/>
                <w:lang w:val="es-AR"/>
              </w:rPr>
              <w:t xml:space="preserve"> los</w:t>
            </w:r>
            <w:r w:rsidRPr="00EA1080">
              <w:rPr>
                <w:b/>
                <w:sz w:val="20"/>
                <w:szCs w:val="20"/>
                <w:lang w:val="es-AR"/>
              </w:rPr>
              <w:t xml:space="preserve"> Colocador</w:t>
            </w:r>
            <w:r w:rsidR="003F5803">
              <w:rPr>
                <w:b/>
                <w:sz w:val="20"/>
                <w:szCs w:val="20"/>
                <w:lang w:val="es-AR"/>
              </w:rPr>
              <w:t>es</w:t>
            </w:r>
            <w:r w:rsidRPr="00EA1080">
              <w:rPr>
                <w:b/>
                <w:sz w:val="20"/>
                <w:szCs w:val="20"/>
                <w:lang w:val="es-AR"/>
              </w:rPr>
              <w:t xml:space="preserve"> ni otorgará a los inversores derecho a compensación ni indemnización alguna. </w:t>
            </w:r>
          </w:p>
          <w:p w:rsidR="00254AD2" w:rsidRPr="00251FDB" w:rsidRDefault="00254AD2" w:rsidP="003012C8">
            <w:pPr>
              <w:widowControl w:val="0"/>
              <w:ind w:left="137" w:right="285"/>
              <w:jc w:val="both"/>
              <w:outlineLvl w:val="2"/>
              <w:rPr>
                <w:sz w:val="20"/>
                <w:szCs w:val="20"/>
                <w:lang w:val="es-AR"/>
              </w:rPr>
            </w:pPr>
          </w:p>
        </w:tc>
      </w:tr>
      <w:tr w:rsidR="00DB3CD6" w:rsidRPr="001633B5" w:rsidTr="00EA1080">
        <w:trPr>
          <w:trHeight w:val="20"/>
        </w:trPr>
        <w:tc>
          <w:tcPr>
            <w:tcW w:w="1301" w:type="pct"/>
          </w:tcPr>
          <w:p w:rsidR="00254AD2" w:rsidRPr="00251FDB" w:rsidRDefault="00254AD2" w:rsidP="00254AD2">
            <w:pPr>
              <w:widowControl w:val="0"/>
              <w:jc w:val="left"/>
              <w:rPr>
                <w:b/>
                <w:bCs/>
                <w:sz w:val="20"/>
                <w:szCs w:val="20"/>
                <w:lang w:val="es-AR"/>
              </w:rPr>
            </w:pPr>
            <w:r w:rsidRPr="00251FDB">
              <w:rPr>
                <w:b/>
                <w:bCs/>
                <w:sz w:val="20"/>
                <w:szCs w:val="20"/>
                <w:lang w:val="es-AR"/>
              </w:rPr>
              <w:t>Moneda de Suscripción y Pago</w:t>
            </w:r>
          </w:p>
        </w:tc>
        <w:tc>
          <w:tcPr>
            <w:tcW w:w="3699" w:type="pct"/>
          </w:tcPr>
          <w:p w:rsidR="00254AD2" w:rsidRPr="002217AD" w:rsidRDefault="00254AD2" w:rsidP="005756A0">
            <w:pPr>
              <w:widowControl w:val="0"/>
              <w:ind w:left="137" w:right="285"/>
              <w:jc w:val="both"/>
              <w:outlineLvl w:val="2"/>
              <w:rPr>
                <w:sz w:val="20"/>
                <w:szCs w:val="20"/>
                <w:lang w:val="es-AR"/>
              </w:rPr>
            </w:pPr>
            <w:r w:rsidRPr="00251FDB">
              <w:rPr>
                <w:sz w:val="20"/>
                <w:szCs w:val="20"/>
                <w:lang w:val="es-AR"/>
              </w:rPr>
              <w:t>Las Obligaciones Negociables estarán denominadas en Pesos, y todos los pagos que se efectúen bajo las mismas se realizarán en Pesos, en la República Argentina.</w:t>
            </w:r>
          </w:p>
          <w:p w:rsidR="00254AD2" w:rsidRPr="00251FDB" w:rsidRDefault="00254AD2">
            <w:pPr>
              <w:widowControl w:val="0"/>
              <w:ind w:left="137" w:right="569"/>
              <w:jc w:val="both"/>
              <w:outlineLvl w:val="2"/>
              <w:rPr>
                <w:sz w:val="20"/>
                <w:szCs w:val="20"/>
                <w:lang w:val="es-AR"/>
              </w:rPr>
            </w:pPr>
          </w:p>
        </w:tc>
      </w:tr>
      <w:tr w:rsidR="00DB3CD6" w:rsidRPr="001633B5" w:rsidTr="00EA1080">
        <w:trPr>
          <w:trHeight w:val="20"/>
        </w:trPr>
        <w:tc>
          <w:tcPr>
            <w:tcW w:w="1301" w:type="pct"/>
          </w:tcPr>
          <w:p w:rsidR="00254AD2" w:rsidRPr="00251FDB" w:rsidRDefault="00254AD2" w:rsidP="00254AD2">
            <w:pPr>
              <w:widowControl w:val="0"/>
              <w:jc w:val="left"/>
              <w:rPr>
                <w:b/>
                <w:bCs/>
                <w:sz w:val="20"/>
                <w:szCs w:val="20"/>
                <w:lang w:val="es-AR"/>
              </w:rPr>
            </w:pPr>
            <w:r w:rsidRPr="00251FDB">
              <w:rPr>
                <w:b/>
                <w:sz w:val="20"/>
                <w:szCs w:val="20"/>
                <w:lang w:val="es-AR"/>
              </w:rPr>
              <w:t>Unidad Mínima de Negociación</w:t>
            </w:r>
          </w:p>
        </w:tc>
        <w:tc>
          <w:tcPr>
            <w:tcW w:w="3699" w:type="pct"/>
          </w:tcPr>
          <w:p w:rsidR="00254AD2" w:rsidRPr="00251FDB" w:rsidRDefault="00254AD2" w:rsidP="00254AD2">
            <w:pPr>
              <w:widowControl w:val="0"/>
              <w:ind w:left="137" w:right="285"/>
              <w:jc w:val="both"/>
              <w:rPr>
                <w:sz w:val="20"/>
                <w:szCs w:val="20"/>
                <w:lang w:val="es-AR"/>
              </w:rPr>
            </w:pPr>
            <w:r w:rsidRPr="00251FDB">
              <w:rPr>
                <w:sz w:val="20"/>
                <w:szCs w:val="20"/>
                <w:lang w:val="es-AR"/>
              </w:rPr>
              <w:t>La unidad mínima de negociación de las Obligaciones Negociables será de $1</w:t>
            </w:r>
            <w:r w:rsidR="00D21D68">
              <w:rPr>
                <w:sz w:val="20"/>
                <w:szCs w:val="20"/>
                <w:lang w:val="es-AR"/>
              </w:rPr>
              <w:t xml:space="preserve"> (Pesos uno)</w:t>
            </w:r>
            <w:r w:rsidRPr="00251FDB">
              <w:rPr>
                <w:sz w:val="20"/>
                <w:szCs w:val="20"/>
                <w:lang w:val="es-AR"/>
              </w:rPr>
              <w:t xml:space="preserve"> y múltiplos enteros de $1</w:t>
            </w:r>
            <w:r w:rsidR="00D21D68">
              <w:rPr>
                <w:sz w:val="20"/>
                <w:szCs w:val="20"/>
                <w:lang w:val="es-AR"/>
              </w:rPr>
              <w:t xml:space="preserve"> (Pesos uno)</w:t>
            </w:r>
            <w:r w:rsidRPr="00251FDB">
              <w:rPr>
                <w:sz w:val="20"/>
                <w:szCs w:val="20"/>
                <w:lang w:val="es-AR"/>
              </w:rPr>
              <w:t xml:space="preserve"> por encima de dicho monto.</w:t>
            </w:r>
          </w:p>
          <w:p w:rsidR="00254AD2" w:rsidRPr="00251FDB" w:rsidRDefault="00254AD2" w:rsidP="00254AD2">
            <w:pPr>
              <w:widowControl w:val="0"/>
              <w:ind w:left="137" w:right="285"/>
              <w:jc w:val="both"/>
              <w:rPr>
                <w:sz w:val="20"/>
                <w:szCs w:val="20"/>
                <w:lang w:val="es-AR"/>
              </w:rPr>
            </w:pPr>
          </w:p>
        </w:tc>
      </w:tr>
      <w:tr w:rsidR="00DB3CD6" w:rsidRPr="001633B5" w:rsidTr="00EA1080">
        <w:trPr>
          <w:trHeight w:val="20"/>
        </w:trPr>
        <w:tc>
          <w:tcPr>
            <w:tcW w:w="1301" w:type="pct"/>
          </w:tcPr>
          <w:p w:rsidR="00254AD2" w:rsidRPr="00251FDB" w:rsidRDefault="00254AD2" w:rsidP="00254AD2">
            <w:pPr>
              <w:widowControl w:val="0"/>
              <w:jc w:val="left"/>
              <w:rPr>
                <w:b/>
                <w:sz w:val="20"/>
                <w:szCs w:val="20"/>
                <w:lang w:val="es-AR"/>
              </w:rPr>
            </w:pPr>
            <w:r w:rsidRPr="00251FDB">
              <w:rPr>
                <w:b/>
                <w:sz w:val="20"/>
                <w:szCs w:val="20"/>
                <w:lang w:val="es-AR"/>
              </w:rPr>
              <w:t>Monto Mínimo de Suscripción</w:t>
            </w:r>
          </w:p>
        </w:tc>
        <w:tc>
          <w:tcPr>
            <w:tcW w:w="3699" w:type="pct"/>
          </w:tcPr>
          <w:p w:rsidR="00254AD2" w:rsidRPr="00251FDB" w:rsidRDefault="00254AD2" w:rsidP="00254AD2">
            <w:pPr>
              <w:widowControl w:val="0"/>
              <w:ind w:left="137" w:right="285"/>
              <w:jc w:val="both"/>
              <w:rPr>
                <w:sz w:val="20"/>
                <w:szCs w:val="20"/>
                <w:lang w:val="es-AR"/>
              </w:rPr>
            </w:pPr>
            <w:r w:rsidRPr="00251FDB">
              <w:rPr>
                <w:sz w:val="20"/>
                <w:szCs w:val="20"/>
                <w:lang w:val="es-AR"/>
              </w:rPr>
              <w:t xml:space="preserve">El </w:t>
            </w:r>
            <w:r w:rsidRPr="0060060A">
              <w:rPr>
                <w:sz w:val="20"/>
                <w:szCs w:val="20"/>
                <w:lang w:val="es-AR"/>
              </w:rPr>
              <w:t xml:space="preserve">monto mínimo de suscripción de las Obligaciones Negociables será de $5.000 </w:t>
            </w:r>
            <w:r w:rsidR="00D21D68" w:rsidRPr="0060060A">
              <w:rPr>
                <w:sz w:val="20"/>
                <w:szCs w:val="20"/>
                <w:lang w:val="es-AR"/>
              </w:rPr>
              <w:t xml:space="preserve">(Pesos cinco mil) </w:t>
            </w:r>
            <w:r w:rsidRPr="0060060A">
              <w:rPr>
                <w:sz w:val="20"/>
                <w:szCs w:val="20"/>
                <w:lang w:val="es-AR"/>
              </w:rPr>
              <w:t>y múltiplos enteros de $1</w:t>
            </w:r>
            <w:r w:rsidR="00D21D68" w:rsidRPr="0060060A">
              <w:rPr>
                <w:sz w:val="20"/>
                <w:szCs w:val="20"/>
                <w:lang w:val="es-AR"/>
              </w:rPr>
              <w:t xml:space="preserve"> (Pesos uno)</w:t>
            </w:r>
            <w:r w:rsidRPr="0060060A">
              <w:rPr>
                <w:sz w:val="20"/>
                <w:szCs w:val="20"/>
                <w:lang w:val="es-AR"/>
              </w:rPr>
              <w:t xml:space="preserve"> por encima de dicho monto.</w:t>
            </w:r>
          </w:p>
          <w:p w:rsidR="00254AD2" w:rsidRPr="00251FDB" w:rsidRDefault="00254AD2" w:rsidP="00254AD2">
            <w:pPr>
              <w:widowControl w:val="0"/>
              <w:ind w:left="137" w:right="285"/>
              <w:jc w:val="both"/>
              <w:rPr>
                <w:sz w:val="20"/>
                <w:szCs w:val="20"/>
                <w:lang w:val="es-AR"/>
              </w:rPr>
            </w:pPr>
          </w:p>
        </w:tc>
      </w:tr>
      <w:tr w:rsidR="00DB3CD6" w:rsidRPr="001633B5" w:rsidTr="00EA1080">
        <w:trPr>
          <w:trHeight w:val="20"/>
        </w:trPr>
        <w:tc>
          <w:tcPr>
            <w:tcW w:w="1301" w:type="pct"/>
          </w:tcPr>
          <w:p w:rsidR="00254AD2" w:rsidRPr="00251FDB" w:rsidRDefault="00254AD2" w:rsidP="00254AD2">
            <w:pPr>
              <w:widowControl w:val="0"/>
              <w:jc w:val="left"/>
              <w:rPr>
                <w:b/>
                <w:sz w:val="20"/>
                <w:szCs w:val="20"/>
                <w:lang w:val="es-AR"/>
              </w:rPr>
            </w:pPr>
            <w:r w:rsidRPr="00251FDB">
              <w:rPr>
                <w:b/>
                <w:sz w:val="20"/>
                <w:szCs w:val="20"/>
                <w:lang w:val="es-AR"/>
              </w:rPr>
              <w:t>Valor Nominal Unitario</w:t>
            </w:r>
          </w:p>
        </w:tc>
        <w:tc>
          <w:tcPr>
            <w:tcW w:w="3699" w:type="pct"/>
          </w:tcPr>
          <w:p w:rsidR="00254AD2" w:rsidRPr="00251FDB" w:rsidRDefault="00254AD2" w:rsidP="00254AD2">
            <w:pPr>
              <w:widowControl w:val="0"/>
              <w:ind w:left="137" w:right="285"/>
              <w:jc w:val="both"/>
              <w:rPr>
                <w:sz w:val="20"/>
                <w:szCs w:val="20"/>
                <w:lang w:val="es-AR"/>
              </w:rPr>
            </w:pPr>
            <w:r w:rsidRPr="00251FDB">
              <w:rPr>
                <w:sz w:val="20"/>
                <w:szCs w:val="20"/>
                <w:lang w:val="es-AR"/>
              </w:rPr>
              <w:t>El valor nominal unitario de las Obligaciones Negociables será de $1</w:t>
            </w:r>
            <w:r w:rsidR="00D21D68">
              <w:rPr>
                <w:sz w:val="20"/>
                <w:szCs w:val="20"/>
                <w:lang w:val="es-AR"/>
              </w:rPr>
              <w:t xml:space="preserve"> (Pesos uno)</w:t>
            </w:r>
            <w:r w:rsidRPr="00251FDB">
              <w:rPr>
                <w:sz w:val="20"/>
                <w:szCs w:val="20"/>
                <w:lang w:val="es-AR"/>
              </w:rPr>
              <w:t>.</w:t>
            </w:r>
          </w:p>
          <w:p w:rsidR="00254AD2" w:rsidRPr="00251FDB" w:rsidRDefault="00254AD2" w:rsidP="00254AD2">
            <w:pPr>
              <w:widowControl w:val="0"/>
              <w:ind w:left="137" w:right="285"/>
              <w:jc w:val="both"/>
              <w:rPr>
                <w:sz w:val="20"/>
                <w:szCs w:val="20"/>
                <w:lang w:val="es-AR"/>
              </w:rPr>
            </w:pPr>
          </w:p>
        </w:tc>
      </w:tr>
      <w:tr w:rsidR="00DB3CD6" w:rsidRPr="001633B5" w:rsidTr="00EA1080">
        <w:trPr>
          <w:trHeight w:val="20"/>
        </w:trPr>
        <w:tc>
          <w:tcPr>
            <w:tcW w:w="1301" w:type="pct"/>
          </w:tcPr>
          <w:p w:rsidR="0083350E" w:rsidRPr="00251FDB" w:rsidRDefault="0083350E" w:rsidP="0083350E">
            <w:pPr>
              <w:widowControl w:val="0"/>
              <w:jc w:val="left"/>
              <w:rPr>
                <w:b/>
                <w:sz w:val="20"/>
                <w:szCs w:val="20"/>
                <w:lang w:val="es-AR"/>
              </w:rPr>
            </w:pPr>
            <w:r w:rsidRPr="00251FDB">
              <w:rPr>
                <w:b/>
                <w:sz w:val="20"/>
                <w:szCs w:val="20"/>
                <w:lang w:val="es-AR"/>
              </w:rPr>
              <w:t>Precio de Suscripción</w:t>
            </w:r>
          </w:p>
        </w:tc>
        <w:tc>
          <w:tcPr>
            <w:tcW w:w="3699" w:type="pct"/>
          </w:tcPr>
          <w:p w:rsidR="0083350E" w:rsidRPr="00251FDB" w:rsidRDefault="0083350E" w:rsidP="0083350E">
            <w:pPr>
              <w:widowControl w:val="0"/>
              <w:ind w:left="137" w:right="285"/>
              <w:jc w:val="both"/>
              <w:rPr>
                <w:sz w:val="20"/>
                <w:szCs w:val="20"/>
                <w:lang w:val="es-AR"/>
              </w:rPr>
            </w:pPr>
            <w:r w:rsidRPr="00251FDB">
              <w:rPr>
                <w:sz w:val="20"/>
                <w:szCs w:val="20"/>
                <w:lang w:val="es-AR"/>
              </w:rPr>
              <w:t>Las Obligaciones Negociables serán emitidas al 100% de su valor nominal.</w:t>
            </w:r>
          </w:p>
          <w:p w:rsidR="0083350E" w:rsidRPr="00251FDB" w:rsidRDefault="0083350E" w:rsidP="0083350E">
            <w:pPr>
              <w:widowControl w:val="0"/>
              <w:ind w:left="137" w:right="285"/>
              <w:jc w:val="both"/>
              <w:rPr>
                <w:sz w:val="20"/>
                <w:szCs w:val="20"/>
                <w:lang w:val="es-AR"/>
              </w:rPr>
            </w:pPr>
          </w:p>
        </w:tc>
      </w:tr>
      <w:tr w:rsidR="00DB3CD6" w:rsidRPr="001633B5" w:rsidTr="00EA1080">
        <w:trPr>
          <w:trHeight w:val="20"/>
        </w:trPr>
        <w:tc>
          <w:tcPr>
            <w:tcW w:w="1301" w:type="pct"/>
          </w:tcPr>
          <w:p w:rsidR="00893BB8" w:rsidRPr="00251FDB" w:rsidRDefault="00893BB8" w:rsidP="00893BB8">
            <w:pPr>
              <w:widowControl w:val="0"/>
              <w:jc w:val="left"/>
              <w:rPr>
                <w:b/>
                <w:sz w:val="20"/>
                <w:szCs w:val="20"/>
                <w:lang w:val="es-AR"/>
              </w:rPr>
            </w:pPr>
            <w:r w:rsidRPr="00251FDB">
              <w:rPr>
                <w:b/>
                <w:bCs/>
                <w:sz w:val="20"/>
                <w:szCs w:val="20"/>
                <w:lang w:val="es-AR"/>
              </w:rPr>
              <w:t>Fecha de Emisión y Liquidación</w:t>
            </w:r>
          </w:p>
        </w:tc>
        <w:tc>
          <w:tcPr>
            <w:tcW w:w="3699" w:type="pct"/>
          </w:tcPr>
          <w:p w:rsidR="00893BB8" w:rsidRDefault="00893BB8" w:rsidP="00893BB8">
            <w:pPr>
              <w:widowControl w:val="0"/>
              <w:ind w:left="137" w:right="285"/>
              <w:jc w:val="both"/>
              <w:rPr>
                <w:sz w:val="20"/>
                <w:szCs w:val="20"/>
                <w:lang w:val="es-AR"/>
              </w:rPr>
            </w:pPr>
            <w:r w:rsidRPr="009B26F9">
              <w:rPr>
                <w:sz w:val="20"/>
                <w:szCs w:val="20"/>
                <w:lang w:val="es-AR"/>
              </w:rPr>
              <w:t xml:space="preserve">Tendrá lugar dentro de los 3 </w:t>
            </w:r>
            <w:r w:rsidR="0025549C" w:rsidRPr="009B26F9">
              <w:rPr>
                <w:sz w:val="20"/>
                <w:szCs w:val="20"/>
                <w:lang w:val="es-AR"/>
              </w:rPr>
              <w:t xml:space="preserve">(tres) </w:t>
            </w:r>
            <w:r w:rsidRPr="009B26F9">
              <w:rPr>
                <w:sz w:val="20"/>
                <w:szCs w:val="20"/>
                <w:lang w:val="es-AR"/>
              </w:rPr>
              <w:t xml:space="preserve">Días Hábiles siguientes al fin del </w:t>
            </w:r>
            <w:r w:rsidRPr="009B26F9">
              <w:rPr>
                <w:color w:val="000000"/>
                <w:sz w:val="20"/>
                <w:szCs w:val="20"/>
                <w:lang w:val="es-AR"/>
              </w:rPr>
              <w:t>Período de Subasta Pública</w:t>
            </w:r>
            <w:r w:rsidRPr="008F2C84">
              <w:rPr>
                <w:sz w:val="20"/>
                <w:szCs w:val="20"/>
                <w:lang w:val="es-AR"/>
              </w:rPr>
              <w:t xml:space="preserve"> en la fecha que será informada en el Aviso de Suscripción (conforme este término se</w:t>
            </w:r>
            <w:r w:rsidRPr="00251FDB">
              <w:rPr>
                <w:sz w:val="20"/>
                <w:szCs w:val="20"/>
                <w:lang w:val="es-AR"/>
              </w:rPr>
              <w:t xml:space="preserve"> </w:t>
            </w:r>
            <w:r w:rsidR="0049449D">
              <w:rPr>
                <w:sz w:val="20"/>
                <w:szCs w:val="20"/>
                <w:lang w:val="es-AR"/>
              </w:rPr>
              <w:t>más adelante en el presente</w:t>
            </w:r>
            <w:r w:rsidRPr="00251FDB">
              <w:rPr>
                <w:sz w:val="20"/>
                <w:szCs w:val="20"/>
                <w:lang w:val="es-AR"/>
              </w:rPr>
              <w:t xml:space="preserve">). </w:t>
            </w:r>
            <w:r w:rsidR="0049449D" w:rsidRPr="00EA1080">
              <w:rPr>
                <w:sz w:val="20"/>
                <w:szCs w:val="20"/>
                <w:lang w:val="es-AR"/>
              </w:rPr>
              <w:t>Para mayor información, véase “</w:t>
            </w:r>
            <w:r w:rsidR="0049449D" w:rsidRPr="00EA1080">
              <w:rPr>
                <w:i/>
                <w:iCs/>
                <w:sz w:val="20"/>
                <w:szCs w:val="20"/>
                <w:lang w:val="es-AR"/>
              </w:rPr>
              <w:t xml:space="preserve">Plan de Distribución – </w:t>
            </w:r>
            <w:r w:rsidR="0049449D">
              <w:rPr>
                <w:i/>
                <w:iCs/>
                <w:sz w:val="20"/>
                <w:szCs w:val="20"/>
                <w:lang w:val="es-AR"/>
              </w:rPr>
              <w:t>Suscripción e integración</w:t>
            </w:r>
            <w:r w:rsidR="0049449D" w:rsidRPr="00EA1080">
              <w:rPr>
                <w:sz w:val="20"/>
                <w:szCs w:val="20"/>
                <w:lang w:val="es-AR"/>
              </w:rPr>
              <w:t>” en este Suplemento de Precio</w:t>
            </w:r>
            <w:r w:rsidR="0049449D" w:rsidRPr="00251FDB" w:rsidDel="0049449D">
              <w:rPr>
                <w:sz w:val="20"/>
                <w:szCs w:val="20"/>
                <w:lang w:val="es-AR"/>
              </w:rPr>
              <w:t xml:space="preserve"> </w:t>
            </w:r>
          </w:p>
          <w:p w:rsidR="0049449D" w:rsidRPr="00251FDB" w:rsidRDefault="0049449D" w:rsidP="00893BB8">
            <w:pPr>
              <w:widowControl w:val="0"/>
              <w:ind w:left="137" w:right="285"/>
              <w:jc w:val="both"/>
              <w:rPr>
                <w:sz w:val="20"/>
                <w:szCs w:val="20"/>
                <w:lang w:val="es-AR"/>
              </w:rPr>
            </w:pPr>
          </w:p>
        </w:tc>
      </w:tr>
      <w:tr w:rsidR="00DB3CD6" w:rsidRPr="001633B5" w:rsidTr="00EA1080">
        <w:trPr>
          <w:trHeight w:val="20"/>
        </w:trPr>
        <w:tc>
          <w:tcPr>
            <w:tcW w:w="1301" w:type="pct"/>
          </w:tcPr>
          <w:p w:rsidR="00254AD2" w:rsidRPr="00251FDB" w:rsidRDefault="00254AD2" w:rsidP="00254AD2">
            <w:pPr>
              <w:widowControl w:val="0"/>
              <w:jc w:val="left"/>
              <w:rPr>
                <w:b/>
                <w:bCs/>
                <w:sz w:val="20"/>
                <w:szCs w:val="20"/>
                <w:lang w:val="es-AR"/>
              </w:rPr>
            </w:pPr>
            <w:r w:rsidRPr="00251FDB">
              <w:rPr>
                <w:b/>
                <w:bCs/>
                <w:sz w:val="20"/>
                <w:szCs w:val="20"/>
                <w:lang w:val="es-AR"/>
              </w:rPr>
              <w:t xml:space="preserve">Integración </w:t>
            </w:r>
          </w:p>
          <w:p w:rsidR="00254AD2" w:rsidRPr="00251FDB" w:rsidRDefault="00254AD2" w:rsidP="00254AD2">
            <w:pPr>
              <w:widowControl w:val="0"/>
              <w:jc w:val="left"/>
              <w:rPr>
                <w:b/>
                <w:sz w:val="20"/>
                <w:szCs w:val="20"/>
                <w:lang w:val="es-AR"/>
              </w:rPr>
            </w:pPr>
          </w:p>
        </w:tc>
        <w:tc>
          <w:tcPr>
            <w:tcW w:w="3699" w:type="pct"/>
          </w:tcPr>
          <w:p w:rsidR="0049449D" w:rsidRPr="002217AD" w:rsidRDefault="0049449D" w:rsidP="002217AD">
            <w:pPr>
              <w:autoSpaceDE w:val="0"/>
              <w:autoSpaceDN w:val="0"/>
              <w:adjustRightInd w:val="0"/>
              <w:ind w:left="137" w:right="285"/>
              <w:jc w:val="both"/>
              <w:rPr>
                <w:sz w:val="20"/>
                <w:szCs w:val="20"/>
                <w:lang w:val="es-AR"/>
              </w:rPr>
            </w:pPr>
            <w:r w:rsidRPr="00EA1080">
              <w:rPr>
                <w:sz w:val="20"/>
                <w:szCs w:val="20"/>
                <w:lang w:val="es-AR"/>
              </w:rPr>
              <w:t xml:space="preserve">Las Obligaciones Negociables serán suscriptas e integradas en Pesos directamente por los </w:t>
            </w:r>
            <w:r w:rsidR="0025549C">
              <w:rPr>
                <w:sz w:val="20"/>
                <w:szCs w:val="20"/>
                <w:lang w:val="es-AR"/>
              </w:rPr>
              <w:t>i</w:t>
            </w:r>
            <w:r w:rsidRPr="00EA1080">
              <w:rPr>
                <w:sz w:val="20"/>
                <w:szCs w:val="20"/>
                <w:lang w:val="es-AR"/>
              </w:rPr>
              <w:t>nversores en la Fecha de Emisión y Liquidación,</w:t>
            </w:r>
            <w:r w:rsidR="0025549C">
              <w:rPr>
                <w:sz w:val="20"/>
                <w:szCs w:val="20"/>
                <w:lang w:val="es-AR"/>
              </w:rPr>
              <w:t xml:space="preserve"> mediante</w:t>
            </w:r>
            <w:r w:rsidRPr="00EA1080">
              <w:rPr>
                <w:sz w:val="20"/>
                <w:szCs w:val="20"/>
                <w:lang w:val="es-AR"/>
              </w:rPr>
              <w:t xml:space="preserve"> </w:t>
            </w:r>
            <w:r w:rsidRPr="0049449D">
              <w:rPr>
                <w:sz w:val="20"/>
                <w:szCs w:val="20"/>
                <w:lang w:val="es-AR"/>
              </w:rPr>
              <w:t xml:space="preserve">(i) transferencia electrónica </w:t>
            </w:r>
            <w:r>
              <w:rPr>
                <w:sz w:val="20"/>
                <w:szCs w:val="20"/>
                <w:lang w:val="es-AR"/>
              </w:rPr>
              <w:t xml:space="preserve">del correspondiente precio a la </w:t>
            </w:r>
            <w:r w:rsidRPr="0049449D">
              <w:rPr>
                <w:sz w:val="20"/>
                <w:szCs w:val="20"/>
                <w:lang w:val="es-AR"/>
              </w:rPr>
              <w:t>cuenta que se indique en el formulario de</w:t>
            </w:r>
            <w:r>
              <w:rPr>
                <w:sz w:val="20"/>
                <w:szCs w:val="20"/>
                <w:lang w:val="es-AR"/>
              </w:rPr>
              <w:t xml:space="preserve"> las Órdenes de Compra y/o (ii) </w:t>
            </w:r>
            <w:r w:rsidRPr="0049449D">
              <w:rPr>
                <w:sz w:val="20"/>
                <w:szCs w:val="20"/>
                <w:lang w:val="es-AR"/>
              </w:rPr>
              <w:t xml:space="preserve">el débito del correspondiente precio de </w:t>
            </w:r>
            <w:r>
              <w:rPr>
                <w:sz w:val="20"/>
                <w:szCs w:val="20"/>
                <w:lang w:val="es-AR"/>
              </w:rPr>
              <w:t xml:space="preserve">la cuenta del suscriptor que se </w:t>
            </w:r>
            <w:r w:rsidRPr="0049449D">
              <w:rPr>
                <w:sz w:val="20"/>
                <w:szCs w:val="20"/>
                <w:lang w:val="es-AR"/>
              </w:rPr>
              <w:t>indique en la correspondiente Orden de Compra</w:t>
            </w:r>
            <w:r>
              <w:rPr>
                <w:bCs/>
                <w:sz w:val="20"/>
                <w:szCs w:val="20"/>
                <w:lang w:val="es-AR"/>
              </w:rPr>
              <w:t xml:space="preserve"> </w:t>
            </w:r>
            <w:r w:rsidRPr="00EA1080">
              <w:rPr>
                <w:sz w:val="20"/>
                <w:szCs w:val="20"/>
                <w:lang w:val="es-AR"/>
              </w:rPr>
              <w:t>y serán acreditadas según se detalla en “</w:t>
            </w:r>
            <w:r>
              <w:rPr>
                <w:i/>
                <w:iCs/>
                <w:sz w:val="20"/>
                <w:szCs w:val="20"/>
                <w:lang w:val="es-AR"/>
              </w:rPr>
              <w:t xml:space="preserve">Plan de Distribución </w:t>
            </w:r>
            <w:r w:rsidR="00874553" w:rsidRPr="00233C44">
              <w:rPr>
                <w:i/>
                <w:iCs/>
                <w:sz w:val="20"/>
                <w:szCs w:val="20"/>
                <w:lang w:val="es-AR"/>
              </w:rPr>
              <w:t xml:space="preserve">– </w:t>
            </w:r>
            <w:r w:rsidR="00874553">
              <w:rPr>
                <w:i/>
                <w:iCs/>
                <w:sz w:val="20"/>
                <w:szCs w:val="20"/>
                <w:lang w:val="es-AR"/>
              </w:rPr>
              <w:t>Suscripción e integración</w:t>
            </w:r>
            <w:r>
              <w:rPr>
                <w:i/>
                <w:iCs/>
                <w:sz w:val="20"/>
                <w:szCs w:val="20"/>
                <w:lang w:val="es-AR"/>
              </w:rPr>
              <w:t xml:space="preserve"> </w:t>
            </w:r>
            <w:r w:rsidRPr="00EA1080">
              <w:rPr>
                <w:sz w:val="20"/>
                <w:szCs w:val="20"/>
                <w:lang w:val="es-AR"/>
              </w:rPr>
              <w:t>” de este Suplemento de Precio.</w:t>
            </w:r>
          </w:p>
          <w:p w:rsidR="00442010" w:rsidRPr="00251FDB" w:rsidRDefault="00442010" w:rsidP="00EA1080">
            <w:pPr>
              <w:ind w:right="285"/>
              <w:jc w:val="both"/>
              <w:rPr>
                <w:sz w:val="20"/>
                <w:szCs w:val="20"/>
                <w:lang w:val="es-AR"/>
              </w:rPr>
            </w:pPr>
          </w:p>
        </w:tc>
      </w:tr>
      <w:tr w:rsidR="00DB3CD6" w:rsidRPr="001633B5" w:rsidTr="00EA1080">
        <w:trPr>
          <w:trHeight w:val="20"/>
        </w:trPr>
        <w:tc>
          <w:tcPr>
            <w:tcW w:w="1301" w:type="pct"/>
          </w:tcPr>
          <w:p w:rsidR="00254AD2" w:rsidRPr="00251FDB" w:rsidRDefault="00254AD2" w:rsidP="00254AD2">
            <w:pPr>
              <w:widowControl w:val="0"/>
              <w:jc w:val="left"/>
              <w:rPr>
                <w:b/>
                <w:sz w:val="20"/>
                <w:szCs w:val="20"/>
                <w:lang w:val="es-AR"/>
              </w:rPr>
            </w:pPr>
            <w:r w:rsidRPr="00251FDB">
              <w:rPr>
                <w:b/>
                <w:sz w:val="20"/>
                <w:szCs w:val="20"/>
                <w:lang w:val="es-AR"/>
              </w:rPr>
              <w:t>Forma</w:t>
            </w:r>
          </w:p>
        </w:tc>
        <w:tc>
          <w:tcPr>
            <w:tcW w:w="3699" w:type="pct"/>
          </w:tcPr>
          <w:p w:rsidR="00254AD2" w:rsidRPr="00251FDB" w:rsidRDefault="00254AD2" w:rsidP="00254AD2">
            <w:pPr>
              <w:widowControl w:val="0"/>
              <w:ind w:left="137" w:right="285"/>
              <w:jc w:val="both"/>
              <w:rPr>
                <w:sz w:val="20"/>
                <w:szCs w:val="20"/>
                <w:lang w:val="es-AR"/>
              </w:rPr>
            </w:pPr>
            <w:r w:rsidRPr="00251FDB">
              <w:rPr>
                <w:sz w:val="20"/>
                <w:szCs w:val="20"/>
                <w:lang w:val="es-AR"/>
              </w:rPr>
              <w:t>Las Obligaciones Negociables se encontrarán representadas bajo la forma de un certificado global que será depositado por el Emisor en el sistema de depósito colectivo llevado por Caja de Valores S.A. (la “</w:t>
            </w:r>
            <w:r w:rsidRPr="00251FDB">
              <w:rPr>
                <w:sz w:val="20"/>
                <w:szCs w:val="20"/>
                <w:u w:val="single"/>
                <w:lang w:val="es-AR"/>
              </w:rPr>
              <w:t>Caja de Valores</w:t>
            </w:r>
            <w:r w:rsidRPr="00251FDB">
              <w:rPr>
                <w:sz w:val="20"/>
                <w:szCs w:val="20"/>
                <w:lang w:val="es-AR"/>
              </w:rPr>
              <w:t xml:space="preserve">”). Las transferencias se realizarán dentro del sistema de depósito colectivo, conforme a la Ley N° 20.643 y al Título VIII de las Normas de la CNV, encontrándose habilitada la Caja de Valores para cobrar aranceles a los depositantes, que éstos podrán trasladar a los tenedores. </w:t>
            </w:r>
          </w:p>
          <w:p w:rsidR="00254AD2" w:rsidRPr="00251FDB" w:rsidRDefault="00254AD2" w:rsidP="00254AD2">
            <w:pPr>
              <w:widowControl w:val="0"/>
              <w:ind w:left="137" w:right="285"/>
              <w:jc w:val="both"/>
              <w:rPr>
                <w:sz w:val="20"/>
                <w:szCs w:val="20"/>
                <w:lang w:val="es-AR"/>
              </w:rPr>
            </w:pPr>
          </w:p>
          <w:p w:rsidR="00254AD2" w:rsidRPr="00251FDB" w:rsidRDefault="00254AD2" w:rsidP="00254AD2">
            <w:pPr>
              <w:widowControl w:val="0"/>
              <w:ind w:left="137" w:right="285"/>
              <w:jc w:val="both"/>
              <w:rPr>
                <w:sz w:val="20"/>
                <w:szCs w:val="20"/>
                <w:lang w:val="es-AR"/>
              </w:rPr>
            </w:pPr>
            <w:r w:rsidRPr="00251FDB">
              <w:rPr>
                <w:sz w:val="20"/>
                <w:szCs w:val="20"/>
                <w:lang w:val="es-AR"/>
              </w:rPr>
              <w:t>El artículo 131 de la Ley de Mercado de Capitales establece que se podrán expedir comprobantes de los valores representados en certificados globales a favor de las personas que tengan una participación en los mismos, a los efectos de legitimar al titular para reclamar judicialmente, incluso mediante acción ejecutiva, para lo cual será suficiente título dicho comprobante, sin necesidad de autenticación u otro requisito.</w:t>
            </w:r>
          </w:p>
          <w:p w:rsidR="00254AD2" w:rsidRPr="00251FDB" w:rsidRDefault="00254AD2" w:rsidP="00254AD2">
            <w:pPr>
              <w:widowControl w:val="0"/>
              <w:ind w:left="137" w:right="285"/>
              <w:jc w:val="both"/>
              <w:rPr>
                <w:sz w:val="20"/>
                <w:szCs w:val="20"/>
                <w:lang w:val="es-AR"/>
              </w:rPr>
            </w:pPr>
          </w:p>
        </w:tc>
      </w:tr>
      <w:tr w:rsidR="00ED11F8" w:rsidRPr="001633B5" w:rsidTr="00EA1080">
        <w:trPr>
          <w:trHeight w:val="20"/>
        </w:trPr>
        <w:tc>
          <w:tcPr>
            <w:tcW w:w="1301" w:type="pct"/>
          </w:tcPr>
          <w:p w:rsidR="00254AD2" w:rsidRPr="00251FDB" w:rsidRDefault="0083350E" w:rsidP="00254AD2">
            <w:pPr>
              <w:widowControl w:val="0"/>
              <w:jc w:val="left"/>
              <w:rPr>
                <w:b/>
                <w:sz w:val="20"/>
                <w:szCs w:val="20"/>
                <w:lang w:val="es-AR"/>
              </w:rPr>
            </w:pPr>
            <w:r w:rsidRPr="00251FDB">
              <w:rPr>
                <w:b/>
                <w:sz w:val="20"/>
                <w:szCs w:val="20"/>
                <w:lang w:val="es-AR"/>
              </w:rPr>
              <w:t xml:space="preserve">Tasa de Interés </w:t>
            </w:r>
          </w:p>
        </w:tc>
        <w:tc>
          <w:tcPr>
            <w:tcW w:w="3699" w:type="pct"/>
          </w:tcPr>
          <w:p w:rsidR="0083350E" w:rsidRPr="00251FDB" w:rsidRDefault="00874553" w:rsidP="002217AD">
            <w:pPr>
              <w:widowControl w:val="0"/>
              <w:ind w:left="137" w:right="285"/>
              <w:jc w:val="both"/>
              <w:rPr>
                <w:sz w:val="20"/>
                <w:szCs w:val="20"/>
                <w:lang w:val="es-AR"/>
              </w:rPr>
            </w:pPr>
            <w:r w:rsidRPr="00251FDB">
              <w:rPr>
                <w:sz w:val="20"/>
                <w:szCs w:val="20"/>
                <w:lang w:val="es-AR"/>
              </w:rPr>
              <w:t>L</w:t>
            </w:r>
            <w:r>
              <w:rPr>
                <w:sz w:val="20"/>
                <w:szCs w:val="20"/>
                <w:lang w:val="es-AR"/>
              </w:rPr>
              <w:t>a</w:t>
            </w:r>
            <w:r w:rsidRPr="00251FDB">
              <w:rPr>
                <w:sz w:val="20"/>
                <w:szCs w:val="20"/>
                <w:lang w:val="es-AR"/>
              </w:rPr>
              <w:t xml:space="preserve">s </w:t>
            </w:r>
            <w:r w:rsidR="0083350E" w:rsidRPr="00251FDB">
              <w:rPr>
                <w:sz w:val="20"/>
                <w:szCs w:val="20"/>
                <w:lang w:val="es-AR"/>
              </w:rPr>
              <w:t xml:space="preserve">Obligaciones Negociables </w:t>
            </w:r>
            <w:r>
              <w:rPr>
                <w:sz w:val="20"/>
                <w:szCs w:val="20"/>
                <w:lang w:val="es-AR"/>
              </w:rPr>
              <w:t>devengarán intereses</w:t>
            </w:r>
            <w:r w:rsidR="0083350E" w:rsidRPr="00251FDB">
              <w:rPr>
                <w:sz w:val="20"/>
                <w:szCs w:val="20"/>
                <w:lang w:val="es-AR"/>
              </w:rPr>
              <w:t xml:space="preserve"> a una tasa</w:t>
            </w:r>
            <w:r>
              <w:rPr>
                <w:sz w:val="20"/>
                <w:szCs w:val="20"/>
                <w:lang w:val="es-AR"/>
              </w:rPr>
              <w:t xml:space="preserve"> de interés</w:t>
            </w:r>
            <w:r w:rsidR="0083350E" w:rsidRPr="00251FDB">
              <w:rPr>
                <w:sz w:val="20"/>
                <w:szCs w:val="20"/>
                <w:lang w:val="es-AR"/>
              </w:rPr>
              <w:t xml:space="preserve"> variable</w:t>
            </w:r>
            <w:r>
              <w:rPr>
                <w:sz w:val="20"/>
                <w:szCs w:val="20"/>
                <w:lang w:val="es-AR"/>
              </w:rPr>
              <w:t xml:space="preserve"> anual</w:t>
            </w:r>
            <w:r w:rsidR="0083350E" w:rsidRPr="00251FDB">
              <w:rPr>
                <w:sz w:val="20"/>
                <w:szCs w:val="20"/>
                <w:lang w:val="es-AR"/>
              </w:rPr>
              <w:t xml:space="preserve">, que será </w:t>
            </w:r>
            <w:r>
              <w:rPr>
                <w:sz w:val="20"/>
                <w:szCs w:val="20"/>
                <w:lang w:val="es-AR"/>
              </w:rPr>
              <w:t>equivalente a la suma de (i)</w:t>
            </w:r>
            <w:r w:rsidR="0083350E" w:rsidRPr="00251FDB">
              <w:rPr>
                <w:sz w:val="20"/>
                <w:szCs w:val="20"/>
                <w:lang w:val="es-AR"/>
              </w:rPr>
              <w:t xml:space="preserve"> la Tasa de Referencia más</w:t>
            </w:r>
            <w:r>
              <w:rPr>
                <w:sz w:val="20"/>
                <w:szCs w:val="20"/>
                <w:lang w:val="es-AR"/>
              </w:rPr>
              <w:t>; (ii)</w:t>
            </w:r>
            <w:r w:rsidR="0083350E" w:rsidRPr="00251FDB">
              <w:rPr>
                <w:sz w:val="20"/>
                <w:szCs w:val="20"/>
                <w:lang w:val="es-AR"/>
              </w:rPr>
              <w:t xml:space="preserve"> el Margen de Corte (conforme ambos términos son definidos más adelante) (la “</w:t>
            </w:r>
            <w:r w:rsidR="0083350E" w:rsidRPr="00251FDB">
              <w:rPr>
                <w:sz w:val="20"/>
                <w:szCs w:val="20"/>
                <w:u w:val="single"/>
                <w:lang w:val="es-AR"/>
              </w:rPr>
              <w:t>Tasa de Interés</w:t>
            </w:r>
            <w:r w:rsidR="0083350E" w:rsidRPr="00251FDB">
              <w:rPr>
                <w:sz w:val="20"/>
                <w:szCs w:val="20"/>
                <w:lang w:val="es-AR"/>
              </w:rPr>
              <w:t>”). La Tasa de Interés será calculada por el Emisor e informada por éste en el aviso de pago respectivo, a ser publicado por un día en el Boletín Diario de la BCBA, en la Página Web de la CNV</w:t>
            </w:r>
            <w:r w:rsidR="00200B5A" w:rsidRPr="00251FDB">
              <w:rPr>
                <w:sz w:val="20"/>
                <w:szCs w:val="20"/>
                <w:lang w:val="es-AR"/>
              </w:rPr>
              <w:t>, en la Página Web del MAE</w:t>
            </w:r>
            <w:r w:rsidR="0083350E" w:rsidRPr="00251FDB">
              <w:rPr>
                <w:sz w:val="20"/>
                <w:szCs w:val="20"/>
                <w:lang w:val="es-AR"/>
              </w:rPr>
              <w:t xml:space="preserve"> y en la Página Web Institucional. </w:t>
            </w:r>
          </w:p>
          <w:p w:rsidR="00254AD2" w:rsidRPr="00251FDB" w:rsidRDefault="00254AD2" w:rsidP="00254AD2">
            <w:pPr>
              <w:widowControl w:val="0"/>
              <w:ind w:left="137" w:right="285"/>
              <w:jc w:val="both"/>
              <w:rPr>
                <w:sz w:val="20"/>
                <w:szCs w:val="20"/>
                <w:lang w:val="es-MX"/>
              </w:rPr>
            </w:pPr>
          </w:p>
        </w:tc>
      </w:tr>
      <w:tr w:rsidR="00ED11F8" w:rsidRPr="001633B5" w:rsidTr="00EA1080">
        <w:trPr>
          <w:trHeight w:val="20"/>
        </w:trPr>
        <w:tc>
          <w:tcPr>
            <w:tcW w:w="1301" w:type="pct"/>
          </w:tcPr>
          <w:p w:rsidR="0083350E" w:rsidRPr="00251FDB" w:rsidRDefault="0083350E" w:rsidP="0083350E">
            <w:pPr>
              <w:widowControl w:val="0"/>
              <w:jc w:val="left"/>
              <w:rPr>
                <w:b/>
                <w:sz w:val="20"/>
                <w:szCs w:val="20"/>
                <w:lang w:val="es-AR"/>
              </w:rPr>
            </w:pPr>
            <w:r w:rsidRPr="00251FDB">
              <w:rPr>
                <w:b/>
                <w:sz w:val="20"/>
                <w:szCs w:val="20"/>
                <w:lang w:val="es-AR"/>
              </w:rPr>
              <w:t>Tasa de Referencia</w:t>
            </w:r>
          </w:p>
          <w:p w:rsidR="0083350E" w:rsidRPr="00251FDB" w:rsidRDefault="0083350E" w:rsidP="00254AD2">
            <w:pPr>
              <w:widowControl w:val="0"/>
              <w:jc w:val="left"/>
              <w:rPr>
                <w:b/>
                <w:sz w:val="20"/>
                <w:szCs w:val="20"/>
                <w:lang w:val="es-AR"/>
              </w:rPr>
            </w:pPr>
          </w:p>
        </w:tc>
        <w:tc>
          <w:tcPr>
            <w:tcW w:w="3699" w:type="pct"/>
          </w:tcPr>
          <w:p w:rsidR="0083350E" w:rsidRPr="00251FDB" w:rsidRDefault="001015CB" w:rsidP="002217AD">
            <w:pPr>
              <w:widowControl w:val="0"/>
              <w:ind w:left="137" w:right="285"/>
              <w:jc w:val="both"/>
              <w:rPr>
                <w:sz w:val="20"/>
                <w:szCs w:val="20"/>
                <w:lang w:val="es-AR"/>
              </w:rPr>
            </w:pPr>
            <w:r>
              <w:rPr>
                <w:sz w:val="20"/>
                <w:szCs w:val="20"/>
                <w:lang w:val="es-AR"/>
              </w:rPr>
              <w:t>S</w:t>
            </w:r>
            <w:r w:rsidR="0083350E" w:rsidRPr="00251FDB">
              <w:rPr>
                <w:sz w:val="20"/>
                <w:szCs w:val="20"/>
                <w:lang w:val="es-AR"/>
              </w:rPr>
              <w:t xml:space="preserve">erá el promedio aritmético simple de la Tasa </w:t>
            </w:r>
            <w:r w:rsidRPr="00251FDB">
              <w:rPr>
                <w:sz w:val="20"/>
                <w:szCs w:val="20"/>
                <w:lang w:val="es-AR"/>
              </w:rPr>
              <w:t xml:space="preserve">BADLAR </w:t>
            </w:r>
            <w:r w:rsidR="0083350E" w:rsidRPr="00251FDB">
              <w:rPr>
                <w:sz w:val="20"/>
                <w:szCs w:val="20"/>
                <w:lang w:val="es-AR"/>
              </w:rPr>
              <w:t xml:space="preserve">Privada (o, en caso de que el BCRA suspenda </w:t>
            </w:r>
            <w:r>
              <w:rPr>
                <w:sz w:val="20"/>
                <w:szCs w:val="20"/>
                <w:lang w:val="es-AR"/>
              </w:rPr>
              <w:t>su</w:t>
            </w:r>
            <w:r w:rsidRPr="00251FDB">
              <w:rPr>
                <w:sz w:val="20"/>
                <w:szCs w:val="20"/>
                <w:lang w:val="es-AR"/>
              </w:rPr>
              <w:t xml:space="preserve"> </w:t>
            </w:r>
            <w:r w:rsidR="0083350E" w:rsidRPr="00251FDB">
              <w:rPr>
                <w:sz w:val="20"/>
                <w:szCs w:val="20"/>
                <w:lang w:val="es-AR"/>
              </w:rPr>
              <w:t xml:space="preserve">publicación, </w:t>
            </w:r>
            <w:r>
              <w:rPr>
                <w:sz w:val="20"/>
                <w:szCs w:val="20"/>
                <w:lang w:val="es-AR"/>
              </w:rPr>
              <w:t>de</w:t>
            </w:r>
            <w:r w:rsidRPr="00251FDB">
              <w:rPr>
                <w:sz w:val="20"/>
                <w:szCs w:val="20"/>
                <w:lang w:val="es-AR"/>
              </w:rPr>
              <w:t xml:space="preserve"> </w:t>
            </w:r>
            <w:r w:rsidR="0083350E" w:rsidRPr="00251FDB">
              <w:rPr>
                <w:sz w:val="20"/>
                <w:szCs w:val="20"/>
                <w:lang w:val="es-AR"/>
              </w:rPr>
              <w:t xml:space="preserve">la Tasa Sustituta) </w:t>
            </w:r>
            <w:r w:rsidRPr="00EA1080">
              <w:rPr>
                <w:sz w:val="20"/>
                <w:szCs w:val="20"/>
                <w:lang w:val="es-AR"/>
              </w:rPr>
              <w:t>publicada por el Banco Central</w:t>
            </w:r>
            <w:r>
              <w:rPr>
                <w:sz w:val="20"/>
                <w:szCs w:val="20"/>
                <w:lang w:val="es-AR"/>
              </w:rPr>
              <w:t xml:space="preserve"> </w:t>
            </w:r>
            <w:r w:rsidR="0083350E" w:rsidRPr="00251FDB">
              <w:rPr>
                <w:sz w:val="20"/>
                <w:szCs w:val="20"/>
                <w:lang w:val="es-AR"/>
              </w:rPr>
              <w:t>durante el período que se inicia el octavo Día Hábil anterior al inicio de cada Período de</w:t>
            </w:r>
            <w:r>
              <w:rPr>
                <w:sz w:val="20"/>
                <w:szCs w:val="20"/>
                <w:lang w:val="es-AR"/>
              </w:rPr>
              <w:t xml:space="preserve"> </w:t>
            </w:r>
            <w:r w:rsidRPr="002217AD">
              <w:rPr>
                <w:sz w:val="20"/>
                <w:szCs w:val="20"/>
                <w:lang w:val="es-AR"/>
              </w:rPr>
              <w:t>Devengamiento de</w:t>
            </w:r>
            <w:r w:rsidR="0083350E" w:rsidRPr="002217AD">
              <w:rPr>
                <w:sz w:val="20"/>
                <w:szCs w:val="20"/>
                <w:lang w:val="es-AR"/>
              </w:rPr>
              <w:t xml:space="preserve"> Intereses</w:t>
            </w:r>
            <w:r w:rsidR="0083350E" w:rsidRPr="00251FDB">
              <w:rPr>
                <w:sz w:val="20"/>
                <w:szCs w:val="20"/>
                <w:lang w:val="es-AR"/>
              </w:rPr>
              <w:t xml:space="preserve"> y finaliza el octavo Día Hábil anterior a la </w:t>
            </w:r>
            <w:r w:rsidR="0083350E" w:rsidRPr="002217AD">
              <w:rPr>
                <w:sz w:val="20"/>
                <w:szCs w:val="20"/>
                <w:lang w:val="es-AR"/>
              </w:rPr>
              <w:t>Fecha de Pago de</w:t>
            </w:r>
            <w:r w:rsidR="0083350E" w:rsidRPr="00251FDB">
              <w:rPr>
                <w:sz w:val="20"/>
                <w:szCs w:val="20"/>
                <w:lang w:val="es-AR"/>
              </w:rPr>
              <w:t xml:space="preserve"> Intereses correspondiente</w:t>
            </w:r>
            <w:r>
              <w:rPr>
                <w:sz w:val="20"/>
                <w:szCs w:val="20"/>
                <w:lang w:val="es-AR"/>
              </w:rPr>
              <w:t xml:space="preserve"> (conforme dichos términos se definen a continuación)</w:t>
            </w:r>
            <w:r w:rsidR="0083350E" w:rsidRPr="00251FDB">
              <w:rPr>
                <w:sz w:val="20"/>
                <w:szCs w:val="20"/>
                <w:lang w:val="es-AR"/>
              </w:rPr>
              <w:t xml:space="preserve">. </w:t>
            </w:r>
          </w:p>
          <w:p w:rsidR="0083350E" w:rsidRPr="00251FDB" w:rsidRDefault="0083350E" w:rsidP="005756A0">
            <w:pPr>
              <w:widowControl w:val="0"/>
              <w:ind w:left="137" w:right="285"/>
              <w:jc w:val="both"/>
              <w:rPr>
                <w:sz w:val="20"/>
                <w:szCs w:val="20"/>
                <w:lang w:val="es-AR"/>
              </w:rPr>
            </w:pPr>
          </w:p>
          <w:p w:rsidR="0083350E" w:rsidRPr="00251FDB" w:rsidRDefault="0083350E" w:rsidP="005756A0">
            <w:pPr>
              <w:widowControl w:val="0"/>
              <w:ind w:left="137" w:right="285"/>
              <w:jc w:val="both"/>
              <w:rPr>
                <w:sz w:val="20"/>
                <w:szCs w:val="20"/>
                <w:lang w:val="es-AR"/>
              </w:rPr>
            </w:pPr>
            <w:r w:rsidRPr="00251FDB">
              <w:rPr>
                <w:sz w:val="20"/>
                <w:szCs w:val="20"/>
                <w:lang w:val="es-AR"/>
              </w:rPr>
              <w:t>“</w:t>
            </w:r>
            <w:r w:rsidRPr="00EA1080">
              <w:rPr>
                <w:sz w:val="20"/>
                <w:szCs w:val="20"/>
                <w:u w:val="single"/>
                <w:lang w:val="es-AR"/>
              </w:rPr>
              <w:t xml:space="preserve">Tasa </w:t>
            </w:r>
            <w:r w:rsidR="001015CB" w:rsidRPr="002217AD">
              <w:rPr>
                <w:sz w:val="20"/>
                <w:szCs w:val="20"/>
                <w:u w:val="single"/>
                <w:lang w:val="es-AR"/>
              </w:rPr>
              <w:t xml:space="preserve">BADLAR </w:t>
            </w:r>
            <w:r w:rsidRPr="00EA1080">
              <w:rPr>
                <w:sz w:val="20"/>
                <w:szCs w:val="20"/>
                <w:u w:val="single"/>
                <w:lang w:val="es-AR"/>
              </w:rPr>
              <w:t>Privada</w:t>
            </w:r>
            <w:r w:rsidRPr="00251FDB">
              <w:rPr>
                <w:sz w:val="20"/>
                <w:szCs w:val="20"/>
                <w:lang w:val="es-AR"/>
              </w:rPr>
              <w:t xml:space="preserve">” significa la tasa de interés para depósitos a plazo fijo de más de $1.000.000, </w:t>
            </w:r>
            <w:r w:rsidR="001015CB" w:rsidRPr="00EA1080">
              <w:rPr>
                <w:sz w:val="20"/>
                <w:szCs w:val="20"/>
                <w:lang w:val="es-AR"/>
              </w:rPr>
              <w:t xml:space="preserve">por períodos de entre treinta (30) y treinta y cinco (35) </w:t>
            </w:r>
            <w:r w:rsidR="001015CB">
              <w:rPr>
                <w:sz w:val="20"/>
                <w:szCs w:val="20"/>
                <w:lang w:val="es-AR"/>
              </w:rPr>
              <w:t xml:space="preserve">días de </w:t>
            </w:r>
            <w:r w:rsidRPr="00251FDB">
              <w:rPr>
                <w:sz w:val="20"/>
                <w:szCs w:val="20"/>
                <w:lang w:val="es-AR"/>
              </w:rPr>
              <w:t xml:space="preserve">plazo </w:t>
            </w:r>
            <w:r w:rsidR="001015CB">
              <w:rPr>
                <w:sz w:val="20"/>
                <w:szCs w:val="20"/>
                <w:lang w:val="es-AR"/>
              </w:rPr>
              <w:t>de</w:t>
            </w:r>
            <w:r w:rsidRPr="00251FDB">
              <w:rPr>
                <w:sz w:val="20"/>
                <w:szCs w:val="20"/>
                <w:lang w:val="es-AR"/>
              </w:rPr>
              <w:t xml:space="preserve"> bancos privados</w:t>
            </w:r>
            <w:r w:rsidR="001015CB">
              <w:rPr>
                <w:sz w:val="20"/>
                <w:szCs w:val="20"/>
                <w:lang w:val="es-AR"/>
              </w:rPr>
              <w:t xml:space="preserve"> de la República Argentina</w:t>
            </w:r>
            <w:r w:rsidRPr="00251FDB">
              <w:rPr>
                <w:sz w:val="20"/>
                <w:szCs w:val="20"/>
                <w:lang w:val="es-AR"/>
              </w:rPr>
              <w:t xml:space="preserve">, publicada por el BCRA en su página web (www.bcra.gov.ar). </w:t>
            </w:r>
          </w:p>
          <w:p w:rsidR="0083350E" w:rsidRPr="00251FDB" w:rsidRDefault="0083350E" w:rsidP="005756A0">
            <w:pPr>
              <w:widowControl w:val="0"/>
              <w:ind w:left="137" w:right="285"/>
              <w:jc w:val="both"/>
              <w:rPr>
                <w:sz w:val="20"/>
                <w:szCs w:val="20"/>
                <w:lang w:val="es-AR"/>
              </w:rPr>
            </w:pPr>
          </w:p>
          <w:p w:rsidR="0083350E" w:rsidRPr="00251FDB" w:rsidRDefault="0083350E" w:rsidP="005756A0">
            <w:pPr>
              <w:widowControl w:val="0"/>
              <w:ind w:left="137" w:right="285"/>
              <w:jc w:val="both"/>
              <w:rPr>
                <w:sz w:val="20"/>
                <w:szCs w:val="20"/>
                <w:lang w:val="es-AR"/>
              </w:rPr>
            </w:pPr>
            <w:r w:rsidRPr="00251FDB">
              <w:rPr>
                <w:sz w:val="20"/>
                <w:szCs w:val="20"/>
                <w:lang w:val="es-AR"/>
              </w:rPr>
              <w:t>“</w:t>
            </w:r>
            <w:r w:rsidRPr="00EA1080">
              <w:rPr>
                <w:sz w:val="20"/>
                <w:szCs w:val="20"/>
                <w:u w:val="single"/>
                <w:lang w:val="es-AR"/>
              </w:rPr>
              <w:t>Tasa Sustituta</w:t>
            </w:r>
            <w:r w:rsidRPr="00251FDB">
              <w:rPr>
                <w:sz w:val="20"/>
                <w:szCs w:val="20"/>
                <w:lang w:val="es-AR"/>
              </w:rPr>
              <w:t xml:space="preserve">” significa (i) la tasa sustituta de la Tasa </w:t>
            </w:r>
            <w:r w:rsidR="001015CB" w:rsidRPr="00251FDB">
              <w:rPr>
                <w:sz w:val="20"/>
                <w:szCs w:val="20"/>
                <w:lang w:val="es-AR"/>
              </w:rPr>
              <w:t xml:space="preserve">BADLAR </w:t>
            </w:r>
            <w:r w:rsidRPr="00251FDB">
              <w:rPr>
                <w:sz w:val="20"/>
                <w:szCs w:val="20"/>
                <w:lang w:val="es-AR"/>
              </w:rPr>
              <w:t xml:space="preserve">Privada que informe el BCRA; o (ii) en caso de no existir dicha tasa sustituta, el promedio (calculado por el Emisor) de tasas informadas para depósitos de idéntico plazo (30 a 35 días) y similar monto por los cinco primeros bancos privados según el último informe de depósitos disponible publicado por el BCRA. </w:t>
            </w:r>
          </w:p>
          <w:p w:rsidR="0083350E" w:rsidRPr="00251FDB" w:rsidRDefault="0083350E" w:rsidP="0083350E">
            <w:pPr>
              <w:pStyle w:val="Default"/>
              <w:ind w:left="137" w:right="569"/>
              <w:jc w:val="both"/>
              <w:rPr>
                <w:sz w:val="20"/>
                <w:szCs w:val="20"/>
                <w:lang w:val="es-MX"/>
              </w:rPr>
            </w:pPr>
          </w:p>
        </w:tc>
      </w:tr>
      <w:tr w:rsidR="00ED11F8" w:rsidRPr="001633B5" w:rsidTr="00EA1080">
        <w:trPr>
          <w:trHeight w:val="20"/>
        </w:trPr>
        <w:tc>
          <w:tcPr>
            <w:tcW w:w="1301" w:type="pct"/>
          </w:tcPr>
          <w:p w:rsidR="0083350E" w:rsidRPr="00251FDB" w:rsidRDefault="0083350E" w:rsidP="00254AD2">
            <w:pPr>
              <w:widowControl w:val="0"/>
              <w:jc w:val="left"/>
              <w:rPr>
                <w:b/>
                <w:sz w:val="20"/>
                <w:szCs w:val="20"/>
                <w:lang w:val="es-AR"/>
              </w:rPr>
            </w:pPr>
            <w:r w:rsidRPr="00251FDB">
              <w:rPr>
                <w:b/>
                <w:sz w:val="20"/>
                <w:szCs w:val="20"/>
                <w:lang w:val="es-AR"/>
              </w:rPr>
              <w:t>Margen de Corte</w:t>
            </w:r>
          </w:p>
        </w:tc>
        <w:tc>
          <w:tcPr>
            <w:tcW w:w="3699" w:type="pct"/>
          </w:tcPr>
          <w:p w:rsidR="0083350E" w:rsidRPr="00251FDB" w:rsidRDefault="0083350E" w:rsidP="002217AD">
            <w:pPr>
              <w:widowControl w:val="0"/>
              <w:ind w:left="137" w:right="285"/>
              <w:jc w:val="both"/>
              <w:rPr>
                <w:sz w:val="20"/>
                <w:szCs w:val="20"/>
                <w:lang w:val="es-AR"/>
              </w:rPr>
            </w:pPr>
            <w:r w:rsidRPr="00251FDB">
              <w:rPr>
                <w:sz w:val="20"/>
                <w:szCs w:val="20"/>
                <w:lang w:val="es-AR"/>
              </w:rPr>
              <w:t xml:space="preserve">Es </w:t>
            </w:r>
            <w:r w:rsidR="00AE0688">
              <w:rPr>
                <w:sz w:val="20"/>
                <w:szCs w:val="20"/>
                <w:lang w:val="es-AR"/>
              </w:rPr>
              <w:t>la cantidad de puntos básicos</w:t>
            </w:r>
            <w:r w:rsidRPr="00251FDB">
              <w:rPr>
                <w:sz w:val="20"/>
                <w:szCs w:val="20"/>
                <w:lang w:val="es-AR"/>
              </w:rPr>
              <w:t xml:space="preserve"> que se debe adicionar a la Tasa de Referencia </w:t>
            </w:r>
            <w:r w:rsidR="00AE0688" w:rsidRPr="00EA1080">
              <w:rPr>
                <w:sz w:val="20"/>
                <w:szCs w:val="20"/>
                <w:lang w:val="es-AR"/>
              </w:rPr>
              <w:t>en cada Período de Devengamiento de Intereses</w:t>
            </w:r>
            <w:r w:rsidR="00AE0688" w:rsidRPr="002217AD">
              <w:rPr>
                <w:sz w:val="20"/>
                <w:szCs w:val="20"/>
                <w:lang w:val="es-AR"/>
              </w:rPr>
              <w:t xml:space="preserve">. </w:t>
            </w:r>
            <w:r w:rsidR="00AE0688">
              <w:rPr>
                <w:sz w:val="20"/>
                <w:szCs w:val="20"/>
                <w:lang w:val="es-AR"/>
              </w:rPr>
              <w:t xml:space="preserve">El Margen de Corte </w:t>
            </w:r>
            <w:r w:rsidRPr="00251FDB">
              <w:rPr>
                <w:sz w:val="20"/>
                <w:szCs w:val="20"/>
                <w:lang w:val="es-AR"/>
              </w:rPr>
              <w:t xml:space="preserve">se determinará una vez finalizado el Período de Subasta Pública, </w:t>
            </w:r>
            <w:r w:rsidR="00AE0688">
              <w:rPr>
                <w:sz w:val="20"/>
                <w:szCs w:val="20"/>
                <w:lang w:val="es-AR"/>
              </w:rPr>
              <w:t>de acuerdo con el</w:t>
            </w:r>
            <w:r w:rsidRPr="00251FDB">
              <w:rPr>
                <w:sz w:val="20"/>
                <w:szCs w:val="20"/>
                <w:lang w:val="es-AR"/>
              </w:rPr>
              <w:t xml:space="preserve"> procedimiento que se establece más abajo en el título “</w:t>
            </w:r>
            <w:r w:rsidRPr="00251FDB">
              <w:rPr>
                <w:i/>
                <w:sz w:val="20"/>
                <w:szCs w:val="20"/>
                <w:lang w:val="es-AR"/>
              </w:rPr>
              <w:t>Plan de Distribución</w:t>
            </w:r>
            <w:r w:rsidRPr="00251FDB">
              <w:rPr>
                <w:sz w:val="20"/>
                <w:szCs w:val="20"/>
                <w:lang w:val="es-AR"/>
              </w:rPr>
              <w:t xml:space="preserve">” y que será informado a los </w:t>
            </w:r>
            <w:r w:rsidR="0025549C">
              <w:rPr>
                <w:sz w:val="20"/>
                <w:szCs w:val="20"/>
                <w:lang w:val="es-AR"/>
              </w:rPr>
              <w:t>i</w:t>
            </w:r>
            <w:r w:rsidR="0025549C" w:rsidRPr="00251FDB">
              <w:rPr>
                <w:sz w:val="20"/>
                <w:szCs w:val="20"/>
                <w:lang w:val="es-AR"/>
              </w:rPr>
              <w:t xml:space="preserve">nversores </w:t>
            </w:r>
            <w:r w:rsidRPr="00251FDB">
              <w:rPr>
                <w:sz w:val="20"/>
                <w:szCs w:val="20"/>
                <w:lang w:val="es-AR"/>
              </w:rPr>
              <w:t xml:space="preserve">mediante el Aviso de Resultados. </w:t>
            </w:r>
          </w:p>
          <w:p w:rsidR="0083350E" w:rsidRPr="00251FDB" w:rsidRDefault="0083350E" w:rsidP="0083350E">
            <w:pPr>
              <w:pStyle w:val="Default"/>
              <w:ind w:left="137" w:right="569"/>
              <w:jc w:val="both"/>
              <w:rPr>
                <w:sz w:val="20"/>
                <w:szCs w:val="20"/>
              </w:rPr>
            </w:pPr>
          </w:p>
        </w:tc>
      </w:tr>
      <w:tr w:rsidR="00AE0688" w:rsidRPr="001633B5" w:rsidTr="00EA1080">
        <w:trPr>
          <w:trHeight w:val="20"/>
        </w:trPr>
        <w:tc>
          <w:tcPr>
            <w:tcW w:w="1301" w:type="pct"/>
          </w:tcPr>
          <w:p w:rsidR="00AE0688" w:rsidRPr="00251FDB" w:rsidRDefault="00AE0688" w:rsidP="00AE0688">
            <w:pPr>
              <w:widowControl w:val="0"/>
              <w:jc w:val="left"/>
              <w:rPr>
                <w:b/>
                <w:sz w:val="20"/>
                <w:szCs w:val="20"/>
                <w:lang w:val="es-AR"/>
              </w:rPr>
            </w:pPr>
            <w:r w:rsidRPr="00251FDB">
              <w:rPr>
                <w:b/>
                <w:sz w:val="20"/>
                <w:szCs w:val="20"/>
                <w:lang w:val="es-AR"/>
              </w:rPr>
              <w:t xml:space="preserve">Fecha de Pago de </w:t>
            </w:r>
          </w:p>
          <w:p w:rsidR="00AE0688" w:rsidRPr="00251FDB" w:rsidRDefault="00AE0688" w:rsidP="00AE0688">
            <w:pPr>
              <w:widowControl w:val="0"/>
              <w:jc w:val="left"/>
              <w:rPr>
                <w:b/>
                <w:sz w:val="20"/>
                <w:szCs w:val="20"/>
                <w:lang w:val="es-AR"/>
              </w:rPr>
            </w:pPr>
            <w:r w:rsidRPr="00251FDB">
              <w:rPr>
                <w:b/>
                <w:sz w:val="20"/>
                <w:szCs w:val="20"/>
                <w:lang w:val="es-AR"/>
              </w:rPr>
              <w:t>Intereses</w:t>
            </w:r>
          </w:p>
          <w:p w:rsidR="00AE0688" w:rsidRPr="00251FDB" w:rsidRDefault="00AE0688" w:rsidP="00AE0688">
            <w:pPr>
              <w:widowControl w:val="0"/>
              <w:jc w:val="left"/>
              <w:rPr>
                <w:b/>
                <w:sz w:val="20"/>
                <w:szCs w:val="20"/>
                <w:lang w:val="es-AR"/>
              </w:rPr>
            </w:pPr>
          </w:p>
        </w:tc>
        <w:tc>
          <w:tcPr>
            <w:tcW w:w="3699" w:type="pct"/>
          </w:tcPr>
          <w:p w:rsidR="00AE0688" w:rsidRPr="00251FDB" w:rsidRDefault="00AE0688" w:rsidP="00AE0688">
            <w:pPr>
              <w:pStyle w:val="Default"/>
              <w:ind w:left="137" w:right="285"/>
              <w:jc w:val="both"/>
              <w:rPr>
                <w:sz w:val="20"/>
                <w:szCs w:val="20"/>
              </w:rPr>
            </w:pPr>
            <w:r w:rsidRPr="00251FDB">
              <w:rPr>
                <w:sz w:val="20"/>
                <w:szCs w:val="20"/>
              </w:rPr>
              <w:t xml:space="preserve">Los intereses de las Obligaciones Negociables serán pagaderos de forma trimestral, en las fechas que sean un número de día idéntico a la Fecha de Emisión y Liquidación, </w:t>
            </w:r>
            <w:r w:rsidRPr="00DA52FE">
              <w:rPr>
                <w:sz w:val="20"/>
                <w:szCs w:val="20"/>
              </w:rPr>
              <w:t>comenzando en el mes y año que se informará oportunamente en el Aviso de Resultados y en las fechas que sean un número de día idéntico a la Fecha de Emisión y Liquidación, pero del correspondiente mes</w:t>
            </w:r>
            <w:r w:rsidRPr="00251FDB">
              <w:rPr>
                <w:sz w:val="20"/>
                <w:szCs w:val="20"/>
              </w:rPr>
              <w:t xml:space="preserve"> (cada una de ellas, una “</w:t>
            </w:r>
            <w:r w:rsidRPr="00251FDB">
              <w:rPr>
                <w:sz w:val="20"/>
                <w:szCs w:val="20"/>
                <w:u w:val="single"/>
              </w:rPr>
              <w:t>Fecha de Pago de Intereses</w:t>
            </w:r>
            <w:r w:rsidRPr="00251FDB">
              <w:rPr>
                <w:sz w:val="20"/>
                <w:szCs w:val="20"/>
              </w:rPr>
              <w:t xml:space="preserve">”). </w:t>
            </w:r>
          </w:p>
          <w:p w:rsidR="00AE0688" w:rsidRPr="00251FDB" w:rsidRDefault="00AE0688" w:rsidP="00AE0688">
            <w:pPr>
              <w:pStyle w:val="Default"/>
              <w:ind w:left="137" w:right="285"/>
              <w:jc w:val="both"/>
              <w:rPr>
                <w:sz w:val="20"/>
                <w:szCs w:val="20"/>
              </w:rPr>
            </w:pPr>
          </w:p>
          <w:p w:rsidR="00AE0688" w:rsidRPr="00251FDB" w:rsidRDefault="00AE0688" w:rsidP="00AE0688">
            <w:pPr>
              <w:widowControl w:val="0"/>
              <w:ind w:left="137" w:right="285"/>
              <w:jc w:val="both"/>
              <w:rPr>
                <w:sz w:val="20"/>
                <w:szCs w:val="20"/>
                <w:lang w:val="es-MX"/>
              </w:rPr>
            </w:pPr>
            <w:r w:rsidRPr="00251FDB">
              <w:rPr>
                <w:sz w:val="20"/>
                <w:szCs w:val="20"/>
                <w:lang w:val="es-MX"/>
              </w:rPr>
              <w:t xml:space="preserve">En caso de que alguna de las Fechas de Pago de Intereses no fuera un Día Hábil, los Intereses se pagarán el Día Hábil inmediato posterior con la misma validez y efecto como si el pago se hubiera efectuado en la fecha originalmente prevista, y no se devengarán intereses por el período comprendido entre dicha fecha y el Día Hábil en que se efectúe el pago, salvo </w:t>
            </w:r>
            <w:r>
              <w:rPr>
                <w:sz w:val="20"/>
                <w:szCs w:val="20"/>
                <w:lang w:val="es-MX"/>
              </w:rPr>
              <w:t>en relación con</w:t>
            </w:r>
            <w:r w:rsidRPr="00251FDB">
              <w:rPr>
                <w:sz w:val="20"/>
                <w:szCs w:val="20"/>
                <w:lang w:val="es-MX"/>
              </w:rPr>
              <w:t xml:space="preserve"> </w:t>
            </w:r>
            <w:r w:rsidR="00B37E3A">
              <w:rPr>
                <w:sz w:val="20"/>
                <w:szCs w:val="20"/>
                <w:lang w:val="es-MX"/>
              </w:rPr>
              <w:t>las fechas de</w:t>
            </w:r>
            <w:r w:rsidRPr="00251FDB">
              <w:rPr>
                <w:sz w:val="20"/>
                <w:szCs w:val="20"/>
                <w:lang w:val="es-MX"/>
              </w:rPr>
              <w:t xml:space="preserve"> Fecha de Pago de Intereses </w:t>
            </w:r>
            <w:r w:rsidR="00B37E3A">
              <w:rPr>
                <w:sz w:val="20"/>
                <w:szCs w:val="20"/>
                <w:lang w:val="es-MX"/>
              </w:rPr>
              <w:t xml:space="preserve">coincidentes con una Fecha de Amortización de las Obligaciones Negociables, </w:t>
            </w:r>
            <w:r w:rsidRPr="00251FDB">
              <w:rPr>
                <w:sz w:val="20"/>
                <w:szCs w:val="20"/>
                <w:lang w:val="es-MX"/>
              </w:rPr>
              <w:t>respecto de la</w:t>
            </w:r>
            <w:r w:rsidR="00B37E3A">
              <w:rPr>
                <w:sz w:val="20"/>
                <w:szCs w:val="20"/>
                <w:lang w:val="es-MX"/>
              </w:rPr>
              <w:t>s</w:t>
            </w:r>
            <w:r w:rsidRPr="00251FDB">
              <w:rPr>
                <w:sz w:val="20"/>
                <w:szCs w:val="20"/>
                <w:lang w:val="es-MX"/>
              </w:rPr>
              <w:t xml:space="preserve"> cual</w:t>
            </w:r>
            <w:r w:rsidR="00B37E3A">
              <w:rPr>
                <w:sz w:val="20"/>
                <w:szCs w:val="20"/>
                <w:lang w:val="es-MX"/>
              </w:rPr>
              <w:t>es</w:t>
            </w:r>
            <w:r w:rsidRPr="00251FDB">
              <w:rPr>
                <w:sz w:val="20"/>
                <w:szCs w:val="20"/>
                <w:lang w:val="es-MX"/>
              </w:rPr>
              <w:t xml:space="preserve">, en caso que no fuera un Día Hábil, el Emisor pagará los intereses devengados entre dicha fecha y la fecha en que efectivamente se realice el pago. </w:t>
            </w:r>
          </w:p>
          <w:p w:rsidR="00AE0688" w:rsidRPr="00251FDB" w:rsidRDefault="00AE0688" w:rsidP="00AE0688">
            <w:pPr>
              <w:widowControl w:val="0"/>
              <w:ind w:left="137" w:right="285"/>
              <w:jc w:val="both"/>
              <w:rPr>
                <w:sz w:val="20"/>
                <w:szCs w:val="20"/>
                <w:lang w:val="es-AR"/>
              </w:rPr>
            </w:pPr>
          </w:p>
        </w:tc>
      </w:tr>
      <w:tr w:rsidR="00AE0688" w:rsidRPr="001633B5" w:rsidTr="00EA1080">
        <w:trPr>
          <w:trHeight w:val="20"/>
        </w:trPr>
        <w:tc>
          <w:tcPr>
            <w:tcW w:w="1301" w:type="pct"/>
          </w:tcPr>
          <w:p w:rsidR="00AE0688" w:rsidRDefault="00AE0688" w:rsidP="00254AD2">
            <w:pPr>
              <w:widowControl w:val="0"/>
              <w:jc w:val="left"/>
              <w:rPr>
                <w:b/>
                <w:sz w:val="20"/>
                <w:szCs w:val="20"/>
                <w:lang w:val="es-AR"/>
              </w:rPr>
            </w:pPr>
            <w:r w:rsidRPr="00EA1080">
              <w:rPr>
                <w:b/>
                <w:sz w:val="20"/>
                <w:szCs w:val="20"/>
                <w:lang w:val="es-AR"/>
              </w:rPr>
              <w:t>Período de Devengamiento de Intereses</w:t>
            </w:r>
          </w:p>
          <w:p w:rsidR="00AE0688" w:rsidRPr="002217AD" w:rsidRDefault="00AE0688" w:rsidP="00254AD2">
            <w:pPr>
              <w:widowControl w:val="0"/>
              <w:jc w:val="left"/>
              <w:rPr>
                <w:b/>
                <w:sz w:val="20"/>
                <w:szCs w:val="20"/>
                <w:lang w:val="es-AR"/>
              </w:rPr>
            </w:pPr>
          </w:p>
        </w:tc>
        <w:tc>
          <w:tcPr>
            <w:tcW w:w="3699" w:type="pct"/>
          </w:tcPr>
          <w:p w:rsidR="00AE0688" w:rsidRDefault="00AE0688" w:rsidP="00AE0688">
            <w:pPr>
              <w:widowControl w:val="0"/>
              <w:ind w:left="137" w:right="285"/>
              <w:jc w:val="both"/>
              <w:rPr>
                <w:sz w:val="20"/>
                <w:szCs w:val="20"/>
                <w:lang w:val="es-AR"/>
              </w:rPr>
            </w:pPr>
            <w:r w:rsidRPr="00EA1080">
              <w:rPr>
                <w:sz w:val="20"/>
                <w:szCs w:val="20"/>
                <w:lang w:val="es-AR"/>
              </w:rPr>
              <w:t xml:space="preserve">Significa el período comprendido entre una Fecha de Pago de Intereses y la Fecha de Pago de Intereses inmediata siguiente, incluyendo el primer día y excluyendo el último día. El primer Período de Devengamiento de Intereses es el comprendido entre la Fecha de Emisión y Liquidación y </w:t>
            </w:r>
            <w:smartTag w:uri="urn:schemas-microsoft-com:office:smarttags" w:element="PersonName">
              <w:smartTagPr>
                <w:attr w:name="ProductID" w:val="la primera Fecha"/>
              </w:smartTagPr>
              <w:r w:rsidRPr="00EA1080">
                <w:rPr>
                  <w:sz w:val="20"/>
                  <w:szCs w:val="20"/>
                  <w:lang w:val="es-AR"/>
                </w:rPr>
                <w:t>la primera Fecha</w:t>
              </w:r>
            </w:smartTag>
            <w:r w:rsidRPr="00EA1080">
              <w:rPr>
                <w:sz w:val="20"/>
                <w:szCs w:val="20"/>
                <w:lang w:val="es-AR"/>
              </w:rPr>
              <w:t xml:space="preserve"> de Pago de Intereses incluyendo el primer día y excluyendo el último día. El último Período de Devengamiento de Intereses es el comprendido entre la Fecha de Pago de Intereses inmediata anterior a la Fecha de Vencimiento y la Fecha de Vencimiento, incluyendo el primer día y excluyendo el último día.</w:t>
            </w:r>
            <w:r>
              <w:rPr>
                <w:sz w:val="20"/>
                <w:szCs w:val="20"/>
                <w:lang w:val="es-AR"/>
              </w:rPr>
              <w:t xml:space="preserve"> </w:t>
            </w:r>
          </w:p>
          <w:p w:rsidR="009F79E9" w:rsidRPr="002217AD" w:rsidRDefault="009F79E9" w:rsidP="00AE0688">
            <w:pPr>
              <w:widowControl w:val="0"/>
              <w:ind w:left="137" w:right="285"/>
              <w:jc w:val="both"/>
              <w:rPr>
                <w:sz w:val="20"/>
                <w:szCs w:val="20"/>
                <w:lang w:val="es-AR"/>
              </w:rPr>
            </w:pPr>
          </w:p>
        </w:tc>
      </w:tr>
      <w:tr w:rsidR="009F79E9" w:rsidRPr="001633B5" w:rsidTr="00EA1080">
        <w:trPr>
          <w:trHeight w:val="20"/>
        </w:trPr>
        <w:tc>
          <w:tcPr>
            <w:tcW w:w="1301" w:type="pct"/>
          </w:tcPr>
          <w:p w:rsidR="009F79E9" w:rsidRPr="002217AD" w:rsidRDefault="009F79E9" w:rsidP="002217AD">
            <w:pPr>
              <w:widowControl w:val="0"/>
              <w:jc w:val="left"/>
              <w:rPr>
                <w:b/>
                <w:sz w:val="20"/>
                <w:szCs w:val="20"/>
                <w:lang w:val="es-AR"/>
              </w:rPr>
            </w:pPr>
            <w:r w:rsidRPr="009F79E9">
              <w:rPr>
                <w:b/>
                <w:sz w:val="20"/>
                <w:szCs w:val="20"/>
                <w:lang w:val="es-AR"/>
              </w:rPr>
              <w:t xml:space="preserve">Base para el </w:t>
            </w:r>
            <w:r>
              <w:rPr>
                <w:b/>
                <w:sz w:val="20"/>
                <w:szCs w:val="20"/>
                <w:lang w:val="es-AR"/>
              </w:rPr>
              <w:t>c</w:t>
            </w:r>
            <w:r w:rsidRPr="009F79E9">
              <w:rPr>
                <w:b/>
                <w:sz w:val="20"/>
                <w:szCs w:val="20"/>
                <w:lang w:val="es-AR"/>
              </w:rPr>
              <w:t xml:space="preserve">ómputo de los </w:t>
            </w:r>
            <w:r>
              <w:rPr>
                <w:b/>
                <w:sz w:val="20"/>
                <w:szCs w:val="20"/>
                <w:lang w:val="es-AR"/>
              </w:rPr>
              <w:t>d</w:t>
            </w:r>
            <w:r w:rsidRPr="009F79E9">
              <w:rPr>
                <w:b/>
                <w:sz w:val="20"/>
                <w:szCs w:val="20"/>
                <w:lang w:val="es-AR"/>
              </w:rPr>
              <w:t>ías</w:t>
            </w:r>
          </w:p>
        </w:tc>
        <w:tc>
          <w:tcPr>
            <w:tcW w:w="3699" w:type="pct"/>
          </w:tcPr>
          <w:p w:rsidR="009F79E9" w:rsidRPr="002217AD" w:rsidRDefault="009F79E9" w:rsidP="00AE0688">
            <w:pPr>
              <w:widowControl w:val="0"/>
              <w:ind w:left="137" w:right="285"/>
              <w:jc w:val="both"/>
              <w:rPr>
                <w:sz w:val="20"/>
                <w:szCs w:val="20"/>
                <w:lang w:val="es-AR"/>
              </w:rPr>
            </w:pPr>
            <w:r w:rsidRPr="00EA1080">
              <w:rPr>
                <w:sz w:val="20"/>
                <w:szCs w:val="20"/>
                <w:lang w:val="es-AR"/>
              </w:rPr>
              <w:t>Para el cálculo de los intereses se considerará la cantidad real de días transcurridos y un año de trescientos sesenta y cinco (365) días (cantidad real de días transcurridos/365).</w:t>
            </w:r>
          </w:p>
        </w:tc>
      </w:tr>
      <w:tr w:rsidR="00AE0688" w:rsidRPr="001633B5" w:rsidTr="00EA1080">
        <w:trPr>
          <w:trHeight w:val="20"/>
        </w:trPr>
        <w:tc>
          <w:tcPr>
            <w:tcW w:w="1301" w:type="pct"/>
          </w:tcPr>
          <w:p w:rsidR="00AE0688" w:rsidRPr="00251FDB" w:rsidRDefault="00AE0688" w:rsidP="00254AD2">
            <w:pPr>
              <w:widowControl w:val="0"/>
              <w:jc w:val="left"/>
              <w:rPr>
                <w:b/>
                <w:sz w:val="20"/>
                <w:szCs w:val="20"/>
                <w:lang w:val="es-AR"/>
              </w:rPr>
            </w:pPr>
          </w:p>
        </w:tc>
        <w:tc>
          <w:tcPr>
            <w:tcW w:w="3699" w:type="pct"/>
          </w:tcPr>
          <w:p w:rsidR="00AE0688" w:rsidRPr="00251FDB" w:rsidRDefault="00AE0688" w:rsidP="00AE0688">
            <w:pPr>
              <w:widowControl w:val="0"/>
              <w:ind w:left="137" w:right="285"/>
              <w:jc w:val="both"/>
              <w:rPr>
                <w:sz w:val="20"/>
                <w:szCs w:val="20"/>
                <w:lang w:val="es-AR"/>
              </w:rPr>
            </w:pPr>
          </w:p>
        </w:tc>
      </w:tr>
      <w:tr w:rsidR="00DB3CD6" w:rsidRPr="001633B5" w:rsidTr="00EA1080">
        <w:trPr>
          <w:trHeight w:val="20"/>
        </w:trPr>
        <w:tc>
          <w:tcPr>
            <w:tcW w:w="1301" w:type="pct"/>
          </w:tcPr>
          <w:p w:rsidR="0083350E" w:rsidRPr="00251FDB" w:rsidRDefault="0083350E" w:rsidP="0083350E">
            <w:pPr>
              <w:widowControl w:val="0"/>
              <w:jc w:val="left"/>
              <w:rPr>
                <w:b/>
                <w:sz w:val="20"/>
                <w:szCs w:val="20"/>
                <w:lang w:val="es-AR"/>
              </w:rPr>
            </w:pPr>
            <w:r w:rsidRPr="00251FDB">
              <w:rPr>
                <w:b/>
                <w:sz w:val="20"/>
                <w:szCs w:val="20"/>
                <w:lang w:val="es-AR"/>
              </w:rPr>
              <w:t>Pagos</w:t>
            </w:r>
          </w:p>
          <w:p w:rsidR="0083350E" w:rsidRPr="00251FDB" w:rsidRDefault="0083350E" w:rsidP="0083350E">
            <w:pPr>
              <w:widowControl w:val="0"/>
              <w:jc w:val="left"/>
              <w:rPr>
                <w:b/>
                <w:sz w:val="20"/>
                <w:szCs w:val="20"/>
                <w:lang w:val="es-AR"/>
              </w:rPr>
            </w:pPr>
          </w:p>
        </w:tc>
        <w:tc>
          <w:tcPr>
            <w:tcW w:w="3699" w:type="pct"/>
          </w:tcPr>
          <w:p w:rsidR="009F79E9" w:rsidRDefault="0083350E" w:rsidP="00EA1080">
            <w:pPr>
              <w:widowControl w:val="0"/>
              <w:ind w:left="137" w:right="285"/>
              <w:jc w:val="both"/>
              <w:rPr>
                <w:sz w:val="20"/>
                <w:szCs w:val="20"/>
                <w:lang w:val="es-AR"/>
              </w:rPr>
            </w:pPr>
            <w:r w:rsidRPr="00251FDB">
              <w:rPr>
                <w:sz w:val="20"/>
                <w:szCs w:val="20"/>
                <w:lang w:val="es-AR"/>
              </w:rPr>
              <w:t>Todos los pagos bajo las Obligaciones Negociables serán efectuados por el Emisor a través de Caja de Valores en la fecha de pago que corresponda mediante la transferencia de los importes correspondientes, para su acreditación en las respectivas cuentas de los titulares de Obligaciones Negociables con derecho al cobro.</w:t>
            </w:r>
          </w:p>
          <w:p w:rsidR="0083350E" w:rsidRPr="009B26F9" w:rsidRDefault="009F79E9" w:rsidP="00EA1080">
            <w:pPr>
              <w:widowControl w:val="0"/>
              <w:ind w:left="137" w:right="285"/>
              <w:jc w:val="both"/>
              <w:rPr>
                <w:sz w:val="20"/>
                <w:szCs w:val="20"/>
                <w:lang w:val="es-AR"/>
              </w:rPr>
            </w:pPr>
            <w:r w:rsidRPr="00251FDB" w:rsidDel="009F79E9">
              <w:rPr>
                <w:sz w:val="20"/>
                <w:szCs w:val="20"/>
                <w:lang w:val="es-AR"/>
              </w:rPr>
              <w:t xml:space="preserve"> </w:t>
            </w:r>
          </w:p>
        </w:tc>
      </w:tr>
      <w:tr w:rsidR="00DB3CD6" w:rsidRPr="001633B5" w:rsidTr="00EA1080">
        <w:trPr>
          <w:trHeight w:val="20"/>
        </w:trPr>
        <w:tc>
          <w:tcPr>
            <w:tcW w:w="1301" w:type="pct"/>
          </w:tcPr>
          <w:p w:rsidR="0083350E" w:rsidRPr="00251FDB" w:rsidRDefault="0083350E" w:rsidP="0083350E">
            <w:pPr>
              <w:widowControl w:val="0"/>
              <w:jc w:val="left"/>
              <w:rPr>
                <w:b/>
                <w:sz w:val="20"/>
                <w:szCs w:val="20"/>
                <w:lang w:val="es-AR"/>
              </w:rPr>
            </w:pPr>
            <w:r w:rsidRPr="00251FDB">
              <w:rPr>
                <w:b/>
                <w:sz w:val="20"/>
                <w:szCs w:val="20"/>
                <w:lang w:val="es-AR"/>
              </w:rPr>
              <w:t>Fecha de Vencimiento</w:t>
            </w:r>
          </w:p>
        </w:tc>
        <w:tc>
          <w:tcPr>
            <w:tcW w:w="3699" w:type="pct"/>
          </w:tcPr>
          <w:p w:rsidR="0083350E" w:rsidRPr="00251FDB" w:rsidRDefault="0083350E" w:rsidP="005756A0">
            <w:pPr>
              <w:widowControl w:val="0"/>
              <w:ind w:left="137" w:right="285"/>
              <w:jc w:val="both"/>
              <w:rPr>
                <w:sz w:val="20"/>
                <w:szCs w:val="20"/>
                <w:lang w:val="es-MX"/>
              </w:rPr>
            </w:pPr>
            <w:r w:rsidRPr="00251FDB">
              <w:rPr>
                <w:sz w:val="20"/>
                <w:szCs w:val="20"/>
                <w:lang w:val="es-MX"/>
              </w:rPr>
              <w:t>Las Obligaciones Negociables vencerán a los 18 meses a contar desde la Fecha de Emisión y Liquidación</w:t>
            </w:r>
            <w:r w:rsidR="00D2600B">
              <w:rPr>
                <w:sz w:val="20"/>
                <w:szCs w:val="20"/>
                <w:lang w:val="es-MX"/>
              </w:rPr>
              <w:t>,</w:t>
            </w:r>
            <w:r w:rsidRPr="00251FDB">
              <w:rPr>
                <w:sz w:val="20"/>
                <w:szCs w:val="20"/>
                <w:lang w:val="es-MX"/>
              </w:rPr>
              <w:t xml:space="preserve"> o el Día Hábil inmediato posterior si dicha fecha no fuese un Día Hábil</w:t>
            </w:r>
            <w:r w:rsidR="00916BCF">
              <w:rPr>
                <w:sz w:val="20"/>
                <w:szCs w:val="20"/>
                <w:lang w:val="es-MX"/>
              </w:rPr>
              <w:t xml:space="preserve"> </w:t>
            </w:r>
            <w:r w:rsidRPr="00251FDB">
              <w:rPr>
                <w:sz w:val="20"/>
                <w:szCs w:val="20"/>
                <w:lang w:val="es-MX"/>
              </w:rPr>
              <w:t>(la “</w:t>
            </w:r>
            <w:r w:rsidRPr="00251FDB">
              <w:rPr>
                <w:sz w:val="20"/>
                <w:szCs w:val="20"/>
                <w:u w:val="single"/>
                <w:lang w:val="es-MX"/>
              </w:rPr>
              <w:t>Fecha de Vencimiento</w:t>
            </w:r>
            <w:r w:rsidRPr="00251FDB">
              <w:rPr>
                <w:sz w:val="20"/>
                <w:szCs w:val="20"/>
                <w:lang w:val="es-MX"/>
              </w:rPr>
              <w:t>”).</w:t>
            </w:r>
            <w:r w:rsidR="00916BCF">
              <w:rPr>
                <w:sz w:val="20"/>
                <w:szCs w:val="20"/>
                <w:lang w:val="es-MX"/>
              </w:rPr>
              <w:t xml:space="preserve"> La Fecha de Vencimiento será informada en el Aviso de Resultados.</w:t>
            </w:r>
          </w:p>
          <w:p w:rsidR="0083350E" w:rsidRPr="00251FDB" w:rsidRDefault="0083350E">
            <w:pPr>
              <w:widowControl w:val="0"/>
              <w:ind w:left="137" w:right="285"/>
              <w:jc w:val="both"/>
              <w:rPr>
                <w:sz w:val="20"/>
                <w:szCs w:val="20"/>
                <w:lang w:val="es-MX"/>
              </w:rPr>
            </w:pPr>
          </w:p>
        </w:tc>
      </w:tr>
      <w:tr w:rsidR="00ED11F8" w:rsidRPr="001633B5" w:rsidTr="00EA1080">
        <w:trPr>
          <w:trHeight w:val="20"/>
        </w:trPr>
        <w:tc>
          <w:tcPr>
            <w:tcW w:w="1301" w:type="pct"/>
          </w:tcPr>
          <w:p w:rsidR="0083350E" w:rsidRPr="00251FDB" w:rsidRDefault="00893BB8" w:rsidP="00254AD2">
            <w:pPr>
              <w:widowControl w:val="0"/>
              <w:jc w:val="left"/>
              <w:rPr>
                <w:b/>
                <w:sz w:val="20"/>
                <w:szCs w:val="20"/>
                <w:lang w:val="es-AR"/>
              </w:rPr>
            </w:pPr>
            <w:r w:rsidRPr="00251FDB">
              <w:rPr>
                <w:b/>
                <w:bCs/>
                <w:sz w:val="20"/>
                <w:szCs w:val="20"/>
                <w:lang w:val="es-AR"/>
              </w:rPr>
              <w:t>Método de Colocación</w:t>
            </w:r>
          </w:p>
        </w:tc>
        <w:tc>
          <w:tcPr>
            <w:tcW w:w="3699" w:type="pct"/>
          </w:tcPr>
          <w:p w:rsidR="00893BB8" w:rsidRPr="00251FDB" w:rsidRDefault="00893BB8" w:rsidP="005756A0">
            <w:pPr>
              <w:widowControl w:val="0"/>
              <w:ind w:left="137" w:right="285"/>
              <w:jc w:val="both"/>
              <w:rPr>
                <w:sz w:val="20"/>
                <w:szCs w:val="20"/>
                <w:lang w:val="es-MX"/>
              </w:rPr>
            </w:pPr>
            <w:r w:rsidRPr="00251FDB">
              <w:rPr>
                <w:sz w:val="20"/>
                <w:szCs w:val="20"/>
                <w:lang w:val="es-MX"/>
              </w:rPr>
              <w:t xml:space="preserve">Las Obligaciones Negociables serán colocadas públicamente en Argentina conforme los términos de la Ley de Mercado de Capitales, las Normas de la CNV, la Ley de Obligaciones Negociables y cualquier otra ley y/o reglamentación aplicable. Los Colocadores se proponen realizar sus actividades de colocación de las Obligaciones Negociables en Argentina en el marco de la Ley de Mercado de Capitales y las Normas de la CNV. </w:t>
            </w:r>
          </w:p>
          <w:p w:rsidR="0083350E" w:rsidRPr="00251FDB" w:rsidRDefault="0083350E" w:rsidP="00254AD2">
            <w:pPr>
              <w:widowControl w:val="0"/>
              <w:ind w:left="137" w:right="285"/>
              <w:jc w:val="both"/>
              <w:rPr>
                <w:sz w:val="20"/>
                <w:szCs w:val="20"/>
                <w:lang w:val="es-AR"/>
              </w:rPr>
            </w:pPr>
          </w:p>
        </w:tc>
      </w:tr>
      <w:tr w:rsidR="00ED11F8" w:rsidRPr="001633B5" w:rsidTr="00EA1080">
        <w:trPr>
          <w:trHeight w:val="20"/>
        </w:trPr>
        <w:tc>
          <w:tcPr>
            <w:tcW w:w="1301" w:type="pct"/>
          </w:tcPr>
          <w:p w:rsidR="0083350E" w:rsidRPr="00251FDB" w:rsidRDefault="00893BB8" w:rsidP="00254AD2">
            <w:pPr>
              <w:widowControl w:val="0"/>
              <w:jc w:val="left"/>
              <w:rPr>
                <w:b/>
                <w:sz w:val="20"/>
                <w:szCs w:val="20"/>
                <w:lang w:val="es-AR"/>
              </w:rPr>
            </w:pPr>
            <w:r w:rsidRPr="00251FDB">
              <w:rPr>
                <w:b/>
                <w:sz w:val="20"/>
                <w:szCs w:val="20"/>
                <w:lang w:val="es-AR"/>
              </w:rPr>
              <w:t>Amortización</w:t>
            </w:r>
          </w:p>
        </w:tc>
        <w:tc>
          <w:tcPr>
            <w:tcW w:w="3699" w:type="pct"/>
          </w:tcPr>
          <w:p w:rsidR="009F79E9" w:rsidRDefault="009F79E9" w:rsidP="002217AD">
            <w:pPr>
              <w:widowControl w:val="0"/>
              <w:ind w:left="137" w:right="285"/>
              <w:jc w:val="both"/>
              <w:rPr>
                <w:sz w:val="20"/>
                <w:szCs w:val="20"/>
                <w:lang w:val="es-AR"/>
              </w:rPr>
            </w:pPr>
            <w:r w:rsidRPr="009F79E9">
              <w:rPr>
                <w:sz w:val="20"/>
                <w:szCs w:val="20"/>
                <w:lang w:val="es-AR"/>
              </w:rPr>
              <w:t>El capital de las Obligaciones Negociables será amo</w:t>
            </w:r>
            <w:r>
              <w:rPr>
                <w:sz w:val="20"/>
                <w:szCs w:val="20"/>
                <w:lang w:val="es-AR"/>
              </w:rPr>
              <w:t xml:space="preserve">rtizado en tres pagos: </w:t>
            </w:r>
            <w:r w:rsidRPr="00EA1080">
              <w:rPr>
                <w:b/>
                <w:sz w:val="20"/>
                <w:szCs w:val="20"/>
                <w:lang w:val="es-AR"/>
              </w:rPr>
              <w:t>(i)</w:t>
            </w:r>
            <w:r>
              <w:rPr>
                <w:sz w:val="20"/>
                <w:szCs w:val="20"/>
                <w:lang w:val="es-AR"/>
              </w:rPr>
              <w:t xml:space="preserve"> a los doce</w:t>
            </w:r>
            <w:r w:rsidRPr="009F79E9">
              <w:rPr>
                <w:sz w:val="20"/>
                <w:szCs w:val="20"/>
                <w:lang w:val="es-AR"/>
              </w:rPr>
              <w:t xml:space="preserve"> (</w:t>
            </w:r>
            <w:r>
              <w:rPr>
                <w:sz w:val="20"/>
                <w:szCs w:val="20"/>
                <w:lang w:val="es-AR"/>
              </w:rPr>
              <w:t>12</w:t>
            </w:r>
            <w:r w:rsidRPr="009F79E9">
              <w:rPr>
                <w:sz w:val="20"/>
                <w:szCs w:val="20"/>
                <w:lang w:val="es-AR"/>
              </w:rPr>
              <w:t>) meses contados desde la Fecha de Em</w:t>
            </w:r>
            <w:r>
              <w:rPr>
                <w:sz w:val="20"/>
                <w:szCs w:val="20"/>
                <w:lang w:val="es-AR"/>
              </w:rPr>
              <w:t xml:space="preserve">isión y Liquidación, el Emisor </w:t>
            </w:r>
            <w:r w:rsidRPr="009F79E9">
              <w:rPr>
                <w:sz w:val="20"/>
                <w:szCs w:val="20"/>
                <w:lang w:val="es-AR"/>
              </w:rPr>
              <w:t xml:space="preserve">abonará el </w:t>
            </w:r>
            <w:r>
              <w:rPr>
                <w:sz w:val="20"/>
                <w:szCs w:val="20"/>
                <w:lang w:val="es-AR"/>
              </w:rPr>
              <w:t>33,33</w:t>
            </w:r>
            <w:r w:rsidRPr="009F79E9">
              <w:rPr>
                <w:sz w:val="20"/>
                <w:szCs w:val="20"/>
                <w:lang w:val="es-AR"/>
              </w:rPr>
              <w:t xml:space="preserve">% del monto de capital; </w:t>
            </w:r>
            <w:r w:rsidRPr="00EA1080">
              <w:rPr>
                <w:b/>
                <w:sz w:val="20"/>
                <w:szCs w:val="20"/>
                <w:lang w:val="es-AR"/>
              </w:rPr>
              <w:t>(ii)</w:t>
            </w:r>
            <w:r>
              <w:rPr>
                <w:sz w:val="20"/>
                <w:szCs w:val="20"/>
                <w:lang w:val="es-AR"/>
              </w:rPr>
              <w:t xml:space="preserve"> a los quince (15) meses contados desde la Fecha de Emisión y Liquidación, el Emisor abonará el 33,33% del monto de capital; y </w:t>
            </w:r>
            <w:r w:rsidRPr="00EA1080">
              <w:rPr>
                <w:b/>
                <w:sz w:val="20"/>
                <w:szCs w:val="20"/>
                <w:lang w:val="es-AR"/>
              </w:rPr>
              <w:t>(iii)</w:t>
            </w:r>
            <w:r>
              <w:rPr>
                <w:sz w:val="20"/>
                <w:szCs w:val="20"/>
                <w:lang w:val="es-AR"/>
              </w:rPr>
              <w:t xml:space="preserve"> en la Fecha de Vencimiento, el Emisor</w:t>
            </w:r>
            <w:r w:rsidRPr="009F79E9">
              <w:rPr>
                <w:sz w:val="20"/>
                <w:szCs w:val="20"/>
                <w:lang w:val="es-AR"/>
              </w:rPr>
              <w:t xml:space="preserve"> abonará el saldo de capital pendiente de p</w:t>
            </w:r>
            <w:r>
              <w:rPr>
                <w:sz w:val="20"/>
                <w:szCs w:val="20"/>
                <w:lang w:val="es-AR"/>
              </w:rPr>
              <w:t>ago</w:t>
            </w:r>
            <w:r w:rsidR="00B37E3A">
              <w:rPr>
                <w:sz w:val="20"/>
                <w:szCs w:val="20"/>
                <w:lang w:val="es-AR"/>
              </w:rPr>
              <w:t>, es decir el 33</w:t>
            </w:r>
            <w:r w:rsidR="00D2600B">
              <w:rPr>
                <w:sz w:val="20"/>
                <w:szCs w:val="20"/>
                <w:lang w:val="es-AR"/>
              </w:rPr>
              <w:t>,</w:t>
            </w:r>
            <w:r w:rsidR="00B37E3A">
              <w:rPr>
                <w:sz w:val="20"/>
                <w:szCs w:val="20"/>
                <w:lang w:val="es-AR"/>
              </w:rPr>
              <w:t>34% del monto del capital</w:t>
            </w:r>
            <w:r>
              <w:rPr>
                <w:sz w:val="20"/>
                <w:szCs w:val="20"/>
                <w:lang w:val="es-AR"/>
              </w:rPr>
              <w:t xml:space="preserve"> (cada una de dichas fechas, </w:t>
            </w:r>
            <w:r w:rsidRPr="009F79E9">
              <w:rPr>
                <w:sz w:val="20"/>
                <w:szCs w:val="20"/>
                <w:lang w:val="es-AR"/>
              </w:rPr>
              <w:t>una “</w:t>
            </w:r>
            <w:r w:rsidRPr="00EA1080">
              <w:rPr>
                <w:sz w:val="20"/>
                <w:szCs w:val="20"/>
                <w:u w:val="single"/>
                <w:lang w:val="es-AR"/>
              </w:rPr>
              <w:t>Fecha de Amortización de las Obligaciones Negociables</w:t>
            </w:r>
            <w:r w:rsidRPr="009F79E9">
              <w:rPr>
                <w:sz w:val="20"/>
                <w:szCs w:val="20"/>
                <w:lang w:val="es-AR"/>
              </w:rPr>
              <w:t xml:space="preserve">”). </w:t>
            </w:r>
          </w:p>
          <w:p w:rsidR="009F79E9" w:rsidRDefault="009F79E9" w:rsidP="002217AD">
            <w:pPr>
              <w:widowControl w:val="0"/>
              <w:ind w:left="137" w:right="285"/>
              <w:jc w:val="both"/>
              <w:rPr>
                <w:sz w:val="20"/>
                <w:szCs w:val="20"/>
                <w:lang w:val="es-AR"/>
              </w:rPr>
            </w:pPr>
          </w:p>
          <w:p w:rsidR="00893BB8" w:rsidRDefault="009F79E9" w:rsidP="00EA1080">
            <w:pPr>
              <w:widowControl w:val="0"/>
              <w:ind w:left="115" w:right="285"/>
              <w:jc w:val="both"/>
              <w:rPr>
                <w:sz w:val="20"/>
                <w:szCs w:val="20"/>
                <w:lang w:val="es-AR"/>
              </w:rPr>
            </w:pPr>
            <w:r w:rsidRPr="009F79E9">
              <w:rPr>
                <w:sz w:val="20"/>
                <w:szCs w:val="20"/>
                <w:lang w:val="es-AR"/>
              </w:rPr>
              <w:t>Si</w:t>
            </w:r>
            <w:r>
              <w:rPr>
                <w:sz w:val="20"/>
                <w:szCs w:val="20"/>
                <w:lang w:val="es-AR"/>
              </w:rPr>
              <w:t xml:space="preserve"> una Fecha </w:t>
            </w:r>
            <w:r w:rsidRPr="009F79E9">
              <w:rPr>
                <w:sz w:val="20"/>
                <w:szCs w:val="20"/>
                <w:lang w:val="es-AR"/>
              </w:rPr>
              <w:t>de Amortización de las Obligaciones Negociables</w:t>
            </w:r>
            <w:r>
              <w:rPr>
                <w:sz w:val="20"/>
                <w:szCs w:val="20"/>
                <w:lang w:val="es-AR"/>
              </w:rPr>
              <w:t xml:space="preserve"> no fuera un Día Hábil, el pago </w:t>
            </w:r>
            <w:r w:rsidRPr="009F79E9">
              <w:rPr>
                <w:sz w:val="20"/>
                <w:szCs w:val="20"/>
                <w:lang w:val="es-AR"/>
              </w:rPr>
              <w:t>correspondiente será efectuado el Día Hábi</w:t>
            </w:r>
            <w:r>
              <w:rPr>
                <w:sz w:val="20"/>
                <w:szCs w:val="20"/>
                <w:lang w:val="es-AR"/>
              </w:rPr>
              <w:t>l inmediatamente posterior. La</w:t>
            </w:r>
            <w:r w:rsidR="00F409E0">
              <w:rPr>
                <w:sz w:val="20"/>
                <w:szCs w:val="20"/>
                <w:lang w:val="es-AR"/>
              </w:rPr>
              <w:t>s</w:t>
            </w:r>
            <w:r>
              <w:rPr>
                <w:sz w:val="20"/>
                <w:szCs w:val="20"/>
                <w:lang w:val="es-AR"/>
              </w:rPr>
              <w:t xml:space="preserve"> </w:t>
            </w:r>
            <w:r w:rsidRPr="009F79E9">
              <w:rPr>
                <w:sz w:val="20"/>
                <w:szCs w:val="20"/>
                <w:lang w:val="es-AR"/>
              </w:rPr>
              <w:t>Fecha</w:t>
            </w:r>
            <w:r w:rsidR="00F409E0">
              <w:rPr>
                <w:sz w:val="20"/>
                <w:szCs w:val="20"/>
                <w:lang w:val="es-AR"/>
              </w:rPr>
              <w:t>s</w:t>
            </w:r>
            <w:r w:rsidRPr="009F79E9">
              <w:rPr>
                <w:sz w:val="20"/>
                <w:szCs w:val="20"/>
                <w:lang w:val="es-AR"/>
              </w:rPr>
              <w:t xml:space="preserve"> de Amortización de las Obligaciones Neg</w:t>
            </w:r>
            <w:r>
              <w:rPr>
                <w:sz w:val="20"/>
                <w:szCs w:val="20"/>
                <w:lang w:val="es-AR"/>
              </w:rPr>
              <w:t>ociables será</w:t>
            </w:r>
            <w:r w:rsidR="00F409E0">
              <w:rPr>
                <w:sz w:val="20"/>
                <w:szCs w:val="20"/>
                <w:lang w:val="es-AR"/>
              </w:rPr>
              <w:t>n</w:t>
            </w:r>
            <w:r>
              <w:rPr>
                <w:sz w:val="20"/>
                <w:szCs w:val="20"/>
                <w:lang w:val="es-AR"/>
              </w:rPr>
              <w:t xml:space="preserve"> informada</w:t>
            </w:r>
            <w:r w:rsidR="00F409E0">
              <w:rPr>
                <w:sz w:val="20"/>
                <w:szCs w:val="20"/>
                <w:lang w:val="es-AR"/>
              </w:rPr>
              <w:t>s</w:t>
            </w:r>
            <w:r>
              <w:rPr>
                <w:sz w:val="20"/>
                <w:szCs w:val="20"/>
                <w:lang w:val="es-AR"/>
              </w:rPr>
              <w:t xml:space="preserve"> en el </w:t>
            </w:r>
            <w:r w:rsidRPr="009F79E9">
              <w:rPr>
                <w:sz w:val="20"/>
                <w:szCs w:val="20"/>
                <w:lang w:val="es-AR"/>
              </w:rPr>
              <w:t>Aviso de Resultados.</w:t>
            </w:r>
          </w:p>
          <w:p w:rsidR="00B37E3A" w:rsidRPr="00251FDB" w:rsidRDefault="00B37E3A" w:rsidP="00EA1080">
            <w:pPr>
              <w:widowControl w:val="0"/>
              <w:ind w:left="115" w:right="285"/>
              <w:jc w:val="both"/>
              <w:rPr>
                <w:sz w:val="20"/>
                <w:szCs w:val="20"/>
                <w:lang w:val="es-AR"/>
              </w:rPr>
            </w:pPr>
          </w:p>
        </w:tc>
      </w:tr>
      <w:tr w:rsidR="00DB3CD6" w:rsidRPr="001633B5" w:rsidTr="00EA1080">
        <w:trPr>
          <w:trHeight w:val="20"/>
        </w:trPr>
        <w:tc>
          <w:tcPr>
            <w:tcW w:w="1301" w:type="pct"/>
          </w:tcPr>
          <w:p w:rsidR="00893BB8" w:rsidRPr="00251FDB" w:rsidRDefault="00893BB8" w:rsidP="00893BB8">
            <w:pPr>
              <w:widowControl w:val="0"/>
              <w:jc w:val="left"/>
              <w:rPr>
                <w:b/>
                <w:sz w:val="20"/>
                <w:szCs w:val="20"/>
                <w:lang w:val="es-AR"/>
              </w:rPr>
            </w:pPr>
            <w:r w:rsidRPr="00251FDB">
              <w:rPr>
                <w:b/>
                <w:sz w:val="20"/>
                <w:szCs w:val="20"/>
                <w:lang w:val="es-AR"/>
              </w:rPr>
              <w:t>Listado y Negociación</w:t>
            </w:r>
          </w:p>
        </w:tc>
        <w:tc>
          <w:tcPr>
            <w:tcW w:w="3699" w:type="pct"/>
          </w:tcPr>
          <w:p w:rsidR="00893BB8" w:rsidRPr="00251FDB" w:rsidRDefault="00893BB8" w:rsidP="00893BB8">
            <w:pPr>
              <w:widowControl w:val="0"/>
              <w:ind w:left="137" w:right="285"/>
              <w:jc w:val="both"/>
              <w:outlineLvl w:val="2"/>
              <w:rPr>
                <w:sz w:val="20"/>
                <w:szCs w:val="20"/>
                <w:lang w:val="es-AR"/>
              </w:rPr>
            </w:pPr>
            <w:r w:rsidRPr="00251FDB">
              <w:rPr>
                <w:sz w:val="20"/>
                <w:szCs w:val="20"/>
                <w:lang w:val="es-AR"/>
              </w:rPr>
              <w:t xml:space="preserve">Las Obligaciones Negociables serán listadas y negociadas en </w:t>
            </w:r>
            <w:r w:rsidR="009F79E9">
              <w:rPr>
                <w:sz w:val="20"/>
                <w:szCs w:val="20"/>
                <w:lang w:val="es-AR"/>
              </w:rPr>
              <w:t>BYMA y MAE</w:t>
            </w:r>
            <w:r w:rsidRPr="00251FDB">
              <w:rPr>
                <w:sz w:val="20"/>
                <w:szCs w:val="20"/>
                <w:lang w:val="es-AR"/>
              </w:rPr>
              <w:t>, siempre que los respectivos organismos otorguen la autorización correspondiente.</w:t>
            </w:r>
            <w:r w:rsidR="00B37E3A">
              <w:rPr>
                <w:sz w:val="20"/>
                <w:szCs w:val="20"/>
                <w:lang w:val="es-AR"/>
              </w:rPr>
              <w:t xml:space="preserve"> </w:t>
            </w:r>
            <w:r w:rsidRPr="00251FDB">
              <w:rPr>
                <w:sz w:val="20"/>
                <w:szCs w:val="20"/>
                <w:lang w:val="es-AR"/>
              </w:rPr>
              <w:t xml:space="preserve">Las Obligaciones Negociables podrán ser elegibles para su negociación en Euroclear. </w:t>
            </w:r>
          </w:p>
          <w:p w:rsidR="00893BB8" w:rsidRPr="00251FDB" w:rsidRDefault="00893BB8" w:rsidP="00893BB8">
            <w:pPr>
              <w:widowControl w:val="0"/>
              <w:ind w:left="137" w:right="285"/>
              <w:jc w:val="both"/>
              <w:rPr>
                <w:sz w:val="20"/>
                <w:szCs w:val="20"/>
                <w:lang w:val="es-AR"/>
              </w:rPr>
            </w:pPr>
          </w:p>
        </w:tc>
      </w:tr>
      <w:tr w:rsidR="00DB3CD6" w:rsidRPr="001633B5" w:rsidTr="00EA1080">
        <w:trPr>
          <w:trHeight w:val="20"/>
        </w:trPr>
        <w:tc>
          <w:tcPr>
            <w:tcW w:w="1301" w:type="pct"/>
          </w:tcPr>
          <w:p w:rsidR="00893BB8" w:rsidRPr="00251FDB" w:rsidRDefault="00893BB8" w:rsidP="00893BB8">
            <w:pPr>
              <w:widowControl w:val="0"/>
              <w:jc w:val="left"/>
              <w:rPr>
                <w:b/>
                <w:sz w:val="20"/>
                <w:szCs w:val="20"/>
                <w:highlight w:val="yellow"/>
                <w:lang w:val="es-AR"/>
              </w:rPr>
            </w:pPr>
            <w:r w:rsidRPr="00251FDB">
              <w:rPr>
                <w:b/>
                <w:sz w:val="20"/>
                <w:szCs w:val="20"/>
                <w:lang w:val="es-AR"/>
              </w:rPr>
              <w:t>Destino de los Fondos</w:t>
            </w:r>
          </w:p>
        </w:tc>
        <w:tc>
          <w:tcPr>
            <w:tcW w:w="3699" w:type="pct"/>
          </w:tcPr>
          <w:p w:rsidR="00893BB8" w:rsidRDefault="009F79E9" w:rsidP="009F79E9">
            <w:pPr>
              <w:widowControl w:val="0"/>
              <w:ind w:left="137" w:right="281"/>
              <w:jc w:val="both"/>
              <w:rPr>
                <w:sz w:val="20"/>
                <w:szCs w:val="20"/>
                <w:lang w:val="es-AR"/>
              </w:rPr>
            </w:pPr>
            <w:r>
              <w:rPr>
                <w:sz w:val="20"/>
                <w:szCs w:val="20"/>
                <w:lang w:val="es-AR"/>
              </w:rPr>
              <w:t>El</w:t>
            </w:r>
            <w:r w:rsidRPr="00EA1080">
              <w:rPr>
                <w:sz w:val="20"/>
                <w:szCs w:val="20"/>
                <w:lang w:val="es-AR"/>
              </w:rPr>
              <w:t xml:space="preserve"> Emisor utilizará la totalidad del producido neto proveniente de la colocación </w:t>
            </w:r>
            <w:r w:rsidRPr="002217AD">
              <w:rPr>
                <w:sz w:val="20"/>
                <w:szCs w:val="20"/>
                <w:lang w:val="es-AR"/>
              </w:rPr>
              <w:t xml:space="preserve">de las Obligaciones Negociables, </w:t>
            </w:r>
            <w:r w:rsidRPr="00EA1080">
              <w:rPr>
                <w:sz w:val="20"/>
                <w:szCs w:val="20"/>
                <w:lang w:val="es-AR"/>
              </w:rPr>
              <w:t xml:space="preserve">de acuerdo con lo establecido bajo </w:t>
            </w:r>
            <w:r w:rsidR="0017020E">
              <w:rPr>
                <w:sz w:val="20"/>
                <w:szCs w:val="20"/>
                <w:lang w:val="es-AR"/>
              </w:rPr>
              <w:t>e</w:t>
            </w:r>
            <w:r w:rsidRPr="00EA1080">
              <w:rPr>
                <w:sz w:val="20"/>
                <w:szCs w:val="20"/>
                <w:lang w:val="es-AR"/>
              </w:rPr>
              <w:t>l</w:t>
            </w:r>
            <w:r w:rsidR="0017020E">
              <w:rPr>
                <w:sz w:val="20"/>
                <w:szCs w:val="20"/>
                <w:lang w:val="es-AR"/>
              </w:rPr>
              <w:t xml:space="preserve"> Capítulo VI</w:t>
            </w:r>
            <w:r w:rsidRPr="00EA1080">
              <w:rPr>
                <w:sz w:val="20"/>
                <w:szCs w:val="20"/>
                <w:lang w:val="es-AR"/>
              </w:rPr>
              <w:t xml:space="preserve"> </w:t>
            </w:r>
            <w:r w:rsidRPr="00EA1080">
              <w:rPr>
                <w:i/>
                <w:iCs/>
                <w:sz w:val="20"/>
                <w:szCs w:val="20"/>
                <w:lang w:val="es-AR"/>
              </w:rPr>
              <w:t xml:space="preserve">“Destino de </w:t>
            </w:r>
            <w:r w:rsidR="0017020E">
              <w:rPr>
                <w:i/>
                <w:iCs/>
                <w:sz w:val="20"/>
                <w:szCs w:val="20"/>
                <w:lang w:val="es-AR"/>
              </w:rPr>
              <w:t xml:space="preserve">los </w:t>
            </w:r>
            <w:r w:rsidRPr="00EA1080">
              <w:rPr>
                <w:i/>
                <w:iCs/>
                <w:sz w:val="20"/>
                <w:szCs w:val="20"/>
                <w:lang w:val="es-AR"/>
              </w:rPr>
              <w:t>Fondos”</w:t>
            </w:r>
            <w:r w:rsidRPr="00EA1080">
              <w:rPr>
                <w:sz w:val="20"/>
                <w:szCs w:val="20"/>
                <w:lang w:val="es-AR"/>
              </w:rPr>
              <w:t xml:space="preserve"> en este Suplemento de Precio</w:t>
            </w:r>
            <w:r w:rsidR="00D2600B">
              <w:rPr>
                <w:sz w:val="20"/>
                <w:szCs w:val="20"/>
                <w:lang w:val="es-AR"/>
              </w:rPr>
              <w:t>.</w:t>
            </w:r>
          </w:p>
          <w:p w:rsidR="009F79E9" w:rsidRPr="00251FDB" w:rsidRDefault="009F79E9" w:rsidP="00893BB8">
            <w:pPr>
              <w:widowControl w:val="0"/>
              <w:ind w:left="137" w:right="569"/>
              <w:jc w:val="both"/>
              <w:rPr>
                <w:sz w:val="20"/>
                <w:szCs w:val="20"/>
                <w:lang w:val="es-AR"/>
              </w:rPr>
            </w:pPr>
          </w:p>
        </w:tc>
      </w:tr>
      <w:tr w:rsidR="00DB3CD6" w:rsidRPr="001633B5" w:rsidTr="00EA1080">
        <w:trPr>
          <w:trHeight w:val="20"/>
        </w:trPr>
        <w:tc>
          <w:tcPr>
            <w:tcW w:w="1301" w:type="pct"/>
          </w:tcPr>
          <w:p w:rsidR="00893BB8" w:rsidRPr="00251FDB" w:rsidRDefault="00893BB8" w:rsidP="00893BB8">
            <w:pPr>
              <w:widowControl w:val="0"/>
              <w:jc w:val="left"/>
              <w:rPr>
                <w:b/>
                <w:sz w:val="20"/>
                <w:szCs w:val="20"/>
                <w:highlight w:val="yellow"/>
                <w:lang w:val="es-AR"/>
              </w:rPr>
            </w:pPr>
            <w:r w:rsidRPr="00251FDB">
              <w:rPr>
                <w:b/>
                <w:sz w:val="20"/>
                <w:szCs w:val="20"/>
                <w:lang w:val="es-AR"/>
              </w:rPr>
              <w:t>Ley Aplicable</w:t>
            </w:r>
          </w:p>
        </w:tc>
        <w:tc>
          <w:tcPr>
            <w:tcW w:w="3699" w:type="pct"/>
          </w:tcPr>
          <w:p w:rsidR="00893BB8" w:rsidRPr="00251FDB" w:rsidRDefault="00893BB8" w:rsidP="00893BB8">
            <w:pPr>
              <w:widowControl w:val="0"/>
              <w:ind w:left="137" w:right="285"/>
              <w:jc w:val="both"/>
              <w:rPr>
                <w:sz w:val="20"/>
                <w:szCs w:val="20"/>
                <w:lang w:val="es-AR"/>
              </w:rPr>
            </w:pPr>
            <w:r w:rsidRPr="00251FDB">
              <w:rPr>
                <w:sz w:val="20"/>
                <w:szCs w:val="20"/>
                <w:lang w:val="es-AR"/>
              </w:rPr>
              <w:t>Las Obligaciones Negociables se regirán y serán interpretadas conforme a las leyes de la República Argentina.</w:t>
            </w:r>
          </w:p>
          <w:p w:rsidR="00893BB8" w:rsidRPr="00251FDB" w:rsidRDefault="00893BB8" w:rsidP="00893BB8">
            <w:pPr>
              <w:widowControl w:val="0"/>
              <w:ind w:left="137" w:right="569"/>
              <w:jc w:val="both"/>
              <w:rPr>
                <w:sz w:val="20"/>
                <w:szCs w:val="20"/>
                <w:lang w:val="es-AR"/>
              </w:rPr>
            </w:pPr>
          </w:p>
        </w:tc>
      </w:tr>
      <w:tr w:rsidR="00ED11F8" w:rsidRPr="001633B5" w:rsidTr="00EA1080">
        <w:trPr>
          <w:trHeight w:val="20"/>
        </w:trPr>
        <w:tc>
          <w:tcPr>
            <w:tcW w:w="1301" w:type="pct"/>
          </w:tcPr>
          <w:p w:rsidR="00893BB8" w:rsidRPr="00251FDB" w:rsidRDefault="00893BB8" w:rsidP="00D53B63">
            <w:pPr>
              <w:widowControl w:val="0"/>
              <w:jc w:val="left"/>
              <w:rPr>
                <w:b/>
                <w:sz w:val="20"/>
                <w:szCs w:val="20"/>
                <w:highlight w:val="yellow"/>
                <w:lang w:val="es-AR"/>
              </w:rPr>
            </w:pPr>
            <w:r w:rsidRPr="00251FDB">
              <w:rPr>
                <w:b/>
                <w:sz w:val="20"/>
                <w:szCs w:val="20"/>
                <w:lang w:val="es-AR"/>
              </w:rPr>
              <w:t>Jurisdicción</w:t>
            </w:r>
          </w:p>
        </w:tc>
        <w:tc>
          <w:tcPr>
            <w:tcW w:w="3699" w:type="pct"/>
          </w:tcPr>
          <w:p w:rsidR="00893BB8" w:rsidRPr="00251FDB" w:rsidRDefault="00893BB8" w:rsidP="00893BB8">
            <w:pPr>
              <w:widowControl w:val="0"/>
              <w:ind w:left="137" w:right="285"/>
              <w:jc w:val="both"/>
              <w:rPr>
                <w:sz w:val="20"/>
                <w:szCs w:val="20"/>
                <w:lang w:val="es-AR"/>
              </w:rPr>
            </w:pPr>
            <w:r w:rsidRPr="00251FDB">
              <w:rPr>
                <w:sz w:val="20"/>
                <w:szCs w:val="20"/>
                <w:lang w:val="es-AR"/>
              </w:rPr>
              <w:t>La Sociedad se somete a la jurisdicción de la</w:t>
            </w:r>
            <w:r w:rsidR="00B37E3A">
              <w:rPr>
                <w:sz w:val="20"/>
                <w:szCs w:val="20"/>
                <w:lang w:val="es-AR"/>
              </w:rPr>
              <w:t xml:space="preserve"> </w:t>
            </w:r>
            <w:bookmarkStart w:id="61" w:name="_Hlk43905556"/>
            <w:r w:rsidRPr="00251FDB">
              <w:rPr>
                <w:sz w:val="20"/>
                <w:szCs w:val="20"/>
                <w:lang w:val="es-AR"/>
              </w:rPr>
              <w:t>Justicia Nacional en lo Comercial de la Ciudad Autónoma de Buenos Aires</w:t>
            </w:r>
            <w:bookmarkEnd w:id="61"/>
            <w:r w:rsidR="005B7F0B">
              <w:rPr>
                <w:sz w:val="20"/>
                <w:szCs w:val="20"/>
                <w:lang w:val="es-AR"/>
              </w:rPr>
              <w:t xml:space="preserve"> </w:t>
            </w:r>
            <w:r w:rsidRPr="00251FDB">
              <w:rPr>
                <w:sz w:val="20"/>
                <w:szCs w:val="20"/>
                <w:lang w:val="es-AR"/>
              </w:rPr>
              <w:t>con relación a cualquier conflicto relacionado con las mismas, renunciando a su respecto a cualquier inmunidad de jurisdicción, de embargo o de ejecución de sentencia que le pudiera corresponder</w:t>
            </w:r>
            <w:r w:rsidR="00B37E3A">
              <w:rPr>
                <w:sz w:val="20"/>
                <w:szCs w:val="20"/>
                <w:lang w:val="es-AR"/>
              </w:rPr>
              <w:t>,</w:t>
            </w:r>
            <w:r w:rsidR="00B37E3A" w:rsidRPr="009B26F9">
              <w:rPr>
                <w:sz w:val="20"/>
                <w:szCs w:val="20"/>
                <w:lang w:val="es-AR"/>
              </w:rPr>
              <w:t xml:space="preserve"> quedando siempre a salvo el derecho de los tenedores de optar por acudir a los tribunales judiciales competentes, conforme lo dispuesto por el artículo 46 de la Ley de Mercado de Capitales</w:t>
            </w:r>
            <w:r w:rsidR="00B37E3A">
              <w:rPr>
                <w:sz w:val="20"/>
                <w:szCs w:val="20"/>
                <w:lang w:val="es-AR"/>
              </w:rPr>
              <w:t>.</w:t>
            </w:r>
          </w:p>
          <w:p w:rsidR="00893BB8" w:rsidRPr="00251FDB" w:rsidRDefault="00893BB8" w:rsidP="003079F0">
            <w:pPr>
              <w:widowControl w:val="0"/>
              <w:ind w:left="137" w:right="569"/>
              <w:jc w:val="both"/>
              <w:rPr>
                <w:sz w:val="20"/>
                <w:szCs w:val="20"/>
                <w:lang w:val="es-AR"/>
              </w:rPr>
            </w:pPr>
          </w:p>
        </w:tc>
      </w:tr>
      <w:tr w:rsidR="00DB3CD6" w:rsidRPr="001633B5" w:rsidTr="00EA1080">
        <w:trPr>
          <w:trHeight w:val="20"/>
        </w:trPr>
        <w:tc>
          <w:tcPr>
            <w:tcW w:w="1301" w:type="pct"/>
          </w:tcPr>
          <w:p w:rsidR="00CA6525" w:rsidRPr="00251FDB" w:rsidRDefault="00CA6525" w:rsidP="00CA6525">
            <w:pPr>
              <w:widowControl w:val="0"/>
              <w:jc w:val="left"/>
              <w:rPr>
                <w:b/>
                <w:bCs/>
                <w:sz w:val="20"/>
                <w:szCs w:val="20"/>
                <w:highlight w:val="yellow"/>
                <w:lang w:val="es-AR"/>
              </w:rPr>
            </w:pPr>
            <w:r w:rsidRPr="00251FDB">
              <w:rPr>
                <w:b/>
                <w:bCs/>
                <w:sz w:val="20"/>
                <w:szCs w:val="20"/>
                <w:lang w:val="es-AR"/>
              </w:rPr>
              <w:t>Compromisos del Emisor</w:t>
            </w:r>
          </w:p>
        </w:tc>
        <w:tc>
          <w:tcPr>
            <w:tcW w:w="3699" w:type="pct"/>
          </w:tcPr>
          <w:p w:rsidR="00CA6525" w:rsidRPr="00251FDB" w:rsidRDefault="00CA6525" w:rsidP="003079F0">
            <w:pPr>
              <w:pStyle w:val="Textpara"/>
              <w:tabs>
                <w:tab w:val="clear" w:pos="9000"/>
              </w:tabs>
              <w:spacing w:after="0"/>
              <w:ind w:left="137" w:right="285"/>
              <w:rPr>
                <w:lang w:val="es-AR"/>
              </w:rPr>
            </w:pPr>
            <w:r w:rsidRPr="00251FDB">
              <w:rPr>
                <w:lang w:val="es-AR"/>
              </w:rPr>
              <w:t>Se deberá considerar que el Emisor ha asumido respecto de las Obligaciones Negociables, los compromisos que se detallan bajo el título “</w:t>
            </w:r>
            <w:r w:rsidRPr="00251FDB">
              <w:rPr>
                <w:i/>
                <w:lang w:val="es-AR"/>
              </w:rPr>
              <w:t xml:space="preserve">9. </w:t>
            </w:r>
            <w:r w:rsidR="00DD5F44" w:rsidRPr="00251FDB">
              <w:rPr>
                <w:i/>
                <w:lang w:val="es-AR"/>
              </w:rPr>
              <w:t>Compromisos</w:t>
            </w:r>
            <w:r w:rsidRPr="00251FDB">
              <w:rPr>
                <w:lang w:val="es-AR"/>
              </w:rPr>
              <w:t>”, del Capítulo IX “</w:t>
            </w:r>
            <w:r w:rsidRPr="00251FDB">
              <w:rPr>
                <w:i/>
                <w:lang w:val="es-AR"/>
              </w:rPr>
              <w:t>De la oferta, el listado y la negociación</w:t>
            </w:r>
            <w:r w:rsidRPr="00251FDB">
              <w:rPr>
                <w:lang w:val="es-AR"/>
              </w:rPr>
              <w:t>”, del Prospecto.</w:t>
            </w:r>
          </w:p>
          <w:p w:rsidR="00CA6525" w:rsidRPr="00251FDB" w:rsidRDefault="00CA6525" w:rsidP="003079F0">
            <w:pPr>
              <w:pStyle w:val="Textpara"/>
              <w:tabs>
                <w:tab w:val="clear" w:pos="9000"/>
              </w:tabs>
              <w:spacing w:after="0"/>
              <w:ind w:left="137" w:right="285"/>
              <w:rPr>
                <w:highlight w:val="yellow"/>
                <w:lang w:val="es-AR"/>
              </w:rPr>
            </w:pPr>
          </w:p>
        </w:tc>
      </w:tr>
      <w:tr w:rsidR="00DB3CD6" w:rsidRPr="001633B5" w:rsidTr="00EA1080">
        <w:trPr>
          <w:trHeight w:val="20"/>
        </w:trPr>
        <w:tc>
          <w:tcPr>
            <w:tcW w:w="1301" w:type="pct"/>
          </w:tcPr>
          <w:p w:rsidR="00CA6525" w:rsidRPr="00251FDB" w:rsidRDefault="00CA6525" w:rsidP="00CA6525">
            <w:pPr>
              <w:widowControl w:val="0"/>
              <w:jc w:val="left"/>
              <w:rPr>
                <w:b/>
                <w:bCs/>
                <w:sz w:val="20"/>
                <w:szCs w:val="20"/>
                <w:lang w:val="es-AR"/>
              </w:rPr>
            </w:pPr>
            <w:r w:rsidRPr="00251FDB">
              <w:rPr>
                <w:b/>
                <w:bCs/>
                <w:sz w:val="20"/>
                <w:szCs w:val="20"/>
                <w:lang w:val="es-AR"/>
              </w:rPr>
              <w:t>Gravámenes Permitidos</w:t>
            </w:r>
          </w:p>
        </w:tc>
        <w:tc>
          <w:tcPr>
            <w:tcW w:w="3699" w:type="pct"/>
          </w:tcPr>
          <w:p w:rsidR="00CA6525" w:rsidRPr="00251FDB" w:rsidRDefault="00CA6525" w:rsidP="003079F0">
            <w:pPr>
              <w:ind w:left="137" w:right="285"/>
              <w:jc w:val="both"/>
              <w:rPr>
                <w:sz w:val="20"/>
                <w:szCs w:val="20"/>
                <w:lang w:val="es-AR"/>
              </w:rPr>
            </w:pPr>
            <w:r w:rsidRPr="00251FDB">
              <w:rPr>
                <w:sz w:val="20"/>
                <w:szCs w:val="20"/>
                <w:lang w:val="es-AR"/>
              </w:rPr>
              <w:t>En los términos de lo dispuesto en el Capítulo IX “</w:t>
            </w:r>
            <w:r w:rsidRPr="00251FDB">
              <w:rPr>
                <w:i/>
                <w:sz w:val="20"/>
                <w:szCs w:val="20"/>
                <w:lang w:val="es-AR"/>
              </w:rPr>
              <w:t>De la oferta, el listado y la negociación</w:t>
            </w:r>
            <w:r w:rsidR="009326B4">
              <w:rPr>
                <w:i/>
                <w:sz w:val="20"/>
                <w:szCs w:val="20"/>
                <w:lang w:val="es-AR"/>
              </w:rPr>
              <w:t xml:space="preserve"> –</w:t>
            </w:r>
            <w:r w:rsidRPr="00251FDB">
              <w:rPr>
                <w:i/>
                <w:sz w:val="20"/>
                <w:szCs w:val="20"/>
                <w:lang w:val="es-AR"/>
              </w:rPr>
              <w:t xml:space="preserve"> </w:t>
            </w:r>
            <w:r w:rsidR="008E063D" w:rsidRPr="00251FDB">
              <w:rPr>
                <w:i/>
                <w:sz w:val="20"/>
                <w:szCs w:val="20"/>
                <w:lang w:val="es-AR"/>
              </w:rPr>
              <w:t>Compromisos</w:t>
            </w:r>
            <w:r w:rsidR="009326B4">
              <w:rPr>
                <w:i/>
                <w:sz w:val="20"/>
                <w:szCs w:val="20"/>
                <w:lang w:val="es-AR"/>
              </w:rPr>
              <w:t xml:space="preserve"> –</w:t>
            </w:r>
            <w:r w:rsidR="009326B4">
              <w:rPr>
                <w:sz w:val="20"/>
                <w:szCs w:val="20"/>
                <w:lang w:val="es-AR"/>
              </w:rPr>
              <w:t xml:space="preserve"> </w:t>
            </w:r>
            <w:r w:rsidR="008E063D" w:rsidRPr="00251FDB">
              <w:rPr>
                <w:i/>
                <w:sz w:val="20"/>
                <w:szCs w:val="20"/>
                <w:lang w:val="es-AR"/>
              </w:rPr>
              <w:t>(a) “Obligación de Abstención”</w:t>
            </w:r>
            <w:r w:rsidRPr="00251FDB">
              <w:rPr>
                <w:sz w:val="20"/>
                <w:szCs w:val="20"/>
                <w:lang w:val="es-AR"/>
              </w:rPr>
              <w:t xml:space="preserve">, del Prospecto, se entenderá que son Gravámenes Permitidos los Gravámenes (que existan a la fecha del presente o creados en el futuro) respecto de todos los otros activos, cuando el </w:t>
            </w:r>
            <w:r w:rsidRPr="0060060A">
              <w:rPr>
                <w:sz w:val="20"/>
                <w:szCs w:val="20"/>
                <w:lang w:val="es-AR"/>
              </w:rPr>
              <w:t xml:space="preserve">monto total de los Gravámenes sea de un monto que no supere un </w:t>
            </w:r>
            <w:r w:rsidR="00690BC5" w:rsidRPr="0060060A">
              <w:rPr>
                <w:sz w:val="20"/>
                <w:szCs w:val="20"/>
                <w:lang w:val="es-AR"/>
              </w:rPr>
              <w:t>25</w:t>
            </w:r>
            <w:r w:rsidRPr="0060060A">
              <w:rPr>
                <w:sz w:val="20"/>
                <w:szCs w:val="20"/>
                <w:lang w:val="es-AR"/>
              </w:rPr>
              <w:t>% del</w:t>
            </w:r>
            <w:r w:rsidRPr="00251FDB">
              <w:rPr>
                <w:sz w:val="20"/>
                <w:szCs w:val="20"/>
                <w:lang w:val="es-AR"/>
              </w:rPr>
              <w:t xml:space="preserve"> total de los activos del Emisor. A tal fin, el monto de cada Gravamen será determinado por el valor contable –que surja de los últimos estados contables de</w:t>
            </w:r>
            <w:r w:rsidR="009326B4">
              <w:rPr>
                <w:sz w:val="20"/>
                <w:szCs w:val="20"/>
                <w:lang w:val="es-AR"/>
              </w:rPr>
              <w:t>l Emisor</w:t>
            </w:r>
            <w:r w:rsidRPr="00251FDB">
              <w:rPr>
                <w:sz w:val="20"/>
                <w:szCs w:val="20"/>
                <w:lang w:val="es-AR"/>
              </w:rPr>
              <w:t xml:space="preserve"> del activo afectado por dicho Gravamen o será determinado por el saldo residual del monto total de deuda por el cual dicho Gravamen se hubiera constituido, lo que fuera mayor. </w:t>
            </w:r>
          </w:p>
          <w:p w:rsidR="00CA6525" w:rsidRPr="00251FDB" w:rsidRDefault="00CA6525" w:rsidP="003079F0">
            <w:pPr>
              <w:pStyle w:val="Textpara"/>
              <w:tabs>
                <w:tab w:val="clear" w:pos="9000"/>
              </w:tabs>
              <w:spacing w:after="0"/>
              <w:ind w:left="137" w:right="285"/>
              <w:rPr>
                <w:lang w:val="es-AR"/>
              </w:rPr>
            </w:pPr>
          </w:p>
        </w:tc>
      </w:tr>
      <w:tr w:rsidR="00DB3CD6" w:rsidRPr="001633B5" w:rsidTr="00EA1080">
        <w:trPr>
          <w:trHeight w:val="20"/>
        </w:trPr>
        <w:tc>
          <w:tcPr>
            <w:tcW w:w="1301" w:type="pct"/>
          </w:tcPr>
          <w:p w:rsidR="00CA6525" w:rsidRPr="00251FDB" w:rsidRDefault="00CA6525" w:rsidP="00CA6525">
            <w:pPr>
              <w:widowControl w:val="0"/>
              <w:jc w:val="left"/>
              <w:rPr>
                <w:b/>
                <w:bCs/>
                <w:sz w:val="20"/>
                <w:szCs w:val="20"/>
                <w:lang w:val="es-AR"/>
              </w:rPr>
            </w:pPr>
            <w:r w:rsidRPr="00251FDB">
              <w:rPr>
                <w:b/>
                <w:bCs/>
                <w:sz w:val="20"/>
                <w:szCs w:val="20"/>
                <w:lang w:val="es-AR"/>
              </w:rPr>
              <w:t>Casos de Incumplimiento</w:t>
            </w:r>
          </w:p>
        </w:tc>
        <w:tc>
          <w:tcPr>
            <w:tcW w:w="3699" w:type="pct"/>
          </w:tcPr>
          <w:p w:rsidR="00CA6525" w:rsidRPr="00251FDB" w:rsidRDefault="00CA6525" w:rsidP="003079F0">
            <w:pPr>
              <w:widowControl w:val="0"/>
              <w:ind w:left="137" w:right="285"/>
              <w:jc w:val="both"/>
              <w:rPr>
                <w:sz w:val="20"/>
                <w:szCs w:val="20"/>
                <w:lang w:val="es-AR"/>
              </w:rPr>
            </w:pPr>
            <w:r w:rsidRPr="00251FDB">
              <w:rPr>
                <w:sz w:val="20"/>
                <w:szCs w:val="20"/>
                <w:lang w:val="es-AR"/>
              </w:rPr>
              <w:t>Se deberán considerar como casos de incumplimiento de las Obligaciones Negociables, a los supuestos detallados bajo el título “</w:t>
            </w:r>
            <w:r w:rsidRPr="00251FDB">
              <w:rPr>
                <w:i/>
                <w:sz w:val="20"/>
                <w:szCs w:val="20"/>
                <w:lang w:val="es-AR"/>
              </w:rPr>
              <w:t xml:space="preserve">10. </w:t>
            </w:r>
            <w:r w:rsidR="008E063D" w:rsidRPr="00251FDB">
              <w:rPr>
                <w:i/>
                <w:sz w:val="20"/>
                <w:szCs w:val="20"/>
                <w:lang w:val="es-AR"/>
              </w:rPr>
              <w:t xml:space="preserve">Supuestos </w:t>
            </w:r>
            <w:r w:rsidRPr="00251FDB">
              <w:rPr>
                <w:i/>
                <w:sz w:val="20"/>
                <w:szCs w:val="20"/>
                <w:lang w:val="es-AR"/>
              </w:rPr>
              <w:t>de Incumplimiento</w:t>
            </w:r>
            <w:r w:rsidRPr="00251FDB">
              <w:rPr>
                <w:sz w:val="20"/>
                <w:szCs w:val="20"/>
                <w:lang w:val="es-AR"/>
              </w:rPr>
              <w:t>”, del Capítulo IX “</w:t>
            </w:r>
            <w:r w:rsidRPr="00251FDB">
              <w:rPr>
                <w:i/>
                <w:sz w:val="20"/>
                <w:szCs w:val="20"/>
                <w:lang w:val="es-AR"/>
              </w:rPr>
              <w:t>De la oferta, el listado y la negociación</w:t>
            </w:r>
            <w:r w:rsidRPr="00251FDB">
              <w:rPr>
                <w:sz w:val="20"/>
                <w:szCs w:val="20"/>
                <w:lang w:val="es-AR"/>
              </w:rPr>
              <w:t>”, del Prospecto.</w:t>
            </w:r>
          </w:p>
          <w:p w:rsidR="00CA6525" w:rsidRPr="00251FDB" w:rsidRDefault="00CA6525" w:rsidP="003079F0">
            <w:pPr>
              <w:widowControl w:val="0"/>
              <w:ind w:left="137" w:right="285"/>
              <w:jc w:val="both"/>
              <w:rPr>
                <w:sz w:val="20"/>
                <w:szCs w:val="20"/>
                <w:lang w:val="es-AR"/>
              </w:rPr>
            </w:pPr>
          </w:p>
        </w:tc>
      </w:tr>
      <w:tr w:rsidR="00DB3CD6" w:rsidRPr="001633B5" w:rsidTr="00EA1080">
        <w:trPr>
          <w:trHeight w:val="20"/>
        </w:trPr>
        <w:tc>
          <w:tcPr>
            <w:tcW w:w="1301" w:type="pct"/>
          </w:tcPr>
          <w:p w:rsidR="00CA6525" w:rsidRPr="00251FDB" w:rsidRDefault="00CA6525" w:rsidP="00CA6525">
            <w:pPr>
              <w:widowControl w:val="0"/>
              <w:jc w:val="left"/>
              <w:rPr>
                <w:b/>
                <w:bCs/>
                <w:sz w:val="20"/>
                <w:szCs w:val="20"/>
                <w:lang w:val="es-AR"/>
              </w:rPr>
            </w:pPr>
            <w:r w:rsidRPr="00251FDB">
              <w:rPr>
                <w:b/>
                <w:bCs/>
                <w:sz w:val="20"/>
                <w:szCs w:val="20"/>
                <w:lang w:val="es-AR"/>
              </w:rPr>
              <w:t>Rescate Anticipado por Razones Fiscales</w:t>
            </w:r>
          </w:p>
        </w:tc>
        <w:tc>
          <w:tcPr>
            <w:tcW w:w="3699" w:type="pct"/>
          </w:tcPr>
          <w:p w:rsidR="00CA6525" w:rsidRPr="00251FDB" w:rsidRDefault="00CA6525" w:rsidP="003079F0">
            <w:pPr>
              <w:widowControl w:val="0"/>
              <w:ind w:left="137" w:right="285"/>
              <w:jc w:val="both"/>
              <w:rPr>
                <w:sz w:val="20"/>
                <w:szCs w:val="20"/>
                <w:lang w:val="es-AR"/>
              </w:rPr>
            </w:pPr>
            <w:r w:rsidRPr="00251FDB">
              <w:rPr>
                <w:sz w:val="20"/>
                <w:szCs w:val="20"/>
                <w:lang w:val="es-AR"/>
              </w:rPr>
              <w:t>Se permitirá el rescate anticipado por razones fiscales, conforme se menciona bajo el título “</w:t>
            </w:r>
            <w:r w:rsidRPr="00251FDB">
              <w:rPr>
                <w:i/>
                <w:sz w:val="20"/>
                <w:szCs w:val="20"/>
                <w:lang w:val="es-AR"/>
              </w:rPr>
              <w:t>6. Rescate Anticipado por Razones Fiscales</w:t>
            </w:r>
            <w:r w:rsidRPr="00251FDB">
              <w:rPr>
                <w:sz w:val="20"/>
                <w:szCs w:val="20"/>
                <w:lang w:val="es-AR"/>
              </w:rPr>
              <w:t>”, del Capítulo IX “</w:t>
            </w:r>
            <w:r w:rsidRPr="00251FDB">
              <w:rPr>
                <w:i/>
                <w:sz w:val="20"/>
                <w:szCs w:val="20"/>
                <w:lang w:val="es-AR"/>
              </w:rPr>
              <w:t>De la oferta, el listado y la negociación</w:t>
            </w:r>
            <w:r w:rsidRPr="00251FDB">
              <w:rPr>
                <w:sz w:val="20"/>
                <w:szCs w:val="20"/>
                <w:lang w:val="es-AR"/>
              </w:rPr>
              <w:t>”, del Prospecto.</w:t>
            </w:r>
          </w:p>
          <w:p w:rsidR="00CA6525" w:rsidRPr="00251FDB" w:rsidRDefault="00CA6525" w:rsidP="003079F0">
            <w:pPr>
              <w:widowControl w:val="0"/>
              <w:ind w:left="137" w:right="285"/>
              <w:jc w:val="both"/>
              <w:rPr>
                <w:sz w:val="20"/>
                <w:szCs w:val="20"/>
                <w:lang w:val="es-AR"/>
              </w:rPr>
            </w:pPr>
          </w:p>
        </w:tc>
      </w:tr>
      <w:tr w:rsidR="00DB3CD6" w:rsidRPr="001633B5" w:rsidTr="00EA1080">
        <w:trPr>
          <w:trHeight w:val="20"/>
        </w:trPr>
        <w:tc>
          <w:tcPr>
            <w:tcW w:w="1301" w:type="pct"/>
          </w:tcPr>
          <w:p w:rsidR="00CA6525" w:rsidRPr="00251FDB" w:rsidRDefault="00CA6525" w:rsidP="00CA6525">
            <w:pPr>
              <w:widowControl w:val="0"/>
              <w:jc w:val="left"/>
              <w:rPr>
                <w:b/>
                <w:sz w:val="20"/>
                <w:szCs w:val="20"/>
                <w:lang w:val="es-AR"/>
              </w:rPr>
            </w:pPr>
            <w:r w:rsidRPr="00251FDB">
              <w:rPr>
                <w:b/>
                <w:sz w:val="20"/>
                <w:szCs w:val="20"/>
                <w:lang w:val="es-AR"/>
              </w:rPr>
              <w:t>Recompra</w:t>
            </w:r>
          </w:p>
        </w:tc>
        <w:tc>
          <w:tcPr>
            <w:tcW w:w="3699" w:type="pct"/>
          </w:tcPr>
          <w:p w:rsidR="00CA6525" w:rsidRPr="00251FDB" w:rsidRDefault="00F37245" w:rsidP="003079F0">
            <w:pPr>
              <w:widowControl w:val="0"/>
              <w:ind w:left="137" w:right="285"/>
              <w:jc w:val="both"/>
              <w:outlineLvl w:val="2"/>
              <w:rPr>
                <w:sz w:val="20"/>
                <w:szCs w:val="20"/>
                <w:lang w:val="es-AR"/>
              </w:rPr>
            </w:pPr>
            <w:r>
              <w:rPr>
                <w:sz w:val="20"/>
                <w:szCs w:val="20"/>
                <w:lang w:val="es-AR"/>
              </w:rPr>
              <w:t>E</w:t>
            </w:r>
            <w:r w:rsidRPr="009B26F9">
              <w:rPr>
                <w:sz w:val="20"/>
                <w:szCs w:val="20"/>
                <w:lang w:val="es-AR"/>
              </w:rPr>
              <w:t>l Emisor podrá en cualquier momento comprar o de otro modo adquirir Obligaciones Negociables mediante la compra o a través de acuerdos privados, en el mercado abierto o de otra forma, a cualquier precio, y podrá revenderlas o cancelarlas en cualquier momento a su solo criterio. Para determinar mayorías si los tenedores representativos del capital requerido de Obligaciones Negociables en circulación han formulado o no una solicitud, demanda, autorización, instrucción, notificación, consentimiento o dispensa en los términos del Prospecto y del Suplemento de Precio respectivo, las Obligaciones Negociables que mantenga el Emisor no se computarán y se considerarán fuera de circulación a tales efectos</w:t>
            </w:r>
            <w:r w:rsidR="00CA6525" w:rsidRPr="00251FDB">
              <w:rPr>
                <w:sz w:val="20"/>
                <w:szCs w:val="20"/>
                <w:lang w:val="es-ES"/>
              </w:rPr>
              <w:t>.</w:t>
            </w:r>
          </w:p>
          <w:p w:rsidR="00CA6525" w:rsidRPr="00251FDB" w:rsidRDefault="00CA6525" w:rsidP="003079F0">
            <w:pPr>
              <w:widowControl w:val="0"/>
              <w:ind w:left="137" w:right="285"/>
              <w:jc w:val="both"/>
              <w:outlineLvl w:val="2"/>
              <w:rPr>
                <w:sz w:val="20"/>
                <w:szCs w:val="20"/>
                <w:lang w:val="es-AR"/>
              </w:rPr>
            </w:pPr>
          </w:p>
        </w:tc>
      </w:tr>
      <w:tr w:rsidR="00DB3CD6" w:rsidRPr="001633B5" w:rsidTr="00EA1080">
        <w:trPr>
          <w:trHeight w:val="20"/>
        </w:trPr>
        <w:tc>
          <w:tcPr>
            <w:tcW w:w="1301" w:type="pct"/>
          </w:tcPr>
          <w:p w:rsidR="00CA6525" w:rsidRPr="00251FDB" w:rsidRDefault="00CA6525" w:rsidP="00CA6525">
            <w:pPr>
              <w:widowControl w:val="0"/>
              <w:jc w:val="left"/>
              <w:rPr>
                <w:b/>
                <w:sz w:val="20"/>
                <w:szCs w:val="20"/>
                <w:lang w:val="es-AR"/>
              </w:rPr>
            </w:pPr>
            <w:r w:rsidRPr="00251FDB">
              <w:rPr>
                <w:b/>
                <w:sz w:val="20"/>
                <w:szCs w:val="20"/>
                <w:lang w:val="es-AR"/>
              </w:rPr>
              <w:t>Obligaciones Negociables Adicionales</w:t>
            </w:r>
          </w:p>
        </w:tc>
        <w:tc>
          <w:tcPr>
            <w:tcW w:w="3699" w:type="pct"/>
          </w:tcPr>
          <w:p w:rsidR="00CA6525" w:rsidRPr="00251FDB" w:rsidRDefault="00CA6525" w:rsidP="003079F0">
            <w:pPr>
              <w:widowControl w:val="0"/>
              <w:ind w:left="137" w:right="285"/>
              <w:jc w:val="both"/>
              <w:outlineLvl w:val="2"/>
              <w:rPr>
                <w:sz w:val="20"/>
                <w:szCs w:val="20"/>
                <w:lang w:val="es-AR"/>
              </w:rPr>
            </w:pPr>
            <w:r w:rsidRPr="00251FDB">
              <w:rPr>
                <w:sz w:val="20"/>
                <w:szCs w:val="20"/>
                <w:lang w:val="es-AR"/>
              </w:rPr>
              <w:t xml:space="preserve">El Emisor podrá, sin el consentimiento de los tenedores de las Obligaciones Negociables emitir nuevas Obligaciones Negociables en una o más transacciones, que tendrán sustancialmente los mismos términos y condiciones de las Obligaciones Negociables en circulación, con la salvedad de que podrán tener (i) una fecha de emisión distinta; (ii) un precio de emisión distinto; (iii) la fecha desde la cual devengarán intereses distinta; (iv) una suma de intereses diferente a pagar en la primera fecha de pago de intereses después de su emisión; y/o (v) los cambios y ajustes que fueran necesarios para dar cumplimiento a la normativa aplicable vigente. Cualquier obligación negociable así emitida será consolidada y formará una sola serie con las Obligaciones Negociables en circulación, de modo que, entre otras cuestiones, los tenedores de las obligaciones negociables así emitidas tendrán el derecho de votar en las asambleas </w:t>
            </w:r>
            <w:r w:rsidR="00581916" w:rsidRPr="00251FDB">
              <w:rPr>
                <w:sz w:val="20"/>
                <w:szCs w:val="20"/>
                <w:lang w:val="es-AR"/>
              </w:rPr>
              <w:t>juntamente con</w:t>
            </w:r>
            <w:r w:rsidRPr="00251FDB">
              <w:rPr>
                <w:sz w:val="20"/>
                <w:szCs w:val="20"/>
                <w:lang w:val="es-AR"/>
              </w:rPr>
              <w:t xml:space="preserve"> los tenedores de las Obligaciones Negociables como una sola serie.</w:t>
            </w:r>
          </w:p>
          <w:p w:rsidR="00CA6525" w:rsidRPr="00251FDB" w:rsidRDefault="00CA6525" w:rsidP="003079F0">
            <w:pPr>
              <w:widowControl w:val="0"/>
              <w:ind w:left="137" w:right="285"/>
              <w:jc w:val="both"/>
              <w:outlineLvl w:val="2"/>
              <w:rPr>
                <w:sz w:val="20"/>
                <w:szCs w:val="20"/>
                <w:lang w:val="es-AR"/>
              </w:rPr>
            </w:pPr>
          </w:p>
        </w:tc>
      </w:tr>
      <w:tr w:rsidR="00DB3CD6" w:rsidRPr="001633B5" w:rsidTr="00EA1080">
        <w:trPr>
          <w:trHeight w:val="20"/>
        </w:trPr>
        <w:tc>
          <w:tcPr>
            <w:tcW w:w="1301" w:type="pct"/>
          </w:tcPr>
          <w:p w:rsidR="00CA6525" w:rsidRPr="00251FDB" w:rsidRDefault="00CA6525" w:rsidP="00CA6525">
            <w:pPr>
              <w:widowControl w:val="0"/>
              <w:jc w:val="left"/>
              <w:rPr>
                <w:b/>
                <w:bCs/>
                <w:sz w:val="20"/>
                <w:szCs w:val="20"/>
                <w:lang w:val="es-AR"/>
              </w:rPr>
            </w:pPr>
            <w:r w:rsidRPr="00251FDB">
              <w:rPr>
                <w:b/>
                <w:bCs/>
                <w:sz w:val="20"/>
                <w:szCs w:val="20"/>
                <w:lang w:val="es-AR"/>
              </w:rPr>
              <w:t>Garantías</w:t>
            </w:r>
          </w:p>
        </w:tc>
        <w:tc>
          <w:tcPr>
            <w:tcW w:w="3699" w:type="pct"/>
          </w:tcPr>
          <w:p w:rsidR="00CA6525" w:rsidRDefault="00CA6525" w:rsidP="003079F0">
            <w:pPr>
              <w:widowControl w:val="0"/>
              <w:ind w:left="137" w:right="285"/>
              <w:jc w:val="both"/>
              <w:rPr>
                <w:sz w:val="20"/>
                <w:szCs w:val="20"/>
                <w:lang w:val="es-AR"/>
              </w:rPr>
            </w:pPr>
            <w:r w:rsidRPr="00251FDB">
              <w:rPr>
                <w:sz w:val="20"/>
                <w:szCs w:val="20"/>
                <w:lang w:val="es-AR"/>
              </w:rPr>
              <w:t xml:space="preserve">Las Obligaciones Negociables Clase no gozarán de </w:t>
            </w:r>
            <w:r w:rsidR="00E54D27" w:rsidRPr="00251FDB">
              <w:rPr>
                <w:sz w:val="20"/>
                <w:szCs w:val="20"/>
                <w:lang w:val="es-AR"/>
              </w:rPr>
              <w:t xml:space="preserve">otra garantía que la </w:t>
            </w:r>
            <w:r w:rsidRPr="00251FDB">
              <w:rPr>
                <w:sz w:val="20"/>
                <w:szCs w:val="20"/>
                <w:lang w:val="es-AR"/>
              </w:rPr>
              <w:t>común sobre el patrimonio del Emisor.</w:t>
            </w:r>
          </w:p>
          <w:p w:rsidR="005774FC" w:rsidRPr="00251FDB" w:rsidRDefault="005774FC" w:rsidP="003079F0">
            <w:pPr>
              <w:widowControl w:val="0"/>
              <w:ind w:left="137" w:right="285"/>
              <w:jc w:val="both"/>
              <w:rPr>
                <w:sz w:val="20"/>
                <w:szCs w:val="20"/>
                <w:lang w:val="es-AR"/>
              </w:rPr>
            </w:pPr>
          </w:p>
        </w:tc>
      </w:tr>
      <w:tr w:rsidR="00DB3CD6" w:rsidRPr="001633B5" w:rsidTr="00EA1080">
        <w:trPr>
          <w:trHeight w:val="20"/>
        </w:trPr>
        <w:tc>
          <w:tcPr>
            <w:tcW w:w="1301" w:type="pct"/>
          </w:tcPr>
          <w:p w:rsidR="00CA6525" w:rsidRPr="00251FDB" w:rsidRDefault="00CA6525" w:rsidP="00CA6525">
            <w:pPr>
              <w:widowControl w:val="0"/>
              <w:jc w:val="left"/>
              <w:rPr>
                <w:b/>
                <w:sz w:val="20"/>
                <w:szCs w:val="20"/>
                <w:lang w:val="es-AR"/>
              </w:rPr>
            </w:pPr>
            <w:r w:rsidRPr="00251FDB">
              <w:rPr>
                <w:b/>
                <w:sz w:val="20"/>
                <w:szCs w:val="20"/>
                <w:lang w:val="es-AR"/>
              </w:rPr>
              <w:t>Día Hábil</w:t>
            </w:r>
          </w:p>
        </w:tc>
        <w:tc>
          <w:tcPr>
            <w:tcW w:w="3699" w:type="pct"/>
          </w:tcPr>
          <w:p w:rsidR="00CA6525" w:rsidRPr="00EA1080" w:rsidRDefault="00CA6525" w:rsidP="003079F0">
            <w:pPr>
              <w:widowControl w:val="0"/>
              <w:ind w:left="137" w:right="285"/>
              <w:jc w:val="both"/>
              <w:rPr>
                <w:sz w:val="20"/>
                <w:szCs w:val="20"/>
                <w:lang w:val="es-AR"/>
              </w:rPr>
            </w:pPr>
            <w:r w:rsidRPr="002217AD">
              <w:rPr>
                <w:sz w:val="20"/>
                <w:szCs w:val="20"/>
                <w:lang w:val="es-AR"/>
              </w:rPr>
              <w:t xml:space="preserve">Se entenderá por Día Hábil aquel día en que las entidades financieras </w:t>
            </w:r>
            <w:r w:rsidR="00E54D27" w:rsidRPr="002217AD">
              <w:rPr>
                <w:sz w:val="20"/>
                <w:szCs w:val="20"/>
                <w:lang w:val="es-AR"/>
              </w:rPr>
              <w:t xml:space="preserve">se encuentran </w:t>
            </w:r>
            <w:r w:rsidRPr="002217AD">
              <w:rPr>
                <w:sz w:val="20"/>
                <w:szCs w:val="20"/>
                <w:lang w:val="es-AR"/>
              </w:rPr>
              <w:t xml:space="preserve">abiertas </w:t>
            </w:r>
            <w:r w:rsidR="00E54D27" w:rsidRPr="00EA1080">
              <w:rPr>
                <w:sz w:val="20"/>
                <w:szCs w:val="20"/>
                <w:lang w:val="es-AR"/>
              </w:rPr>
              <w:t xml:space="preserve">al público </w:t>
            </w:r>
            <w:r w:rsidRPr="00EA1080">
              <w:rPr>
                <w:sz w:val="20"/>
                <w:szCs w:val="20"/>
                <w:lang w:val="es-AR"/>
              </w:rPr>
              <w:t xml:space="preserve">o no </w:t>
            </w:r>
            <w:r w:rsidR="00E54D27" w:rsidRPr="00EA1080">
              <w:rPr>
                <w:sz w:val="20"/>
                <w:szCs w:val="20"/>
                <w:lang w:val="es-AR"/>
              </w:rPr>
              <w:t xml:space="preserve">se encuentran </w:t>
            </w:r>
            <w:r w:rsidRPr="00EA1080">
              <w:rPr>
                <w:sz w:val="20"/>
                <w:szCs w:val="20"/>
                <w:lang w:val="es-AR"/>
              </w:rPr>
              <w:t>autorizadas a cerrar, y pueden operar normalmente en toda su actividad bancaria y cambiaria en la Ciudad Autónoma de Buenos Aires.</w:t>
            </w:r>
          </w:p>
          <w:p w:rsidR="00CA6525" w:rsidRPr="00EA1080" w:rsidRDefault="00CA6525" w:rsidP="003079F0">
            <w:pPr>
              <w:widowControl w:val="0"/>
              <w:ind w:left="137" w:right="285"/>
              <w:jc w:val="both"/>
              <w:rPr>
                <w:sz w:val="20"/>
                <w:szCs w:val="20"/>
                <w:lang w:val="es-AR"/>
              </w:rPr>
            </w:pPr>
          </w:p>
        </w:tc>
      </w:tr>
      <w:tr w:rsidR="00DB3CD6" w:rsidRPr="001633B5" w:rsidTr="00EA1080">
        <w:trPr>
          <w:trHeight w:val="20"/>
        </w:trPr>
        <w:tc>
          <w:tcPr>
            <w:tcW w:w="1301" w:type="pct"/>
          </w:tcPr>
          <w:p w:rsidR="00DB3CD6" w:rsidRPr="00251FDB" w:rsidRDefault="00DB3CD6" w:rsidP="00DB3CD6">
            <w:pPr>
              <w:widowControl w:val="0"/>
              <w:jc w:val="left"/>
              <w:rPr>
                <w:b/>
                <w:sz w:val="20"/>
                <w:szCs w:val="20"/>
                <w:lang w:val="es-AR"/>
              </w:rPr>
            </w:pPr>
            <w:r w:rsidRPr="00251FDB">
              <w:rPr>
                <w:b/>
                <w:sz w:val="20"/>
                <w:szCs w:val="20"/>
                <w:lang w:val="es-AR"/>
              </w:rPr>
              <w:t>Calificación de Riesgo</w:t>
            </w:r>
          </w:p>
          <w:p w:rsidR="00CA6525" w:rsidRPr="00251FDB" w:rsidRDefault="00CA6525" w:rsidP="00CA6525">
            <w:pPr>
              <w:widowControl w:val="0"/>
              <w:jc w:val="left"/>
              <w:rPr>
                <w:b/>
                <w:sz w:val="20"/>
                <w:szCs w:val="20"/>
                <w:lang w:val="es-AR"/>
              </w:rPr>
            </w:pPr>
          </w:p>
        </w:tc>
        <w:tc>
          <w:tcPr>
            <w:tcW w:w="3699" w:type="pct"/>
          </w:tcPr>
          <w:p w:rsidR="00DB3CD6" w:rsidRPr="00EA1080" w:rsidRDefault="00DB3CD6" w:rsidP="00DB3CD6">
            <w:pPr>
              <w:widowControl w:val="0"/>
              <w:ind w:left="137" w:right="285"/>
              <w:jc w:val="both"/>
              <w:rPr>
                <w:sz w:val="20"/>
                <w:szCs w:val="20"/>
                <w:lang w:val="es-AR"/>
              </w:rPr>
            </w:pPr>
            <w:r w:rsidRPr="002217AD">
              <w:rPr>
                <w:sz w:val="20"/>
                <w:szCs w:val="20"/>
                <w:lang w:val="es-AR"/>
              </w:rPr>
              <w:t xml:space="preserve">Las Obligaciones Negociables </w:t>
            </w:r>
            <w:r w:rsidR="00F37245">
              <w:rPr>
                <w:sz w:val="20"/>
                <w:szCs w:val="20"/>
                <w:lang w:val="es-AR"/>
              </w:rPr>
              <w:t>contarán con una calificación otorgada</w:t>
            </w:r>
            <w:r w:rsidRPr="002217AD">
              <w:rPr>
                <w:sz w:val="20"/>
                <w:szCs w:val="20"/>
                <w:lang w:val="es-AR"/>
              </w:rPr>
              <w:t xml:space="preserve"> por FIX SCR S.A. Agente de Calificación de Riesgo (antes denominada Fitch Argentina Calificadora de Riesgo S.A)</w:t>
            </w:r>
            <w:r w:rsidR="00F37245">
              <w:rPr>
                <w:sz w:val="20"/>
                <w:szCs w:val="20"/>
                <w:lang w:val="es-AR"/>
              </w:rPr>
              <w:t>, la cual será informada mediante un aviso complementario al presente</w:t>
            </w:r>
            <w:r w:rsidRPr="002217AD">
              <w:rPr>
                <w:sz w:val="20"/>
                <w:szCs w:val="20"/>
                <w:lang w:val="es-AR"/>
              </w:rPr>
              <w:t xml:space="preserve">. Véase al respecto </w:t>
            </w:r>
            <w:r w:rsidR="005774FC" w:rsidRPr="00EA1080">
              <w:rPr>
                <w:sz w:val="20"/>
                <w:szCs w:val="20"/>
                <w:lang w:val="es-AR"/>
              </w:rPr>
              <w:t>el título</w:t>
            </w:r>
            <w:r w:rsidRPr="002217AD">
              <w:rPr>
                <w:sz w:val="20"/>
                <w:szCs w:val="20"/>
                <w:lang w:val="es-AR"/>
              </w:rPr>
              <w:t xml:space="preserve"> “</w:t>
            </w:r>
            <w:r w:rsidRPr="002217AD">
              <w:rPr>
                <w:i/>
                <w:sz w:val="20"/>
                <w:szCs w:val="20"/>
                <w:lang w:val="es-AR"/>
              </w:rPr>
              <w:t>Calificación de Riesgo</w:t>
            </w:r>
            <w:r w:rsidRPr="00EA1080">
              <w:rPr>
                <w:sz w:val="20"/>
                <w:szCs w:val="20"/>
                <w:lang w:val="es-AR"/>
              </w:rPr>
              <w:t>” más abajo</w:t>
            </w:r>
            <w:r w:rsidR="005774FC" w:rsidRPr="00EA1080">
              <w:rPr>
                <w:sz w:val="20"/>
                <w:szCs w:val="20"/>
                <w:lang w:val="es-AR"/>
              </w:rPr>
              <w:t xml:space="preserve"> en el presente Capítulo</w:t>
            </w:r>
            <w:r w:rsidRPr="00EA1080">
              <w:rPr>
                <w:sz w:val="20"/>
                <w:szCs w:val="20"/>
                <w:lang w:val="es-AR"/>
              </w:rPr>
              <w:t>.</w:t>
            </w:r>
          </w:p>
          <w:p w:rsidR="00CA6525" w:rsidRPr="00EA1080" w:rsidRDefault="00CA6525" w:rsidP="003079F0">
            <w:pPr>
              <w:widowControl w:val="0"/>
              <w:ind w:left="137" w:right="285"/>
              <w:jc w:val="both"/>
              <w:rPr>
                <w:sz w:val="20"/>
                <w:szCs w:val="20"/>
                <w:lang w:val="es-AR"/>
              </w:rPr>
            </w:pPr>
          </w:p>
        </w:tc>
      </w:tr>
      <w:tr w:rsidR="00DB3CD6" w:rsidRPr="001633B5" w:rsidTr="00EA1080">
        <w:trPr>
          <w:trHeight w:val="20"/>
        </w:trPr>
        <w:tc>
          <w:tcPr>
            <w:tcW w:w="1301" w:type="pct"/>
          </w:tcPr>
          <w:p w:rsidR="00CA6525" w:rsidRPr="00251FDB" w:rsidRDefault="00CA6525" w:rsidP="00CA6525">
            <w:pPr>
              <w:widowControl w:val="0"/>
              <w:jc w:val="left"/>
              <w:rPr>
                <w:b/>
                <w:sz w:val="20"/>
                <w:szCs w:val="20"/>
                <w:lang w:val="es-AR"/>
              </w:rPr>
            </w:pPr>
            <w:r w:rsidRPr="00251FDB">
              <w:rPr>
                <w:b/>
                <w:sz w:val="20"/>
                <w:szCs w:val="20"/>
                <w:lang w:val="es-AR"/>
              </w:rPr>
              <w:t>Acción Ejecutiva</w:t>
            </w:r>
          </w:p>
        </w:tc>
        <w:tc>
          <w:tcPr>
            <w:tcW w:w="3699" w:type="pct"/>
          </w:tcPr>
          <w:p w:rsidR="00CA6525" w:rsidRPr="00251FDB" w:rsidRDefault="00CA6525" w:rsidP="003C155C">
            <w:pPr>
              <w:widowControl w:val="0"/>
              <w:tabs>
                <w:tab w:val="left" w:pos="6915"/>
              </w:tabs>
              <w:ind w:left="137" w:right="285"/>
              <w:jc w:val="both"/>
              <w:outlineLvl w:val="2"/>
              <w:rPr>
                <w:sz w:val="20"/>
                <w:szCs w:val="20"/>
                <w:lang w:val="es-MX"/>
              </w:rPr>
            </w:pPr>
            <w:r w:rsidRPr="00251FDB">
              <w:rPr>
                <w:bCs/>
                <w:sz w:val="20"/>
                <w:szCs w:val="20"/>
                <w:lang w:val="es-MX"/>
              </w:rPr>
              <w:t xml:space="preserve">En el supuesto de incumplimiento por parte de la Compañía en el pago del capital, prima, Montos Adicionales o intereses a su vencimiento, cualquier tenedor de una Obligación Negociable </w:t>
            </w:r>
            <w:r w:rsidRPr="00251FDB">
              <w:rPr>
                <w:sz w:val="20"/>
                <w:szCs w:val="20"/>
                <w:lang w:val="es-AR"/>
              </w:rPr>
              <w:t>podrá</w:t>
            </w:r>
            <w:r w:rsidRPr="00251FDB">
              <w:rPr>
                <w:bCs/>
                <w:sz w:val="20"/>
                <w:szCs w:val="20"/>
                <w:lang w:val="es-MX"/>
              </w:rPr>
              <w:t xml:space="preserve"> iniciar acción ejecutiva directamente contra la Compañía por pagos adeudados con respecto a dicha Obligación Negociable de conformidad con el artículo 29 de la Ley de Obligaciones Negociables.</w:t>
            </w:r>
          </w:p>
        </w:tc>
      </w:tr>
    </w:tbl>
    <w:p w:rsidR="005829DE" w:rsidRPr="00251FDB" w:rsidRDefault="005829DE" w:rsidP="00023BD7">
      <w:pPr>
        <w:widowControl w:val="0"/>
        <w:jc w:val="both"/>
        <w:rPr>
          <w:sz w:val="20"/>
          <w:szCs w:val="20"/>
          <w:lang w:val="es-MX"/>
        </w:rPr>
      </w:pPr>
    </w:p>
    <w:p w:rsidR="0045381E" w:rsidRPr="00251FDB" w:rsidRDefault="00CD57EF" w:rsidP="00EA1080">
      <w:pPr>
        <w:widowControl w:val="0"/>
        <w:jc w:val="both"/>
        <w:rPr>
          <w:sz w:val="20"/>
          <w:szCs w:val="20"/>
          <w:lang w:val="es-MX"/>
        </w:rPr>
      </w:pPr>
      <w:bookmarkStart w:id="62" w:name="_Toc240884509"/>
      <w:bookmarkStart w:id="63" w:name="_Toc242768021"/>
      <w:r w:rsidRPr="00251FDB">
        <w:rPr>
          <w:b/>
          <w:smallCaps/>
          <w:sz w:val="20"/>
          <w:szCs w:val="20"/>
          <w:lang w:val="es-AR"/>
        </w:rPr>
        <w:t>2</w:t>
      </w:r>
      <w:r w:rsidR="0045381E" w:rsidRPr="00251FDB">
        <w:rPr>
          <w:b/>
          <w:smallCaps/>
          <w:sz w:val="20"/>
          <w:szCs w:val="20"/>
          <w:lang w:val="es-AR"/>
        </w:rPr>
        <w:t>. T</w:t>
      </w:r>
      <w:r w:rsidR="0045381E" w:rsidRPr="00251FDB">
        <w:rPr>
          <w:rFonts w:hint="eastAsia"/>
          <w:b/>
          <w:smallCaps/>
          <w:sz w:val="20"/>
          <w:szCs w:val="20"/>
          <w:lang w:val="es-AR"/>
        </w:rPr>
        <w:t>é</w:t>
      </w:r>
      <w:r w:rsidR="0045381E" w:rsidRPr="00251FDB">
        <w:rPr>
          <w:b/>
          <w:smallCaps/>
          <w:sz w:val="20"/>
          <w:szCs w:val="20"/>
          <w:lang w:val="es-AR"/>
        </w:rPr>
        <w:t>rminos y Condiciones Adicionales de las Obligaciones Negociables</w:t>
      </w:r>
    </w:p>
    <w:p w:rsidR="009326B4" w:rsidRDefault="009326B4" w:rsidP="009326B4">
      <w:pPr>
        <w:widowControl w:val="0"/>
        <w:ind w:right="285"/>
        <w:jc w:val="both"/>
        <w:outlineLvl w:val="2"/>
        <w:rPr>
          <w:sz w:val="20"/>
          <w:szCs w:val="20"/>
          <w:lang w:val="es-AR"/>
        </w:rPr>
      </w:pPr>
    </w:p>
    <w:p w:rsidR="00E616BF" w:rsidRDefault="00E616BF" w:rsidP="00E616BF">
      <w:pPr>
        <w:pStyle w:val="Default"/>
        <w:jc w:val="both"/>
        <w:rPr>
          <w:b/>
          <w:sz w:val="20"/>
          <w:szCs w:val="20"/>
        </w:rPr>
      </w:pPr>
      <w:r w:rsidRPr="00E35CDC">
        <w:rPr>
          <w:b/>
          <w:sz w:val="20"/>
          <w:szCs w:val="20"/>
        </w:rPr>
        <w:t>Asamblea de Obligacionistas</w:t>
      </w:r>
    </w:p>
    <w:p w:rsidR="00E616BF" w:rsidRPr="00E35CDC" w:rsidRDefault="00E616BF" w:rsidP="00E616BF">
      <w:pPr>
        <w:pStyle w:val="Default"/>
        <w:jc w:val="both"/>
        <w:rPr>
          <w:b/>
          <w:sz w:val="20"/>
          <w:szCs w:val="20"/>
        </w:rPr>
      </w:pPr>
    </w:p>
    <w:p w:rsidR="00E616BF" w:rsidRDefault="00E616BF">
      <w:pPr>
        <w:pStyle w:val="Default"/>
        <w:jc w:val="both"/>
        <w:rPr>
          <w:sz w:val="20"/>
          <w:szCs w:val="20"/>
        </w:rPr>
      </w:pPr>
      <w:r>
        <w:rPr>
          <w:sz w:val="20"/>
          <w:szCs w:val="20"/>
        </w:rPr>
        <w:t xml:space="preserve">Las asambleas de tenedores de las Obligaciones se regirán por la Ley de Obligaciones Negociables en todo aquello que no esté previsto expresamente en el presente Suplemento de Precio y en la sección </w:t>
      </w:r>
      <w:r w:rsidRPr="00E35CDC">
        <w:rPr>
          <w:i/>
          <w:sz w:val="20"/>
          <w:szCs w:val="20"/>
        </w:rPr>
        <w:t xml:space="preserve">“IX. </w:t>
      </w:r>
      <w:r>
        <w:rPr>
          <w:i/>
          <w:sz w:val="20"/>
          <w:szCs w:val="20"/>
        </w:rPr>
        <w:t>De la Oferta, e</w:t>
      </w:r>
      <w:r w:rsidRPr="00E616BF">
        <w:rPr>
          <w:i/>
          <w:sz w:val="20"/>
          <w:szCs w:val="20"/>
        </w:rPr>
        <w:t xml:space="preserve">l Listado </w:t>
      </w:r>
      <w:r>
        <w:rPr>
          <w:i/>
          <w:sz w:val="20"/>
          <w:szCs w:val="20"/>
        </w:rPr>
        <w:t>y l</w:t>
      </w:r>
      <w:r w:rsidRPr="00E616BF">
        <w:rPr>
          <w:i/>
          <w:sz w:val="20"/>
          <w:szCs w:val="20"/>
        </w:rPr>
        <w:t>a Negociación</w:t>
      </w:r>
      <w:r w:rsidRPr="00E35CDC">
        <w:rPr>
          <w:i/>
          <w:sz w:val="20"/>
          <w:szCs w:val="20"/>
        </w:rPr>
        <w:t>”</w:t>
      </w:r>
      <w:r w:rsidRPr="00E35CDC">
        <w:rPr>
          <w:sz w:val="20"/>
          <w:szCs w:val="20"/>
        </w:rPr>
        <w:t xml:space="preserve"> del</w:t>
      </w:r>
      <w:r>
        <w:rPr>
          <w:sz w:val="20"/>
          <w:szCs w:val="20"/>
        </w:rPr>
        <w:t xml:space="preserve"> Prospecto (en tanto y en cuanto no se contradiga con lo establecido en el Suplemento de Precio, en cuyo caso prevalecerá lo establecido en el presente Suplemento de Precio). </w:t>
      </w:r>
    </w:p>
    <w:p w:rsidR="00E616BF" w:rsidRDefault="00E616BF" w:rsidP="00E616BF">
      <w:pPr>
        <w:pStyle w:val="Default"/>
        <w:jc w:val="both"/>
        <w:rPr>
          <w:sz w:val="20"/>
          <w:szCs w:val="20"/>
        </w:rPr>
      </w:pPr>
    </w:p>
    <w:p w:rsidR="00E616BF" w:rsidRDefault="00E616BF" w:rsidP="00E616BF">
      <w:pPr>
        <w:pStyle w:val="Default"/>
        <w:jc w:val="both"/>
        <w:rPr>
          <w:sz w:val="20"/>
          <w:szCs w:val="20"/>
        </w:rPr>
      </w:pPr>
      <w:r>
        <w:rPr>
          <w:sz w:val="20"/>
          <w:szCs w:val="20"/>
        </w:rPr>
        <w:t xml:space="preserve">Cómputo. En ningún caso serán computadas a los efectos del quórum y de las mayorías, ni tendrán derecho a voto: (a) las Obligaciones Negociables que no se encuentren en circulación; y (b) las Obligaciones Negociables rescatadas o adquiridas por el Emisor (de conformidad con lo previsto en la Sección </w:t>
      </w:r>
      <w:r w:rsidR="00094C73" w:rsidRPr="005F1A27">
        <w:rPr>
          <w:i/>
          <w:sz w:val="20"/>
          <w:szCs w:val="20"/>
        </w:rPr>
        <w:t xml:space="preserve">“IX. </w:t>
      </w:r>
      <w:r w:rsidR="00094C73">
        <w:rPr>
          <w:i/>
          <w:sz w:val="20"/>
          <w:szCs w:val="20"/>
        </w:rPr>
        <w:t>De la Oferta, e</w:t>
      </w:r>
      <w:r w:rsidR="00094C73" w:rsidRPr="00E616BF">
        <w:rPr>
          <w:i/>
          <w:sz w:val="20"/>
          <w:szCs w:val="20"/>
        </w:rPr>
        <w:t xml:space="preserve">l Listado </w:t>
      </w:r>
      <w:r w:rsidR="00094C73">
        <w:rPr>
          <w:i/>
          <w:sz w:val="20"/>
          <w:szCs w:val="20"/>
        </w:rPr>
        <w:t>y l</w:t>
      </w:r>
      <w:r w:rsidR="00094C73" w:rsidRPr="00E616BF">
        <w:rPr>
          <w:i/>
          <w:sz w:val="20"/>
          <w:szCs w:val="20"/>
        </w:rPr>
        <w:t>a Negociación</w:t>
      </w:r>
      <w:r w:rsidR="00E35CDC">
        <w:rPr>
          <w:i/>
          <w:sz w:val="20"/>
          <w:szCs w:val="20"/>
        </w:rPr>
        <w:t xml:space="preserve">  – </w:t>
      </w:r>
      <w:r w:rsidR="00094C73" w:rsidRPr="00E35CDC">
        <w:rPr>
          <w:i/>
          <w:sz w:val="20"/>
          <w:szCs w:val="20"/>
        </w:rPr>
        <w:t xml:space="preserve">12. </w:t>
      </w:r>
      <w:r w:rsidRPr="00E35CDC">
        <w:rPr>
          <w:i/>
          <w:sz w:val="20"/>
          <w:szCs w:val="20"/>
        </w:rPr>
        <w:t>Recompra</w:t>
      </w:r>
      <w:r>
        <w:rPr>
          <w:sz w:val="20"/>
          <w:szCs w:val="20"/>
        </w:rPr>
        <w:t>”</w:t>
      </w:r>
      <w:r w:rsidR="00094C73">
        <w:rPr>
          <w:sz w:val="20"/>
          <w:szCs w:val="20"/>
        </w:rPr>
        <w:t xml:space="preserve"> del Prospecto</w:t>
      </w:r>
      <w:r>
        <w:rPr>
          <w:sz w:val="20"/>
          <w:szCs w:val="20"/>
        </w:rPr>
        <w:t xml:space="preserve">) o por afiliadas al Emisor, mientras se mantengan en la cartera propia del Emisor o de sus afiliadas. </w:t>
      </w:r>
    </w:p>
    <w:p w:rsidR="00E616BF" w:rsidRDefault="00E616BF" w:rsidP="00E616BF">
      <w:pPr>
        <w:pStyle w:val="Default"/>
        <w:jc w:val="both"/>
        <w:rPr>
          <w:sz w:val="20"/>
          <w:szCs w:val="20"/>
        </w:rPr>
      </w:pPr>
    </w:p>
    <w:p w:rsidR="00E616BF" w:rsidRDefault="00E616BF" w:rsidP="00E616BF">
      <w:pPr>
        <w:pStyle w:val="Default"/>
        <w:jc w:val="both"/>
        <w:rPr>
          <w:sz w:val="20"/>
          <w:szCs w:val="20"/>
        </w:rPr>
      </w:pPr>
      <w:r>
        <w:rPr>
          <w:sz w:val="20"/>
          <w:szCs w:val="20"/>
        </w:rPr>
        <w:t xml:space="preserve">Competencia, </w:t>
      </w:r>
      <w:r w:rsidRPr="00E35CDC">
        <w:rPr>
          <w:i/>
          <w:sz w:val="20"/>
          <w:szCs w:val="20"/>
        </w:rPr>
        <w:t>quórum</w:t>
      </w:r>
      <w:r>
        <w:rPr>
          <w:sz w:val="20"/>
          <w:szCs w:val="20"/>
        </w:rPr>
        <w:t xml:space="preserve"> y mayorías: </w:t>
      </w:r>
    </w:p>
    <w:p w:rsidR="00E616BF" w:rsidRDefault="00E616BF" w:rsidP="00E616BF">
      <w:pPr>
        <w:pStyle w:val="Default"/>
        <w:jc w:val="both"/>
        <w:rPr>
          <w:sz w:val="20"/>
          <w:szCs w:val="20"/>
        </w:rPr>
      </w:pPr>
    </w:p>
    <w:p w:rsidR="00E616BF" w:rsidRDefault="00E616BF" w:rsidP="00E616BF">
      <w:pPr>
        <w:pStyle w:val="Default"/>
        <w:jc w:val="both"/>
        <w:rPr>
          <w:sz w:val="20"/>
          <w:szCs w:val="20"/>
        </w:rPr>
      </w:pPr>
      <w:r>
        <w:rPr>
          <w:sz w:val="20"/>
          <w:szCs w:val="20"/>
        </w:rPr>
        <w:t>(i) Las Asambleas tendrán competencia para tratar y/o decidir sobre cualquier asunto relativo a las Obligaciones Negociables y para que los tenedores de las Obligaciones Negociables puedan efectuar, otorgar o tomar toda solicitud, requerimiento, autorización, consentimiento, dispensa (incluida la dispensa de un Supuesto de Incumplimiento), renuncia y/o cualquier otra acción que los términos de las Obligaciones Negociables dispongan que debe ser efectuado, otorgado o tomado por los tenedores de Obligaciones Negociables.</w:t>
      </w:r>
    </w:p>
    <w:p w:rsidR="00E616BF" w:rsidRDefault="00E616BF" w:rsidP="00E616BF">
      <w:pPr>
        <w:pStyle w:val="Default"/>
        <w:jc w:val="both"/>
        <w:rPr>
          <w:sz w:val="20"/>
          <w:szCs w:val="20"/>
        </w:rPr>
      </w:pPr>
      <w:r>
        <w:rPr>
          <w:sz w:val="20"/>
          <w:szCs w:val="20"/>
        </w:rPr>
        <w:t xml:space="preserve"> </w:t>
      </w:r>
    </w:p>
    <w:p w:rsidR="00E616BF" w:rsidRDefault="00E616BF" w:rsidP="00E616BF">
      <w:pPr>
        <w:pStyle w:val="Default"/>
        <w:jc w:val="both"/>
        <w:rPr>
          <w:color w:val="auto"/>
          <w:sz w:val="20"/>
          <w:szCs w:val="20"/>
        </w:rPr>
      </w:pPr>
      <w:r>
        <w:rPr>
          <w:sz w:val="20"/>
          <w:szCs w:val="20"/>
        </w:rPr>
        <w:t xml:space="preserve">(ii) El quórum para una asamblea ordinaria estará constituido para la primera convocatoria por tenedores que representen, por lo menos, la mayoría del valor nominal en circulación de las Obligaciones Negociables, y si no se llegase a completar dicho quórum, la Asamblea en segunda convocatoria quedará constituida con los tenedores de las Obligaciones </w:t>
      </w:r>
      <w:r>
        <w:rPr>
          <w:color w:val="auto"/>
          <w:sz w:val="20"/>
          <w:szCs w:val="20"/>
        </w:rPr>
        <w:t xml:space="preserve">Negociables que se encontraren presentes, cualquiera sea su número y el porcentaje sobre el valor nominal en circulación que representen. Tanto en primera como en segunda convocatoria, todas las decisiones que deben ser tomadas en el seno de una asamblea ordinaria (incluyendo, sin limitación, aquellas relativas a la modificación de términos no esenciales de la emisión) se tomarán por la mayoría absoluta de los votos emitidos por los tenedores de las Obligaciones Negociables presentes con derecho a voto. </w:t>
      </w:r>
    </w:p>
    <w:p w:rsidR="00E616BF" w:rsidRDefault="00E616BF" w:rsidP="00E616BF">
      <w:pPr>
        <w:pStyle w:val="Default"/>
        <w:jc w:val="both"/>
        <w:rPr>
          <w:color w:val="auto"/>
          <w:sz w:val="20"/>
          <w:szCs w:val="20"/>
        </w:rPr>
      </w:pPr>
    </w:p>
    <w:p w:rsidR="00E616BF" w:rsidRDefault="00E616BF" w:rsidP="00E616BF">
      <w:pPr>
        <w:pStyle w:val="Default"/>
        <w:jc w:val="both"/>
        <w:rPr>
          <w:color w:val="auto"/>
          <w:sz w:val="20"/>
          <w:szCs w:val="20"/>
        </w:rPr>
      </w:pPr>
      <w:r>
        <w:rPr>
          <w:color w:val="auto"/>
          <w:sz w:val="20"/>
          <w:szCs w:val="20"/>
        </w:rPr>
        <w:t xml:space="preserve">(iii) El quórum para una asamblea extraordinaria estará constituido tanto en primera como en segunda convocatoria por tenedores que representen por lo menos </w:t>
      </w:r>
      <w:r w:rsidR="00425ACF">
        <w:rPr>
          <w:color w:val="auto"/>
          <w:sz w:val="20"/>
          <w:szCs w:val="20"/>
        </w:rPr>
        <w:t>dos tercios (</w:t>
      </w:r>
      <w:bookmarkStart w:id="64" w:name="_GoBack"/>
      <w:r w:rsidR="002F04F0">
        <w:rPr>
          <w:color w:val="auto"/>
          <w:sz w:val="20"/>
          <w:szCs w:val="20"/>
        </w:rPr>
        <w:t>2/3</w:t>
      </w:r>
      <w:bookmarkEnd w:id="64"/>
      <w:r w:rsidR="00425ACF">
        <w:rPr>
          <w:color w:val="auto"/>
          <w:sz w:val="20"/>
          <w:szCs w:val="20"/>
        </w:rPr>
        <w:t>)</w:t>
      </w:r>
      <w:r>
        <w:rPr>
          <w:color w:val="auto"/>
          <w:sz w:val="20"/>
          <w:szCs w:val="20"/>
        </w:rPr>
        <w:t xml:space="preserve"> del valor nominal de capital en circulación de las Obligaciones Negociables. Tanto en primera como en segunda convocatoria las decisiones qu</w:t>
      </w:r>
      <w:r w:rsidRPr="0037485D">
        <w:rPr>
          <w:color w:val="auto"/>
          <w:sz w:val="20"/>
          <w:szCs w:val="20"/>
        </w:rPr>
        <w:t xml:space="preserve">e deben ser tomadas en el seno de una asamblea extraordinaria (incluyendo, sin limitación, los Supuestos Especiales) deberán contar con los votos afirmativos de los tenedores de las Obligaciones Negociables que </w:t>
      </w:r>
      <w:r>
        <w:rPr>
          <w:color w:val="auto"/>
          <w:sz w:val="20"/>
          <w:szCs w:val="20"/>
        </w:rPr>
        <w:t>representen por lo menos</w:t>
      </w:r>
      <w:r w:rsidR="00425ACF">
        <w:rPr>
          <w:color w:val="auto"/>
          <w:sz w:val="20"/>
          <w:szCs w:val="20"/>
        </w:rPr>
        <w:t xml:space="preserve"> dos tercios</w:t>
      </w:r>
      <w:r>
        <w:rPr>
          <w:color w:val="auto"/>
          <w:sz w:val="20"/>
          <w:szCs w:val="20"/>
        </w:rPr>
        <w:t xml:space="preserve"> </w:t>
      </w:r>
      <w:r w:rsidR="00425ACF">
        <w:rPr>
          <w:color w:val="auto"/>
          <w:sz w:val="20"/>
          <w:szCs w:val="20"/>
        </w:rPr>
        <w:t>(</w:t>
      </w:r>
      <w:r w:rsidR="002F04F0">
        <w:rPr>
          <w:color w:val="auto"/>
          <w:sz w:val="20"/>
          <w:szCs w:val="20"/>
        </w:rPr>
        <w:t>2/3</w:t>
      </w:r>
      <w:r w:rsidR="00425ACF">
        <w:rPr>
          <w:color w:val="auto"/>
          <w:sz w:val="20"/>
          <w:szCs w:val="20"/>
        </w:rPr>
        <w:t>)</w:t>
      </w:r>
      <w:r>
        <w:rPr>
          <w:color w:val="auto"/>
          <w:sz w:val="20"/>
          <w:szCs w:val="20"/>
        </w:rPr>
        <w:t xml:space="preserve"> del valor nominal de capital en circulación de las Obligaciones Negociables</w:t>
      </w:r>
      <w:r w:rsidRPr="0037485D">
        <w:rPr>
          <w:color w:val="auto"/>
          <w:sz w:val="20"/>
          <w:szCs w:val="20"/>
        </w:rPr>
        <w:t>.</w:t>
      </w:r>
      <w:r>
        <w:rPr>
          <w:color w:val="auto"/>
          <w:sz w:val="20"/>
          <w:szCs w:val="20"/>
        </w:rPr>
        <w:t xml:space="preserve"> Constituirán Supuestos Especiales la modificación de los términos y condiciones esenciales de la emisión, incluyendo sin carácter limitativo: (i) cambio de las fechas de pago de capital, intereses, Montos Adicionales y/o cualquier otro monto adeudado bajo las Obligaciones Negociables de una Clase y/o Serie en particular; (ii) reducción del monto de capital, de la tasa de interés y/o de cualquier otro monto pagadero bajo las Obligaciones Negociables de dicha Clase y/o Serie en particular; (iii) cambio de la moneda de pago de capital, intereses, Montos Adicionales y/o cualquier otro monto bajo las Obligaciones Negociables de dicha Clase y/o Serie, siempre y cuando dicho cambio no sea consecuencia de normas legales y/o regulatorias que el Emisor se encuentre obligada a cumplir, y tales normas hayan entrado en vigencia con posterioridad a la Fecha de Emisión de la Clase y/o Serie de Obligaciones Negociables en cuestión; y/o (iv) reducción de los requisitos de quórum y de mayorías previst</w:t>
      </w:r>
      <w:r w:rsidR="00094C73">
        <w:rPr>
          <w:color w:val="auto"/>
          <w:sz w:val="20"/>
          <w:szCs w:val="20"/>
        </w:rPr>
        <w:t>a</w:t>
      </w:r>
      <w:r>
        <w:rPr>
          <w:color w:val="auto"/>
          <w:sz w:val="20"/>
          <w:szCs w:val="20"/>
        </w:rPr>
        <w:t xml:space="preserve">s en este Suplemento de Precio. </w:t>
      </w:r>
    </w:p>
    <w:p w:rsidR="00E616BF" w:rsidRPr="00E35CDC" w:rsidRDefault="00E616BF" w:rsidP="009326B4">
      <w:pPr>
        <w:widowControl w:val="0"/>
        <w:ind w:right="285"/>
        <w:jc w:val="both"/>
        <w:outlineLvl w:val="2"/>
        <w:rPr>
          <w:sz w:val="20"/>
          <w:szCs w:val="20"/>
          <w:lang w:val="es-ES"/>
        </w:rPr>
      </w:pPr>
    </w:p>
    <w:p w:rsidR="009326B4" w:rsidRPr="00EA1080" w:rsidRDefault="009326B4" w:rsidP="009326B4">
      <w:pPr>
        <w:widowControl w:val="0"/>
        <w:ind w:right="285"/>
        <w:jc w:val="both"/>
        <w:outlineLvl w:val="2"/>
        <w:rPr>
          <w:b/>
          <w:sz w:val="20"/>
          <w:szCs w:val="20"/>
          <w:lang w:val="es-AR"/>
        </w:rPr>
      </w:pPr>
      <w:r>
        <w:rPr>
          <w:b/>
          <w:sz w:val="20"/>
          <w:szCs w:val="20"/>
          <w:lang w:val="es-AR"/>
        </w:rPr>
        <w:t>Montos Adicionales</w:t>
      </w:r>
    </w:p>
    <w:p w:rsidR="009326B4" w:rsidRDefault="009326B4" w:rsidP="003C155C">
      <w:pPr>
        <w:widowControl w:val="0"/>
        <w:ind w:right="-34"/>
        <w:jc w:val="both"/>
        <w:outlineLvl w:val="2"/>
        <w:rPr>
          <w:sz w:val="20"/>
          <w:szCs w:val="20"/>
          <w:lang w:val="es-AR"/>
        </w:rPr>
      </w:pPr>
    </w:p>
    <w:p w:rsidR="009326B4" w:rsidRPr="00251FDB" w:rsidRDefault="009326B4" w:rsidP="003C155C">
      <w:pPr>
        <w:widowControl w:val="0"/>
        <w:ind w:right="-34"/>
        <w:jc w:val="both"/>
        <w:outlineLvl w:val="2"/>
        <w:rPr>
          <w:sz w:val="20"/>
          <w:szCs w:val="20"/>
          <w:lang w:val="es-AR"/>
        </w:rPr>
      </w:pPr>
      <w:r w:rsidRPr="00251FDB">
        <w:rPr>
          <w:sz w:val="20"/>
          <w:szCs w:val="20"/>
          <w:lang w:val="es-AR"/>
        </w:rPr>
        <w:t>Todos los impuestos presentes y futuros de cualquier jurisdicción, que pudieran recaer sobre los actos, contratos y operaciones relacionados con la emisión y suscripción de las Obligaciones Negociables, estarán exclusivamente a cargo del Emisor, quien abonará las sumas adeudadas por intereses y capital por las Obligaciones Negociables, sin deducción de ningún importe en concepto de impuestos, tasas, contribuciones, gravámenes, retenciones o gastos de transferencia, vigentes a la fecha de suscripción, o que se establezcan en el futuro por cualquier autoridad de Argentina, cualquiera que fuera el origen o causa de los mismos. En consecuencia, si por disposiciones legales o reglamentarias, o por interpretación de dichas disposiciones legales o reglamentarias, del Emisor debiera pagar o retener tales importes, el Emisor se obliga a efectuar a su exclusivo costo el ingreso de los pagos o retenciones en cuestión, en forma tal que, una vez realizadas todas las retenciones o deducciones, los obligacionistas reciban un monto igual al que hubieran recibido si dichas retenciones o deducciones no hubieran sido realizadas. Sin embargo, lo expuesto no será aplicable:</w:t>
      </w:r>
    </w:p>
    <w:p w:rsidR="009326B4" w:rsidRPr="00251FDB" w:rsidRDefault="009326B4" w:rsidP="003C155C">
      <w:pPr>
        <w:widowControl w:val="0"/>
        <w:ind w:right="-34"/>
        <w:jc w:val="both"/>
        <w:outlineLvl w:val="2"/>
        <w:rPr>
          <w:sz w:val="20"/>
          <w:szCs w:val="20"/>
          <w:lang w:val="es-AR"/>
        </w:rPr>
      </w:pPr>
    </w:p>
    <w:p w:rsidR="009326B4" w:rsidRPr="00251FDB" w:rsidRDefault="009326B4" w:rsidP="003C155C">
      <w:pPr>
        <w:pStyle w:val="Prrafodelista"/>
        <w:widowControl w:val="0"/>
        <w:numPr>
          <w:ilvl w:val="0"/>
          <w:numId w:val="14"/>
        </w:numPr>
        <w:ind w:right="-34"/>
        <w:jc w:val="both"/>
        <w:outlineLvl w:val="2"/>
        <w:rPr>
          <w:sz w:val="20"/>
          <w:szCs w:val="20"/>
          <w:lang w:val="es-AR"/>
        </w:rPr>
      </w:pPr>
      <w:r w:rsidRPr="00251FDB">
        <w:rPr>
          <w:sz w:val="20"/>
          <w:szCs w:val="20"/>
          <w:lang w:val="es-AR"/>
        </w:rPr>
        <w:t xml:space="preserve">a los tenedores comprendidos en el título VI de la Ley de Impuesto a las Ganancias de Argentina (excluidas las entidades de la Ley Nº 21.526 de Entidades Financieras) y en el Titulo IV Capítulo II de Ley de Impuesto a las Ganancias, en relación al impuesto a las ganancias que les corresponda tributar; </w:t>
      </w:r>
    </w:p>
    <w:p w:rsidR="009326B4" w:rsidRPr="00251FDB" w:rsidRDefault="009326B4" w:rsidP="003C155C">
      <w:pPr>
        <w:widowControl w:val="0"/>
        <w:ind w:left="137" w:right="-34"/>
        <w:jc w:val="both"/>
        <w:outlineLvl w:val="2"/>
        <w:rPr>
          <w:sz w:val="20"/>
          <w:szCs w:val="20"/>
          <w:lang w:val="es-AR"/>
        </w:rPr>
      </w:pPr>
    </w:p>
    <w:p w:rsidR="009326B4" w:rsidRPr="00251FDB" w:rsidRDefault="009326B4" w:rsidP="003C155C">
      <w:pPr>
        <w:pStyle w:val="Prrafodelista"/>
        <w:widowControl w:val="0"/>
        <w:numPr>
          <w:ilvl w:val="0"/>
          <w:numId w:val="14"/>
        </w:numPr>
        <w:ind w:right="-34"/>
        <w:jc w:val="both"/>
        <w:outlineLvl w:val="2"/>
        <w:rPr>
          <w:sz w:val="20"/>
          <w:szCs w:val="20"/>
          <w:lang w:val="es-AR"/>
        </w:rPr>
      </w:pPr>
      <w:r w:rsidRPr="00251FDB">
        <w:rPr>
          <w:sz w:val="20"/>
          <w:szCs w:val="20"/>
          <w:lang w:val="es-AR"/>
        </w:rPr>
        <w:t xml:space="preserve">cuando se trate del impuesto a los créditos y débitos efectuados en cuentas de cualquier naturaleza abiertas en las entidades regidas por la Ley de Entidades Financieras; </w:t>
      </w:r>
    </w:p>
    <w:p w:rsidR="009326B4" w:rsidRPr="00251FDB" w:rsidRDefault="009326B4" w:rsidP="003C155C">
      <w:pPr>
        <w:widowControl w:val="0"/>
        <w:ind w:left="137" w:right="-34"/>
        <w:jc w:val="both"/>
        <w:outlineLvl w:val="2"/>
        <w:rPr>
          <w:sz w:val="20"/>
          <w:szCs w:val="20"/>
          <w:lang w:val="es-AR"/>
        </w:rPr>
      </w:pPr>
    </w:p>
    <w:p w:rsidR="009326B4" w:rsidRPr="00251FDB" w:rsidRDefault="009326B4" w:rsidP="003C155C">
      <w:pPr>
        <w:pStyle w:val="Prrafodelista"/>
        <w:widowControl w:val="0"/>
        <w:numPr>
          <w:ilvl w:val="0"/>
          <w:numId w:val="14"/>
        </w:numPr>
        <w:ind w:right="-34"/>
        <w:jc w:val="both"/>
        <w:outlineLvl w:val="2"/>
        <w:rPr>
          <w:sz w:val="20"/>
          <w:szCs w:val="20"/>
          <w:lang w:val="es-AR"/>
        </w:rPr>
      </w:pPr>
      <w:r w:rsidRPr="00251FDB">
        <w:rPr>
          <w:sz w:val="20"/>
          <w:szCs w:val="20"/>
          <w:lang w:val="es-AR"/>
        </w:rPr>
        <w:t>cuando el Emisor se viera obligado por las disposiciones legales vigentes a realizar una deducción y/o retención por, o a cuenta de, el impuesto sobre los bienes personales;</w:t>
      </w:r>
    </w:p>
    <w:p w:rsidR="009326B4" w:rsidRPr="00251FDB" w:rsidRDefault="009326B4" w:rsidP="003C155C">
      <w:pPr>
        <w:widowControl w:val="0"/>
        <w:ind w:left="137" w:right="-34"/>
        <w:jc w:val="both"/>
        <w:outlineLvl w:val="2"/>
        <w:rPr>
          <w:sz w:val="20"/>
          <w:szCs w:val="20"/>
          <w:lang w:val="es-AR"/>
        </w:rPr>
      </w:pPr>
    </w:p>
    <w:p w:rsidR="009326B4" w:rsidRPr="00251FDB" w:rsidRDefault="009326B4" w:rsidP="003C155C">
      <w:pPr>
        <w:pStyle w:val="Prrafodelista"/>
        <w:widowControl w:val="0"/>
        <w:numPr>
          <w:ilvl w:val="0"/>
          <w:numId w:val="14"/>
        </w:numPr>
        <w:ind w:right="-34"/>
        <w:jc w:val="both"/>
        <w:outlineLvl w:val="2"/>
        <w:rPr>
          <w:sz w:val="20"/>
          <w:szCs w:val="20"/>
          <w:lang w:val="es-AR"/>
        </w:rPr>
      </w:pPr>
      <w:r w:rsidRPr="00251FDB">
        <w:rPr>
          <w:sz w:val="20"/>
          <w:szCs w:val="20"/>
          <w:lang w:val="es-AR"/>
        </w:rPr>
        <w:t>por cualquier impuesto, tasa o carga gubernamental sobre las sucesiones, herencias, legados, donaciones, ventas, transferencias o impuesto similar;</w:t>
      </w:r>
    </w:p>
    <w:p w:rsidR="009326B4" w:rsidRPr="00251FDB" w:rsidRDefault="009326B4" w:rsidP="003C155C">
      <w:pPr>
        <w:widowControl w:val="0"/>
        <w:ind w:left="137" w:right="-34"/>
        <w:jc w:val="both"/>
        <w:outlineLvl w:val="2"/>
        <w:rPr>
          <w:sz w:val="20"/>
          <w:szCs w:val="20"/>
          <w:lang w:val="es-AR"/>
        </w:rPr>
      </w:pPr>
    </w:p>
    <w:p w:rsidR="009326B4" w:rsidRPr="00251FDB" w:rsidRDefault="009326B4" w:rsidP="003C155C">
      <w:pPr>
        <w:pStyle w:val="Prrafodelista"/>
        <w:widowControl w:val="0"/>
        <w:numPr>
          <w:ilvl w:val="0"/>
          <w:numId w:val="14"/>
        </w:numPr>
        <w:ind w:right="-34"/>
        <w:jc w:val="both"/>
        <w:outlineLvl w:val="2"/>
        <w:rPr>
          <w:sz w:val="20"/>
          <w:szCs w:val="20"/>
          <w:lang w:val="es-AR"/>
        </w:rPr>
      </w:pPr>
      <w:r w:rsidRPr="00251FDB">
        <w:rPr>
          <w:sz w:val="20"/>
          <w:szCs w:val="20"/>
          <w:lang w:val="es-AR"/>
        </w:rPr>
        <w:t>cuando tales deducciones y/o retenciones no hubieran resultado aplicables de no ser por no haber presentado el tenedor de las Obligaciones Negociables o cualquier otra persona, según lo requerido por normas vigentes -incluyendo, sin limitación, leyes, decretos, resoluciones instrucciones escritas de la AFIP y/o tratados internacionales de los que Argentina sea parte- esté o no dicho tenedor o persona legalmente capacitado para hacerlo: información, documentos, declaraciones u otras constancias en la forma y en las condiciones requeridas por las normas vigentes en relación con la nacionalidad, residencia, identidad, naturaleza jurídica o relación con Argentina de dicho tenedor o persona u otra información significativa que sea requerida o impuesta por normas vigentes como una condición previa o requisito para eliminar y/o reducir tales deducciones y/o retenciones a cuenta de impuesto, tasa, contribución o carga gubernamental; siempre que la carga de cumplir con estos requerimientos sea comercialmente razonable;</w:t>
      </w:r>
    </w:p>
    <w:p w:rsidR="009326B4" w:rsidRPr="00251FDB" w:rsidRDefault="009326B4" w:rsidP="003C155C">
      <w:pPr>
        <w:widowControl w:val="0"/>
        <w:ind w:left="137" w:right="-34"/>
        <w:jc w:val="both"/>
        <w:outlineLvl w:val="2"/>
        <w:rPr>
          <w:sz w:val="20"/>
          <w:szCs w:val="20"/>
          <w:lang w:val="es-AR"/>
        </w:rPr>
      </w:pPr>
    </w:p>
    <w:p w:rsidR="009326B4" w:rsidRPr="00251FDB" w:rsidRDefault="009326B4" w:rsidP="003C155C">
      <w:pPr>
        <w:pStyle w:val="Prrafodelista"/>
        <w:widowControl w:val="0"/>
        <w:numPr>
          <w:ilvl w:val="0"/>
          <w:numId w:val="14"/>
        </w:numPr>
        <w:ind w:right="-34"/>
        <w:jc w:val="both"/>
        <w:outlineLvl w:val="2"/>
        <w:rPr>
          <w:sz w:val="20"/>
          <w:szCs w:val="20"/>
          <w:lang w:val="es-AR"/>
        </w:rPr>
      </w:pPr>
      <w:r w:rsidRPr="00251FDB">
        <w:rPr>
          <w:sz w:val="20"/>
          <w:szCs w:val="20"/>
          <w:lang w:val="es-AR"/>
        </w:rPr>
        <w:t>cuando tales deducciones y/o retenciones resultaran aplicables por una razón distinta a la mera tenencia de las Obligaciones Negociables, o al derecho de exigir el cumplimiento o disposición de dicha Obligación Negociable, o la percepción de pagos de capital, intereses y/u otros montos adeudados en virtud de las mismas;</w:t>
      </w:r>
    </w:p>
    <w:p w:rsidR="009326B4" w:rsidRPr="00251FDB" w:rsidRDefault="009326B4" w:rsidP="003C155C">
      <w:pPr>
        <w:widowControl w:val="0"/>
        <w:ind w:left="137" w:right="-34"/>
        <w:jc w:val="both"/>
        <w:outlineLvl w:val="2"/>
        <w:rPr>
          <w:sz w:val="20"/>
          <w:szCs w:val="20"/>
          <w:lang w:val="es-AR"/>
        </w:rPr>
      </w:pPr>
    </w:p>
    <w:p w:rsidR="009326B4" w:rsidRPr="00251FDB" w:rsidRDefault="009326B4" w:rsidP="003C155C">
      <w:pPr>
        <w:pStyle w:val="Prrafodelista"/>
        <w:widowControl w:val="0"/>
        <w:numPr>
          <w:ilvl w:val="0"/>
          <w:numId w:val="14"/>
        </w:numPr>
        <w:ind w:right="-34"/>
        <w:jc w:val="both"/>
        <w:outlineLvl w:val="2"/>
        <w:rPr>
          <w:sz w:val="20"/>
          <w:szCs w:val="20"/>
          <w:lang w:val="es-AR"/>
        </w:rPr>
      </w:pPr>
      <w:r w:rsidRPr="00251FDB">
        <w:rPr>
          <w:sz w:val="20"/>
          <w:szCs w:val="20"/>
          <w:lang w:val="es-AR"/>
        </w:rPr>
        <w:t>por cualquier impuesto, tasa, contribución u otra carga gubernamental que sea pagadera de otro modo que no sea mediante una retención o deducción de los pagos sobre o respecto de cualquier Obligación Negociable; y/o</w:t>
      </w:r>
    </w:p>
    <w:p w:rsidR="009326B4" w:rsidRPr="00251FDB" w:rsidRDefault="009326B4" w:rsidP="003C155C">
      <w:pPr>
        <w:pStyle w:val="Prrafodelista"/>
        <w:widowControl w:val="0"/>
        <w:ind w:left="857" w:right="-34"/>
        <w:jc w:val="both"/>
        <w:outlineLvl w:val="2"/>
        <w:rPr>
          <w:sz w:val="20"/>
          <w:szCs w:val="20"/>
          <w:lang w:val="es-AR"/>
        </w:rPr>
      </w:pPr>
    </w:p>
    <w:p w:rsidR="009326B4" w:rsidRPr="00251FDB" w:rsidRDefault="009326B4" w:rsidP="003C155C">
      <w:pPr>
        <w:pStyle w:val="Prrafodelista"/>
        <w:widowControl w:val="0"/>
        <w:numPr>
          <w:ilvl w:val="0"/>
          <w:numId w:val="14"/>
        </w:numPr>
        <w:ind w:right="-34"/>
        <w:jc w:val="both"/>
        <w:outlineLvl w:val="2"/>
        <w:rPr>
          <w:sz w:val="20"/>
          <w:szCs w:val="20"/>
          <w:lang w:val="es-AR"/>
        </w:rPr>
      </w:pPr>
      <w:r w:rsidRPr="00233C44">
        <w:rPr>
          <w:sz w:val="20"/>
          <w:szCs w:val="20"/>
          <w:lang w:val="es-AR"/>
        </w:rPr>
        <w:t xml:space="preserve">cuando por ser el obligacionista contribuyente del impuesto sobre los ingresos brutos en cualesquiera de las jurisdicciones provinciales y/o de la Ciudad Autónoma de Buenos Aires, </w:t>
      </w:r>
      <w:r w:rsidR="00271E19">
        <w:rPr>
          <w:sz w:val="20"/>
          <w:szCs w:val="20"/>
          <w:lang w:val="es-AR"/>
        </w:rPr>
        <w:t>el Emisor</w:t>
      </w:r>
      <w:r w:rsidRPr="00233C44">
        <w:rPr>
          <w:sz w:val="20"/>
          <w:szCs w:val="20"/>
          <w:lang w:val="es-AR"/>
        </w:rPr>
        <w:t xml:space="preserve"> y/o el agente pagador se viera obligado por las disposiciones normativas vigentes, a realizar una deducción y/o retención por, o a cuenta de, el impuesto sobre los ingresos brutos; y/o</w:t>
      </w:r>
    </w:p>
    <w:p w:rsidR="009326B4" w:rsidRPr="00251FDB" w:rsidRDefault="009326B4" w:rsidP="003C155C">
      <w:pPr>
        <w:widowControl w:val="0"/>
        <w:ind w:left="137" w:right="-34"/>
        <w:jc w:val="both"/>
        <w:outlineLvl w:val="2"/>
        <w:rPr>
          <w:sz w:val="20"/>
          <w:szCs w:val="20"/>
          <w:lang w:val="es-AR"/>
        </w:rPr>
      </w:pPr>
    </w:p>
    <w:p w:rsidR="009326B4" w:rsidRPr="00251FDB" w:rsidRDefault="009326B4" w:rsidP="003C155C">
      <w:pPr>
        <w:pStyle w:val="Prrafodelista"/>
        <w:widowControl w:val="0"/>
        <w:numPr>
          <w:ilvl w:val="0"/>
          <w:numId w:val="14"/>
        </w:numPr>
        <w:ind w:right="-34"/>
        <w:jc w:val="both"/>
        <w:outlineLvl w:val="2"/>
        <w:rPr>
          <w:sz w:val="20"/>
          <w:szCs w:val="20"/>
          <w:lang w:val="es-AR"/>
        </w:rPr>
      </w:pPr>
      <w:r w:rsidRPr="00251FDB">
        <w:rPr>
          <w:sz w:val="20"/>
          <w:szCs w:val="20"/>
          <w:lang w:val="es-AR"/>
        </w:rPr>
        <w:t>por cualquier combinación de lo establecido en (i), (ii), (iii), (iv), (v), (vi) o (vii).</w:t>
      </w:r>
    </w:p>
    <w:p w:rsidR="009326B4" w:rsidRPr="00251FDB" w:rsidRDefault="009326B4" w:rsidP="003C155C">
      <w:pPr>
        <w:widowControl w:val="0"/>
        <w:ind w:left="137" w:right="-34"/>
        <w:jc w:val="both"/>
        <w:outlineLvl w:val="2"/>
        <w:rPr>
          <w:sz w:val="20"/>
          <w:szCs w:val="20"/>
          <w:lang w:val="es-AR"/>
        </w:rPr>
      </w:pPr>
    </w:p>
    <w:p w:rsidR="009326B4" w:rsidRPr="00251FDB" w:rsidRDefault="009326B4" w:rsidP="003C155C">
      <w:pPr>
        <w:widowControl w:val="0"/>
        <w:ind w:right="-34"/>
        <w:jc w:val="both"/>
        <w:outlineLvl w:val="2"/>
        <w:rPr>
          <w:sz w:val="20"/>
          <w:szCs w:val="20"/>
          <w:lang w:val="es-AR"/>
        </w:rPr>
      </w:pPr>
      <w:r w:rsidRPr="00251FDB">
        <w:rPr>
          <w:sz w:val="20"/>
          <w:szCs w:val="20"/>
          <w:lang w:val="es-AR"/>
        </w:rPr>
        <w:t>Si los tenedores de las Obligaciones Negociables no proveen la totalidad o parte de la información, documentos o constancias que pueden ser requeridas por el Emisor oportunamente conforme las normas vigentes (incluyendo, sin limitación, leyes, decretos, resoluciones instrucciones escritas de la AFIP y/o tratados internacionales de los que Argentina sea parte), el Emisor no pagará Montos Adicionales respecto de las Obligaciones Negociables de dicho tenedor y retendrá o deducirá el monto máximo que sea requerido por la ley argentina; ello a condición de que la carga de cumplir con estos requerimientos sea comercialmente razonable y el Emisor haya notificado a los tenedores de las Obligaciones Negociables con por lo menos 30 días de anticipación que deben cumplir con tales requerimientos.</w:t>
      </w:r>
    </w:p>
    <w:p w:rsidR="009326B4" w:rsidRPr="00251FDB" w:rsidRDefault="009326B4" w:rsidP="005756A0">
      <w:pPr>
        <w:widowControl w:val="0"/>
        <w:jc w:val="both"/>
        <w:rPr>
          <w:sz w:val="20"/>
          <w:szCs w:val="20"/>
          <w:lang w:val="es-MX"/>
        </w:rPr>
      </w:pPr>
    </w:p>
    <w:bookmarkEnd w:id="62"/>
    <w:bookmarkEnd w:id="63"/>
    <w:p w:rsidR="0045381E" w:rsidRPr="00251FDB" w:rsidRDefault="0045381E" w:rsidP="00EE6BC3">
      <w:pPr>
        <w:jc w:val="both"/>
        <w:rPr>
          <w:b/>
          <w:color w:val="000000"/>
          <w:sz w:val="20"/>
          <w:szCs w:val="20"/>
          <w:lang w:val="es-AR"/>
        </w:rPr>
      </w:pPr>
      <w:r w:rsidRPr="00251FDB">
        <w:rPr>
          <w:b/>
          <w:color w:val="000000"/>
          <w:sz w:val="20"/>
          <w:szCs w:val="20"/>
          <w:lang w:val="es-AR"/>
        </w:rPr>
        <w:t>Deterioro, sustracción, pérdida y destrucción de títulos valores o de sus registros</w:t>
      </w:r>
    </w:p>
    <w:p w:rsidR="0045381E" w:rsidRPr="00EA1080" w:rsidRDefault="0045381E" w:rsidP="00EA1080">
      <w:pPr>
        <w:widowControl w:val="0"/>
        <w:ind w:right="285"/>
        <w:jc w:val="both"/>
        <w:outlineLvl w:val="2"/>
        <w:rPr>
          <w:sz w:val="20"/>
          <w:szCs w:val="20"/>
          <w:lang w:val="es-AR"/>
        </w:rPr>
      </w:pPr>
    </w:p>
    <w:p w:rsidR="0045381E" w:rsidRPr="00EA1080" w:rsidRDefault="0045381E" w:rsidP="00EA1080">
      <w:pPr>
        <w:widowControl w:val="0"/>
        <w:ind w:right="285"/>
        <w:jc w:val="both"/>
        <w:outlineLvl w:val="2"/>
        <w:rPr>
          <w:i/>
          <w:sz w:val="20"/>
          <w:szCs w:val="20"/>
          <w:lang w:val="es-AR"/>
        </w:rPr>
      </w:pPr>
      <w:r w:rsidRPr="00EA1080">
        <w:rPr>
          <w:i/>
          <w:sz w:val="20"/>
          <w:szCs w:val="20"/>
          <w:lang w:val="es-AR"/>
        </w:rPr>
        <w:t xml:space="preserve">Normas comunes para </w:t>
      </w:r>
      <w:r w:rsidR="00E54D27" w:rsidRPr="00EA1080">
        <w:rPr>
          <w:i/>
          <w:sz w:val="20"/>
          <w:szCs w:val="20"/>
          <w:lang w:val="es-AR"/>
        </w:rPr>
        <w:t>t</w:t>
      </w:r>
      <w:r w:rsidRPr="00EA1080">
        <w:rPr>
          <w:i/>
          <w:sz w:val="20"/>
          <w:szCs w:val="20"/>
          <w:lang w:val="es-AR"/>
        </w:rPr>
        <w:t xml:space="preserve">ítulos </w:t>
      </w:r>
      <w:r w:rsidR="00E54D27" w:rsidRPr="00EA1080">
        <w:rPr>
          <w:i/>
          <w:sz w:val="20"/>
          <w:szCs w:val="20"/>
          <w:lang w:val="es-AR"/>
        </w:rPr>
        <w:t>v</w:t>
      </w:r>
      <w:r w:rsidRPr="00EA1080">
        <w:rPr>
          <w:i/>
          <w:sz w:val="20"/>
          <w:szCs w:val="20"/>
          <w:lang w:val="es-AR"/>
        </w:rPr>
        <w:t>alores</w:t>
      </w:r>
    </w:p>
    <w:p w:rsidR="005774FC" w:rsidRDefault="005774FC" w:rsidP="00EA1080">
      <w:pPr>
        <w:widowControl w:val="0"/>
        <w:ind w:right="-34"/>
        <w:jc w:val="both"/>
        <w:outlineLvl w:val="2"/>
        <w:rPr>
          <w:sz w:val="20"/>
          <w:szCs w:val="20"/>
          <w:lang w:val="es-AR"/>
        </w:rPr>
      </w:pPr>
    </w:p>
    <w:p w:rsidR="0045381E" w:rsidRPr="00EA1080" w:rsidRDefault="0045381E" w:rsidP="00EA1080">
      <w:pPr>
        <w:widowControl w:val="0"/>
        <w:ind w:right="-34"/>
        <w:jc w:val="both"/>
        <w:outlineLvl w:val="2"/>
        <w:rPr>
          <w:sz w:val="20"/>
          <w:szCs w:val="20"/>
          <w:lang w:val="es-AR"/>
        </w:rPr>
      </w:pPr>
      <w:r w:rsidRPr="00EA1080">
        <w:rPr>
          <w:sz w:val="20"/>
          <w:szCs w:val="20"/>
          <w:lang w:val="es-AR"/>
        </w:rPr>
        <w:t>El Código Civil y Comercial en su artículo 1852, establece el ámbito de aplicación en caso de sustracción, pérdida o destrucción de títulos valores incorporados a documentos representativos, en tanto no existan normas especiales para tipos determinados de ellos. El procedimiento se lleva a cabo en la jurisdicción del domicilio del creador, en los títulos valores en serie; o en la del lugar de pago, en los títulos valores individuales. Los gastos son a cargo del solicitante. La cancelación del título valor no perjudica los derechos de quien no formula oposición respecto de quien obtiene la cancelación. En los supuestos en que la sentencia que ordena la cancelación queda firme, el juez puede exigir que el solicitante preste caución en resguardo de los derechos del adquirente del título valor cancelado, por un plazo no superior a dos años.</w:t>
      </w:r>
    </w:p>
    <w:p w:rsidR="005774FC" w:rsidRDefault="005774FC" w:rsidP="00EA1080">
      <w:pPr>
        <w:widowControl w:val="0"/>
        <w:ind w:right="-34"/>
        <w:jc w:val="both"/>
        <w:outlineLvl w:val="2"/>
        <w:rPr>
          <w:sz w:val="20"/>
          <w:szCs w:val="20"/>
          <w:lang w:val="es-AR"/>
        </w:rPr>
      </w:pPr>
    </w:p>
    <w:p w:rsidR="0045381E" w:rsidRPr="00EA1080" w:rsidRDefault="0045381E" w:rsidP="00EA1080">
      <w:pPr>
        <w:widowControl w:val="0"/>
        <w:ind w:right="-34"/>
        <w:jc w:val="both"/>
        <w:outlineLvl w:val="2"/>
        <w:rPr>
          <w:sz w:val="20"/>
          <w:szCs w:val="20"/>
          <w:lang w:val="es-AR"/>
        </w:rPr>
      </w:pPr>
      <w:r w:rsidRPr="00EA1080">
        <w:rPr>
          <w:sz w:val="20"/>
          <w:szCs w:val="20"/>
          <w:lang w:val="es-AR"/>
        </w:rPr>
        <w:t>En el caso de sustitución por deterioro, el artículo 1853 del Código Civil y Comercial de la Nación establece que el portador de un título valor deteriorado, pero identificable con certeza, tiene derecho a obtener del emisor un duplicado si restituye el original y reembolsa los gastos. Los firmantes del título valor original están obligados a reproducir su firma en el duplicado.</w:t>
      </w:r>
    </w:p>
    <w:p w:rsidR="005774FC" w:rsidRDefault="005774FC" w:rsidP="00EA1080">
      <w:pPr>
        <w:widowControl w:val="0"/>
        <w:ind w:right="-34"/>
        <w:jc w:val="both"/>
        <w:outlineLvl w:val="2"/>
        <w:rPr>
          <w:sz w:val="20"/>
          <w:szCs w:val="20"/>
          <w:lang w:val="es-AR"/>
        </w:rPr>
      </w:pPr>
    </w:p>
    <w:p w:rsidR="00E54D27" w:rsidRDefault="0045381E" w:rsidP="00EA1080">
      <w:pPr>
        <w:widowControl w:val="0"/>
        <w:ind w:right="-34"/>
        <w:jc w:val="both"/>
        <w:outlineLvl w:val="2"/>
        <w:rPr>
          <w:sz w:val="20"/>
          <w:szCs w:val="20"/>
          <w:lang w:val="es-AR"/>
        </w:rPr>
      </w:pPr>
      <w:r w:rsidRPr="00EA1080">
        <w:rPr>
          <w:sz w:val="20"/>
          <w:szCs w:val="20"/>
          <w:lang w:val="es-AR"/>
        </w:rPr>
        <w:t xml:space="preserve">Seguidamente, el artículo 1854 refiere a </w:t>
      </w:r>
      <w:r w:rsidR="00690F56" w:rsidRPr="00EA1080">
        <w:rPr>
          <w:sz w:val="20"/>
          <w:szCs w:val="20"/>
          <w:lang w:val="es-AR"/>
        </w:rPr>
        <w:t>que,</w:t>
      </w:r>
      <w:r w:rsidRPr="00EA1080">
        <w:rPr>
          <w:sz w:val="20"/>
          <w:szCs w:val="20"/>
          <w:lang w:val="es-AR"/>
        </w:rPr>
        <w:t xml:space="preserve"> si los títulos valores instrumentaban obligaciones de otras personas, además de las del emisor, deben reproducirlas en los nuevos títulos. Igualmente debe efectuarse una atestación notarial de correlación. Cuando los terceros se oponen a reproducir instrumentalmente sus obligaciones, debe resolver el juez por el procedimiento contradictorio más breve que prevea la ley local, sin perjuicio del otorgamiento de los títulos valores provisorios o definitivos, cuando corresponda.</w:t>
      </w:r>
    </w:p>
    <w:p w:rsidR="005774FC" w:rsidRPr="00EA1080" w:rsidRDefault="005774FC" w:rsidP="00EA1080">
      <w:pPr>
        <w:widowControl w:val="0"/>
        <w:ind w:right="-34"/>
        <w:jc w:val="both"/>
        <w:outlineLvl w:val="2"/>
        <w:rPr>
          <w:sz w:val="20"/>
          <w:szCs w:val="20"/>
          <w:lang w:val="es-AR"/>
        </w:rPr>
      </w:pPr>
    </w:p>
    <w:p w:rsidR="0045381E" w:rsidRPr="00EA1080" w:rsidRDefault="0045381E" w:rsidP="00EA1080">
      <w:pPr>
        <w:widowControl w:val="0"/>
        <w:ind w:right="-34"/>
        <w:jc w:val="both"/>
        <w:outlineLvl w:val="2"/>
        <w:rPr>
          <w:i/>
          <w:sz w:val="20"/>
          <w:szCs w:val="20"/>
          <w:lang w:val="es-AR"/>
        </w:rPr>
      </w:pPr>
      <w:r w:rsidRPr="00EA1080">
        <w:rPr>
          <w:i/>
          <w:sz w:val="20"/>
          <w:szCs w:val="20"/>
          <w:lang w:val="es-AR"/>
        </w:rPr>
        <w:t>Sustracción, pérdida o destrucción de los libros de registro</w:t>
      </w:r>
    </w:p>
    <w:p w:rsidR="00865D82" w:rsidRPr="00EA1080" w:rsidRDefault="00865D82" w:rsidP="00EA1080">
      <w:pPr>
        <w:widowControl w:val="0"/>
        <w:ind w:right="-34"/>
        <w:jc w:val="both"/>
        <w:outlineLvl w:val="2"/>
        <w:rPr>
          <w:sz w:val="20"/>
          <w:szCs w:val="20"/>
          <w:lang w:val="es-AR"/>
        </w:rPr>
      </w:pPr>
    </w:p>
    <w:p w:rsidR="00865D82" w:rsidRDefault="00865D82" w:rsidP="00EA1080">
      <w:pPr>
        <w:widowControl w:val="0"/>
        <w:ind w:right="-34"/>
        <w:jc w:val="both"/>
        <w:outlineLvl w:val="2"/>
        <w:rPr>
          <w:sz w:val="20"/>
          <w:szCs w:val="20"/>
          <w:lang w:val="es-AR"/>
        </w:rPr>
      </w:pPr>
      <w:r w:rsidRPr="00251FDB">
        <w:rPr>
          <w:sz w:val="20"/>
          <w:szCs w:val="20"/>
          <w:lang w:val="es-AR"/>
        </w:rPr>
        <w:t>Para el caso de sustracción, pérdida o destrucción de las Obligaciones Negociables, conforme lo prescripto por el artículo 1876 y concordantes del Código Civil y Comercial de la Nación, dicha situación deberá ser denunciada por el Emisor o por quien lo lleva en su nombre, dentro de las veinticuatro horas de conocido el hecho. La denuncia debe efectuarse ante el juez del domicilio del Emisor, con indicación de los elementos necesarios para juzgarla y contener los datos que puede aportar el denunciante sobre las constancias que incluía el libro. Copias de la denuncia deben ser presentadas en igual término al organismo de contralor societario, al organismo de contralor de los mercados de valores y a las entidades expresamente autorizadas por la ley especial o la autoridad de aplicación y cajas de valores respectivos, en su caso.</w:t>
      </w:r>
    </w:p>
    <w:p w:rsidR="005774FC" w:rsidRPr="00251FDB" w:rsidRDefault="005774FC" w:rsidP="00EA1080">
      <w:pPr>
        <w:widowControl w:val="0"/>
        <w:ind w:right="-34"/>
        <w:jc w:val="both"/>
        <w:outlineLvl w:val="2"/>
        <w:rPr>
          <w:sz w:val="20"/>
          <w:szCs w:val="20"/>
          <w:lang w:val="es-AR"/>
        </w:rPr>
      </w:pPr>
    </w:p>
    <w:p w:rsidR="0045381E" w:rsidRDefault="0045381E" w:rsidP="00EA1080">
      <w:pPr>
        <w:widowControl w:val="0"/>
        <w:ind w:right="-34"/>
        <w:jc w:val="both"/>
        <w:outlineLvl w:val="2"/>
        <w:rPr>
          <w:sz w:val="20"/>
          <w:szCs w:val="20"/>
          <w:lang w:val="es-AR"/>
        </w:rPr>
      </w:pPr>
      <w:r w:rsidRPr="00EA1080">
        <w:rPr>
          <w:sz w:val="20"/>
          <w:szCs w:val="20"/>
          <w:lang w:val="es-AR"/>
        </w:rPr>
        <w:t>Recibida la denuncia, el juez ordenará la publicación de edictos por cinco días en el Boletín Oficial y en uno de los diarios de mayor circulación en la República Argentina para citar a quienes pretenden derechos sobre los títulos valores respectivos, para que se presenten dentro de los 30 (treinta) días al perito contador que se designe, para alegar y probar cuanto estimen pertinente, bajo apercibimiento de resolverse con las constancias que se agreguen a las actuaciones. Los edictos deben contener los elementos necesarios para identificar al emisor, los títulos valores a los que se refiere el registro y las demás circunstancias que el juez considere oportunas, así como las fechas para ejercer los derechos a que se refiere el artículo 1878 del Código Civil y Comercial de la Nación. Si el emisor tiene establecimientos en distintas jurisdicciones judiciales, los edictos se deben publicar en cada una de ellas.</w:t>
      </w:r>
    </w:p>
    <w:p w:rsidR="005774FC" w:rsidRPr="00EA1080" w:rsidRDefault="005774FC" w:rsidP="00EA1080">
      <w:pPr>
        <w:widowControl w:val="0"/>
        <w:ind w:right="-34"/>
        <w:jc w:val="both"/>
        <w:outlineLvl w:val="2"/>
        <w:rPr>
          <w:sz w:val="20"/>
          <w:szCs w:val="20"/>
          <w:lang w:val="es-AR"/>
        </w:rPr>
      </w:pPr>
    </w:p>
    <w:p w:rsidR="0045381E" w:rsidRDefault="0045381E" w:rsidP="00EA1080">
      <w:pPr>
        <w:widowControl w:val="0"/>
        <w:ind w:right="-34"/>
        <w:jc w:val="both"/>
        <w:outlineLvl w:val="2"/>
        <w:rPr>
          <w:sz w:val="20"/>
          <w:szCs w:val="20"/>
          <w:lang w:val="es-AR"/>
        </w:rPr>
      </w:pPr>
      <w:r w:rsidRPr="00EA1080">
        <w:rPr>
          <w:sz w:val="20"/>
          <w:szCs w:val="20"/>
          <w:lang w:val="es-AR"/>
        </w:rPr>
        <w:t>Si el emisor ha sido autorizado a la oferta pública de los títulos valores a los que se refiere el registro, la denuncia debe hacerse conocer de inmediato al organismo de contralor de los mercados de valores y a las entidades expresamente autorizadas por la ley especial o la autoridad de aplicación en los que se negocien, debiéndose publicar edictos en los boletines respectivos. Si los títulos valores han sido colocados o negociados públicamente en el exterior, el juez debe ordenar las publicaciones o comunicaciones que estime apropiadas.</w:t>
      </w:r>
    </w:p>
    <w:p w:rsidR="005774FC" w:rsidRPr="00EA1080" w:rsidRDefault="005774FC" w:rsidP="00EA1080">
      <w:pPr>
        <w:widowControl w:val="0"/>
        <w:ind w:right="-34"/>
        <w:jc w:val="both"/>
        <w:outlineLvl w:val="2"/>
        <w:rPr>
          <w:sz w:val="20"/>
          <w:szCs w:val="20"/>
          <w:lang w:val="es-AR"/>
        </w:rPr>
      </w:pPr>
    </w:p>
    <w:p w:rsidR="0045381E" w:rsidRDefault="0045381E" w:rsidP="00EA1080">
      <w:pPr>
        <w:widowControl w:val="0"/>
        <w:ind w:right="-34"/>
        <w:jc w:val="both"/>
        <w:outlineLvl w:val="2"/>
        <w:rPr>
          <w:sz w:val="20"/>
          <w:szCs w:val="20"/>
          <w:lang w:val="es-AR"/>
        </w:rPr>
      </w:pPr>
      <w:r w:rsidRPr="00EA1080">
        <w:rPr>
          <w:sz w:val="20"/>
          <w:szCs w:val="20"/>
          <w:lang w:val="es-AR"/>
        </w:rPr>
        <w:t>Las presentaciones se efectúan ante el perito contador designado por el juez. Se aplica el procedimiento de la verificación de créditos en los concursos, incluso en cuanto a los efectos de las resoluciones, los recursos y las presentaciones tardías. Las costas ordinarias del procedimiento son soportadas solidariamente por el emisor y por quien llevaba el libro, sin perjuicio de la repetición entre ellos.</w:t>
      </w:r>
    </w:p>
    <w:p w:rsidR="005774FC" w:rsidRPr="00EA1080" w:rsidRDefault="005774FC" w:rsidP="00EA1080">
      <w:pPr>
        <w:widowControl w:val="0"/>
        <w:ind w:right="-34"/>
        <w:jc w:val="both"/>
        <w:outlineLvl w:val="2"/>
        <w:rPr>
          <w:sz w:val="20"/>
          <w:szCs w:val="20"/>
          <w:lang w:val="es-AR"/>
        </w:rPr>
      </w:pPr>
    </w:p>
    <w:p w:rsidR="0045381E" w:rsidRDefault="0045381E" w:rsidP="00EA1080">
      <w:pPr>
        <w:widowControl w:val="0"/>
        <w:ind w:right="-34"/>
        <w:jc w:val="both"/>
        <w:outlineLvl w:val="2"/>
        <w:rPr>
          <w:sz w:val="20"/>
          <w:szCs w:val="20"/>
          <w:lang w:val="es-AR"/>
        </w:rPr>
      </w:pPr>
      <w:r w:rsidRPr="00EA1080">
        <w:rPr>
          <w:sz w:val="20"/>
          <w:szCs w:val="20"/>
          <w:lang w:val="es-AR"/>
        </w:rPr>
        <w:t>El juez debe disponer la confección de un nuevo libro de registro, en el que se asienten las inscripciones que se ordenen por sentencia firme. El juez puede conceder a los presentantes el ejercicio cautelar de los derechos emergentes de los títulos valores antes de la confección del nuevo libro, en su caso, antes de que se dicte o quede firme la sentencia que ordena la inscripción respecto de un título valor determinado, conforme a la verosimilitud del derecho invocado y, de estimarlo necesario, bajo la caución que determine. En todos los casos, el emisor debe depositar a la orden del juez las prestaciones de contenido patrimonial que sean exigibles.</w:t>
      </w:r>
    </w:p>
    <w:p w:rsidR="005774FC" w:rsidRPr="00EA1080" w:rsidRDefault="005774FC" w:rsidP="00EA1080">
      <w:pPr>
        <w:widowControl w:val="0"/>
        <w:ind w:right="-34"/>
        <w:jc w:val="both"/>
        <w:outlineLvl w:val="2"/>
        <w:rPr>
          <w:sz w:val="20"/>
          <w:szCs w:val="20"/>
          <w:lang w:val="es-AR"/>
        </w:rPr>
      </w:pPr>
    </w:p>
    <w:p w:rsidR="00AF5510" w:rsidRPr="00EA1080" w:rsidRDefault="0045381E" w:rsidP="00EA1080">
      <w:pPr>
        <w:widowControl w:val="0"/>
        <w:ind w:right="-34"/>
        <w:jc w:val="both"/>
        <w:outlineLvl w:val="2"/>
        <w:rPr>
          <w:sz w:val="20"/>
          <w:szCs w:val="20"/>
          <w:lang w:val="es-AR"/>
        </w:rPr>
      </w:pPr>
      <w:r w:rsidRPr="00EA1080">
        <w:rPr>
          <w:sz w:val="20"/>
          <w:szCs w:val="20"/>
          <w:lang w:val="es-AR"/>
        </w:rPr>
        <w:t>La denuncia de sustracción, pérdida o destrucción del libro de registro autoriza al juez, a pedido de parte interesada y conforme a las circunstancias del caso, a disponer una intervención cautelar o una veeduría respecto del emisor y de quien llevaba el libro, con la extensión que estima pertinente para la adecuada protección de quienes resultan titulares de derechos sobre los títulos valores registrados. Puede, también, ordenar la suspensión de la realización de asambleas, cuando circunstancias excepcionales así lo aconsejen.</w:t>
      </w:r>
    </w:p>
    <w:p w:rsidR="005829DE" w:rsidRPr="00EA1080" w:rsidRDefault="005829DE" w:rsidP="00EA1080">
      <w:pPr>
        <w:widowControl w:val="0"/>
        <w:ind w:right="-34"/>
        <w:jc w:val="both"/>
        <w:outlineLvl w:val="2"/>
        <w:rPr>
          <w:sz w:val="20"/>
          <w:szCs w:val="20"/>
          <w:lang w:val="es-AR"/>
        </w:rPr>
      </w:pPr>
    </w:p>
    <w:p w:rsidR="0045381E" w:rsidRPr="00251FDB" w:rsidRDefault="0045381E" w:rsidP="00EE6BC3">
      <w:pPr>
        <w:jc w:val="both"/>
        <w:rPr>
          <w:b/>
          <w:color w:val="000000"/>
          <w:sz w:val="20"/>
          <w:szCs w:val="20"/>
          <w:lang w:val="es-AR"/>
        </w:rPr>
      </w:pPr>
      <w:r w:rsidRPr="00251FDB">
        <w:rPr>
          <w:b/>
          <w:color w:val="000000"/>
          <w:sz w:val="20"/>
          <w:szCs w:val="20"/>
          <w:lang w:val="es-AR"/>
        </w:rPr>
        <w:t>Calificación de Riesgo</w:t>
      </w:r>
    </w:p>
    <w:p w:rsidR="00EE6BC3" w:rsidRPr="00251FDB" w:rsidRDefault="00EE6BC3" w:rsidP="00EE6BC3">
      <w:pPr>
        <w:jc w:val="both"/>
        <w:rPr>
          <w:b/>
          <w:color w:val="000000"/>
          <w:sz w:val="20"/>
          <w:szCs w:val="20"/>
          <w:lang w:val="es-AR"/>
        </w:rPr>
      </w:pPr>
    </w:p>
    <w:p w:rsidR="00F1474A" w:rsidRPr="00251FDB" w:rsidRDefault="00EE6BC3" w:rsidP="009B26F9">
      <w:pPr>
        <w:jc w:val="both"/>
        <w:rPr>
          <w:color w:val="000000"/>
          <w:lang w:val="es-AR"/>
        </w:rPr>
      </w:pPr>
      <w:r w:rsidRPr="00EA1080">
        <w:rPr>
          <w:bCs/>
          <w:sz w:val="20"/>
          <w:szCs w:val="20"/>
          <w:lang w:val="es-AR"/>
        </w:rPr>
        <w:t>FIX SCR S.A</w:t>
      </w:r>
      <w:r w:rsidR="00F37245">
        <w:rPr>
          <w:bCs/>
          <w:sz w:val="20"/>
          <w:szCs w:val="20"/>
          <w:lang w:val="es-AR"/>
        </w:rPr>
        <w:t>. calificará</w:t>
      </w:r>
      <w:r w:rsidRPr="00EA1080">
        <w:rPr>
          <w:color w:val="000000"/>
          <w:sz w:val="20"/>
          <w:szCs w:val="20"/>
          <w:lang w:val="es-AR"/>
        </w:rPr>
        <w:t xml:space="preserve"> a las Obligaciones Negociables</w:t>
      </w:r>
      <w:r w:rsidR="00F37245">
        <w:rPr>
          <w:color w:val="000000"/>
          <w:sz w:val="20"/>
          <w:szCs w:val="20"/>
          <w:lang w:val="es-AR"/>
        </w:rPr>
        <w:t>, cuya nota será informada mediante un aviso complementario al presente.</w:t>
      </w:r>
    </w:p>
    <w:p w:rsidR="0045381E" w:rsidRPr="00251FDB" w:rsidRDefault="0045381E" w:rsidP="0045381E">
      <w:pPr>
        <w:pStyle w:val="BHTexto"/>
        <w:rPr>
          <w:rFonts w:eastAsia="Times New Roman"/>
          <w:color w:val="000000"/>
          <w:lang w:val="es-AR" w:eastAsia="en-US"/>
        </w:rPr>
      </w:pPr>
      <w:r w:rsidRPr="00251FDB">
        <w:rPr>
          <w:rFonts w:eastAsia="Times New Roman"/>
          <w:color w:val="000000"/>
          <w:lang w:val="es-AR" w:eastAsia="en-US"/>
        </w:rPr>
        <w:t>Los signos "+" o "-" podrán ser añadidos a una calificación nacional para mostrar una mayor o menor importancia relativa dentro de la correspondiente categoría, y no alteran la definición de la categoría a la cual se los añade.</w:t>
      </w:r>
    </w:p>
    <w:p w:rsidR="0045381E" w:rsidRPr="00251FDB" w:rsidRDefault="0045381E" w:rsidP="0045381E">
      <w:pPr>
        <w:pStyle w:val="BHTexto"/>
        <w:rPr>
          <w:rFonts w:eastAsia="Times New Roman"/>
          <w:color w:val="000000"/>
          <w:lang w:val="es-AR" w:eastAsia="en-US"/>
        </w:rPr>
      </w:pPr>
      <w:r w:rsidRPr="00251FDB">
        <w:rPr>
          <w:rFonts w:eastAsia="Times New Roman"/>
          <w:color w:val="000000"/>
          <w:lang w:val="es-AR" w:eastAsia="en-US"/>
        </w:rPr>
        <w:t xml:space="preserve">La calificación de riesgo de las Obligaciones Negociables Clase </w:t>
      </w:r>
      <w:r w:rsidR="00D97E76" w:rsidRPr="00251FDB">
        <w:rPr>
          <w:color w:val="000000"/>
          <w:lang w:val="es-AR"/>
        </w:rPr>
        <w:t>XLIV</w:t>
      </w:r>
      <w:r w:rsidR="00D6129D" w:rsidRPr="00251FDB">
        <w:rPr>
          <w:rFonts w:eastAsia="Times New Roman"/>
          <w:color w:val="000000"/>
          <w:lang w:val="es-AR" w:eastAsia="en-US"/>
        </w:rPr>
        <w:t xml:space="preserve"> </w:t>
      </w:r>
      <w:r w:rsidRPr="00251FDB">
        <w:rPr>
          <w:rFonts w:eastAsia="Times New Roman"/>
          <w:color w:val="000000"/>
          <w:lang w:val="es-AR" w:eastAsia="en-US"/>
        </w:rPr>
        <w:t>podrá ser consultada en la Página Web de la CNV.</w:t>
      </w:r>
    </w:p>
    <w:p w:rsidR="0045381E" w:rsidRPr="00251FDB" w:rsidRDefault="0045381E" w:rsidP="0045381E">
      <w:pPr>
        <w:pStyle w:val="BHTexto"/>
        <w:rPr>
          <w:rFonts w:eastAsia="Times New Roman"/>
          <w:color w:val="000000"/>
          <w:lang w:val="es-AR" w:eastAsia="en-US"/>
        </w:rPr>
      </w:pPr>
      <w:r w:rsidRPr="00251FDB">
        <w:rPr>
          <w:rFonts w:eastAsia="Times New Roman"/>
          <w:color w:val="000000"/>
          <w:lang w:val="es-AR" w:eastAsia="en-US"/>
        </w:rPr>
        <w:t xml:space="preserve">Conforme lo dispuesto en el artículo 25 de la Sección VIII del Capítulo I del Título IX de las Normas de la CNV, los emisores que en forma voluntaria soliciten el servicio de calificación de riesgo de los valores negociables al momento de su emisión deberán mantenerlo hasta su cancelación total salvo consentimiento unánime de los tenedores de los valores negociables emitidos. </w:t>
      </w:r>
    </w:p>
    <w:p w:rsidR="00936728" w:rsidRPr="00251FDB" w:rsidRDefault="0045381E" w:rsidP="000D175D">
      <w:pPr>
        <w:pStyle w:val="BHTexto"/>
        <w:rPr>
          <w:rFonts w:eastAsia="Times New Roman"/>
          <w:color w:val="000000"/>
          <w:lang w:val="es-AR" w:eastAsia="en-US"/>
        </w:rPr>
      </w:pPr>
      <w:r w:rsidRPr="00251FDB">
        <w:rPr>
          <w:rFonts w:eastAsia="Times New Roman"/>
          <w:color w:val="000000"/>
          <w:lang w:val="es-AR" w:eastAsia="en-US"/>
        </w:rPr>
        <w:t>Asimismo, y de acuerdo con lo establecido por el artículo 47, Sección X, Capítulo I del Título IX de las Normas de la CNV y sus modificatorias, la sociedad calificadora de l</w:t>
      </w:r>
      <w:r w:rsidR="00EE6BC3" w:rsidRPr="00251FDB">
        <w:rPr>
          <w:rFonts w:eastAsia="Times New Roman"/>
          <w:color w:val="000000"/>
          <w:lang w:val="es-AR" w:eastAsia="en-US"/>
        </w:rPr>
        <w:t xml:space="preserve">as obligaciones negociables, </w:t>
      </w:r>
      <w:r w:rsidR="00EE6BC3" w:rsidRPr="00251FDB">
        <w:rPr>
          <w:bCs/>
          <w:lang w:val="es-AR"/>
        </w:rPr>
        <w:t>FIX SCR S.A.</w:t>
      </w:r>
      <w:r w:rsidRPr="00251FDB">
        <w:rPr>
          <w:rFonts w:eastAsia="Times New Roman"/>
          <w:color w:val="000000"/>
          <w:lang w:val="es-AR" w:eastAsia="en-US"/>
        </w:rPr>
        <w:t>, tendrá el deber de revisar de manera continua y permanente la calificación de riesgo emitida respecto a las Obligaciones Negociables, dur</w:t>
      </w:r>
      <w:r w:rsidR="00EE6BC3" w:rsidRPr="00251FDB">
        <w:rPr>
          <w:rFonts w:eastAsia="Times New Roman"/>
          <w:color w:val="000000"/>
          <w:lang w:val="es-AR" w:eastAsia="en-US"/>
        </w:rPr>
        <w:t xml:space="preserve">ante el período de vigencia. </w:t>
      </w:r>
      <w:r w:rsidR="00EE6BC3" w:rsidRPr="00251FDB">
        <w:rPr>
          <w:bCs/>
          <w:lang w:val="es-AR"/>
        </w:rPr>
        <w:t xml:space="preserve">FIX SCR S.A. </w:t>
      </w:r>
      <w:r w:rsidRPr="00251FDB">
        <w:rPr>
          <w:rFonts w:eastAsia="Times New Roman"/>
          <w:color w:val="000000"/>
          <w:lang w:val="es-AR" w:eastAsia="en-US"/>
        </w:rPr>
        <w:t>deberá realizar al menos 4 informes respecto a las Obligaciones Negociables por año. De producirse cualquier evento que pudiera producir cambios sustanciales que puedan afectar la calificación, la calificadora deberá efectuar un nuevo dictamen acerca de la calificación de las obligaciones negociables.</w:t>
      </w:r>
      <w:bookmarkStart w:id="65" w:name="_Toc258258794"/>
      <w:bookmarkStart w:id="66" w:name="_Toc258258917"/>
      <w:bookmarkStart w:id="67" w:name="_Toc258258997"/>
      <w:bookmarkStart w:id="68" w:name="_Toc258259236"/>
      <w:bookmarkStart w:id="69" w:name="_Toc258259292"/>
      <w:bookmarkStart w:id="70" w:name="_Toc258312887"/>
      <w:bookmarkStart w:id="71" w:name="_Toc258312909"/>
      <w:bookmarkStart w:id="72" w:name="_Toc258312934"/>
      <w:bookmarkStart w:id="73" w:name="_Toc258313026"/>
      <w:bookmarkStart w:id="74" w:name="_Toc258313054"/>
      <w:bookmarkStart w:id="75" w:name="_Toc258409999"/>
      <w:bookmarkStart w:id="76" w:name="_Toc274315194"/>
      <w:bookmarkStart w:id="77" w:name="_Toc274315285"/>
      <w:bookmarkStart w:id="78" w:name="_Toc275280768"/>
      <w:bookmarkStart w:id="79" w:name="_Toc275440940"/>
      <w:bookmarkStart w:id="80" w:name="_Toc275512933"/>
      <w:bookmarkStart w:id="81" w:name="_Toc276549588"/>
      <w:bookmarkStart w:id="82" w:name="_Toc276556113"/>
      <w:bookmarkStart w:id="83" w:name="_Toc277155662"/>
      <w:bookmarkStart w:id="84" w:name="_Toc289876958"/>
      <w:bookmarkStart w:id="85" w:name="_Toc293060807"/>
      <w:bookmarkStart w:id="86" w:name="_Toc305065428"/>
      <w:bookmarkStart w:id="87" w:name="_Toc310528264"/>
      <w:bookmarkStart w:id="88" w:name="_Toc308630533"/>
      <w:bookmarkStart w:id="89" w:name="_Toc328132845"/>
      <w:bookmarkStart w:id="90" w:name="_Toc329767346"/>
      <w:bookmarkStart w:id="91" w:name="_Toc331065796"/>
    </w:p>
    <w:p w:rsidR="001D461A" w:rsidRPr="00251FDB" w:rsidRDefault="00374887">
      <w:pPr>
        <w:spacing w:after="200" w:line="276" w:lineRule="auto"/>
        <w:jc w:val="left"/>
        <w:rPr>
          <w:sz w:val="20"/>
          <w:szCs w:val="20"/>
          <w:lang w:val="es-MX"/>
        </w:rPr>
      </w:pPr>
      <w:bookmarkStart w:id="92" w:name="_Toc528927604"/>
      <w:bookmarkEnd w:id="60"/>
      <w:r w:rsidRPr="00251FDB">
        <w:rPr>
          <w:sz w:val="20"/>
          <w:szCs w:val="20"/>
          <w:lang w:val="es-MX"/>
        </w:rPr>
        <w:t>Para más información sobre los Términos y Condiciones Adicionales de las Obligaciones Negociables véase el Capítulo IX “</w:t>
      </w:r>
      <w:r w:rsidR="00B15F73" w:rsidRPr="00251FDB">
        <w:rPr>
          <w:i/>
          <w:sz w:val="20"/>
          <w:szCs w:val="20"/>
          <w:lang w:val="es-MX"/>
        </w:rPr>
        <w:t>De la oferta, el listado y la negociación</w:t>
      </w:r>
      <w:r w:rsidR="00B15F73" w:rsidRPr="00251FDB">
        <w:rPr>
          <w:sz w:val="20"/>
          <w:szCs w:val="20"/>
          <w:lang w:val="es-MX"/>
        </w:rPr>
        <w:t>”</w:t>
      </w:r>
      <w:r w:rsidR="00B15F73" w:rsidRPr="00251FDB" w:rsidDel="00B15F73">
        <w:rPr>
          <w:sz w:val="20"/>
          <w:szCs w:val="20"/>
          <w:lang w:val="es-MX"/>
        </w:rPr>
        <w:t xml:space="preserve"> </w:t>
      </w:r>
      <w:r w:rsidRPr="00251FDB">
        <w:rPr>
          <w:sz w:val="20"/>
          <w:szCs w:val="20"/>
          <w:lang w:val="es-MX"/>
        </w:rPr>
        <w:t xml:space="preserve">del Prospecto. </w:t>
      </w:r>
    </w:p>
    <w:p w:rsidR="00B15F73" w:rsidRPr="00251FDB" w:rsidRDefault="00B15F73" w:rsidP="00DC7A5E">
      <w:pPr>
        <w:widowControl w:val="0"/>
        <w:outlineLvl w:val="0"/>
        <w:rPr>
          <w:b/>
          <w:smallCaps/>
          <w:sz w:val="20"/>
          <w:szCs w:val="20"/>
          <w:lang w:val="es-AR"/>
        </w:rPr>
      </w:pPr>
    </w:p>
    <w:p w:rsidR="003079F0" w:rsidRPr="00251FDB" w:rsidRDefault="003079F0" w:rsidP="00DC7A5E">
      <w:pPr>
        <w:widowControl w:val="0"/>
        <w:outlineLvl w:val="0"/>
        <w:rPr>
          <w:b/>
          <w:smallCaps/>
          <w:sz w:val="20"/>
          <w:szCs w:val="20"/>
          <w:lang w:val="es-AR"/>
        </w:rPr>
      </w:pPr>
      <w:r w:rsidRPr="00251FDB">
        <w:rPr>
          <w:b/>
          <w:smallCaps/>
          <w:sz w:val="20"/>
          <w:szCs w:val="20"/>
          <w:lang w:val="es-AR"/>
        </w:rPr>
        <w:br w:type="page"/>
      </w:r>
    </w:p>
    <w:p w:rsidR="00EF041E" w:rsidRPr="00251FDB" w:rsidRDefault="00AB661E" w:rsidP="00EA1080">
      <w:pPr>
        <w:rPr>
          <w:b/>
          <w:smallCaps/>
          <w:sz w:val="20"/>
          <w:szCs w:val="20"/>
          <w:lang w:val="es-AR"/>
        </w:rPr>
      </w:pPr>
      <w:r>
        <w:rPr>
          <w:b/>
          <w:smallCaps/>
          <w:sz w:val="20"/>
          <w:szCs w:val="20"/>
          <w:lang w:val="es-AR"/>
        </w:rPr>
        <w:t xml:space="preserve">III. </w:t>
      </w:r>
      <w:r w:rsidR="00EF041E" w:rsidRPr="00251FDB">
        <w:rPr>
          <w:b/>
          <w:smallCaps/>
          <w:sz w:val="20"/>
          <w:szCs w:val="20"/>
          <w:lang w:val="es-AR"/>
        </w:rPr>
        <w:t>Plan de Distribución</w:t>
      </w:r>
      <w:bookmarkEnd w:id="92"/>
    </w:p>
    <w:p w:rsidR="00235EAC" w:rsidRPr="00251FDB" w:rsidRDefault="00235EAC" w:rsidP="00EF041E">
      <w:pPr>
        <w:pStyle w:val="RightPar8a"/>
        <w:jc w:val="both"/>
        <w:rPr>
          <w:rFonts w:ascii="Times New Roman" w:hAnsi="Times New Roman"/>
          <w:sz w:val="20"/>
          <w:lang w:val="es-AR"/>
        </w:rPr>
      </w:pPr>
    </w:p>
    <w:p w:rsidR="00C04C7C" w:rsidRPr="00EA1080" w:rsidRDefault="00C04C7C" w:rsidP="00C04C7C">
      <w:pPr>
        <w:pStyle w:val="Ttulo7"/>
        <w:keepNext w:val="0"/>
        <w:widowControl w:val="0"/>
        <w:rPr>
          <w:noProof w:val="0"/>
          <w:szCs w:val="20"/>
          <w:u w:val="none"/>
          <w:lang w:val="es-MX"/>
        </w:rPr>
      </w:pPr>
      <w:r w:rsidRPr="00EA1080">
        <w:rPr>
          <w:noProof w:val="0"/>
          <w:szCs w:val="20"/>
          <w:u w:val="none"/>
          <w:lang w:val="es-MX"/>
        </w:rPr>
        <w:t>General</w:t>
      </w:r>
    </w:p>
    <w:p w:rsidR="00C04C7C" w:rsidRPr="00251FDB" w:rsidRDefault="00C04C7C" w:rsidP="00C04C7C">
      <w:pPr>
        <w:widowControl w:val="0"/>
        <w:jc w:val="both"/>
        <w:rPr>
          <w:sz w:val="20"/>
          <w:szCs w:val="20"/>
          <w:lang w:val="es-AR"/>
        </w:rPr>
      </w:pPr>
    </w:p>
    <w:p w:rsidR="00567A4C" w:rsidRPr="00EA1080" w:rsidRDefault="001C2A4C" w:rsidP="005756A0">
      <w:pPr>
        <w:widowControl w:val="0"/>
        <w:jc w:val="both"/>
        <w:rPr>
          <w:sz w:val="20"/>
          <w:szCs w:val="20"/>
          <w:lang w:val="es-AR"/>
        </w:rPr>
      </w:pPr>
      <w:r>
        <w:rPr>
          <w:sz w:val="20"/>
          <w:szCs w:val="20"/>
          <w:lang w:val="es-AR"/>
        </w:rPr>
        <w:t>El Emisor</w:t>
      </w:r>
      <w:r w:rsidR="00567A4C" w:rsidRPr="00251FDB">
        <w:rPr>
          <w:sz w:val="20"/>
          <w:szCs w:val="20"/>
          <w:lang w:val="es-AR"/>
        </w:rPr>
        <w:t xml:space="preserve"> ha designado a</w:t>
      </w:r>
      <w:r w:rsidR="00AF5510" w:rsidRPr="00251FDB">
        <w:rPr>
          <w:sz w:val="20"/>
          <w:szCs w:val="20"/>
          <w:lang w:val="es-AR"/>
        </w:rPr>
        <w:t xml:space="preserve"> Banco Galicia</w:t>
      </w:r>
      <w:r w:rsidR="00221A1F">
        <w:rPr>
          <w:sz w:val="20"/>
          <w:szCs w:val="20"/>
          <w:lang w:val="es-AR"/>
        </w:rPr>
        <w:t>, Macro</w:t>
      </w:r>
      <w:r w:rsidR="00E370DE">
        <w:rPr>
          <w:sz w:val="20"/>
          <w:szCs w:val="20"/>
          <w:lang w:val="es-AR"/>
        </w:rPr>
        <w:t xml:space="preserve"> Securities</w:t>
      </w:r>
      <w:r w:rsidR="00221A1F">
        <w:rPr>
          <w:sz w:val="20"/>
          <w:szCs w:val="20"/>
          <w:lang w:val="es-AR"/>
        </w:rPr>
        <w:t xml:space="preserve"> y Santander </w:t>
      </w:r>
      <w:r w:rsidR="00E370DE">
        <w:rPr>
          <w:sz w:val="20"/>
          <w:szCs w:val="20"/>
          <w:lang w:val="es-AR"/>
        </w:rPr>
        <w:t xml:space="preserve">Argentina </w:t>
      </w:r>
      <w:r w:rsidR="00567A4C" w:rsidRPr="00251FDB">
        <w:rPr>
          <w:sz w:val="20"/>
          <w:szCs w:val="20"/>
          <w:lang w:val="es-AR"/>
        </w:rPr>
        <w:t xml:space="preserve">para que se desempeñen como </w:t>
      </w:r>
      <w:r w:rsidR="00221A1F">
        <w:rPr>
          <w:sz w:val="20"/>
          <w:szCs w:val="20"/>
          <w:lang w:val="es-AR"/>
        </w:rPr>
        <w:t>Colocadores</w:t>
      </w:r>
      <w:r w:rsidR="00567A4C" w:rsidRPr="00251FDB">
        <w:rPr>
          <w:sz w:val="20"/>
          <w:szCs w:val="20"/>
          <w:lang w:val="es-AR"/>
        </w:rPr>
        <w:t xml:space="preserve"> de las Obligaciones Negociables, y celebrará a tales efectos </w:t>
      </w:r>
      <w:r w:rsidR="00221A1F">
        <w:rPr>
          <w:sz w:val="20"/>
          <w:szCs w:val="20"/>
          <w:lang w:val="es-AR"/>
        </w:rPr>
        <w:t xml:space="preserve">y con anterioridad al comienzo </w:t>
      </w:r>
      <w:r w:rsidR="00567A4C" w:rsidRPr="00251FDB">
        <w:rPr>
          <w:sz w:val="20"/>
          <w:szCs w:val="20"/>
          <w:lang w:val="es-AR"/>
        </w:rPr>
        <w:t>del Período de Difusión Pública un contrato de colocación (el “</w:t>
      </w:r>
      <w:r w:rsidR="00567A4C" w:rsidRPr="00251FDB">
        <w:rPr>
          <w:sz w:val="20"/>
          <w:szCs w:val="20"/>
          <w:u w:val="single"/>
          <w:lang w:val="es-AR"/>
        </w:rPr>
        <w:t>Contrato de Colocación</w:t>
      </w:r>
      <w:r w:rsidR="00567A4C" w:rsidRPr="00251FDB">
        <w:rPr>
          <w:sz w:val="20"/>
          <w:szCs w:val="20"/>
          <w:lang w:val="es-AR"/>
        </w:rPr>
        <w:t xml:space="preserve">”). </w:t>
      </w:r>
      <w:r w:rsidR="00221A1F">
        <w:rPr>
          <w:sz w:val="20"/>
          <w:szCs w:val="20"/>
          <w:lang w:val="es-AR"/>
        </w:rPr>
        <w:t xml:space="preserve">De acuerdo con el </w:t>
      </w:r>
      <w:r w:rsidR="00567A4C" w:rsidRPr="00251FDB">
        <w:rPr>
          <w:sz w:val="20"/>
          <w:szCs w:val="20"/>
          <w:lang w:val="es-AR"/>
        </w:rPr>
        <w:t>Contrato de Colocación, los Colocadores deberán realizar sus mejores esfuerzos (conforme prácticas usuales de mercado), en los términos del art. 774 inc. a) del Código Civil y Comercial de la Nación, para la colocación de las Obligaciones Negociables mediante su oferta pública en Argentina conforme con las leyes y regulaciones vigentes en la materia (dichos esfuerzos, los “</w:t>
      </w:r>
      <w:r w:rsidR="00567A4C" w:rsidRPr="00251FDB">
        <w:rPr>
          <w:sz w:val="20"/>
          <w:szCs w:val="20"/>
          <w:u w:val="single"/>
          <w:lang w:val="es-AR"/>
        </w:rPr>
        <w:t>Esfuerzos de Colocación</w:t>
      </w:r>
      <w:r w:rsidR="00567A4C" w:rsidRPr="00251FDB">
        <w:rPr>
          <w:sz w:val="20"/>
          <w:szCs w:val="20"/>
          <w:lang w:val="es-AR"/>
        </w:rPr>
        <w:t xml:space="preserve">”). Adicionalmente, dicho Contrato de Colocación establecerá, </w:t>
      </w:r>
      <w:r w:rsidR="00567A4C" w:rsidRPr="00251FDB">
        <w:rPr>
          <w:i/>
          <w:sz w:val="20"/>
          <w:szCs w:val="20"/>
          <w:lang w:val="es-AR"/>
        </w:rPr>
        <w:t xml:space="preserve">inter </w:t>
      </w:r>
      <w:proofErr w:type="spellStart"/>
      <w:r w:rsidR="00567A4C" w:rsidRPr="00251FDB">
        <w:rPr>
          <w:i/>
          <w:sz w:val="20"/>
          <w:szCs w:val="20"/>
          <w:lang w:val="es-AR"/>
        </w:rPr>
        <w:t>alia</w:t>
      </w:r>
      <w:proofErr w:type="spellEnd"/>
      <w:r w:rsidR="00567A4C" w:rsidRPr="00251FDB">
        <w:rPr>
          <w:sz w:val="20"/>
          <w:szCs w:val="20"/>
          <w:lang w:val="es-AR"/>
        </w:rPr>
        <w:t xml:space="preserve">, los derechos y obligaciones de los Colocadores y </w:t>
      </w:r>
      <w:r w:rsidR="00221A1F">
        <w:rPr>
          <w:sz w:val="20"/>
          <w:szCs w:val="20"/>
          <w:lang w:val="es-AR"/>
        </w:rPr>
        <w:t>el Emisor</w:t>
      </w:r>
      <w:r w:rsidR="00567A4C" w:rsidRPr="00251FDB">
        <w:rPr>
          <w:sz w:val="20"/>
          <w:szCs w:val="20"/>
          <w:lang w:val="es-AR"/>
        </w:rPr>
        <w:t xml:space="preserve"> en relación con la colocación de las Obligaciones Negociables a ser emitidas bajo el Programa, y las comisiones y demás costos vinculados con la colocación de las Obligaciones Negociables, pagaderos por </w:t>
      </w:r>
      <w:r w:rsidR="00221A1F">
        <w:rPr>
          <w:sz w:val="20"/>
          <w:szCs w:val="20"/>
          <w:lang w:val="es-AR"/>
        </w:rPr>
        <w:t>el Emisor.</w:t>
      </w:r>
      <w:r w:rsidR="00567A4C" w:rsidRPr="00251FDB">
        <w:rPr>
          <w:sz w:val="20"/>
          <w:szCs w:val="20"/>
          <w:lang w:val="es-AR"/>
        </w:rPr>
        <w:t xml:space="preserve"> </w:t>
      </w:r>
    </w:p>
    <w:p w:rsidR="00C04C7C" w:rsidRPr="00251FDB" w:rsidRDefault="00C04C7C" w:rsidP="00C04C7C">
      <w:pPr>
        <w:widowControl w:val="0"/>
        <w:jc w:val="both"/>
        <w:rPr>
          <w:snapToGrid w:val="0"/>
          <w:sz w:val="20"/>
          <w:szCs w:val="20"/>
          <w:lang w:val="es-AR"/>
        </w:rPr>
      </w:pPr>
    </w:p>
    <w:p w:rsidR="008D54D1" w:rsidRDefault="00C04C7C" w:rsidP="00EA1080">
      <w:pPr>
        <w:widowControl w:val="0"/>
        <w:jc w:val="both"/>
        <w:rPr>
          <w:sz w:val="20"/>
          <w:szCs w:val="20"/>
          <w:lang w:val="es-MX"/>
        </w:rPr>
      </w:pPr>
      <w:r w:rsidRPr="00251FDB">
        <w:rPr>
          <w:sz w:val="20"/>
          <w:szCs w:val="20"/>
          <w:lang w:val="es-AR"/>
        </w:rPr>
        <w:t xml:space="preserve">La colocación primaria de las Obligaciones Negociables se realizará mediante </w:t>
      </w:r>
      <w:r w:rsidR="00221A1F" w:rsidRPr="00251FDB">
        <w:rPr>
          <w:sz w:val="20"/>
          <w:szCs w:val="20"/>
          <w:lang w:val="es-AR"/>
        </w:rPr>
        <w:t xml:space="preserve">Subasta Pública </w:t>
      </w:r>
      <w:r w:rsidRPr="00251FDB">
        <w:rPr>
          <w:sz w:val="20"/>
          <w:szCs w:val="20"/>
          <w:lang w:val="es-AR"/>
        </w:rPr>
        <w:t xml:space="preserve">con posibilidad de participación de todos los interesados, a través del módulo de licitaciones del Sistema SIOPEL, un sistema que garantiza la transparencia y la igualdad de trato entre los </w:t>
      </w:r>
      <w:r w:rsidR="00221A1F">
        <w:rPr>
          <w:sz w:val="20"/>
          <w:szCs w:val="20"/>
          <w:lang w:val="es-AR"/>
        </w:rPr>
        <w:t>i</w:t>
      </w:r>
      <w:r w:rsidR="00221A1F" w:rsidRPr="00251FDB">
        <w:rPr>
          <w:sz w:val="20"/>
          <w:szCs w:val="20"/>
          <w:lang w:val="es-AR"/>
        </w:rPr>
        <w:t>nversores</w:t>
      </w:r>
      <w:r w:rsidRPr="00251FDB">
        <w:rPr>
          <w:sz w:val="20"/>
          <w:szCs w:val="20"/>
          <w:lang w:val="es-AR"/>
        </w:rPr>
        <w:t>, de conformidad con las Normas de la CNV.</w:t>
      </w:r>
      <w:r w:rsidRPr="00251FDB">
        <w:rPr>
          <w:sz w:val="20"/>
          <w:szCs w:val="20"/>
          <w:lang w:val="es-ES"/>
        </w:rPr>
        <w:t xml:space="preserve"> </w:t>
      </w:r>
      <w:r w:rsidR="008D54D1" w:rsidRPr="00251FDB">
        <w:rPr>
          <w:sz w:val="20"/>
          <w:szCs w:val="20"/>
          <w:lang w:val="es-MX"/>
        </w:rPr>
        <w:t>La Subasta Pública</w:t>
      </w:r>
      <w:r w:rsidRPr="00251FDB">
        <w:rPr>
          <w:sz w:val="20"/>
          <w:szCs w:val="20"/>
          <w:lang w:val="es-MX"/>
        </w:rPr>
        <w:t xml:space="preserve"> será </w:t>
      </w:r>
      <w:r w:rsidR="00055ED0" w:rsidRPr="00251FDB">
        <w:rPr>
          <w:sz w:val="20"/>
          <w:szCs w:val="20"/>
          <w:lang w:val="es-MX"/>
        </w:rPr>
        <w:t xml:space="preserve">abierta </w:t>
      </w:r>
      <w:r w:rsidRPr="00251FDB">
        <w:rPr>
          <w:sz w:val="20"/>
          <w:szCs w:val="20"/>
          <w:lang w:val="es-MX"/>
        </w:rPr>
        <w:t xml:space="preserve">conforme lo establece el artículo 8, inciso d), Sección II, Capítulo IV del Título VI de las Normas de la CNV, lo que implica que la totalidad de las ofertas ingresadas en el </w:t>
      </w:r>
      <w:r w:rsidR="008D54D1" w:rsidRPr="00251FDB">
        <w:rPr>
          <w:sz w:val="20"/>
          <w:szCs w:val="20"/>
          <w:lang w:val="es-MX"/>
        </w:rPr>
        <w:t>Sistema SIOPEL</w:t>
      </w:r>
      <w:r w:rsidRPr="00251FDB">
        <w:rPr>
          <w:sz w:val="20"/>
          <w:szCs w:val="20"/>
          <w:lang w:val="es-MX"/>
        </w:rPr>
        <w:t xml:space="preserve"> serán accesibles para los participantes de la licitación pública a medida que las mismas se vayan ingresando en el </w:t>
      </w:r>
      <w:r w:rsidR="008D54D1" w:rsidRPr="00251FDB">
        <w:rPr>
          <w:sz w:val="20"/>
          <w:szCs w:val="20"/>
          <w:lang w:val="es-MX"/>
        </w:rPr>
        <w:t>mismo</w:t>
      </w:r>
      <w:r w:rsidRPr="00251FDB">
        <w:rPr>
          <w:sz w:val="20"/>
          <w:szCs w:val="20"/>
          <w:lang w:val="es-MX"/>
        </w:rPr>
        <w:t xml:space="preserve">. </w:t>
      </w:r>
    </w:p>
    <w:p w:rsidR="001C2A4C" w:rsidRDefault="001C2A4C" w:rsidP="00EA1080">
      <w:pPr>
        <w:widowControl w:val="0"/>
        <w:jc w:val="both"/>
        <w:rPr>
          <w:sz w:val="20"/>
          <w:szCs w:val="20"/>
          <w:lang w:val="es-MX"/>
        </w:rPr>
      </w:pPr>
    </w:p>
    <w:p w:rsidR="001C2A4C" w:rsidRPr="00EA1080" w:rsidRDefault="001C2A4C" w:rsidP="00EA1080">
      <w:pPr>
        <w:widowControl w:val="0"/>
        <w:jc w:val="both"/>
        <w:rPr>
          <w:sz w:val="20"/>
          <w:szCs w:val="20"/>
          <w:lang w:val="es-AR"/>
        </w:rPr>
      </w:pPr>
      <w:r w:rsidRPr="00EA1080">
        <w:rPr>
          <w:sz w:val="20"/>
          <w:szCs w:val="20"/>
          <w:lang w:val="es-AR"/>
        </w:rPr>
        <w:t>Aquellos inversores que deseen suscribir Obligaciones Negociables deberán presentar sus correspondientes órdenes de compra (las “</w:t>
      </w:r>
      <w:r w:rsidRPr="00EA1080">
        <w:rPr>
          <w:sz w:val="20"/>
          <w:szCs w:val="20"/>
          <w:u w:val="single"/>
          <w:lang w:val="es-AR"/>
        </w:rPr>
        <w:t>Órdenes de Compra</w:t>
      </w:r>
      <w:r w:rsidRPr="00EA1080">
        <w:rPr>
          <w:sz w:val="20"/>
          <w:szCs w:val="20"/>
          <w:lang w:val="es-AR"/>
        </w:rPr>
        <w:t>”) en los términos descriptos más abajo,</w:t>
      </w:r>
      <w:r w:rsidRPr="005C5617">
        <w:rPr>
          <w:sz w:val="20"/>
          <w:szCs w:val="20"/>
          <w:lang w:val="es-ES"/>
        </w:rPr>
        <w:t xml:space="preserve"> las cuales deberán ser ingresadas como ofertas por Agentes del MAE (incluyendo, sin limitación, los Colocadores)</w:t>
      </w:r>
      <w:r w:rsidRPr="00EA1080">
        <w:rPr>
          <w:sz w:val="20"/>
          <w:szCs w:val="20"/>
          <w:lang w:val="es-AR"/>
        </w:rPr>
        <w:t>.</w:t>
      </w:r>
    </w:p>
    <w:p w:rsidR="00C04C7C" w:rsidRPr="00251FDB" w:rsidRDefault="00C04C7C" w:rsidP="00C04C7C">
      <w:pPr>
        <w:widowControl w:val="0"/>
        <w:jc w:val="both"/>
        <w:rPr>
          <w:sz w:val="20"/>
          <w:szCs w:val="20"/>
          <w:lang w:val="es-AR"/>
        </w:rPr>
      </w:pPr>
    </w:p>
    <w:p w:rsidR="00C04C7C" w:rsidRPr="00251FDB" w:rsidRDefault="00C04C7C" w:rsidP="00C04C7C">
      <w:pPr>
        <w:widowControl w:val="0"/>
        <w:jc w:val="both"/>
        <w:rPr>
          <w:sz w:val="20"/>
          <w:szCs w:val="20"/>
          <w:lang w:val="es-AR"/>
        </w:rPr>
      </w:pPr>
      <w:r w:rsidRPr="00251FDB">
        <w:rPr>
          <w:sz w:val="20"/>
          <w:szCs w:val="20"/>
          <w:lang w:val="es-MX"/>
        </w:rPr>
        <w:t>En virtud de ello, durante el Período de Subasta</w:t>
      </w:r>
      <w:r w:rsidR="008D54D1" w:rsidRPr="00251FDB">
        <w:rPr>
          <w:sz w:val="20"/>
          <w:szCs w:val="20"/>
          <w:lang w:val="es-MX"/>
        </w:rPr>
        <w:t xml:space="preserve"> Pública</w:t>
      </w:r>
      <w:r w:rsidRPr="00251FDB">
        <w:rPr>
          <w:sz w:val="20"/>
          <w:szCs w:val="20"/>
          <w:lang w:val="es-MX"/>
        </w:rPr>
        <w:t>, los Colocadores y los Agentes del MAE, que sean habilitados a tal efecto, podrán participar en la rueda y ver las Ofertas</w:t>
      </w:r>
      <w:r w:rsidR="006905F4">
        <w:rPr>
          <w:sz w:val="20"/>
          <w:szCs w:val="20"/>
          <w:lang w:val="es-MX"/>
        </w:rPr>
        <w:t xml:space="preserve"> de Compra</w:t>
      </w:r>
      <w:r w:rsidRPr="00251FDB">
        <w:rPr>
          <w:sz w:val="20"/>
          <w:szCs w:val="20"/>
          <w:lang w:val="es-MX"/>
        </w:rPr>
        <w:t xml:space="preserve"> a medida que las mismas se vayan ingresando en el sistema a través del </w:t>
      </w:r>
      <w:r w:rsidR="008D54D1" w:rsidRPr="00251FDB">
        <w:rPr>
          <w:sz w:val="20"/>
          <w:szCs w:val="20"/>
          <w:lang w:val="es-MX"/>
        </w:rPr>
        <w:t>Sistema SIOPEL</w:t>
      </w:r>
      <w:r w:rsidRPr="00251FDB">
        <w:rPr>
          <w:sz w:val="20"/>
          <w:szCs w:val="20"/>
          <w:lang w:val="es-MX"/>
        </w:rPr>
        <w:t xml:space="preserve">. </w:t>
      </w:r>
      <w:r w:rsidR="006905F4" w:rsidRPr="00251FDB">
        <w:rPr>
          <w:sz w:val="20"/>
          <w:szCs w:val="20"/>
          <w:lang w:val="es-MX"/>
        </w:rPr>
        <w:t>A dichos efectos, todos aquellos Agentes del MAE que cuenten con línea de crédito otorgada por el Agente de Liquidación</w:t>
      </w:r>
      <w:r w:rsidR="006905F4">
        <w:rPr>
          <w:sz w:val="20"/>
          <w:szCs w:val="20"/>
          <w:lang w:val="es-MX"/>
        </w:rPr>
        <w:t xml:space="preserve"> y Compensación</w:t>
      </w:r>
      <w:r w:rsidR="006905F4" w:rsidRPr="00251FDB">
        <w:rPr>
          <w:sz w:val="20"/>
          <w:szCs w:val="20"/>
          <w:lang w:val="es-MX"/>
        </w:rPr>
        <w:t xml:space="preserve">, </w:t>
      </w:r>
      <w:r w:rsidR="006905F4" w:rsidRPr="00EA1080">
        <w:rPr>
          <w:sz w:val="20"/>
          <w:szCs w:val="20"/>
          <w:lang w:val="es-AR"/>
        </w:rPr>
        <w:t xml:space="preserve">serán, a pedido, dados de alta por el Agente de Liquidación </w:t>
      </w:r>
      <w:r w:rsidR="006905F4">
        <w:rPr>
          <w:sz w:val="20"/>
          <w:szCs w:val="20"/>
          <w:lang w:val="es-AR"/>
        </w:rPr>
        <w:t xml:space="preserve">y Compensación </w:t>
      </w:r>
      <w:r w:rsidR="006905F4" w:rsidRPr="00EA1080">
        <w:rPr>
          <w:sz w:val="20"/>
          <w:szCs w:val="20"/>
          <w:lang w:val="es-AR"/>
        </w:rPr>
        <w:t>siempre que acrediten su inscripción ante la CNV como “</w:t>
      </w:r>
      <w:r w:rsidR="006905F4" w:rsidRPr="00EA1080">
        <w:rPr>
          <w:i/>
          <w:sz w:val="20"/>
          <w:szCs w:val="20"/>
          <w:lang w:val="es-AR"/>
        </w:rPr>
        <w:t>Agente Registrado</w:t>
      </w:r>
      <w:r w:rsidR="006905F4" w:rsidRPr="00EA1080">
        <w:rPr>
          <w:sz w:val="20"/>
          <w:szCs w:val="20"/>
          <w:lang w:val="es-AR"/>
        </w:rPr>
        <w:t xml:space="preserve">” </w:t>
      </w:r>
      <w:r w:rsidR="006905F4" w:rsidRPr="00251FDB">
        <w:rPr>
          <w:sz w:val="20"/>
          <w:szCs w:val="20"/>
          <w:lang w:val="es-MX"/>
        </w:rPr>
        <w:t>para la categoría que correspondiere</w:t>
      </w:r>
      <w:r w:rsidR="006905F4" w:rsidRPr="002217AD">
        <w:rPr>
          <w:sz w:val="20"/>
          <w:szCs w:val="20"/>
          <w:lang w:val="es-AR"/>
        </w:rPr>
        <w:t xml:space="preserve"> </w:t>
      </w:r>
      <w:r w:rsidR="006905F4" w:rsidRPr="00EA1080">
        <w:rPr>
          <w:sz w:val="20"/>
          <w:szCs w:val="20"/>
          <w:lang w:val="es-AR"/>
        </w:rPr>
        <w:t xml:space="preserve">en los términos de la Ley de Mercado de Capitales y el cumplimiento de las normas en materia de prevención de encubrimiento, lavado de activos y financiación del terrorismo de forma </w:t>
      </w:r>
      <w:r w:rsidR="006905F4">
        <w:rPr>
          <w:sz w:val="20"/>
          <w:szCs w:val="20"/>
          <w:lang w:val="es-AR"/>
        </w:rPr>
        <w:t xml:space="preserve">suficiente y </w:t>
      </w:r>
      <w:r w:rsidR="006905F4" w:rsidRPr="00EA1080">
        <w:rPr>
          <w:sz w:val="20"/>
          <w:szCs w:val="20"/>
          <w:lang w:val="es-AR"/>
        </w:rPr>
        <w:t>satisfactoria para el Agente de Liquidación</w:t>
      </w:r>
      <w:r w:rsidR="006905F4">
        <w:rPr>
          <w:sz w:val="20"/>
          <w:szCs w:val="20"/>
          <w:lang w:val="es-AR"/>
        </w:rPr>
        <w:t xml:space="preserve"> y Compensación</w:t>
      </w:r>
      <w:r w:rsidR="006905F4" w:rsidRPr="00EA1080">
        <w:rPr>
          <w:sz w:val="20"/>
          <w:szCs w:val="20"/>
          <w:lang w:val="es-AR"/>
        </w:rPr>
        <w:t>, quien observará y respetará en todo momento el trato igualitario entre aquéllos. En cualquier caso, la solicitud de alta deberá ser realizada por los Agentes Habilitados</w:t>
      </w:r>
      <w:r w:rsidR="00983B80">
        <w:rPr>
          <w:sz w:val="20"/>
          <w:szCs w:val="20"/>
          <w:lang w:val="es-AR"/>
        </w:rPr>
        <w:t xml:space="preserve"> al menos 1</w:t>
      </w:r>
      <w:r w:rsidR="00E370DE">
        <w:rPr>
          <w:sz w:val="20"/>
          <w:szCs w:val="20"/>
          <w:lang w:val="es-AR"/>
        </w:rPr>
        <w:t xml:space="preserve"> (un)</w:t>
      </w:r>
      <w:r w:rsidR="00983B80">
        <w:rPr>
          <w:sz w:val="20"/>
          <w:szCs w:val="20"/>
          <w:lang w:val="es-AR"/>
        </w:rPr>
        <w:t xml:space="preserve"> Día Hábil antes del inicio</w:t>
      </w:r>
      <w:r w:rsidR="006905F4" w:rsidRPr="00EA1080">
        <w:rPr>
          <w:sz w:val="20"/>
          <w:szCs w:val="20"/>
          <w:lang w:val="es-AR"/>
        </w:rPr>
        <w:t xml:space="preserve"> del Período de </w:t>
      </w:r>
      <w:r w:rsidR="00983B80">
        <w:rPr>
          <w:sz w:val="20"/>
          <w:szCs w:val="20"/>
          <w:lang w:val="es-AR"/>
        </w:rPr>
        <w:t>Subasta</w:t>
      </w:r>
      <w:r w:rsidR="00983B80" w:rsidRPr="00EA1080">
        <w:rPr>
          <w:sz w:val="20"/>
          <w:szCs w:val="20"/>
          <w:lang w:val="es-AR"/>
        </w:rPr>
        <w:t xml:space="preserve"> </w:t>
      </w:r>
      <w:r w:rsidR="006905F4" w:rsidRPr="00EA1080">
        <w:rPr>
          <w:sz w:val="20"/>
          <w:szCs w:val="20"/>
          <w:lang w:val="es-AR"/>
        </w:rPr>
        <w:t xml:space="preserve">Pública. </w:t>
      </w:r>
      <w:r w:rsidR="006905F4">
        <w:rPr>
          <w:sz w:val="20"/>
          <w:szCs w:val="20"/>
          <w:lang w:val="es-AR"/>
        </w:rPr>
        <w:t>E</w:t>
      </w:r>
      <w:r w:rsidRPr="00251FDB">
        <w:rPr>
          <w:sz w:val="20"/>
          <w:szCs w:val="20"/>
          <w:lang w:val="es-AR"/>
        </w:rPr>
        <w:t>l Agente Creador será el encargado de generar en el Sistema SIOPEL el pliego de licitación de la colocación primaria de las Obligaciones Negociables.</w:t>
      </w:r>
    </w:p>
    <w:p w:rsidR="00C04C7C" w:rsidRDefault="00C04C7C" w:rsidP="00C04C7C">
      <w:pPr>
        <w:widowControl w:val="0"/>
        <w:jc w:val="both"/>
        <w:rPr>
          <w:sz w:val="20"/>
          <w:szCs w:val="20"/>
          <w:lang w:val="es-AR"/>
        </w:rPr>
      </w:pPr>
    </w:p>
    <w:p w:rsidR="006905F4" w:rsidRPr="00251FDB" w:rsidRDefault="006905F4" w:rsidP="006905F4">
      <w:pPr>
        <w:jc w:val="both"/>
        <w:rPr>
          <w:sz w:val="20"/>
          <w:szCs w:val="20"/>
          <w:lang w:val="es-MX"/>
        </w:rPr>
      </w:pPr>
      <w:r w:rsidRPr="00EA1080">
        <w:rPr>
          <w:sz w:val="20"/>
          <w:szCs w:val="20"/>
          <w:lang w:val="es-MX"/>
        </w:rPr>
        <w:t>Respecto de cada Orden de Compra, constará en el registro la siguiente información: (i) los datos identificatorios del inversor o el nombre del Agente del MAE que cargó dicha Orden de Compra, y si lo hizo para cartera propia o por cuenta y orden de terceros; (ii) el valor nominal requerido; (iii) el tramo correspondiente; (iv) el Margen Solicitado (conforme dicho término se define más adelante) expresado como porcentaje anual truncado a dos decimales (para el caso de Órdenes de Compra remitidas bajo el Tramo Competitivo (según dicho término se define más adelante)</w:t>
      </w:r>
      <w:r w:rsidRPr="00EA1080">
        <w:rPr>
          <w:color w:val="000000"/>
          <w:sz w:val="20"/>
          <w:szCs w:val="20"/>
          <w:lang w:val="es-MX"/>
        </w:rPr>
        <w:t xml:space="preserve"> de las Obligaciones Negociables</w:t>
      </w:r>
      <w:r w:rsidRPr="00EA1080">
        <w:rPr>
          <w:sz w:val="20"/>
          <w:szCs w:val="20"/>
          <w:lang w:val="es-MX"/>
        </w:rPr>
        <w:t>; (v) la fecha, hora, minuto y segundo de recepción de la oferta; (vi) su número de Orden de Compra; y (vii) cualquier otro dato que resulte relevante y/o sea requerido por el formulario del Sistema SIOPEL.</w:t>
      </w:r>
    </w:p>
    <w:p w:rsidR="006905F4" w:rsidRPr="00EA1080" w:rsidRDefault="006905F4" w:rsidP="00C04C7C">
      <w:pPr>
        <w:widowControl w:val="0"/>
        <w:jc w:val="both"/>
        <w:rPr>
          <w:b/>
          <w:sz w:val="20"/>
          <w:szCs w:val="20"/>
          <w:lang w:val="es-MX"/>
        </w:rPr>
      </w:pPr>
    </w:p>
    <w:p w:rsidR="00C04C7C" w:rsidRPr="00EA1080" w:rsidRDefault="00403BC9" w:rsidP="00C04C7C">
      <w:pPr>
        <w:autoSpaceDE w:val="0"/>
        <w:autoSpaceDN w:val="0"/>
        <w:adjustRightInd w:val="0"/>
        <w:jc w:val="both"/>
        <w:rPr>
          <w:b/>
          <w:sz w:val="20"/>
          <w:szCs w:val="20"/>
          <w:lang w:val="es-MX"/>
        </w:rPr>
      </w:pPr>
      <w:r w:rsidRPr="00EA1080">
        <w:rPr>
          <w:b/>
          <w:sz w:val="20"/>
          <w:szCs w:val="20"/>
          <w:lang w:val="es-MX"/>
        </w:rPr>
        <w:t>L</w:t>
      </w:r>
      <w:r w:rsidR="00C04C7C" w:rsidRPr="00EA1080">
        <w:rPr>
          <w:b/>
          <w:sz w:val="20"/>
          <w:szCs w:val="20"/>
          <w:lang w:val="es-MX"/>
        </w:rPr>
        <w:t xml:space="preserve">a remisión de una Orden </w:t>
      </w:r>
      <w:r w:rsidR="00A70231">
        <w:rPr>
          <w:b/>
          <w:sz w:val="20"/>
          <w:szCs w:val="20"/>
          <w:lang w:val="es-MX"/>
        </w:rPr>
        <w:t xml:space="preserve">de Compra </w:t>
      </w:r>
      <w:r w:rsidR="00C04C7C" w:rsidRPr="00EA1080">
        <w:rPr>
          <w:b/>
          <w:sz w:val="20"/>
          <w:szCs w:val="20"/>
          <w:lang w:val="es-MX"/>
        </w:rPr>
        <w:t xml:space="preserve">por parte de los </w:t>
      </w:r>
      <w:r w:rsidR="00A70231">
        <w:rPr>
          <w:b/>
          <w:sz w:val="20"/>
          <w:szCs w:val="20"/>
          <w:lang w:val="es-MX"/>
        </w:rPr>
        <w:t>i</w:t>
      </w:r>
      <w:r w:rsidR="00A70231" w:rsidRPr="00EA1080">
        <w:rPr>
          <w:b/>
          <w:sz w:val="20"/>
          <w:szCs w:val="20"/>
          <w:lang w:val="es-MX"/>
        </w:rPr>
        <w:t xml:space="preserve">nversores </w:t>
      </w:r>
      <w:r w:rsidR="00C04C7C" w:rsidRPr="00EA1080">
        <w:rPr>
          <w:b/>
          <w:sz w:val="20"/>
          <w:szCs w:val="20"/>
          <w:lang w:val="es-MX"/>
        </w:rPr>
        <w:t>o de una Oferta</w:t>
      </w:r>
      <w:r w:rsidR="00A70231">
        <w:rPr>
          <w:b/>
          <w:sz w:val="20"/>
          <w:szCs w:val="20"/>
          <w:lang w:val="es-MX"/>
        </w:rPr>
        <w:t xml:space="preserve"> de Compra</w:t>
      </w:r>
      <w:r w:rsidR="00C04C7C" w:rsidRPr="00EA1080">
        <w:rPr>
          <w:b/>
          <w:sz w:val="20"/>
          <w:szCs w:val="20"/>
          <w:lang w:val="es-MX"/>
        </w:rPr>
        <w:t xml:space="preserve"> </w:t>
      </w:r>
      <w:r w:rsidR="00A70231">
        <w:rPr>
          <w:b/>
          <w:sz w:val="20"/>
          <w:szCs w:val="20"/>
          <w:lang w:val="es-MX"/>
        </w:rPr>
        <w:t xml:space="preserve">(conforme dicho término se define más adelante) </w:t>
      </w:r>
      <w:r w:rsidR="00C04C7C" w:rsidRPr="00EA1080">
        <w:rPr>
          <w:b/>
          <w:sz w:val="20"/>
          <w:szCs w:val="20"/>
          <w:lang w:val="es-MX"/>
        </w:rPr>
        <w:t>por parte de los Agentes del MAE implicará la aceptación y el conocimiento de todos y cada uno de los términos y mecanismos establecidos bajo la presente sección.</w:t>
      </w:r>
    </w:p>
    <w:p w:rsidR="006905F4" w:rsidRDefault="006905F4" w:rsidP="00C04C7C">
      <w:pPr>
        <w:widowControl w:val="0"/>
        <w:jc w:val="both"/>
        <w:rPr>
          <w:iCs/>
          <w:snapToGrid w:val="0"/>
          <w:sz w:val="20"/>
          <w:szCs w:val="20"/>
          <w:lang w:val="es-AR"/>
        </w:rPr>
      </w:pPr>
    </w:p>
    <w:p w:rsidR="006905F4" w:rsidRPr="00EA1080" w:rsidRDefault="006905F4" w:rsidP="00C04C7C">
      <w:pPr>
        <w:widowControl w:val="0"/>
        <w:jc w:val="both"/>
        <w:rPr>
          <w:b/>
          <w:iCs/>
          <w:snapToGrid w:val="0"/>
          <w:sz w:val="20"/>
          <w:szCs w:val="20"/>
          <w:lang w:val="es-AR"/>
        </w:rPr>
      </w:pPr>
      <w:r>
        <w:rPr>
          <w:b/>
          <w:iCs/>
          <w:snapToGrid w:val="0"/>
          <w:sz w:val="20"/>
          <w:szCs w:val="20"/>
          <w:lang w:val="es-AR"/>
        </w:rPr>
        <w:t>Procedimiento de colocación</w:t>
      </w:r>
    </w:p>
    <w:p w:rsidR="006905F4" w:rsidRPr="00251FDB" w:rsidRDefault="006905F4" w:rsidP="00C04C7C">
      <w:pPr>
        <w:widowControl w:val="0"/>
        <w:jc w:val="both"/>
        <w:rPr>
          <w:iCs/>
          <w:snapToGrid w:val="0"/>
          <w:sz w:val="20"/>
          <w:szCs w:val="20"/>
          <w:lang w:val="es-AR"/>
        </w:rPr>
      </w:pPr>
    </w:p>
    <w:p w:rsidR="00C04C7C" w:rsidRPr="00EA1080" w:rsidRDefault="00C04C7C" w:rsidP="00C04C7C">
      <w:pPr>
        <w:widowControl w:val="0"/>
        <w:jc w:val="both"/>
        <w:rPr>
          <w:i/>
          <w:iCs/>
          <w:snapToGrid w:val="0"/>
          <w:sz w:val="20"/>
          <w:szCs w:val="20"/>
          <w:lang w:val="es-AR"/>
        </w:rPr>
      </w:pPr>
      <w:r w:rsidRPr="00EA1080">
        <w:rPr>
          <w:i/>
          <w:iCs/>
          <w:snapToGrid w:val="0"/>
          <w:sz w:val="20"/>
          <w:szCs w:val="20"/>
          <w:lang w:val="es-AR"/>
        </w:rPr>
        <w:t>Período de Difusión Pública</w:t>
      </w:r>
      <w:r w:rsidR="006905F4">
        <w:rPr>
          <w:i/>
          <w:iCs/>
          <w:snapToGrid w:val="0"/>
          <w:sz w:val="20"/>
          <w:szCs w:val="20"/>
          <w:lang w:val="es-AR"/>
        </w:rPr>
        <w:t xml:space="preserve"> y Período de Subasta Pública</w:t>
      </w:r>
    </w:p>
    <w:p w:rsidR="00C04C7C" w:rsidRPr="002217AD" w:rsidRDefault="00C04C7C" w:rsidP="002217AD">
      <w:pPr>
        <w:widowControl w:val="0"/>
        <w:jc w:val="both"/>
        <w:rPr>
          <w:snapToGrid w:val="0"/>
          <w:sz w:val="20"/>
          <w:szCs w:val="20"/>
          <w:lang w:val="es-AR"/>
        </w:rPr>
      </w:pPr>
    </w:p>
    <w:p w:rsidR="00835343" w:rsidRPr="00EA1080" w:rsidRDefault="00C04C7C" w:rsidP="00EA1080">
      <w:pPr>
        <w:jc w:val="both"/>
        <w:rPr>
          <w:sz w:val="20"/>
          <w:szCs w:val="20"/>
          <w:lang w:val="es-AR"/>
        </w:rPr>
      </w:pPr>
      <w:r w:rsidRPr="00EA1080">
        <w:rPr>
          <w:sz w:val="20"/>
          <w:szCs w:val="20"/>
          <w:lang w:val="es-AR"/>
        </w:rPr>
        <w:t xml:space="preserve">El período de difusión pública </w:t>
      </w:r>
      <w:r w:rsidR="006905F4" w:rsidRPr="00EA1080">
        <w:rPr>
          <w:sz w:val="20"/>
          <w:szCs w:val="20"/>
          <w:lang w:val="es-AR"/>
        </w:rPr>
        <w:t xml:space="preserve">podrá ser </w:t>
      </w:r>
      <w:r w:rsidRPr="00EA1080">
        <w:rPr>
          <w:sz w:val="20"/>
          <w:szCs w:val="20"/>
          <w:lang w:val="es-AR"/>
        </w:rPr>
        <w:t xml:space="preserve">de, por lo menos, 3 </w:t>
      </w:r>
      <w:r w:rsidR="000809E0" w:rsidRPr="00EA1080">
        <w:rPr>
          <w:sz w:val="20"/>
          <w:szCs w:val="20"/>
          <w:lang w:val="es-AR"/>
        </w:rPr>
        <w:t xml:space="preserve">(tres) </w:t>
      </w:r>
      <w:r w:rsidR="008D54D1" w:rsidRPr="00EA1080">
        <w:rPr>
          <w:sz w:val="20"/>
          <w:szCs w:val="20"/>
          <w:lang w:val="es-AR"/>
        </w:rPr>
        <w:t>D</w:t>
      </w:r>
      <w:r w:rsidRPr="00EA1080">
        <w:rPr>
          <w:sz w:val="20"/>
          <w:szCs w:val="20"/>
          <w:lang w:val="es-AR"/>
        </w:rPr>
        <w:t xml:space="preserve">ías </w:t>
      </w:r>
      <w:r w:rsidR="008D54D1" w:rsidRPr="00EA1080">
        <w:rPr>
          <w:sz w:val="20"/>
          <w:szCs w:val="20"/>
          <w:lang w:val="es-AR"/>
        </w:rPr>
        <w:t>H</w:t>
      </w:r>
      <w:r w:rsidRPr="00EA1080">
        <w:rPr>
          <w:sz w:val="20"/>
          <w:szCs w:val="20"/>
          <w:lang w:val="es-AR"/>
        </w:rPr>
        <w:t>ábiles con anterioridad a la fecha de inicio de</w:t>
      </w:r>
      <w:r w:rsidR="008D54D1" w:rsidRPr="00EA1080">
        <w:rPr>
          <w:sz w:val="20"/>
          <w:szCs w:val="20"/>
          <w:lang w:val="es-AR"/>
        </w:rPr>
        <w:t>l Período de</w:t>
      </w:r>
      <w:r w:rsidRPr="00EA1080">
        <w:rPr>
          <w:sz w:val="20"/>
          <w:szCs w:val="20"/>
          <w:lang w:val="es-AR"/>
        </w:rPr>
        <w:t xml:space="preserve"> Subasta Pública</w:t>
      </w:r>
      <w:r w:rsidR="00983B80">
        <w:rPr>
          <w:sz w:val="20"/>
          <w:szCs w:val="20"/>
          <w:lang w:val="es-AR"/>
        </w:rPr>
        <w:t>, el cual será de, al menos, 1 (un) Día Hábil</w:t>
      </w:r>
      <w:r w:rsidRPr="00EA1080">
        <w:rPr>
          <w:sz w:val="20"/>
          <w:szCs w:val="20"/>
          <w:lang w:val="es-AR"/>
        </w:rPr>
        <w:t xml:space="preserve"> (el “</w:t>
      </w:r>
      <w:r w:rsidRPr="00EA1080">
        <w:rPr>
          <w:sz w:val="20"/>
          <w:szCs w:val="20"/>
          <w:u w:val="single"/>
          <w:lang w:val="es-AR"/>
        </w:rPr>
        <w:t>Período de Difusión Pública</w:t>
      </w:r>
      <w:r w:rsidRPr="00EA1080">
        <w:rPr>
          <w:sz w:val="20"/>
          <w:szCs w:val="20"/>
          <w:lang w:val="es-AR"/>
        </w:rPr>
        <w:t xml:space="preserve">”). En la oportunidad que determine el Emisor, conjuntamente con los Colocadores, se publicará un aviso de suscripción en el Boletín Diario de la BCBA, en la Página Web de la CNV, en la Página Web </w:t>
      </w:r>
      <w:r w:rsidR="008D54D1" w:rsidRPr="00EA1080">
        <w:rPr>
          <w:sz w:val="20"/>
          <w:szCs w:val="20"/>
          <w:lang w:val="es-AR"/>
        </w:rPr>
        <w:t>Institucional</w:t>
      </w:r>
      <w:r w:rsidRPr="00EA1080">
        <w:rPr>
          <w:sz w:val="20"/>
          <w:szCs w:val="20"/>
          <w:lang w:val="es-AR"/>
        </w:rPr>
        <w:t xml:space="preserve"> y en la Página Web del MAE</w:t>
      </w:r>
      <w:r w:rsidR="00835343" w:rsidRPr="00EA1080">
        <w:rPr>
          <w:sz w:val="20"/>
          <w:szCs w:val="20"/>
          <w:lang w:val="es-AR"/>
        </w:rPr>
        <w:t xml:space="preserve"> (el “</w:t>
      </w:r>
      <w:r w:rsidR="00835343" w:rsidRPr="00EA1080">
        <w:rPr>
          <w:sz w:val="20"/>
          <w:szCs w:val="20"/>
          <w:u w:val="single"/>
          <w:lang w:val="es-AR"/>
        </w:rPr>
        <w:t>Aviso de Suscripción</w:t>
      </w:r>
      <w:r w:rsidR="00835343" w:rsidRPr="00EA1080">
        <w:rPr>
          <w:sz w:val="20"/>
          <w:szCs w:val="20"/>
          <w:lang w:val="es-AR"/>
        </w:rPr>
        <w:t>”)</w:t>
      </w:r>
      <w:r w:rsidRPr="00EA1080">
        <w:rPr>
          <w:sz w:val="20"/>
          <w:szCs w:val="20"/>
          <w:lang w:val="es-AR"/>
        </w:rPr>
        <w:t>, en el cual se indicará, entre otra información</w:t>
      </w:r>
      <w:r w:rsidR="00835343" w:rsidRPr="00EA1080">
        <w:rPr>
          <w:sz w:val="20"/>
          <w:szCs w:val="20"/>
          <w:lang w:val="es-AR"/>
        </w:rPr>
        <w:t>: (1) la fecha de inicio y de finalización del Período de Difusión Pública, durante el cual se realizará la difusión pública de la información referida al Emisor y a las Obligaciones Negociables y se invitará a potenciales inversores a presentar las correspondientes Órdenes de Compra; (2) la fecha de inicio y de finalización del período de subasta pública de las Obligaciones Negociables, y durante el cual, sobre la base de tales Órdenes de Compra de potenciales inversores, los Agentes del MAE (incluyendo, sin limitación, al Colocador) podrán presentar las correspondientes órdenes a través del módulo de licitaciones del Sistema SIOPEL (el “</w:t>
      </w:r>
      <w:r w:rsidR="00835343" w:rsidRPr="00EA1080">
        <w:rPr>
          <w:sz w:val="20"/>
          <w:szCs w:val="20"/>
          <w:u w:val="single"/>
          <w:lang w:val="es-AR"/>
        </w:rPr>
        <w:t>Período de Subasta Pública</w:t>
      </w:r>
      <w:r w:rsidR="00835343" w:rsidRPr="00EA1080">
        <w:rPr>
          <w:sz w:val="20"/>
          <w:szCs w:val="20"/>
          <w:lang w:val="es-AR"/>
        </w:rPr>
        <w:t xml:space="preserve">”); (3) los datos de contacto de los Colocadores; y (4) demás datos que pudieran ser necesarios, en su caso, incluyendo pero no limitado a los indicados en el inciso a) del artículo 8, Sección II, Capítulo IV, Título VI, de las Normas de la CNV. </w:t>
      </w:r>
      <w:r w:rsidRPr="00EA1080">
        <w:rPr>
          <w:sz w:val="20"/>
          <w:szCs w:val="20"/>
          <w:lang w:val="es-AR"/>
        </w:rPr>
        <w:t>Durante el Período de Difusión Pública, ni los Colocadores ni los Agentes del MAE, podrán aceptar Ofertas</w:t>
      </w:r>
      <w:r w:rsidR="00835343">
        <w:rPr>
          <w:sz w:val="20"/>
          <w:szCs w:val="20"/>
          <w:lang w:val="es-AR"/>
        </w:rPr>
        <w:t xml:space="preserve"> de Compra</w:t>
      </w:r>
      <w:r w:rsidRPr="00EA1080">
        <w:rPr>
          <w:sz w:val="20"/>
          <w:szCs w:val="20"/>
          <w:lang w:val="es-AR"/>
        </w:rPr>
        <w:t xml:space="preserve"> y/o Órdenes</w:t>
      </w:r>
      <w:r w:rsidR="00835343">
        <w:rPr>
          <w:sz w:val="20"/>
          <w:szCs w:val="20"/>
          <w:lang w:val="es-AR"/>
        </w:rPr>
        <w:t xml:space="preserve"> de Compra.</w:t>
      </w:r>
      <w:r w:rsidRPr="00EA1080">
        <w:rPr>
          <w:sz w:val="20"/>
          <w:szCs w:val="20"/>
          <w:lang w:val="es-AR"/>
        </w:rPr>
        <w:t xml:space="preserve"> </w:t>
      </w:r>
    </w:p>
    <w:p w:rsidR="00835343" w:rsidRDefault="00835343" w:rsidP="002217AD">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lang w:val="es-AR"/>
        </w:rPr>
      </w:pPr>
    </w:p>
    <w:p w:rsidR="00215A98" w:rsidRPr="00EA1080" w:rsidRDefault="00215A98" w:rsidP="00215A98">
      <w:pPr>
        <w:jc w:val="both"/>
        <w:rPr>
          <w:sz w:val="20"/>
          <w:szCs w:val="20"/>
          <w:lang w:val="es-AR"/>
        </w:rPr>
      </w:pPr>
      <w:r w:rsidRPr="00EA1080">
        <w:rPr>
          <w:sz w:val="20"/>
          <w:szCs w:val="20"/>
          <w:lang w:val="es-AR"/>
        </w:rPr>
        <w:t>Durante el Período de Difusión Pública se realizará la difusión pública de la información referida a</w:t>
      </w:r>
      <w:r>
        <w:rPr>
          <w:sz w:val="20"/>
          <w:szCs w:val="20"/>
          <w:lang w:val="es-AR"/>
        </w:rPr>
        <w:t>l</w:t>
      </w:r>
      <w:r w:rsidRPr="00EA1080">
        <w:rPr>
          <w:sz w:val="20"/>
          <w:szCs w:val="20"/>
          <w:lang w:val="es-AR"/>
        </w:rPr>
        <w:t xml:space="preserve"> Emisor y a las Obligaciones Negociables, y se invitará a potenciales inversores a presentar a cualquier </w:t>
      </w:r>
      <w:r w:rsidRPr="002217AD">
        <w:rPr>
          <w:sz w:val="20"/>
          <w:szCs w:val="20"/>
          <w:lang w:val="es-AR"/>
        </w:rPr>
        <w:t xml:space="preserve">Agente </w:t>
      </w:r>
      <w:r w:rsidRPr="00EA1080">
        <w:rPr>
          <w:sz w:val="20"/>
          <w:szCs w:val="20"/>
          <w:lang w:val="es-AR"/>
        </w:rPr>
        <w:t xml:space="preserve">del MAE (incluyendo, sin limitación, los Colocadores), las correspondientes Órdenes de Compra para suscribir Obligaciones Negociables. </w:t>
      </w:r>
    </w:p>
    <w:p w:rsidR="00835343" w:rsidRPr="00251FDB" w:rsidRDefault="00835343" w:rsidP="00835343">
      <w:pPr>
        <w:widowControl w:val="0"/>
        <w:jc w:val="both"/>
        <w:rPr>
          <w:sz w:val="20"/>
          <w:szCs w:val="20"/>
          <w:lang w:val="es-AR"/>
        </w:rPr>
      </w:pPr>
    </w:p>
    <w:p w:rsidR="00835343" w:rsidRPr="00251FDB" w:rsidRDefault="00215A98" w:rsidP="00EA1080">
      <w:pPr>
        <w:jc w:val="both"/>
        <w:rPr>
          <w:snapToGrid w:val="0"/>
          <w:sz w:val="20"/>
          <w:szCs w:val="20"/>
          <w:lang w:val="es-AR"/>
        </w:rPr>
      </w:pPr>
      <w:r w:rsidRPr="00233C44">
        <w:rPr>
          <w:sz w:val="20"/>
          <w:szCs w:val="20"/>
          <w:lang w:val="es-AR"/>
        </w:rPr>
        <w:t xml:space="preserve">Durante el Período de </w:t>
      </w:r>
      <w:r>
        <w:rPr>
          <w:sz w:val="20"/>
          <w:szCs w:val="20"/>
          <w:lang w:val="es-AR"/>
        </w:rPr>
        <w:t>Subasta</w:t>
      </w:r>
      <w:r w:rsidRPr="00233C44">
        <w:rPr>
          <w:sz w:val="20"/>
          <w:szCs w:val="20"/>
          <w:lang w:val="es-AR"/>
        </w:rPr>
        <w:t xml:space="preserve"> Pública, los </w:t>
      </w:r>
      <w:r>
        <w:rPr>
          <w:sz w:val="20"/>
          <w:szCs w:val="20"/>
          <w:lang w:val="es-AR"/>
        </w:rPr>
        <w:t xml:space="preserve">Colocadores o los </w:t>
      </w:r>
      <w:r w:rsidRPr="00233C44">
        <w:rPr>
          <w:sz w:val="20"/>
          <w:szCs w:val="20"/>
          <w:lang w:val="es-AR"/>
        </w:rPr>
        <w:t>Agentes del MAE podrán ingresar como ofertas a través del módulo de licitaciones del Sistema SIOPEL (las “</w:t>
      </w:r>
      <w:r w:rsidRPr="00233C44">
        <w:rPr>
          <w:sz w:val="20"/>
          <w:szCs w:val="20"/>
          <w:u w:val="single"/>
          <w:lang w:val="es-AR"/>
        </w:rPr>
        <w:t>Ofertas de Compra</w:t>
      </w:r>
      <w:r w:rsidRPr="00233C44">
        <w:rPr>
          <w:sz w:val="20"/>
          <w:szCs w:val="20"/>
          <w:lang w:val="es-AR"/>
        </w:rPr>
        <w:t xml:space="preserve">”), las Órdenes de Compra que hayan recibido de potenciales inversores. </w:t>
      </w:r>
      <w:r w:rsidR="00835343" w:rsidRPr="00251FDB">
        <w:rPr>
          <w:snapToGrid w:val="0"/>
          <w:sz w:val="20"/>
          <w:szCs w:val="20"/>
          <w:lang w:val="es-AR"/>
        </w:rPr>
        <w:t xml:space="preserve">Las </w:t>
      </w:r>
      <w:r>
        <w:rPr>
          <w:snapToGrid w:val="0"/>
          <w:sz w:val="20"/>
          <w:szCs w:val="20"/>
          <w:lang w:val="es-AR"/>
        </w:rPr>
        <w:t>Ofertas de Compra</w:t>
      </w:r>
      <w:r w:rsidR="00835343" w:rsidRPr="00251FDB">
        <w:rPr>
          <w:snapToGrid w:val="0"/>
          <w:sz w:val="20"/>
          <w:szCs w:val="20"/>
          <w:lang w:val="es-AR"/>
        </w:rPr>
        <w:t xml:space="preserve"> no podrán ser retiradas, con excepción de lo establecido </w:t>
      </w:r>
      <w:r>
        <w:rPr>
          <w:snapToGrid w:val="0"/>
          <w:sz w:val="20"/>
          <w:szCs w:val="20"/>
          <w:lang w:val="es-AR"/>
        </w:rPr>
        <w:t>más abajo en este Capítulo</w:t>
      </w:r>
      <w:r w:rsidR="00835343" w:rsidRPr="00251FDB">
        <w:rPr>
          <w:snapToGrid w:val="0"/>
          <w:sz w:val="20"/>
          <w:szCs w:val="20"/>
          <w:lang w:val="es-AR"/>
        </w:rPr>
        <w:t>.</w:t>
      </w:r>
    </w:p>
    <w:p w:rsidR="00835343" w:rsidRPr="00251FDB" w:rsidRDefault="00835343" w:rsidP="00835343">
      <w:pPr>
        <w:widowControl w:val="0"/>
        <w:jc w:val="both"/>
        <w:rPr>
          <w:snapToGrid w:val="0"/>
          <w:sz w:val="20"/>
          <w:szCs w:val="20"/>
          <w:lang w:val="es-AR"/>
        </w:rPr>
      </w:pPr>
    </w:p>
    <w:p w:rsidR="00835343" w:rsidRPr="00251FDB" w:rsidRDefault="00835343" w:rsidP="00EA1080">
      <w:pPr>
        <w:widowControl w:val="0"/>
        <w:jc w:val="both"/>
        <w:rPr>
          <w:snapToGrid w:val="0"/>
          <w:sz w:val="20"/>
          <w:szCs w:val="20"/>
          <w:lang w:val="es-AR"/>
        </w:rPr>
      </w:pPr>
      <w:r w:rsidRPr="00251FDB">
        <w:rPr>
          <w:snapToGrid w:val="0"/>
          <w:sz w:val="20"/>
          <w:szCs w:val="20"/>
          <w:lang w:val="es-AR"/>
        </w:rPr>
        <w:t>Podrán remitirse Órdenes</w:t>
      </w:r>
      <w:r w:rsidR="00215A98">
        <w:rPr>
          <w:snapToGrid w:val="0"/>
          <w:sz w:val="20"/>
          <w:szCs w:val="20"/>
          <w:lang w:val="es-AR"/>
        </w:rPr>
        <w:t xml:space="preserve"> de compra</w:t>
      </w:r>
      <w:r w:rsidRPr="00251FDB">
        <w:rPr>
          <w:snapToGrid w:val="0"/>
          <w:sz w:val="20"/>
          <w:szCs w:val="20"/>
          <w:lang w:val="es-AR"/>
        </w:rPr>
        <w:t xml:space="preserve"> para el Tramo Competitivo y Órdenes</w:t>
      </w:r>
      <w:r w:rsidR="00215A98">
        <w:rPr>
          <w:snapToGrid w:val="0"/>
          <w:sz w:val="20"/>
          <w:szCs w:val="20"/>
          <w:lang w:val="es-AR"/>
        </w:rPr>
        <w:t xml:space="preserve"> de Compra</w:t>
      </w:r>
      <w:r w:rsidRPr="00251FDB">
        <w:rPr>
          <w:snapToGrid w:val="0"/>
          <w:sz w:val="20"/>
          <w:szCs w:val="20"/>
          <w:lang w:val="es-AR"/>
        </w:rPr>
        <w:t xml:space="preserve"> para el Tramo No Competitivo (según ambos términos se definen más adelante). Cada Inversor deberá detallar en la Orden</w:t>
      </w:r>
      <w:r w:rsidR="00215A98">
        <w:rPr>
          <w:snapToGrid w:val="0"/>
          <w:sz w:val="20"/>
          <w:szCs w:val="20"/>
          <w:lang w:val="es-AR"/>
        </w:rPr>
        <w:t xml:space="preserve"> de compra</w:t>
      </w:r>
      <w:r w:rsidRPr="00251FDB">
        <w:rPr>
          <w:snapToGrid w:val="0"/>
          <w:sz w:val="20"/>
          <w:szCs w:val="20"/>
          <w:lang w:val="es-AR"/>
        </w:rPr>
        <w:t>, entre otras, la siguiente información:</w:t>
      </w:r>
      <w:r w:rsidR="00215A98">
        <w:rPr>
          <w:snapToGrid w:val="0"/>
          <w:sz w:val="20"/>
          <w:szCs w:val="20"/>
          <w:lang w:val="es-AR"/>
        </w:rPr>
        <w:t xml:space="preserve"> (i) </w:t>
      </w:r>
      <w:r w:rsidRPr="00251FDB">
        <w:rPr>
          <w:snapToGrid w:val="0"/>
          <w:sz w:val="20"/>
          <w:szCs w:val="20"/>
          <w:lang w:val="es-AR"/>
        </w:rPr>
        <w:t>sus datos identificatorios;</w:t>
      </w:r>
      <w:r w:rsidR="00215A98">
        <w:rPr>
          <w:snapToGrid w:val="0"/>
          <w:sz w:val="20"/>
          <w:szCs w:val="20"/>
          <w:lang w:val="es-AR"/>
        </w:rPr>
        <w:t xml:space="preserve"> (ii) </w:t>
      </w:r>
      <w:r w:rsidRPr="00251FDB">
        <w:rPr>
          <w:snapToGrid w:val="0"/>
          <w:sz w:val="20"/>
          <w:szCs w:val="20"/>
          <w:lang w:val="es-AR"/>
        </w:rPr>
        <w:t xml:space="preserve">el valor nominal solicitado sin decimales de Obligaciones Negociables, que deberá ser </w:t>
      </w:r>
      <w:r w:rsidR="00215A98">
        <w:rPr>
          <w:snapToGrid w:val="0"/>
          <w:sz w:val="20"/>
          <w:szCs w:val="20"/>
          <w:lang w:val="es-AR"/>
        </w:rPr>
        <w:t>igual al Monto Mínimo de Suscripción</w:t>
      </w:r>
      <w:r w:rsidRPr="00251FDB">
        <w:rPr>
          <w:snapToGrid w:val="0"/>
          <w:sz w:val="20"/>
          <w:szCs w:val="20"/>
          <w:lang w:val="es-AR"/>
        </w:rPr>
        <w:t xml:space="preserve"> o montos superiores que sean múltiplos de $1;</w:t>
      </w:r>
      <w:r w:rsidR="00215A98">
        <w:rPr>
          <w:snapToGrid w:val="0"/>
          <w:sz w:val="20"/>
          <w:szCs w:val="20"/>
          <w:lang w:val="es-AR"/>
        </w:rPr>
        <w:t xml:space="preserve"> (iii)</w:t>
      </w:r>
      <w:r w:rsidR="00215A98" w:rsidRPr="00251FDB">
        <w:rPr>
          <w:snapToGrid w:val="0"/>
          <w:sz w:val="20"/>
          <w:szCs w:val="20"/>
          <w:lang w:val="es-AR"/>
        </w:rPr>
        <w:t xml:space="preserve"> </w:t>
      </w:r>
      <w:r w:rsidRPr="00251FDB">
        <w:rPr>
          <w:snapToGrid w:val="0"/>
          <w:sz w:val="20"/>
          <w:szCs w:val="20"/>
          <w:lang w:val="es-AR"/>
        </w:rPr>
        <w:t>solo las Órdenes</w:t>
      </w:r>
      <w:r w:rsidR="00215A98">
        <w:rPr>
          <w:snapToGrid w:val="0"/>
          <w:sz w:val="20"/>
          <w:szCs w:val="20"/>
          <w:lang w:val="es-AR"/>
        </w:rPr>
        <w:t xml:space="preserve"> de Compra</w:t>
      </w:r>
      <w:r w:rsidRPr="00251FDB">
        <w:rPr>
          <w:snapToGrid w:val="0"/>
          <w:sz w:val="20"/>
          <w:szCs w:val="20"/>
          <w:lang w:val="es-AR"/>
        </w:rPr>
        <w:t xml:space="preserve"> para el Tramo Competitivo deberán indicar el Margen de Corte solicitado, expresado en un porcentaje</w:t>
      </w:r>
      <w:r w:rsidR="00215A98">
        <w:rPr>
          <w:snapToGrid w:val="0"/>
          <w:sz w:val="20"/>
          <w:szCs w:val="20"/>
          <w:lang w:val="es-AR"/>
        </w:rPr>
        <w:t xml:space="preserve"> anual</w:t>
      </w:r>
      <w:r w:rsidRPr="00251FDB">
        <w:rPr>
          <w:snapToGrid w:val="0"/>
          <w:sz w:val="20"/>
          <w:szCs w:val="20"/>
          <w:lang w:val="es-AR"/>
        </w:rPr>
        <w:t xml:space="preserve"> truncado a dos decimales (el “</w:t>
      </w:r>
      <w:r w:rsidRPr="00251FDB">
        <w:rPr>
          <w:snapToGrid w:val="0"/>
          <w:sz w:val="20"/>
          <w:szCs w:val="20"/>
          <w:u w:val="single"/>
          <w:lang w:val="es-AR"/>
        </w:rPr>
        <w:t>Margen Solicitado</w:t>
      </w:r>
      <w:r w:rsidRPr="00251FDB">
        <w:rPr>
          <w:snapToGrid w:val="0"/>
          <w:sz w:val="20"/>
          <w:szCs w:val="20"/>
          <w:lang w:val="es-AR"/>
        </w:rPr>
        <w:t>”)</w:t>
      </w:r>
      <w:r w:rsidR="00215A98">
        <w:rPr>
          <w:snapToGrid w:val="0"/>
          <w:sz w:val="20"/>
          <w:szCs w:val="20"/>
          <w:lang w:val="es-AR"/>
        </w:rPr>
        <w:t xml:space="preserve">. </w:t>
      </w:r>
      <w:r w:rsidR="00215A98" w:rsidRPr="00EA1080">
        <w:rPr>
          <w:sz w:val="20"/>
          <w:szCs w:val="20"/>
          <w:lang w:val="es-AR"/>
        </w:rPr>
        <w:t>Los Inversores podrán asimismo presentar Órdenes de Compra sin indicar Margen Solicitado alguno, las cuales serán consideradas como Órdenes de Compra dentro del Tramo No Competitivo y así serán ingresadas las correspondientes Ofertas de Compra</w:t>
      </w:r>
      <w:r w:rsidRPr="00251FDB">
        <w:rPr>
          <w:snapToGrid w:val="0"/>
          <w:sz w:val="20"/>
          <w:szCs w:val="20"/>
          <w:lang w:val="es-AR"/>
        </w:rPr>
        <w:t>; y</w:t>
      </w:r>
      <w:r w:rsidR="00215A98">
        <w:rPr>
          <w:snapToGrid w:val="0"/>
          <w:sz w:val="20"/>
          <w:szCs w:val="20"/>
          <w:lang w:val="es-AR"/>
        </w:rPr>
        <w:t xml:space="preserve"> (iv) </w:t>
      </w:r>
      <w:r w:rsidRPr="00251FDB">
        <w:rPr>
          <w:snapToGrid w:val="0"/>
          <w:sz w:val="20"/>
          <w:szCs w:val="20"/>
          <w:lang w:val="es-AR"/>
        </w:rPr>
        <w:t>otros datos que requiera el formulario de ingresos de órdenes del Sistema SIOPEL.</w:t>
      </w:r>
    </w:p>
    <w:p w:rsidR="00835343" w:rsidRPr="00251FDB" w:rsidRDefault="00835343" w:rsidP="00835343">
      <w:pPr>
        <w:widowControl w:val="0"/>
        <w:jc w:val="both"/>
        <w:rPr>
          <w:snapToGrid w:val="0"/>
          <w:sz w:val="20"/>
          <w:szCs w:val="20"/>
          <w:lang w:val="es-AR"/>
        </w:rPr>
      </w:pPr>
    </w:p>
    <w:p w:rsidR="00835343" w:rsidRPr="00EA1080" w:rsidRDefault="00835343" w:rsidP="00835343">
      <w:pPr>
        <w:widowControl w:val="0"/>
        <w:jc w:val="both"/>
        <w:rPr>
          <w:snapToGrid w:val="0"/>
          <w:sz w:val="20"/>
          <w:szCs w:val="20"/>
          <w:lang w:val="es-AR"/>
        </w:rPr>
      </w:pPr>
      <w:r w:rsidRPr="00251FDB">
        <w:rPr>
          <w:snapToGrid w:val="0"/>
          <w:sz w:val="20"/>
          <w:szCs w:val="20"/>
          <w:lang w:val="es-AR"/>
        </w:rPr>
        <w:t>Cada Inversor podrá presentar una o más Órdenes</w:t>
      </w:r>
      <w:r w:rsidR="00215A98">
        <w:rPr>
          <w:snapToGrid w:val="0"/>
          <w:sz w:val="20"/>
          <w:szCs w:val="20"/>
          <w:lang w:val="es-AR"/>
        </w:rPr>
        <w:t xml:space="preserve"> de Compra</w:t>
      </w:r>
      <w:r w:rsidRPr="00251FDB">
        <w:rPr>
          <w:snapToGrid w:val="0"/>
          <w:sz w:val="20"/>
          <w:szCs w:val="20"/>
          <w:lang w:val="es-AR"/>
        </w:rPr>
        <w:t xml:space="preserve"> que constituirán el Tramo No Competitivo y una o más Órdenes que constituirán el </w:t>
      </w:r>
      <w:r w:rsidRPr="002217AD">
        <w:rPr>
          <w:snapToGrid w:val="0"/>
          <w:sz w:val="20"/>
          <w:szCs w:val="20"/>
          <w:lang w:val="es-AR"/>
        </w:rPr>
        <w:t xml:space="preserve">Tramo Competitivo con distintos Márgenes Solicitados, y distintos valores nominales que se pretenda suscribir de las Obligaciones Negociables, pudiendo quedar adjudicadas una, todas, o ninguna de las </w:t>
      </w:r>
      <w:r w:rsidR="00FA34CF" w:rsidRPr="002217AD">
        <w:rPr>
          <w:snapToGrid w:val="0"/>
          <w:sz w:val="20"/>
          <w:szCs w:val="20"/>
          <w:lang w:val="es-AR"/>
        </w:rPr>
        <w:t>Ofertas de Compra ingresadas en el Sistema SIOPEL</w:t>
      </w:r>
      <w:r w:rsidRPr="002217AD">
        <w:rPr>
          <w:snapToGrid w:val="0"/>
          <w:sz w:val="20"/>
          <w:szCs w:val="20"/>
          <w:lang w:val="es-AR"/>
        </w:rPr>
        <w:t>, de conformidad con el procedimiento que se prevé en “</w:t>
      </w:r>
      <w:r w:rsidRPr="002217AD">
        <w:rPr>
          <w:i/>
          <w:snapToGrid w:val="0"/>
          <w:sz w:val="20"/>
          <w:szCs w:val="20"/>
          <w:lang w:val="es-AR"/>
        </w:rPr>
        <w:t>Adjudicación y Prorrateo</w:t>
      </w:r>
      <w:r w:rsidRPr="00EA1080">
        <w:rPr>
          <w:snapToGrid w:val="0"/>
          <w:sz w:val="20"/>
          <w:szCs w:val="20"/>
          <w:lang w:val="es-AR"/>
        </w:rPr>
        <w:t>” más adelante</w:t>
      </w:r>
      <w:r w:rsidR="00FA34CF" w:rsidRPr="00EA1080">
        <w:rPr>
          <w:snapToGrid w:val="0"/>
          <w:sz w:val="20"/>
          <w:szCs w:val="20"/>
          <w:lang w:val="es-AR"/>
        </w:rPr>
        <w:t xml:space="preserve">. </w:t>
      </w:r>
      <w:r w:rsidRPr="00EA1080">
        <w:rPr>
          <w:color w:val="000000"/>
          <w:sz w:val="20"/>
          <w:szCs w:val="20"/>
          <w:lang w:val="es-AR"/>
        </w:rPr>
        <w:t>Ni los Colocadores</w:t>
      </w:r>
      <w:r w:rsidRPr="00EA1080">
        <w:rPr>
          <w:snapToGrid w:val="0"/>
          <w:sz w:val="20"/>
          <w:szCs w:val="20"/>
          <w:lang w:val="es-AR"/>
        </w:rPr>
        <w:t xml:space="preserve"> ni los Agentes del MAE </w:t>
      </w:r>
      <w:r w:rsidRPr="00EA1080">
        <w:rPr>
          <w:color w:val="000000"/>
          <w:sz w:val="20"/>
          <w:szCs w:val="20"/>
          <w:lang w:val="es-AR"/>
        </w:rPr>
        <w:t>aceptarán Órdenes</w:t>
      </w:r>
      <w:r w:rsidR="00FA34CF" w:rsidRPr="00EA1080">
        <w:rPr>
          <w:color w:val="000000"/>
          <w:sz w:val="20"/>
          <w:szCs w:val="20"/>
          <w:lang w:val="es-AR"/>
        </w:rPr>
        <w:t xml:space="preserve"> de Compra</w:t>
      </w:r>
      <w:r w:rsidRPr="00EA1080">
        <w:rPr>
          <w:color w:val="000000"/>
          <w:sz w:val="20"/>
          <w:szCs w:val="20"/>
          <w:lang w:val="es-AR"/>
        </w:rPr>
        <w:t xml:space="preserve"> por un valor nominal </w:t>
      </w:r>
      <w:r w:rsidR="00FA34CF" w:rsidRPr="00EA1080">
        <w:rPr>
          <w:color w:val="000000"/>
          <w:sz w:val="20"/>
          <w:szCs w:val="20"/>
          <w:lang w:val="es-AR"/>
        </w:rPr>
        <w:t xml:space="preserve">inferior al Monto Mínimo de Suscripción según dicho término se define en </w:t>
      </w:r>
      <w:r w:rsidR="00FA34CF">
        <w:rPr>
          <w:color w:val="000000"/>
          <w:sz w:val="20"/>
          <w:szCs w:val="20"/>
          <w:lang w:val="es-AR"/>
        </w:rPr>
        <w:t xml:space="preserve">el Capítulo II </w:t>
      </w:r>
      <w:r w:rsidR="00FA34CF" w:rsidRPr="00EA1080">
        <w:rPr>
          <w:i/>
          <w:color w:val="000000"/>
          <w:sz w:val="20"/>
          <w:szCs w:val="20"/>
          <w:lang w:val="es-AR"/>
        </w:rPr>
        <w:t>“</w:t>
      </w:r>
      <w:r w:rsidR="00FA34CF">
        <w:rPr>
          <w:i/>
          <w:color w:val="000000"/>
          <w:sz w:val="20"/>
          <w:szCs w:val="20"/>
          <w:lang w:val="es-AR"/>
        </w:rPr>
        <w:t>Oferta de las Obligaciones Negociables – Monto Mínimo de Suscripción”</w:t>
      </w:r>
      <w:r w:rsidRPr="002217AD">
        <w:rPr>
          <w:color w:val="000000"/>
          <w:sz w:val="20"/>
          <w:szCs w:val="20"/>
          <w:lang w:val="es-AR"/>
        </w:rPr>
        <w:t>.</w:t>
      </w:r>
    </w:p>
    <w:p w:rsidR="00FA34CF" w:rsidRDefault="00FA34CF" w:rsidP="00835343">
      <w:pPr>
        <w:widowControl w:val="0"/>
        <w:jc w:val="both"/>
        <w:rPr>
          <w:snapToGrid w:val="0"/>
          <w:sz w:val="20"/>
          <w:szCs w:val="20"/>
          <w:lang w:val="es-AR"/>
        </w:rPr>
      </w:pPr>
    </w:p>
    <w:p w:rsidR="00FA34CF" w:rsidRPr="00EA1080" w:rsidRDefault="00FA34CF" w:rsidP="00FA34CF">
      <w:pPr>
        <w:jc w:val="both"/>
        <w:rPr>
          <w:color w:val="000000"/>
          <w:sz w:val="20"/>
          <w:lang w:val="es-AR"/>
        </w:rPr>
      </w:pPr>
      <w:r w:rsidRPr="00EA1080">
        <w:rPr>
          <w:color w:val="000000"/>
          <w:sz w:val="20"/>
          <w:lang w:val="es-AR"/>
        </w:rPr>
        <w:t xml:space="preserve">Los </w:t>
      </w:r>
      <w:r>
        <w:rPr>
          <w:color w:val="000000"/>
          <w:sz w:val="20"/>
          <w:lang w:val="es-AR"/>
        </w:rPr>
        <w:t>i</w:t>
      </w:r>
      <w:r w:rsidRPr="00EA1080">
        <w:rPr>
          <w:color w:val="000000"/>
          <w:sz w:val="20"/>
          <w:lang w:val="es-AR"/>
        </w:rPr>
        <w:t>nversores podrán limitar el monto de Obligaciones Negociables solicitado en sus Órdenes de Compra a un porcentaje máximo del valor nominal total de las Obligaciones Negociables a emitirse (el “</w:t>
      </w:r>
      <w:r w:rsidRPr="00EA1080">
        <w:rPr>
          <w:color w:val="000000"/>
          <w:sz w:val="20"/>
          <w:u w:val="single"/>
          <w:lang w:val="es-AR"/>
        </w:rPr>
        <w:t>Porcentaje Máximo</w:t>
      </w:r>
      <w:r w:rsidRPr="00EA1080">
        <w:rPr>
          <w:color w:val="000000"/>
          <w:sz w:val="20"/>
          <w:lang w:val="es-AR"/>
        </w:rPr>
        <w:t xml:space="preserve">”). Dicho Porcentaje Máximo deberá ser detallado por cada </w:t>
      </w:r>
      <w:r>
        <w:rPr>
          <w:color w:val="000000"/>
          <w:sz w:val="20"/>
          <w:lang w:val="es-AR"/>
        </w:rPr>
        <w:t>i</w:t>
      </w:r>
      <w:r w:rsidRPr="00EA1080">
        <w:rPr>
          <w:color w:val="000000"/>
          <w:sz w:val="20"/>
          <w:lang w:val="es-AR"/>
        </w:rPr>
        <w:t xml:space="preserve">nversor en su respectiva Orden de Compra correspondiente al Tramo Competitivo. Para la adjudicación final de las Obligaciones Negociables a los </w:t>
      </w:r>
      <w:r>
        <w:rPr>
          <w:color w:val="000000"/>
          <w:sz w:val="20"/>
          <w:lang w:val="es-AR"/>
        </w:rPr>
        <w:t>i</w:t>
      </w:r>
      <w:r w:rsidRPr="00EA1080">
        <w:rPr>
          <w:color w:val="000000"/>
          <w:sz w:val="20"/>
          <w:lang w:val="es-AR"/>
        </w:rPr>
        <w:t xml:space="preserve">nversores, en todos los casos, se tomará en consideración: (i) el monto que resulte de aplicar el Porcentaje Máximo al monto de Obligaciones Negociables que decida emitir </w:t>
      </w:r>
      <w:r>
        <w:rPr>
          <w:color w:val="000000"/>
          <w:sz w:val="20"/>
          <w:lang w:val="es-AR"/>
        </w:rPr>
        <w:t>e</w:t>
      </w:r>
      <w:r w:rsidRPr="00EA1080">
        <w:rPr>
          <w:color w:val="000000"/>
          <w:sz w:val="20"/>
          <w:lang w:val="es-AR"/>
        </w:rPr>
        <w:t>l Emisor, y (ii) el monto nominal previsto en la Orden de Compra solicitada; el que sea menor.</w:t>
      </w:r>
    </w:p>
    <w:p w:rsidR="00835343" w:rsidRPr="00251FDB" w:rsidRDefault="00835343" w:rsidP="00835343">
      <w:pPr>
        <w:widowControl w:val="0"/>
        <w:jc w:val="both"/>
        <w:rPr>
          <w:sz w:val="20"/>
          <w:szCs w:val="20"/>
          <w:lang w:val="es-AR"/>
        </w:rPr>
      </w:pPr>
    </w:p>
    <w:p w:rsidR="00835343" w:rsidRPr="00251FDB" w:rsidRDefault="00835343" w:rsidP="00835343">
      <w:pPr>
        <w:widowControl w:val="0"/>
        <w:jc w:val="both"/>
        <w:rPr>
          <w:color w:val="000000"/>
          <w:sz w:val="20"/>
          <w:szCs w:val="20"/>
          <w:lang w:val="es-AR"/>
        </w:rPr>
      </w:pPr>
      <w:r w:rsidRPr="00251FDB">
        <w:rPr>
          <w:color w:val="000000"/>
          <w:sz w:val="20"/>
          <w:szCs w:val="20"/>
          <w:lang w:val="es-AR"/>
        </w:rPr>
        <w:t>Los inversores deben presentar toda la información y documentación que se les solicite, o que pudiera ser solicitada por los Colocadores o los Agentes del MAE, quienes podrán rechazar cualquier Orden</w:t>
      </w:r>
      <w:r w:rsidR="00FA34CF">
        <w:rPr>
          <w:color w:val="000000"/>
          <w:sz w:val="20"/>
          <w:szCs w:val="20"/>
          <w:lang w:val="es-AR"/>
        </w:rPr>
        <w:t xml:space="preserve"> de Compra</w:t>
      </w:r>
      <w:r w:rsidRPr="00251FDB">
        <w:rPr>
          <w:color w:val="000000"/>
          <w:sz w:val="20"/>
          <w:szCs w:val="20"/>
          <w:lang w:val="es-AR"/>
        </w:rPr>
        <w:t xml:space="preserve"> que bajo su exclusivo criterio no cumpla con la totalidad de la información requerida, aun cuando dicha Orden </w:t>
      </w:r>
      <w:r w:rsidR="00FA34CF">
        <w:rPr>
          <w:color w:val="000000"/>
          <w:sz w:val="20"/>
          <w:szCs w:val="20"/>
          <w:lang w:val="es-AR"/>
        </w:rPr>
        <w:t xml:space="preserve">de Compra </w:t>
      </w:r>
      <w:r w:rsidRPr="00251FDB">
        <w:rPr>
          <w:color w:val="000000"/>
          <w:sz w:val="20"/>
          <w:szCs w:val="20"/>
          <w:lang w:val="es-AR"/>
        </w:rPr>
        <w:t xml:space="preserve">contenga un Margen Solicitado </w:t>
      </w:r>
      <w:r w:rsidR="00983B80">
        <w:rPr>
          <w:color w:val="000000"/>
          <w:sz w:val="20"/>
          <w:szCs w:val="20"/>
          <w:lang w:val="es-AR"/>
        </w:rPr>
        <w:t>inferior</w:t>
      </w:r>
      <w:r w:rsidR="00983B80" w:rsidRPr="00251FDB">
        <w:rPr>
          <w:color w:val="000000"/>
          <w:sz w:val="20"/>
          <w:szCs w:val="20"/>
          <w:lang w:val="es-AR"/>
        </w:rPr>
        <w:t xml:space="preserve"> </w:t>
      </w:r>
      <w:r w:rsidRPr="00251FDB">
        <w:rPr>
          <w:color w:val="000000"/>
          <w:sz w:val="20"/>
          <w:szCs w:val="20"/>
          <w:lang w:val="es-AR"/>
        </w:rPr>
        <w:t xml:space="preserve">al Margen de Corte. </w:t>
      </w:r>
    </w:p>
    <w:p w:rsidR="00835343" w:rsidRDefault="00835343" w:rsidP="00835343">
      <w:pPr>
        <w:widowControl w:val="0"/>
        <w:jc w:val="both"/>
        <w:rPr>
          <w:sz w:val="20"/>
          <w:szCs w:val="20"/>
          <w:lang w:val="es-AR"/>
        </w:rPr>
      </w:pPr>
    </w:p>
    <w:p w:rsidR="00DB1650" w:rsidRDefault="00FA34CF" w:rsidP="00DB1650">
      <w:pPr>
        <w:widowControl w:val="0"/>
        <w:jc w:val="both"/>
        <w:rPr>
          <w:b/>
          <w:color w:val="000000"/>
          <w:sz w:val="20"/>
          <w:szCs w:val="20"/>
          <w:lang w:val="es-AR"/>
        </w:rPr>
      </w:pPr>
      <w:r w:rsidRPr="00EA1080">
        <w:rPr>
          <w:b/>
          <w:sz w:val="20"/>
          <w:szCs w:val="20"/>
          <w:lang w:val="es-AR"/>
        </w:rPr>
        <w:t xml:space="preserve">Todas las Ofertas de Compra serán irrevocables, firmes, vinculantes y definitivas a todos los efectos que pudiera corresponder, sin necesidad de ser ratificadas ni posibilidad de ser retiradas. Los </w:t>
      </w:r>
      <w:r w:rsidR="00DB1650" w:rsidRPr="00EA1080">
        <w:rPr>
          <w:b/>
          <w:sz w:val="20"/>
          <w:szCs w:val="20"/>
          <w:lang w:val="es-AR"/>
        </w:rPr>
        <w:t>Colocadores y Agentes del MAE</w:t>
      </w:r>
      <w:r w:rsidRPr="00EA1080">
        <w:rPr>
          <w:b/>
          <w:sz w:val="20"/>
          <w:szCs w:val="20"/>
          <w:lang w:val="es-AR"/>
        </w:rPr>
        <w:t xml:space="preserve"> que reciban Órdenes de Compra en relación con las Obligaciones Negociables, podrán rechazar cualquier Orden de Compra presentada a los mismos que no cumpla con las normas aplicables y/o los requisitos establecidos en relación con aquellas, y/o con la normativa sobre encubrimiento y lavado de activos, </w:t>
      </w:r>
      <w:proofErr w:type="spellStart"/>
      <w:r w:rsidRPr="00EA1080">
        <w:rPr>
          <w:b/>
          <w:sz w:val="20"/>
          <w:szCs w:val="20"/>
          <w:lang w:val="es-AR"/>
        </w:rPr>
        <w:t>aún</w:t>
      </w:r>
      <w:proofErr w:type="spellEnd"/>
      <w:r w:rsidRPr="00EA1080">
        <w:rPr>
          <w:b/>
          <w:sz w:val="20"/>
          <w:szCs w:val="20"/>
          <w:lang w:val="es-AR"/>
        </w:rPr>
        <w:t xml:space="preserve"> cuando dichas Órdenes de Compra contengan un Margen Solicitado inferior o igual al Margen de Corte (o sea no competitiva), sin que tal circunstancia otorgue a los </w:t>
      </w:r>
      <w:r w:rsidR="00DB1650" w:rsidRPr="00EA1080">
        <w:rPr>
          <w:b/>
          <w:sz w:val="20"/>
          <w:szCs w:val="20"/>
          <w:lang w:val="es-AR"/>
        </w:rPr>
        <w:t>i</w:t>
      </w:r>
      <w:r w:rsidRPr="00EA1080">
        <w:rPr>
          <w:b/>
          <w:sz w:val="20"/>
          <w:szCs w:val="20"/>
          <w:lang w:val="es-AR"/>
        </w:rPr>
        <w:t>nversores que hayan presentado tales Órdenes de Compra derecho a compensación y/o indemnización alguna. Las Órdenes de Compra rechazadas quedarán automáticamente sin efecto.</w:t>
      </w:r>
      <w:r w:rsidRPr="00EA1080">
        <w:rPr>
          <w:sz w:val="20"/>
          <w:szCs w:val="20"/>
          <w:lang w:val="es-AR"/>
        </w:rPr>
        <w:t xml:space="preserve"> </w:t>
      </w:r>
      <w:r w:rsidR="00DB1650" w:rsidRPr="00C02747">
        <w:rPr>
          <w:b/>
          <w:color w:val="000000"/>
          <w:sz w:val="20"/>
          <w:szCs w:val="20"/>
          <w:lang w:val="es-AR"/>
        </w:rPr>
        <w:t>Asimismo, cada Agente del MAE será el único responsable por las Órdenes de Compra que los inversores le hubieran asignado y será el único responsable de dar cumplimiento con la normativa relativa a encubrimiento y lavado de activos respecto de dichas Órdenes de Compra y de requerirle a tales inversores toda la información y documentación que estime a los fines descriptos.</w:t>
      </w:r>
      <w:r w:rsidR="00DB1650">
        <w:rPr>
          <w:b/>
          <w:color w:val="000000"/>
          <w:sz w:val="20"/>
          <w:szCs w:val="20"/>
          <w:lang w:val="es-AR"/>
        </w:rPr>
        <w:t xml:space="preserve"> </w:t>
      </w:r>
    </w:p>
    <w:p w:rsidR="00DB1650" w:rsidRPr="00EA1080" w:rsidRDefault="00DB1650" w:rsidP="00DB1650">
      <w:pPr>
        <w:widowControl w:val="0"/>
        <w:jc w:val="both"/>
        <w:rPr>
          <w:color w:val="000000"/>
          <w:sz w:val="20"/>
          <w:szCs w:val="20"/>
          <w:lang w:val="es-AR"/>
        </w:rPr>
      </w:pPr>
    </w:p>
    <w:p w:rsidR="00DB1650" w:rsidRPr="00EA1080" w:rsidRDefault="00DB1650" w:rsidP="00DB1650">
      <w:pPr>
        <w:widowControl w:val="0"/>
        <w:jc w:val="both"/>
        <w:rPr>
          <w:color w:val="000000"/>
          <w:sz w:val="20"/>
          <w:szCs w:val="20"/>
          <w:lang w:val="es-AR"/>
        </w:rPr>
      </w:pPr>
      <w:r w:rsidRPr="00EA1080">
        <w:rPr>
          <w:color w:val="000000"/>
          <w:sz w:val="20"/>
          <w:szCs w:val="20"/>
          <w:lang w:val="es-AR"/>
        </w:rPr>
        <w:t>Los Colocadores y los Agentes del MAE podrán requerir a los inversores la firma de formularios a fin de respaldar la información contenida en las Órdenes de Compra que los inversores le hubiesen asignado. Los Colocadores y cada Agente del MAE, según corresponda, podrá rechazar dichas Órdenes de Compra frente a la falta de firma y entrega por dicho inversor del mencionado formulario. En dicho caso, los rechazos no darán derecho a reclamo alguno contra el Emisor ni contra los Colocadores ni contra los Agentes del MAE.</w:t>
      </w:r>
    </w:p>
    <w:p w:rsidR="00835343" w:rsidRPr="00251FDB" w:rsidRDefault="00835343" w:rsidP="00835343">
      <w:pPr>
        <w:widowControl w:val="0"/>
        <w:jc w:val="both"/>
        <w:rPr>
          <w:snapToGrid w:val="0"/>
          <w:sz w:val="20"/>
          <w:szCs w:val="20"/>
          <w:lang w:val="es-AR"/>
        </w:rPr>
      </w:pPr>
    </w:p>
    <w:p w:rsidR="00835343" w:rsidRDefault="00835343" w:rsidP="00835343">
      <w:pPr>
        <w:widowControl w:val="0"/>
        <w:jc w:val="both"/>
        <w:rPr>
          <w:snapToGrid w:val="0"/>
          <w:sz w:val="20"/>
          <w:szCs w:val="20"/>
          <w:lang w:val="es-AR"/>
        </w:rPr>
      </w:pPr>
      <w:r w:rsidRPr="00251FDB">
        <w:rPr>
          <w:noProof/>
          <w:snapToGrid w:val="0"/>
          <w:sz w:val="20"/>
          <w:szCs w:val="20"/>
          <w:lang w:val="es-AR"/>
        </w:rPr>
        <w:t>Tanto los Colocadores</w:t>
      </w:r>
      <w:r w:rsidRPr="00251FDB">
        <w:rPr>
          <w:snapToGrid w:val="0"/>
          <w:sz w:val="20"/>
          <w:szCs w:val="20"/>
          <w:lang w:val="es-AR"/>
        </w:rPr>
        <w:t xml:space="preserve"> como los Agentes del MAE </w:t>
      </w:r>
      <w:r w:rsidRPr="00251FDB">
        <w:rPr>
          <w:noProof/>
          <w:snapToGrid w:val="0"/>
          <w:sz w:val="20"/>
          <w:szCs w:val="20"/>
          <w:lang w:val="es-AR"/>
        </w:rPr>
        <w:t>podrán, pero no estarán obligados a, ingresar Ofertas</w:t>
      </w:r>
      <w:r w:rsidR="00DB1650">
        <w:rPr>
          <w:noProof/>
          <w:snapToGrid w:val="0"/>
          <w:sz w:val="20"/>
          <w:szCs w:val="20"/>
          <w:lang w:val="es-AR"/>
        </w:rPr>
        <w:t xml:space="preserve"> de Compra</w:t>
      </w:r>
      <w:r w:rsidRPr="00251FDB">
        <w:rPr>
          <w:noProof/>
          <w:snapToGrid w:val="0"/>
          <w:sz w:val="20"/>
          <w:szCs w:val="20"/>
          <w:lang w:val="es-AR"/>
        </w:rPr>
        <w:t xml:space="preserve"> para sí </w:t>
      </w:r>
      <w:r w:rsidRPr="00251FDB">
        <w:rPr>
          <w:snapToGrid w:val="0"/>
          <w:sz w:val="20"/>
          <w:szCs w:val="20"/>
          <w:lang w:val="es-AR"/>
        </w:rPr>
        <w:t>en la rueda en que se encuentre habilitada la Subasta Pública de las Obligaciones Negociables.</w:t>
      </w:r>
      <w:r w:rsidR="00DB1650">
        <w:rPr>
          <w:noProof/>
          <w:snapToGrid w:val="0"/>
          <w:sz w:val="20"/>
          <w:szCs w:val="20"/>
          <w:lang w:val="es-AR"/>
        </w:rPr>
        <w:t xml:space="preserve"> </w:t>
      </w:r>
      <w:r w:rsidRPr="00251FDB">
        <w:rPr>
          <w:snapToGrid w:val="0"/>
          <w:sz w:val="20"/>
          <w:szCs w:val="20"/>
          <w:lang w:val="es-AR"/>
        </w:rPr>
        <w:t>Una vez finalizado el Período de Subasta Pública no podrán modificarse las Ofertas ingresadas ni podrán ingresarse nuevas.</w:t>
      </w:r>
    </w:p>
    <w:p w:rsidR="00C04C7C" w:rsidRPr="00251FDB" w:rsidRDefault="00C04C7C" w:rsidP="00C04C7C">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lang w:val="es-AR"/>
        </w:rPr>
      </w:pPr>
    </w:p>
    <w:p w:rsidR="00C04C7C" w:rsidRPr="002217AD" w:rsidRDefault="00C04C7C" w:rsidP="00C04C7C">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lang w:val="es-AR"/>
        </w:rPr>
      </w:pPr>
      <w:r w:rsidRPr="002217AD">
        <w:rPr>
          <w:rFonts w:ascii="Times New Roman" w:hAnsi="Times New Roman"/>
          <w:lang w:val="es-AR"/>
        </w:rPr>
        <w:t xml:space="preserve">Los Colocadores, conforme las instrucciones que reciban del </w:t>
      </w:r>
      <w:r w:rsidR="005829DE" w:rsidRPr="002217AD">
        <w:rPr>
          <w:rFonts w:ascii="Times New Roman" w:hAnsi="Times New Roman"/>
          <w:lang w:val="es-AR"/>
        </w:rPr>
        <w:t>Emisor</w:t>
      </w:r>
      <w:r w:rsidRPr="002217AD">
        <w:rPr>
          <w:rFonts w:ascii="Times New Roman" w:hAnsi="Times New Roman"/>
          <w:lang w:val="es-AR"/>
        </w:rPr>
        <w:t xml:space="preserve"> podrán suspender, interrumpir </w:t>
      </w:r>
      <w:r w:rsidR="00DB1650" w:rsidRPr="00EA1080">
        <w:rPr>
          <w:rFonts w:ascii="Times New Roman" w:hAnsi="Times New Roman"/>
          <w:lang w:val="es-AR"/>
        </w:rPr>
        <w:t>y/</w:t>
      </w:r>
      <w:r w:rsidRPr="002217AD">
        <w:rPr>
          <w:rFonts w:ascii="Times New Roman" w:hAnsi="Times New Roman"/>
          <w:lang w:val="es-AR"/>
        </w:rPr>
        <w:t xml:space="preserve">o prorrogar, el Período de Difusión Pública y el Período de Subasta Pública, en cuyo caso dicha alteración será informada </w:t>
      </w:r>
      <w:r w:rsidR="003469B6" w:rsidRPr="002217AD">
        <w:rPr>
          <w:rFonts w:ascii="Times New Roman" w:hAnsi="Times New Roman"/>
          <w:lang w:val="es-AR"/>
        </w:rPr>
        <w:t>con anterioridad a la finalización del período de que se trate mediante un aviso a ser</w:t>
      </w:r>
      <w:r w:rsidRPr="002217AD">
        <w:rPr>
          <w:rFonts w:ascii="Times New Roman" w:hAnsi="Times New Roman"/>
          <w:lang w:val="es-AR"/>
        </w:rPr>
        <w:t xml:space="preserve"> presentado para su publicación en el Boletín Diario de la BCBA</w:t>
      </w:r>
      <w:r w:rsidR="003469B6" w:rsidRPr="002217AD">
        <w:rPr>
          <w:rFonts w:ascii="Times New Roman" w:hAnsi="Times New Roman"/>
          <w:lang w:val="es-AR"/>
        </w:rPr>
        <w:t xml:space="preserve">, </w:t>
      </w:r>
      <w:r w:rsidRPr="002217AD">
        <w:rPr>
          <w:rFonts w:ascii="Times New Roman" w:hAnsi="Times New Roman"/>
          <w:lang w:val="es-AR"/>
        </w:rPr>
        <w:t>en la Página Web de la CNV</w:t>
      </w:r>
      <w:r w:rsidR="003469B6" w:rsidRPr="00EA1080">
        <w:rPr>
          <w:rFonts w:ascii="Times New Roman" w:hAnsi="Times New Roman"/>
          <w:lang w:val="es-AR"/>
        </w:rPr>
        <w:t>, e</w:t>
      </w:r>
      <w:r w:rsidRPr="00EA1080">
        <w:rPr>
          <w:rFonts w:ascii="Times New Roman" w:hAnsi="Times New Roman"/>
          <w:lang w:val="es-AR"/>
        </w:rPr>
        <w:t xml:space="preserve">n la Página Web del MAE y en la Página Web </w:t>
      </w:r>
      <w:r w:rsidR="003469B6" w:rsidRPr="00EA1080">
        <w:rPr>
          <w:rFonts w:ascii="Times New Roman" w:hAnsi="Times New Roman"/>
          <w:lang w:val="es-AR"/>
        </w:rPr>
        <w:t>Institucional</w:t>
      </w:r>
      <w:r w:rsidRPr="00EA1080">
        <w:rPr>
          <w:rFonts w:ascii="Times New Roman" w:hAnsi="Times New Roman"/>
          <w:lang w:val="es-AR"/>
        </w:rPr>
        <w:t xml:space="preserve">. En dicho caso, los </w:t>
      </w:r>
      <w:r w:rsidR="003469B6" w:rsidRPr="00EA1080">
        <w:rPr>
          <w:rFonts w:ascii="Times New Roman" w:hAnsi="Times New Roman"/>
          <w:lang w:val="es-AR"/>
        </w:rPr>
        <w:t>i</w:t>
      </w:r>
      <w:r w:rsidRPr="00EA1080">
        <w:rPr>
          <w:rFonts w:ascii="Times New Roman" w:hAnsi="Times New Roman"/>
          <w:lang w:val="es-AR"/>
        </w:rPr>
        <w:t>nversores que hubieran presentado Ofertas</w:t>
      </w:r>
      <w:r w:rsidR="00DB1650" w:rsidRPr="00EA1080">
        <w:rPr>
          <w:rFonts w:ascii="Times New Roman" w:hAnsi="Times New Roman"/>
          <w:lang w:val="es-AR"/>
        </w:rPr>
        <w:t xml:space="preserve"> de Compra</w:t>
      </w:r>
      <w:r w:rsidRPr="002217AD">
        <w:rPr>
          <w:rFonts w:ascii="Times New Roman" w:hAnsi="Times New Roman"/>
          <w:lang w:val="es-AR"/>
        </w:rPr>
        <w:t xml:space="preserve"> durante el Período de Subasta </w:t>
      </w:r>
      <w:r w:rsidR="005829DE" w:rsidRPr="002217AD">
        <w:rPr>
          <w:rFonts w:ascii="Times New Roman" w:hAnsi="Times New Roman"/>
          <w:lang w:val="es-AR"/>
        </w:rPr>
        <w:t>Pública</w:t>
      </w:r>
      <w:r w:rsidRPr="002217AD">
        <w:rPr>
          <w:rFonts w:ascii="Times New Roman" w:hAnsi="Times New Roman"/>
          <w:lang w:val="es-AR"/>
        </w:rPr>
        <w:t xml:space="preserve"> podrán a su solo criterio y sin penalidad alguna, retirar tales Ofertas</w:t>
      </w:r>
      <w:r w:rsidR="00DB1650" w:rsidRPr="00EA1080">
        <w:rPr>
          <w:rFonts w:ascii="Times New Roman" w:hAnsi="Times New Roman"/>
          <w:lang w:val="es-AR"/>
        </w:rPr>
        <w:t xml:space="preserve"> de Compra</w:t>
      </w:r>
      <w:r w:rsidRPr="002217AD">
        <w:rPr>
          <w:rFonts w:ascii="Times New Roman" w:hAnsi="Times New Roman"/>
          <w:lang w:val="es-AR"/>
        </w:rPr>
        <w:t xml:space="preserve"> en cualquier momento anterior a la finalización </w:t>
      </w:r>
      <w:r w:rsidR="003469B6" w:rsidRPr="002217AD">
        <w:rPr>
          <w:rFonts w:ascii="Times New Roman" w:hAnsi="Times New Roman"/>
          <w:lang w:val="es-AR"/>
        </w:rPr>
        <w:t>de dicho período</w:t>
      </w:r>
      <w:r w:rsidRPr="002217AD">
        <w:rPr>
          <w:rFonts w:ascii="Times New Roman" w:hAnsi="Times New Roman"/>
          <w:lang w:val="es-AR"/>
        </w:rPr>
        <w:t>.</w:t>
      </w:r>
    </w:p>
    <w:p w:rsidR="009B4A69" w:rsidRPr="00EA1080" w:rsidRDefault="009B4A69" w:rsidP="00C04C7C">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lang w:val="es-AR"/>
        </w:rPr>
      </w:pPr>
    </w:p>
    <w:p w:rsidR="009B4A69" w:rsidRPr="00251FDB" w:rsidRDefault="009B4A69" w:rsidP="00403FC1">
      <w:pPr>
        <w:jc w:val="both"/>
        <w:rPr>
          <w:sz w:val="20"/>
          <w:szCs w:val="20"/>
          <w:lang w:val="es-ES"/>
        </w:rPr>
      </w:pPr>
      <w:r w:rsidRPr="00EA1080">
        <w:rPr>
          <w:sz w:val="20"/>
          <w:szCs w:val="20"/>
          <w:lang w:val="es-ES"/>
        </w:rPr>
        <w:t>La terminación, suspensión y/o prórroga del Período de Difusión Pública y/o del Período de Subasta Pública no generará responsabilidad alguna al Emisor y/o a los Colocadores</w:t>
      </w:r>
      <w:r w:rsidR="003469B6" w:rsidRPr="00EA1080">
        <w:rPr>
          <w:sz w:val="20"/>
          <w:szCs w:val="20"/>
          <w:lang w:val="es-ES"/>
        </w:rPr>
        <w:t>,</w:t>
      </w:r>
      <w:r w:rsidRPr="00EA1080">
        <w:rPr>
          <w:sz w:val="20"/>
          <w:szCs w:val="20"/>
          <w:lang w:val="es-ES"/>
        </w:rPr>
        <w:t xml:space="preserve"> ni otorgará a los inversores que hayan presentado Órdenes</w:t>
      </w:r>
      <w:r w:rsidR="00DB1650" w:rsidRPr="00EA1080">
        <w:rPr>
          <w:sz w:val="20"/>
          <w:szCs w:val="20"/>
          <w:lang w:val="es-ES"/>
        </w:rPr>
        <w:t xml:space="preserve"> de Compra</w:t>
      </w:r>
      <w:r w:rsidRPr="002217AD">
        <w:rPr>
          <w:sz w:val="20"/>
          <w:szCs w:val="20"/>
          <w:lang w:val="es-ES"/>
        </w:rPr>
        <w:t>, ni a los Agentes del MAE y/o adherentes del mismo que hayan presentado Ofertas</w:t>
      </w:r>
      <w:r w:rsidR="00DB1650" w:rsidRPr="00EA1080">
        <w:rPr>
          <w:sz w:val="20"/>
          <w:szCs w:val="20"/>
          <w:lang w:val="es-ES"/>
        </w:rPr>
        <w:t xml:space="preserve"> de Compra</w:t>
      </w:r>
      <w:r w:rsidRPr="002217AD">
        <w:rPr>
          <w:sz w:val="20"/>
          <w:szCs w:val="20"/>
          <w:lang w:val="es-ES"/>
        </w:rPr>
        <w:t>, derecho a compensación y/o indemnización alguna. En caso de terminación del Período de Difusión Pública y/o del Período de Subasta Pública, todas las Ofertas</w:t>
      </w:r>
      <w:r w:rsidR="00DB1650" w:rsidRPr="00EA1080">
        <w:rPr>
          <w:sz w:val="20"/>
          <w:szCs w:val="20"/>
          <w:lang w:val="es-ES"/>
        </w:rPr>
        <w:t xml:space="preserve"> de Compra</w:t>
      </w:r>
      <w:r w:rsidRPr="002217AD">
        <w:rPr>
          <w:sz w:val="20"/>
          <w:szCs w:val="20"/>
          <w:lang w:val="es-ES"/>
        </w:rPr>
        <w:t xml:space="preserve"> que en su caso se hayan presentado hasta ese momento quedarán automáticamente sin efecto.</w:t>
      </w:r>
    </w:p>
    <w:p w:rsidR="00DB1650" w:rsidRDefault="00DB1650" w:rsidP="00C04C7C">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lang w:val="es-AR"/>
        </w:rPr>
      </w:pPr>
    </w:p>
    <w:p w:rsidR="00C04C7C" w:rsidRPr="00251FDB" w:rsidRDefault="00C04C7C" w:rsidP="00C04C7C">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i/>
          <w:iCs/>
          <w:u w:val="single"/>
          <w:lang w:val="es-AR"/>
        </w:rPr>
      </w:pPr>
      <w:r w:rsidRPr="00EA1080">
        <w:rPr>
          <w:rFonts w:ascii="Times New Roman" w:hAnsi="Times New Roman"/>
          <w:i/>
          <w:iCs/>
          <w:lang w:val="es-AR"/>
        </w:rPr>
        <w:t>Tramo Competitivo</w:t>
      </w:r>
      <w:r w:rsidR="00403BC9" w:rsidRPr="00EA1080">
        <w:rPr>
          <w:rFonts w:ascii="Times New Roman" w:hAnsi="Times New Roman"/>
          <w:i/>
          <w:iCs/>
          <w:lang w:val="es-AR"/>
        </w:rPr>
        <w:t xml:space="preserve"> y Tramo No Competitivo</w:t>
      </w:r>
    </w:p>
    <w:p w:rsidR="00C04C7C" w:rsidRDefault="00C04C7C" w:rsidP="00C04C7C">
      <w:pPr>
        <w:pStyle w:val="Textpara"/>
        <w:widowControl/>
        <w:tabs>
          <w:tab w:val="clear" w:pos="9000"/>
        </w:tabs>
        <w:autoSpaceDE/>
        <w:autoSpaceDN/>
        <w:adjustRightInd/>
        <w:spacing w:after="0"/>
        <w:rPr>
          <w:noProof/>
          <w:snapToGrid w:val="0"/>
          <w:lang w:val="es-AR"/>
        </w:rPr>
      </w:pPr>
    </w:p>
    <w:p w:rsidR="00403BC9" w:rsidRPr="00EA1080" w:rsidRDefault="00403BC9" w:rsidP="00403BC9">
      <w:pPr>
        <w:jc w:val="both"/>
        <w:rPr>
          <w:sz w:val="20"/>
          <w:szCs w:val="20"/>
          <w:lang w:val="es-AR"/>
        </w:rPr>
      </w:pPr>
      <w:r w:rsidRPr="00EA1080">
        <w:rPr>
          <w:sz w:val="20"/>
          <w:szCs w:val="20"/>
          <w:lang w:val="es-AR"/>
        </w:rPr>
        <w:t>La oferta pública de las Obligaciones Negociables constará de un tramo competitivo (el “</w:t>
      </w:r>
      <w:r w:rsidRPr="00EA1080">
        <w:rPr>
          <w:sz w:val="20"/>
          <w:szCs w:val="20"/>
          <w:u w:val="single"/>
          <w:lang w:val="es-AR"/>
        </w:rPr>
        <w:t>Tramo Competitivo</w:t>
      </w:r>
      <w:r w:rsidRPr="00EA1080">
        <w:rPr>
          <w:sz w:val="20"/>
          <w:szCs w:val="20"/>
          <w:lang w:val="es-AR"/>
        </w:rPr>
        <w:t>”) y de un tramo no competitivo (el “</w:t>
      </w:r>
      <w:r w:rsidRPr="00EA1080">
        <w:rPr>
          <w:sz w:val="20"/>
          <w:szCs w:val="20"/>
          <w:u w:val="single"/>
          <w:lang w:val="es-AR"/>
        </w:rPr>
        <w:t>Tramo No Competitivo</w:t>
      </w:r>
      <w:r w:rsidRPr="00EA1080">
        <w:rPr>
          <w:sz w:val="20"/>
          <w:szCs w:val="20"/>
          <w:lang w:val="es-AR"/>
        </w:rPr>
        <w:t>”).</w:t>
      </w:r>
    </w:p>
    <w:p w:rsidR="00403BC9" w:rsidRPr="002217AD" w:rsidRDefault="00403BC9" w:rsidP="002217AD">
      <w:pPr>
        <w:pStyle w:val="Textpara"/>
        <w:widowControl/>
        <w:tabs>
          <w:tab w:val="clear" w:pos="9000"/>
        </w:tabs>
        <w:autoSpaceDE/>
        <w:autoSpaceDN/>
        <w:adjustRightInd/>
        <w:spacing w:after="0"/>
        <w:rPr>
          <w:noProof/>
          <w:snapToGrid w:val="0"/>
          <w:lang w:val="es-AR"/>
        </w:rPr>
      </w:pPr>
    </w:p>
    <w:p w:rsidR="00403BC9" w:rsidRPr="00233C44" w:rsidRDefault="00403BC9" w:rsidP="00403BC9">
      <w:pPr>
        <w:widowControl w:val="0"/>
        <w:jc w:val="both"/>
        <w:rPr>
          <w:snapToGrid w:val="0"/>
          <w:sz w:val="20"/>
          <w:szCs w:val="20"/>
          <w:lang w:val="es-AR"/>
        </w:rPr>
      </w:pPr>
      <w:r w:rsidRPr="00EA1080">
        <w:rPr>
          <w:sz w:val="20"/>
          <w:szCs w:val="20"/>
          <w:lang w:val="es-AR"/>
        </w:rPr>
        <w:t>Las Ofertas de Compra presentadas bajo el Tramo Competitivo deberán indefectiblemente incluir el Margen Solicitado. S</w:t>
      </w:r>
      <w:r w:rsidR="003715BD" w:rsidRPr="00EA1080">
        <w:rPr>
          <w:sz w:val="20"/>
          <w:szCs w:val="20"/>
          <w:lang w:val="es-AR"/>
        </w:rPr>
        <w:t>olo se aceptarán Ofertas para el Tramo Competitivo por un valor nominal igual o mayor a</w:t>
      </w:r>
      <w:r w:rsidRPr="00EA1080">
        <w:rPr>
          <w:sz w:val="20"/>
          <w:szCs w:val="20"/>
          <w:lang w:val="es-AR"/>
        </w:rPr>
        <w:t xml:space="preserve">l Monto Mínimo de Suscripción </w:t>
      </w:r>
      <w:r w:rsidRPr="00233C44">
        <w:rPr>
          <w:color w:val="000000"/>
          <w:sz w:val="20"/>
          <w:szCs w:val="20"/>
          <w:lang w:val="es-AR"/>
        </w:rPr>
        <w:t xml:space="preserve">según dicho término se define en </w:t>
      </w:r>
      <w:r>
        <w:rPr>
          <w:color w:val="000000"/>
          <w:sz w:val="20"/>
          <w:szCs w:val="20"/>
          <w:lang w:val="es-AR"/>
        </w:rPr>
        <w:t xml:space="preserve">el Capítulo II </w:t>
      </w:r>
      <w:r w:rsidRPr="00233C44">
        <w:rPr>
          <w:i/>
          <w:color w:val="000000"/>
          <w:sz w:val="20"/>
          <w:szCs w:val="20"/>
          <w:lang w:val="es-AR"/>
        </w:rPr>
        <w:t>“</w:t>
      </w:r>
      <w:r>
        <w:rPr>
          <w:i/>
          <w:color w:val="000000"/>
          <w:sz w:val="20"/>
          <w:szCs w:val="20"/>
          <w:lang w:val="es-AR"/>
        </w:rPr>
        <w:t>Oferta de las Obligaciones Negociables – Monto Mínimo de Suscripción”</w:t>
      </w:r>
      <w:r w:rsidRPr="00233C44">
        <w:rPr>
          <w:color w:val="000000"/>
          <w:sz w:val="20"/>
          <w:szCs w:val="20"/>
          <w:lang w:val="es-AR"/>
        </w:rPr>
        <w:t>.</w:t>
      </w:r>
    </w:p>
    <w:p w:rsidR="003715BD" w:rsidRPr="00EA1080" w:rsidRDefault="003715BD" w:rsidP="00EA1080">
      <w:pPr>
        <w:jc w:val="both"/>
        <w:rPr>
          <w:sz w:val="20"/>
          <w:szCs w:val="20"/>
          <w:lang w:val="es-AR"/>
        </w:rPr>
      </w:pPr>
    </w:p>
    <w:p w:rsidR="003715BD" w:rsidRPr="00EA1080" w:rsidRDefault="003715BD" w:rsidP="002217AD">
      <w:pPr>
        <w:pStyle w:val="Textpara"/>
        <w:widowControl/>
        <w:tabs>
          <w:tab w:val="clear" w:pos="9000"/>
        </w:tabs>
        <w:autoSpaceDE/>
        <w:autoSpaceDN/>
        <w:adjustRightInd/>
        <w:spacing w:after="0"/>
        <w:rPr>
          <w:lang w:val="es-AR"/>
        </w:rPr>
      </w:pPr>
      <w:r w:rsidRPr="00EA1080">
        <w:rPr>
          <w:lang w:val="es-AR"/>
        </w:rPr>
        <w:t xml:space="preserve">Solo las Ofertas que conformen el Tramo Competitivo se tomarán en cuenta para la determinación </w:t>
      </w:r>
      <w:r w:rsidR="00DF72F7" w:rsidRPr="00EA1080">
        <w:rPr>
          <w:lang w:val="es-AR"/>
        </w:rPr>
        <w:t>del Margen de Corte</w:t>
      </w:r>
      <w:r w:rsidRPr="00EA1080">
        <w:rPr>
          <w:lang w:val="es-AR"/>
        </w:rPr>
        <w:t xml:space="preserve">. Al respecto, véase </w:t>
      </w:r>
      <w:r w:rsidRPr="00251FDB">
        <w:rPr>
          <w:lang w:val="es-AR"/>
        </w:rPr>
        <w:t>“</w:t>
      </w:r>
      <w:r w:rsidRPr="00EA1080">
        <w:rPr>
          <w:i/>
          <w:lang w:val="es-AR"/>
        </w:rPr>
        <w:t xml:space="preserve">Determinación </w:t>
      </w:r>
      <w:r w:rsidR="00DF72F7" w:rsidRPr="00EA1080">
        <w:rPr>
          <w:i/>
          <w:lang w:val="es-AR"/>
        </w:rPr>
        <w:t>del Margen de Corte</w:t>
      </w:r>
      <w:r w:rsidRPr="00EA1080">
        <w:rPr>
          <w:i/>
          <w:lang w:val="es-AR"/>
        </w:rPr>
        <w:t xml:space="preserve"> de las Obligaciones Negociables</w:t>
      </w:r>
      <w:r w:rsidR="00403BC9">
        <w:rPr>
          <w:lang w:val="es-AR"/>
        </w:rPr>
        <w:t>” más abajo en el presente Capítulo</w:t>
      </w:r>
      <w:r w:rsidR="00F673E4" w:rsidRPr="00EA1080">
        <w:rPr>
          <w:lang w:val="es-AR"/>
        </w:rPr>
        <w:t>.</w:t>
      </w:r>
    </w:p>
    <w:p w:rsidR="003715BD" w:rsidRPr="00251FDB" w:rsidRDefault="003715BD" w:rsidP="00C04C7C">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i/>
          <w:iCs/>
          <w:u w:val="single"/>
          <w:lang w:val="es-AR"/>
        </w:rPr>
      </w:pPr>
    </w:p>
    <w:p w:rsidR="003715BD" w:rsidRPr="00251FDB" w:rsidRDefault="003715BD" w:rsidP="002F1D2A">
      <w:pPr>
        <w:pStyle w:val="Textpara"/>
        <w:widowControl/>
        <w:tabs>
          <w:tab w:val="clear" w:pos="9000"/>
        </w:tabs>
        <w:autoSpaceDE/>
        <w:autoSpaceDN/>
        <w:adjustRightInd/>
        <w:spacing w:after="0"/>
        <w:rPr>
          <w:noProof/>
          <w:snapToGrid w:val="0"/>
          <w:lang w:val="es-AR"/>
        </w:rPr>
      </w:pPr>
      <w:r w:rsidRPr="00251FDB">
        <w:rPr>
          <w:noProof/>
          <w:snapToGrid w:val="0"/>
          <w:lang w:val="es-AR"/>
        </w:rPr>
        <w:t xml:space="preserve">Constituiran Ofertas que conformaran el Tramo No Competitivo de las Obligaciones Negociables las Ofertas que no indiquen </w:t>
      </w:r>
      <w:r w:rsidR="00DF72F7" w:rsidRPr="00251FDB">
        <w:rPr>
          <w:noProof/>
          <w:snapToGrid w:val="0"/>
          <w:lang w:val="es-AR"/>
        </w:rPr>
        <w:t>un Margen Solicitado</w:t>
      </w:r>
      <w:r w:rsidR="00476FB3" w:rsidRPr="00251FDB">
        <w:rPr>
          <w:noProof/>
          <w:snapToGrid w:val="0"/>
          <w:lang w:val="es-AR"/>
        </w:rPr>
        <w:t>.</w:t>
      </w:r>
      <w:r w:rsidRPr="00251FDB">
        <w:rPr>
          <w:noProof/>
          <w:snapToGrid w:val="0"/>
          <w:lang w:val="es-AR"/>
        </w:rPr>
        <w:t xml:space="preserve"> </w:t>
      </w:r>
    </w:p>
    <w:p w:rsidR="003715BD" w:rsidRPr="00251FDB" w:rsidRDefault="003715BD" w:rsidP="003715BD">
      <w:pPr>
        <w:widowControl w:val="0"/>
        <w:jc w:val="both"/>
        <w:rPr>
          <w:snapToGrid w:val="0"/>
          <w:sz w:val="20"/>
          <w:szCs w:val="20"/>
          <w:lang w:val="es-AR"/>
        </w:rPr>
      </w:pPr>
    </w:p>
    <w:p w:rsidR="003715BD" w:rsidRPr="00251FDB" w:rsidRDefault="003715BD" w:rsidP="003715BD">
      <w:pPr>
        <w:pStyle w:val="Textpara"/>
        <w:widowControl/>
        <w:tabs>
          <w:tab w:val="clear" w:pos="9000"/>
        </w:tabs>
        <w:autoSpaceDE/>
        <w:autoSpaceDN/>
        <w:adjustRightInd/>
        <w:spacing w:after="0"/>
        <w:rPr>
          <w:noProof/>
          <w:snapToGrid w:val="0"/>
          <w:lang w:val="es-AR"/>
        </w:rPr>
      </w:pPr>
      <w:r w:rsidRPr="00251FDB">
        <w:rPr>
          <w:noProof/>
          <w:snapToGrid w:val="0"/>
          <w:lang w:val="es-AR"/>
        </w:rPr>
        <w:t xml:space="preserve">Solo se aceptarán Ofertas para el Tramo No Competitivo </w:t>
      </w:r>
      <w:r w:rsidRPr="00251FDB">
        <w:rPr>
          <w:color w:val="000000"/>
          <w:lang w:val="es-AR"/>
        </w:rPr>
        <w:t xml:space="preserve">por un valor nominal </w:t>
      </w:r>
      <w:r w:rsidRPr="00251FDB">
        <w:rPr>
          <w:noProof/>
          <w:snapToGrid w:val="0"/>
          <w:lang w:val="es-AR"/>
        </w:rPr>
        <w:t xml:space="preserve">igual o mayor </w:t>
      </w:r>
      <w:r w:rsidR="00403BC9" w:rsidRPr="00233C44">
        <w:rPr>
          <w:lang w:val="es-AR"/>
        </w:rPr>
        <w:t xml:space="preserve">al Monto Mínimo de Suscripción </w:t>
      </w:r>
      <w:r w:rsidR="00403BC9" w:rsidRPr="00233C44">
        <w:rPr>
          <w:color w:val="000000"/>
          <w:lang w:val="es-AR"/>
        </w:rPr>
        <w:t xml:space="preserve">según dicho término se define en </w:t>
      </w:r>
      <w:r w:rsidR="00403BC9">
        <w:rPr>
          <w:color w:val="000000"/>
          <w:lang w:val="es-AR"/>
        </w:rPr>
        <w:t xml:space="preserve">el Capítulo II </w:t>
      </w:r>
      <w:r w:rsidR="00403BC9" w:rsidRPr="00233C44">
        <w:rPr>
          <w:i/>
          <w:color w:val="000000"/>
          <w:lang w:val="es-AR"/>
        </w:rPr>
        <w:t>“</w:t>
      </w:r>
      <w:r w:rsidR="00403BC9">
        <w:rPr>
          <w:i/>
          <w:color w:val="000000"/>
          <w:lang w:val="es-AR"/>
        </w:rPr>
        <w:t>Oferta de las Obligaciones Negociables – Monto Mínimo de S</w:t>
      </w:r>
      <w:r w:rsidR="00403BC9" w:rsidRPr="0060060A">
        <w:rPr>
          <w:i/>
          <w:color w:val="000000"/>
          <w:lang w:val="es-AR"/>
        </w:rPr>
        <w:t xml:space="preserve">uscripción” </w:t>
      </w:r>
      <w:r w:rsidR="00625EE6" w:rsidRPr="0060060A">
        <w:rPr>
          <w:noProof/>
          <w:snapToGrid w:val="0"/>
          <w:lang w:val="es-AR"/>
        </w:rPr>
        <w:t>y menor o igual a $</w:t>
      </w:r>
      <w:r w:rsidR="005B7F0B" w:rsidRPr="0060060A">
        <w:rPr>
          <w:noProof/>
          <w:snapToGrid w:val="0"/>
          <w:lang w:val="es-AR"/>
        </w:rPr>
        <w:t>3.000.000</w:t>
      </w:r>
      <w:r w:rsidR="00625EE6" w:rsidRPr="0060060A">
        <w:rPr>
          <w:noProof/>
          <w:snapToGrid w:val="0"/>
          <w:lang w:val="es-AR"/>
        </w:rPr>
        <w:t xml:space="preserve"> (Pesos </w:t>
      </w:r>
      <w:r w:rsidR="005B7F0B" w:rsidRPr="0060060A">
        <w:rPr>
          <w:noProof/>
          <w:snapToGrid w:val="0"/>
          <w:lang w:val="es-AR"/>
        </w:rPr>
        <w:t>tres  millones</w:t>
      </w:r>
      <w:r w:rsidR="00625EE6" w:rsidRPr="0060060A">
        <w:rPr>
          <w:noProof/>
          <w:snapToGrid w:val="0"/>
          <w:lang w:val="es-AR"/>
        </w:rPr>
        <w:t>)</w:t>
      </w:r>
      <w:r w:rsidRPr="0060060A">
        <w:rPr>
          <w:color w:val="000000"/>
          <w:lang w:val="es-AR"/>
        </w:rPr>
        <w:t>.</w:t>
      </w:r>
    </w:p>
    <w:p w:rsidR="003715BD" w:rsidRPr="00251FDB" w:rsidRDefault="003715BD" w:rsidP="003715BD">
      <w:pPr>
        <w:widowControl w:val="0"/>
        <w:jc w:val="both"/>
        <w:rPr>
          <w:snapToGrid w:val="0"/>
          <w:sz w:val="20"/>
          <w:szCs w:val="20"/>
          <w:lang w:val="es-AR"/>
        </w:rPr>
      </w:pPr>
    </w:p>
    <w:p w:rsidR="003715BD" w:rsidRPr="00251FDB" w:rsidRDefault="003715BD" w:rsidP="003715BD">
      <w:pPr>
        <w:pStyle w:val="Textpara"/>
        <w:widowControl/>
        <w:tabs>
          <w:tab w:val="clear" w:pos="9000"/>
        </w:tabs>
        <w:autoSpaceDE/>
        <w:autoSpaceDN/>
        <w:adjustRightInd/>
        <w:spacing w:after="0"/>
        <w:rPr>
          <w:iCs/>
          <w:lang w:val="es-AR"/>
        </w:rPr>
      </w:pPr>
      <w:r w:rsidRPr="00251FDB">
        <w:rPr>
          <w:noProof/>
          <w:snapToGrid w:val="0"/>
          <w:lang w:val="es-AR"/>
        </w:rPr>
        <w:t>Las Ofertas que conformen el Tramo No Competitivo no se tomarán en cuenta para la determinación de</w:t>
      </w:r>
      <w:r w:rsidR="00DF72F7" w:rsidRPr="00251FDB">
        <w:rPr>
          <w:noProof/>
          <w:snapToGrid w:val="0"/>
          <w:lang w:val="es-AR"/>
        </w:rPr>
        <w:t>l Margen de Corte</w:t>
      </w:r>
      <w:r w:rsidRPr="00251FDB">
        <w:rPr>
          <w:noProof/>
          <w:snapToGrid w:val="0"/>
          <w:lang w:val="es-AR"/>
        </w:rPr>
        <w:t>.</w:t>
      </w:r>
    </w:p>
    <w:p w:rsidR="003715BD" w:rsidRPr="00251FDB" w:rsidRDefault="003715BD" w:rsidP="003715BD">
      <w:pPr>
        <w:widowControl w:val="0"/>
        <w:jc w:val="both"/>
        <w:rPr>
          <w:snapToGrid w:val="0"/>
          <w:sz w:val="20"/>
          <w:szCs w:val="20"/>
          <w:lang w:val="es-AR"/>
        </w:rPr>
      </w:pPr>
    </w:p>
    <w:p w:rsidR="00403BC9" w:rsidRPr="00233C44" w:rsidRDefault="003715BD" w:rsidP="00403BC9">
      <w:pPr>
        <w:pStyle w:val="Textpara"/>
        <w:widowControl/>
        <w:tabs>
          <w:tab w:val="clear" w:pos="9000"/>
        </w:tabs>
        <w:autoSpaceDE/>
        <w:autoSpaceDN/>
        <w:adjustRightInd/>
        <w:spacing w:after="0"/>
        <w:rPr>
          <w:lang w:val="es-AR"/>
        </w:rPr>
      </w:pPr>
      <w:r w:rsidRPr="00251FDB">
        <w:rPr>
          <w:lang w:val="es-AR"/>
        </w:rPr>
        <w:t xml:space="preserve">A las Ofertas que conformen el Tramo No Competitivo, se les </w:t>
      </w:r>
      <w:r w:rsidR="00E01B9C" w:rsidRPr="00251FDB">
        <w:rPr>
          <w:lang w:val="es-AR"/>
        </w:rPr>
        <w:t xml:space="preserve">aplicará </w:t>
      </w:r>
      <w:r w:rsidR="00DF72F7" w:rsidRPr="00251FDB">
        <w:rPr>
          <w:lang w:val="es-AR"/>
        </w:rPr>
        <w:t>e</w:t>
      </w:r>
      <w:r w:rsidRPr="00251FDB">
        <w:rPr>
          <w:lang w:val="es-AR"/>
        </w:rPr>
        <w:t xml:space="preserve">l </w:t>
      </w:r>
      <w:r w:rsidR="00DF72F7" w:rsidRPr="00251FDB">
        <w:rPr>
          <w:lang w:val="es-AR"/>
        </w:rPr>
        <w:t>Margen de Corte</w:t>
      </w:r>
      <w:r w:rsidRPr="00251FDB">
        <w:rPr>
          <w:lang w:val="es-AR"/>
        </w:rPr>
        <w:t xml:space="preserve"> que finalmente se determine en el Tramo Competiti</w:t>
      </w:r>
      <w:r w:rsidR="002E100B" w:rsidRPr="00251FDB">
        <w:rPr>
          <w:lang w:val="es-AR"/>
        </w:rPr>
        <w:t xml:space="preserve">vo. </w:t>
      </w:r>
      <w:r w:rsidRPr="00251FDB">
        <w:rPr>
          <w:lang w:val="es-AR"/>
        </w:rPr>
        <w:t>Al respecto, véase “</w:t>
      </w:r>
      <w:r w:rsidRPr="00251FDB">
        <w:rPr>
          <w:i/>
          <w:lang w:val="es-AR"/>
        </w:rPr>
        <w:t>Determinación de</w:t>
      </w:r>
      <w:r w:rsidR="00DF72F7" w:rsidRPr="00251FDB">
        <w:rPr>
          <w:i/>
          <w:lang w:val="es-AR"/>
        </w:rPr>
        <w:t>l</w:t>
      </w:r>
      <w:r w:rsidR="00581916" w:rsidRPr="00251FDB">
        <w:rPr>
          <w:i/>
          <w:lang w:val="es-AR"/>
        </w:rPr>
        <w:t xml:space="preserve"> </w:t>
      </w:r>
      <w:r w:rsidR="00DF72F7" w:rsidRPr="00251FDB">
        <w:rPr>
          <w:i/>
          <w:lang w:val="es-AR"/>
        </w:rPr>
        <w:t>Margen de Corte</w:t>
      </w:r>
      <w:r w:rsidRPr="00251FDB">
        <w:rPr>
          <w:i/>
          <w:noProof/>
          <w:snapToGrid w:val="0"/>
          <w:lang w:val="es-AR"/>
        </w:rPr>
        <w:t xml:space="preserve"> de las Obligaciones Negociables</w:t>
      </w:r>
      <w:r w:rsidRPr="00251FDB">
        <w:rPr>
          <w:lang w:val="es-AR"/>
        </w:rPr>
        <w:t>”</w:t>
      </w:r>
      <w:r w:rsidR="00403BC9" w:rsidRPr="00403BC9">
        <w:rPr>
          <w:lang w:val="es-AR"/>
        </w:rPr>
        <w:t xml:space="preserve"> </w:t>
      </w:r>
      <w:r w:rsidR="00403BC9">
        <w:rPr>
          <w:lang w:val="es-AR"/>
        </w:rPr>
        <w:t>a continuación</w:t>
      </w:r>
      <w:r w:rsidR="00403BC9" w:rsidRPr="00233C44">
        <w:rPr>
          <w:lang w:val="es-AR"/>
        </w:rPr>
        <w:t>.</w:t>
      </w:r>
    </w:p>
    <w:p w:rsidR="00C04C7C" w:rsidRPr="00251FDB" w:rsidRDefault="00C04C7C" w:rsidP="00EA1080">
      <w:pPr>
        <w:pStyle w:val="Textpara"/>
        <w:widowControl/>
        <w:tabs>
          <w:tab w:val="clear" w:pos="9000"/>
        </w:tabs>
        <w:autoSpaceDE/>
        <w:autoSpaceDN/>
        <w:adjustRightInd/>
        <w:spacing w:after="0"/>
        <w:rPr>
          <w:snapToGrid w:val="0"/>
          <w:lang w:val="es-AR"/>
        </w:rPr>
      </w:pPr>
    </w:p>
    <w:p w:rsidR="003715BD" w:rsidRPr="00EA1080" w:rsidRDefault="003715BD" w:rsidP="00C04C7C">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i/>
          <w:iCs/>
          <w:lang w:val="es-AR"/>
        </w:rPr>
      </w:pPr>
      <w:r w:rsidRPr="00EA1080">
        <w:rPr>
          <w:rFonts w:ascii="Times New Roman" w:hAnsi="Times New Roman"/>
          <w:i/>
          <w:iCs/>
          <w:lang w:val="es-AR"/>
        </w:rPr>
        <w:t>Determinación de</w:t>
      </w:r>
      <w:r w:rsidR="006E4C5C" w:rsidRPr="00EA1080">
        <w:rPr>
          <w:rFonts w:ascii="Times New Roman" w:hAnsi="Times New Roman"/>
          <w:i/>
          <w:iCs/>
          <w:lang w:val="es-AR"/>
        </w:rPr>
        <w:t>l</w:t>
      </w:r>
      <w:r w:rsidRPr="00EA1080">
        <w:rPr>
          <w:rFonts w:ascii="Times New Roman" w:hAnsi="Times New Roman"/>
          <w:i/>
          <w:iCs/>
          <w:lang w:val="es-AR"/>
        </w:rPr>
        <w:t xml:space="preserve"> </w:t>
      </w:r>
      <w:r w:rsidR="006E4C5C" w:rsidRPr="00EA1080">
        <w:rPr>
          <w:rFonts w:ascii="Times New Roman" w:hAnsi="Times New Roman"/>
          <w:i/>
          <w:iCs/>
          <w:lang w:val="es-AR"/>
        </w:rPr>
        <w:t>Margen de Corte</w:t>
      </w:r>
      <w:r w:rsidRPr="00EA1080">
        <w:rPr>
          <w:rFonts w:ascii="Times New Roman" w:hAnsi="Times New Roman"/>
          <w:i/>
          <w:iCs/>
          <w:lang w:val="es-AR"/>
        </w:rPr>
        <w:t xml:space="preserve"> de las Obligaciones Negociables </w:t>
      </w:r>
    </w:p>
    <w:p w:rsidR="003715BD" w:rsidRPr="00251FDB" w:rsidRDefault="003715BD" w:rsidP="00C04C7C">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i/>
          <w:iCs/>
          <w:u w:val="single"/>
          <w:lang w:val="es-AR"/>
        </w:rPr>
      </w:pPr>
    </w:p>
    <w:p w:rsidR="003715BD" w:rsidRPr="00251FDB" w:rsidRDefault="00403BC9" w:rsidP="003715BD">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lang w:val="es-AR"/>
        </w:rPr>
      </w:pPr>
      <w:r>
        <w:rPr>
          <w:rFonts w:ascii="Times New Roman" w:hAnsi="Times New Roman"/>
          <w:lang w:val="es-AR"/>
        </w:rPr>
        <w:t>Tan pronto como sea posible a</w:t>
      </w:r>
      <w:r w:rsidRPr="00251FDB">
        <w:rPr>
          <w:rFonts w:ascii="Times New Roman" w:hAnsi="Times New Roman"/>
          <w:lang w:val="es-AR"/>
        </w:rPr>
        <w:t xml:space="preserve">l </w:t>
      </w:r>
      <w:r w:rsidR="003715BD" w:rsidRPr="00251FDB">
        <w:rPr>
          <w:rFonts w:ascii="Times New Roman" w:hAnsi="Times New Roman"/>
          <w:lang w:val="es-AR"/>
        </w:rPr>
        <w:t xml:space="preserve">finalizar el Período de Subasta Pública, el Emisor, </w:t>
      </w:r>
      <w:r w:rsidR="0099015B" w:rsidRPr="00251FDB">
        <w:rPr>
          <w:rFonts w:ascii="Times New Roman" w:hAnsi="Times New Roman"/>
          <w:lang w:val="es-AR"/>
        </w:rPr>
        <w:t>juntamente con</w:t>
      </w:r>
      <w:r w:rsidR="003715BD" w:rsidRPr="00251FDB">
        <w:rPr>
          <w:rFonts w:ascii="Times New Roman" w:hAnsi="Times New Roman"/>
          <w:lang w:val="es-AR"/>
        </w:rPr>
        <w:t xml:space="preserve"> los Colocadores, determinará el valor nominal </w:t>
      </w:r>
      <w:r>
        <w:rPr>
          <w:rFonts w:ascii="Times New Roman" w:hAnsi="Times New Roman"/>
          <w:lang w:val="es-AR"/>
        </w:rPr>
        <w:t>de Obligaciones Negociables a</w:t>
      </w:r>
      <w:r w:rsidRPr="00251FDB">
        <w:rPr>
          <w:rFonts w:ascii="Times New Roman" w:hAnsi="Times New Roman"/>
          <w:lang w:val="es-AR"/>
        </w:rPr>
        <w:t xml:space="preserve"> </w:t>
      </w:r>
      <w:r w:rsidR="003715BD" w:rsidRPr="00251FDB">
        <w:rPr>
          <w:rFonts w:ascii="Times New Roman" w:hAnsi="Times New Roman"/>
          <w:lang w:val="es-AR"/>
        </w:rPr>
        <w:t xml:space="preserve">ser emitido, con independencia del valor nominal de las Ofertas </w:t>
      </w:r>
      <w:r>
        <w:rPr>
          <w:rFonts w:ascii="Times New Roman" w:hAnsi="Times New Roman"/>
          <w:lang w:val="es-AR"/>
        </w:rPr>
        <w:t xml:space="preserve">de Compra </w:t>
      </w:r>
      <w:r w:rsidR="003715BD" w:rsidRPr="00251FDB">
        <w:rPr>
          <w:rFonts w:ascii="Times New Roman" w:hAnsi="Times New Roman"/>
          <w:lang w:val="es-AR"/>
        </w:rPr>
        <w:t xml:space="preserve">de las Obligaciones Negociables y </w:t>
      </w:r>
      <w:r w:rsidR="006E4C5C" w:rsidRPr="00251FDB">
        <w:rPr>
          <w:rFonts w:ascii="Times New Roman" w:hAnsi="Times New Roman"/>
          <w:lang w:val="es-AR"/>
        </w:rPr>
        <w:t>e</w:t>
      </w:r>
      <w:r w:rsidR="003715BD" w:rsidRPr="00251FDB">
        <w:rPr>
          <w:rFonts w:ascii="Times New Roman" w:hAnsi="Times New Roman"/>
          <w:lang w:val="es-AR"/>
        </w:rPr>
        <w:t xml:space="preserve">l </w:t>
      </w:r>
      <w:r w:rsidR="006E4C5C" w:rsidRPr="00251FDB">
        <w:rPr>
          <w:rFonts w:ascii="Times New Roman" w:hAnsi="Times New Roman"/>
          <w:lang w:val="es-AR"/>
        </w:rPr>
        <w:t>Margen de Corte</w:t>
      </w:r>
      <w:r w:rsidR="003715BD" w:rsidRPr="00251FDB">
        <w:rPr>
          <w:rFonts w:ascii="Times New Roman" w:hAnsi="Times New Roman"/>
          <w:lang w:val="es-AR"/>
        </w:rPr>
        <w:t xml:space="preserve"> considerando </w:t>
      </w:r>
      <w:r w:rsidR="006E4C5C" w:rsidRPr="00251FDB">
        <w:rPr>
          <w:rFonts w:ascii="Times New Roman" w:hAnsi="Times New Roman"/>
          <w:lang w:val="es-AR"/>
        </w:rPr>
        <w:t>el Margen Solicitado</w:t>
      </w:r>
      <w:r w:rsidR="003715BD" w:rsidRPr="00251FDB">
        <w:rPr>
          <w:rFonts w:ascii="Times New Roman" w:hAnsi="Times New Roman"/>
          <w:lang w:val="es-AR"/>
        </w:rPr>
        <w:t xml:space="preserve"> de las Ofertas</w:t>
      </w:r>
      <w:r>
        <w:rPr>
          <w:rFonts w:ascii="Times New Roman" w:hAnsi="Times New Roman"/>
          <w:lang w:val="es-AR"/>
        </w:rPr>
        <w:t xml:space="preserve"> de Compra</w:t>
      </w:r>
      <w:r w:rsidR="003715BD" w:rsidRPr="00251FDB">
        <w:rPr>
          <w:rFonts w:ascii="Times New Roman" w:hAnsi="Times New Roman"/>
          <w:lang w:val="es-AR"/>
        </w:rPr>
        <w:t xml:space="preserve"> que conformen el Tramo Competitivo de las Obligaciones Negociables</w:t>
      </w:r>
      <w:r w:rsidR="00EE4F01" w:rsidRPr="00251FDB">
        <w:rPr>
          <w:rFonts w:ascii="Times New Roman" w:hAnsi="Times New Roman"/>
          <w:lang w:val="es-AR"/>
        </w:rPr>
        <w:t>.</w:t>
      </w:r>
      <w:r w:rsidR="003715BD" w:rsidRPr="00251FDB">
        <w:rPr>
          <w:rFonts w:ascii="Times New Roman" w:hAnsi="Times New Roman"/>
          <w:lang w:val="es-AR"/>
        </w:rPr>
        <w:t xml:space="preserve"> </w:t>
      </w:r>
    </w:p>
    <w:p w:rsidR="003715BD" w:rsidRPr="00251FDB" w:rsidRDefault="003715BD" w:rsidP="00C04C7C">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lang w:val="es-AR"/>
        </w:rPr>
      </w:pPr>
    </w:p>
    <w:p w:rsidR="00C04C7C" w:rsidRPr="00EA1080" w:rsidRDefault="00C04C7C" w:rsidP="00C04C7C">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i/>
          <w:iCs/>
          <w:lang w:val="es-AR"/>
        </w:rPr>
      </w:pPr>
      <w:r w:rsidRPr="00EA1080">
        <w:rPr>
          <w:rFonts w:ascii="Times New Roman" w:hAnsi="Times New Roman"/>
          <w:i/>
          <w:iCs/>
          <w:lang w:val="es-AR"/>
        </w:rPr>
        <w:t>Aviso de Resultados</w:t>
      </w:r>
    </w:p>
    <w:p w:rsidR="00C04C7C" w:rsidRPr="00251FDB" w:rsidRDefault="00C04C7C" w:rsidP="00C04C7C">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lang w:val="es-AR"/>
        </w:rPr>
      </w:pPr>
    </w:p>
    <w:p w:rsidR="00C04C7C" w:rsidRPr="00251FDB" w:rsidRDefault="00C04C7C" w:rsidP="00C04C7C">
      <w:pPr>
        <w:widowControl w:val="0"/>
        <w:jc w:val="both"/>
        <w:rPr>
          <w:color w:val="000000"/>
          <w:sz w:val="20"/>
          <w:szCs w:val="20"/>
          <w:lang w:val="es-AR"/>
        </w:rPr>
      </w:pPr>
      <w:r w:rsidRPr="00251FDB">
        <w:rPr>
          <w:sz w:val="20"/>
          <w:szCs w:val="20"/>
          <w:lang w:val="es-AR"/>
        </w:rPr>
        <w:t xml:space="preserve">Tras la finalización del Período de Subasta Pública, se informará a los </w:t>
      </w:r>
      <w:r w:rsidR="0099015B" w:rsidRPr="00251FDB">
        <w:rPr>
          <w:sz w:val="20"/>
          <w:szCs w:val="20"/>
          <w:lang w:val="es-AR"/>
        </w:rPr>
        <w:t>i</w:t>
      </w:r>
      <w:r w:rsidRPr="00251FDB">
        <w:rPr>
          <w:sz w:val="20"/>
          <w:szCs w:val="20"/>
          <w:lang w:val="es-AR"/>
        </w:rPr>
        <w:t xml:space="preserve">nversores, </w:t>
      </w:r>
      <w:r w:rsidR="00D74177" w:rsidRPr="00251FDB">
        <w:rPr>
          <w:sz w:val="20"/>
          <w:szCs w:val="20"/>
          <w:lang w:val="es-AR"/>
        </w:rPr>
        <w:t>el Margen de Corte</w:t>
      </w:r>
      <w:r w:rsidRPr="00251FDB">
        <w:rPr>
          <w:sz w:val="20"/>
          <w:szCs w:val="20"/>
          <w:lang w:val="es-AR"/>
        </w:rPr>
        <w:t>, el</w:t>
      </w:r>
      <w:r w:rsidRPr="00251FDB">
        <w:rPr>
          <w:color w:val="000000"/>
          <w:sz w:val="20"/>
          <w:szCs w:val="20"/>
          <w:lang w:val="es-AR"/>
        </w:rPr>
        <w:t xml:space="preserve"> valor nominal a emitir, la Fecha de Vencimiento, la Fecha de Pago de Intereses</w:t>
      </w:r>
      <w:r w:rsidR="00403BC9">
        <w:rPr>
          <w:color w:val="000000"/>
          <w:sz w:val="20"/>
          <w:szCs w:val="20"/>
          <w:lang w:val="es-AR"/>
        </w:rPr>
        <w:t>, la</w:t>
      </w:r>
      <w:r w:rsidR="00A56F2E">
        <w:rPr>
          <w:color w:val="000000"/>
          <w:sz w:val="20"/>
          <w:szCs w:val="20"/>
          <w:lang w:val="es-AR"/>
        </w:rPr>
        <w:t>s</w:t>
      </w:r>
      <w:r w:rsidR="00403BC9">
        <w:rPr>
          <w:color w:val="000000"/>
          <w:sz w:val="20"/>
          <w:szCs w:val="20"/>
          <w:lang w:val="es-AR"/>
        </w:rPr>
        <w:t xml:space="preserve"> Fecha</w:t>
      </w:r>
      <w:r w:rsidR="00A56F2E">
        <w:rPr>
          <w:color w:val="000000"/>
          <w:sz w:val="20"/>
          <w:szCs w:val="20"/>
          <w:lang w:val="es-AR"/>
        </w:rPr>
        <w:t>s</w:t>
      </w:r>
      <w:r w:rsidR="00403BC9">
        <w:rPr>
          <w:color w:val="000000"/>
          <w:sz w:val="20"/>
          <w:szCs w:val="20"/>
          <w:lang w:val="es-AR"/>
        </w:rPr>
        <w:t xml:space="preserve"> de Amortización de las Obligaciones Negociables</w:t>
      </w:r>
      <w:r w:rsidRPr="00251FDB">
        <w:rPr>
          <w:color w:val="000000"/>
          <w:sz w:val="20"/>
          <w:szCs w:val="20"/>
          <w:lang w:val="es-AR"/>
        </w:rPr>
        <w:t xml:space="preserve"> y la Fecha de Emisión y Liquidación, mediante un aviso a ser publicado (i) en el Boletín Diario de la BCBA; (ii) en la Página Web de la CNV; (iii) </w:t>
      </w:r>
      <w:r w:rsidRPr="00251FDB">
        <w:rPr>
          <w:sz w:val="20"/>
          <w:szCs w:val="20"/>
          <w:lang w:val="es-AR"/>
        </w:rPr>
        <w:t>en la Página Web del MAE</w:t>
      </w:r>
      <w:r w:rsidR="005756A0" w:rsidRPr="00251FDB">
        <w:rPr>
          <w:sz w:val="20"/>
          <w:szCs w:val="20"/>
          <w:lang w:val="es-AR"/>
        </w:rPr>
        <w:t xml:space="preserve">, </w:t>
      </w:r>
      <w:r w:rsidR="00403BC9">
        <w:rPr>
          <w:sz w:val="20"/>
          <w:szCs w:val="20"/>
          <w:lang w:val="es-AR"/>
        </w:rPr>
        <w:t xml:space="preserve">y </w:t>
      </w:r>
      <w:r w:rsidR="005756A0" w:rsidRPr="00251FDB">
        <w:rPr>
          <w:sz w:val="20"/>
          <w:szCs w:val="20"/>
          <w:lang w:val="es-AR"/>
        </w:rPr>
        <w:t xml:space="preserve">(iv) </w:t>
      </w:r>
      <w:r w:rsidRPr="00251FDB">
        <w:rPr>
          <w:color w:val="000000"/>
          <w:sz w:val="20"/>
          <w:szCs w:val="20"/>
          <w:lang w:val="es-AR"/>
        </w:rPr>
        <w:t xml:space="preserve">en la Página Web </w:t>
      </w:r>
      <w:r w:rsidR="00803C0B" w:rsidRPr="00251FDB">
        <w:rPr>
          <w:color w:val="000000"/>
          <w:sz w:val="20"/>
          <w:szCs w:val="20"/>
          <w:lang w:val="es-AR"/>
        </w:rPr>
        <w:t>Institucional</w:t>
      </w:r>
      <w:r w:rsidRPr="00251FDB">
        <w:rPr>
          <w:color w:val="000000"/>
          <w:sz w:val="20"/>
          <w:szCs w:val="20"/>
          <w:lang w:val="es-AR"/>
        </w:rPr>
        <w:t xml:space="preserve"> (el “</w:t>
      </w:r>
      <w:r w:rsidRPr="00251FDB">
        <w:rPr>
          <w:color w:val="000000"/>
          <w:sz w:val="20"/>
          <w:szCs w:val="20"/>
          <w:u w:val="single"/>
          <w:lang w:val="es-AR"/>
        </w:rPr>
        <w:t>Aviso de Resultados</w:t>
      </w:r>
      <w:r w:rsidRPr="00251FDB">
        <w:rPr>
          <w:color w:val="000000"/>
          <w:sz w:val="20"/>
          <w:szCs w:val="20"/>
          <w:lang w:val="es-AR"/>
        </w:rPr>
        <w:t>”).</w:t>
      </w:r>
    </w:p>
    <w:p w:rsidR="003715BD" w:rsidRPr="00251FDB" w:rsidRDefault="003715BD" w:rsidP="00C04C7C">
      <w:pPr>
        <w:widowControl w:val="0"/>
        <w:jc w:val="both"/>
        <w:rPr>
          <w:color w:val="000000"/>
          <w:sz w:val="20"/>
          <w:szCs w:val="20"/>
          <w:lang w:val="es-AR"/>
        </w:rPr>
      </w:pPr>
    </w:p>
    <w:p w:rsidR="003715BD" w:rsidRPr="00EA1080" w:rsidRDefault="003715BD" w:rsidP="003715BD">
      <w:pPr>
        <w:pStyle w:val="Ttulo3"/>
        <w:keepNext w:val="0"/>
        <w:widowControl w:val="0"/>
        <w:jc w:val="left"/>
        <w:rPr>
          <w:b w:val="0"/>
          <w:bCs w:val="0"/>
          <w:i/>
          <w:iCs/>
          <w:lang w:val="es-AR"/>
        </w:rPr>
      </w:pPr>
      <w:r w:rsidRPr="00EA1080">
        <w:rPr>
          <w:b w:val="0"/>
          <w:bCs w:val="0"/>
          <w:i/>
          <w:iCs/>
          <w:lang w:val="es-AR"/>
        </w:rPr>
        <w:t>Adjudicación y Prorrateo</w:t>
      </w:r>
    </w:p>
    <w:p w:rsidR="003715BD" w:rsidRPr="00251FDB" w:rsidRDefault="003715BD" w:rsidP="003715BD">
      <w:pPr>
        <w:widowControl w:val="0"/>
        <w:jc w:val="both"/>
        <w:rPr>
          <w:color w:val="000000"/>
          <w:sz w:val="20"/>
          <w:szCs w:val="20"/>
          <w:lang w:val="es-AR"/>
        </w:rPr>
      </w:pPr>
    </w:p>
    <w:p w:rsidR="003715BD" w:rsidRPr="00251FDB" w:rsidRDefault="00FC6617" w:rsidP="003715BD">
      <w:pPr>
        <w:widowControl w:val="0"/>
        <w:jc w:val="both"/>
        <w:rPr>
          <w:sz w:val="20"/>
          <w:szCs w:val="20"/>
          <w:lang w:val="es-AR"/>
        </w:rPr>
      </w:pPr>
      <w:r w:rsidRPr="00EA1080">
        <w:rPr>
          <w:sz w:val="20"/>
          <w:szCs w:val="20"/>
          <w:lang w:val="es-AR"/>
        </w:rPr>
        <w:t xml:space="preserve">En caso que </w:t>
      </w:r>
      <w:r w:rsidR="00E616BF">
        <w:rPr>
          <w:sz w:val="20"/>
          <w:szCs w:val="20"/>
          <w:lang w:val="es-AR"/>
        </w:rPr>
        <w:t xml:space="preserve">el </w:t>
      </w:r>
      <w:r w:rsidRPr="00EA1080">
        <w:rPr>
          <w:sz w:val="20"/>
          <w:szCs w:val="20"/>
          <w:lang w:val="es-AR"/>
        </w:rPr>
        <w:t>Emisor decida adjudicar las Obligaciones Negociables</w:t>
      </w:r>
      <w:r w:rsidRPr="00251FDB">
        <w:rPr>
          <w:sz w:val="20"/>
          <w:szCs w:val="20"/>
          <w:lang w:val="es-AR"/>
        </w:rPr>
        <w:t xml:space="preserve"> </w:t>
      </w:r>
      <w:r>
        <w:rPr>
          <w:sz w:val="20"/>
          <w:szCs w:val="20"/>
          <w:lang w:val="es-AR"/>
        </w:rPr>
        <w:t>l</w:t>
      </w:r>
      <w:r w:rsidRPr="00251FDB">
        <w:rPr>
          <w:sz w:val="20"/>
          <w:szCs w:val="20"/>
          <w:lang w:val="es-AR"/>
        </w:rPr>
        <w:t xml:space="preserve">as </w:t>
      </w:r>
      <w:r w:rsidR="003715BD" w:rsidRPr="00251FDB">
        <w:rPr>
          <w:sz w:val="20"/>
          <w:szCs w:val="20"/>
          <w:lang w:val="es-AR"/>
        </w:rPr>
        <w:t>Ofertas</w:t>
      </w:r>
      <w:r>
        <w:rPr>
          <w:sz w:val="20"/>
          <w:szCs w:val="20"/>
          <w:lang w:val="es-AR"/>
        </w:rPr>
        <w:t xml:space="preserve"> de Compra</w:t>
      </w:r>
      <w:r w:rsidR="003715BD" w:rsidRPr="00251FDB">
        <w:rPr>
          <w:sz w:val="20"/>
          <w:szCs w:val="20"/>
          <w:lang w:val="es-AR"/>
        </w:rPr>
        <w:t xml:space="preserve"> serán adjudicadas de la siguiente forma:</w:t>
      </w:r>
    </w:p>
    <w:p w:rsidR="003715BD" w:rsidRPr="00251FDB" w:rsidRDefault="003715BD" w:rsidP="003715BD">
      <w:pPr>
        <w:widowControl w:val="0"/>
        <w:jc w:val="both"/>
        <w:rPr>
          <w:sz w:val="20"/>
          <w:szCs w:val="20"/>
          <w:lang w:val="es-AR"/>
        </w:rPr>
      </w:pPr>
    </w:p>
    <w:p w:rsidR="003715BD" w:rsidRPr="00251FDB" w:rsidRDefault="003715BD" w:rsidP="003715BD">
      <w:pPr>
        <w:widowControl w:val="0"/>
        <w:numPr>
          <w:ilvl w:val="0"/>
          <w:numId w:val="2"/>
        </w:numPr>
        <w:ind w:left="284" w:hanging="284"/>
        <w:jc w:val="both"/>
        <w:rPr>
          <w:sz w:val="20"/>
          <w:szCs w:val="20"/>
          <w:lang w:val="es-AR"/>
        </w:rPr>
      </w:pPr>
      <w:r w:rsidRPr="00251FDB">
        <w:rPr>
          <w:sz w:val="20"/>
          <w:szCs w:val="20"/>
          <w:lang w:val="es-AR"/>
        </w:rPr>
        <w:t xml:space="preserve">La adjudicación de las Ofertas </w:t>
      </w:r>
      <w:r w:rsidR="00FC6617">
        <w:rPr>
          <w:sz w:val="20"/>
          <w:szCs w:val="20"/>
          <w:lang w:val="es-AR"/>
        </w:rPr>
        <w:t xml:space="preserve">de Compra </w:t>
      </w:r>
      <w:r w:rsidRPr="00251FDB">
        <w:rPr>
          <w:sz w:val="20"/>
          <w:szCs w:val="20"/>
          <w:lang w:val="es-AR"/>
        </w:rPr>
        <w:t>comenzará por el Tramo No Competitivo:</w:t>
      </w:r>
    </w:p>
    <w:p w:rsidR="003715BD" w:rsidRPr="00251FDB" w:rsidRDefault="003715BD" w:rsidP="003715BD">
      <w:pPr>
        <w:widowControl w:val="0"/>
        <w:jc w:val="both"/>
        <w:rPr>
          <w:sz w:val="20"/>
          <w:szCs w:val="20"/>
          <w:lang w:val="es-AR"/>
        </w:rPr>
      </w:pPr>
    </w:p>
    <w:p w:rsidR="003715BD" w:rsidRPr="00251FDB" w:rsidRDefault="003715BD" w:rsidP="003715BD">
      <w:pPr>
        <w:widowControl w:val="0"/>
        <w:numPr>
          <w:ilvl w:val="0"/>
          <w:numId w:val="1"/>
        </w:numPr>
        <w:ind w:left="567" w:hanging="283"/>
        <w:jc w:val="both"/>
        <w:rPr>
          <w:sz w:val="20"/>
          <w:szCs w:val="20"/>
          <w:lang w:val="es-AR"/>
        </w:rPr>
      </w:pPr>
      <w:r w:rsidRPr="00251FDB">
        <w:rPr>
          <w:sz w:val="20"/>
          <w:szCs w:val="20"/>
          <w:lang w:val="es-AR"/>
        </w:rPr>
        <w:t>Todas</w:t>
      </w:r>
      <w:r w:rsidR="00FC6617">
        <w:rPr>
          <w:sz w:val="20"/>
          <w:szCs w:val="20"/>
          <w:lang w:val="es-AR"/>
        </w:rPr>
        <w:t xml:space="preserve"> las</w:t>
      </w:r>
      <w:r w:rsidRPr="00251FDB">
        <w:rPr>
          <w:sz w:val="20"/>
          <w:szCs w:val="20"/>
          <w:lang w:val="es-AR"/>
        </w:rPr>
        <w:t xml:space="preserve"> Ofertas</w:t>
      </w:r>
      <w:r w:rsidR="00FC6617">
        <w:rPr>
          <w:sz w:val="20"/>
          <w:szCs w:val="20"/>
          <w:lang w:val="es-AR"/>
        </w:rPr>
        <w:t xml:space="preserve"> de Compra</w:t>
      </w:r>
      <w:r w:rsidRPr="00251FDB">
        <w:rPr>
          <w:sz w:val="20"/>
          <w:szCs w:val="20"/>
          <w:lang w:val="es-AR"/>
        </w:rPr>
        <w:t xml:space="preserve"> que conformen el Tramo No Competitivo de las Obligaciones Negociables serán adjudicadas, no pudiendo superar el 50% del monto a ser emitido</w:t>
      </w:r>
      <w:r w:rsidR="008B451A" w:rsidRPr="00251FDB">
        <w:rPr>
          <w:sz w:val="20"/>
          <w:szCs w:val="20"/>
          <w:lang w:val="es-AR"/>
        </w:rPr>
        <w:t>.</w:t>
      </w:r>
      <w:r w:rsidRPr="00251FDB">
        <w:rPr>
          <w:sz w:val="20"/>
          <w:szCs w:val="20"/>
          <w:lang w:val="es-AR"/>
        </w:rPr>
        <w:t xml:space="preserve"> En todo momento las adjudicaciones se realizarán de conformidad con el límite establecido en el artículo 58, inciso c), del Capítulo VI de las Normas de la CNV.</w:t>
      </w:r>
    </w:p>
    <w:p w:rsidR="003715BD" w:rsidRPr="00251FDB" w:rsidRDefault="003715BD" w:rsidP="003715BD">
      <w:pPr>
        <w:widowControl w:val="0"/>
        <w:ind w:left="567" w:hanging="283"/>
        <w:jc w:val="both"/>
        <w:rPr>
          <w:sz w:val="20"/>
          <w:szCs w:val="20"/>
          <w:lang w:val="es-AR"/>
        </w:rPr>
      </w:pPr>
    </w:p>
    <w:p w:rsidR="003715BD" w:rsidRPr="00251FDB" w:rsidRDefault="003715BD" w:rsidP="003715BD">
      <w:pPr>
        <w:widowControl w:val="0"/>
        <w:numPr>
          <w:ilvl w:val="0"/>
          <w:numId w:val="1"/>
        </w:numPr>
        <w:ind w:left="567" w:hanging="283"/>
        <w:jc w:val="both"/>
        <w:rPr>
          <w:sz w:val="20"/>
          <w:szCs w:val="20"/>
          <w:lang w:val="es-AR"/>
        </w:rPr>
      </w:pPr>
      <w:r w:rsidRPr="00251FDB">
        <w:rPr>
          <w:sz w:val="20"/>
          <w:szCs w:val="20"/>
          <w:lang w:val="es-AR"/>
        </w:rPr>
        <w:t xml:space="preserve">En caso de que dichas Ofertas </w:t>
      </w:r>
      <w:r w:rsidR="00FC6617">
        <w:rPr>
          <w:sz w:val="20"/>
          <w:szCs w:val="20"/>
          <w:lang w:val="es-AR"/>
        </w:rPr>
        <w:t xml:space="preserve">de Compra </w:t>
      </w:r>
      <w:r w:rsidRPr="00251FDB">
        <w:rPr>
          <w:sz w:val="20"/>
          <w:szCs w:val="20"/>
          <w:lang w:val="es-AR"/>
        </w:rPr>
        <w:t>superen el 50% mencionado, la totalidad de las Ofertas</w:t>
      </w:r>
      <w:r w:rsidR="00FC6617">
        <w:rPr>
          <w:sz w:val="20"/>
          <w:szCs w:val="20"/>
          <w:lang w:val="es-AR"/>
        </w:rPr>
        <w:t xml:space="preserve"> de Compra</w:t>
      </w:r>
      <w:r w:rsidRPr="00251FDB">
        <w:rPr>
          <w:sz w:val="20"/>
          <w:szCs w:val="20"/>
          <w:lang w:val="es-AR"/>
        </w:rPr>
        <w:t xml:space="preserve"> que conformen el Tramo No Competitivo, serán prorrateadas de acuerdo con el método de adjudicación que brinda al efecto el Sistema SIOPEL, desestimándose cualquier Oferta</w:t>
      </w:r>
      <w:r w:rsidR="00FC6617">
        <w:rPr>
          <w:sz w:val="20"/>
          <w:szCs w:val="20"/>
          <w:lang w:val="es-AR"/>
        </w:rPr>
        <w:t xml:space="preserve"> de Compra</w:t>
      </w:r>
      <w:r w:rsidRPr="00251FDB">
        <w:rPr>
          <w:sz w:val="20"/>
          <w:szCs w:val="20"/>
          <w:lang w:val="es-AR"/>
        </w:rPr>
        <w:t xml:space="preserve"> que como resultado de dicho prorrateo su monto sea inferior a</w:t>
      </w:r>
      <w:r w:rsidR="00FC6617">
        <w:rPr>
          <w:sz w:val="20"/>
          <w:szCs w:val="20"/>
          <w:lang w:val="es-AR"/>
        </w:rPr>
        <w:t xml:space="preserve">l </w:t>
      </w:r>
      <w:r w:rsidR="00FC6617" w:rsidRPr="00233C44">
        <w:rPr>
          <w:sz w:val="20"/>
          <w:szCs w:val="20"/>
          <w:lang w:val="es-AR"/>
        </w:rPr>
        <w:t xml:space="preserve">Monto Mínimo de Suscripción </w:t>
      </w:r>
      <w:r w:rsidR="00FC6617" w:rsidRPr="00233C44">
        <w:rPr>
          <w:color w:val="000000"/>
          <w:sz w:val="20"/>
          <w:szCs w:val="20"/>
          <w:lang w:val="es-AR"/>
        </w:rPr>
        <w:t xml:space="preserve">según dicho término se define en </w:t>
      </w:r>
      <w:r w:rsidR="00FC6617">
        <w:rPr>
          <w:color w:val="000000"/>
          <w:sz w:val="20"/>
          <w:szCs w:val="20"/>
          <w:lang w:val="es-AR"/>
        </w:rPr>
        <w:t xml:space="preserve">el Capítulo II </w:t>
      </w:r>
      <w:r w:rsidR="00FC6617" w:rsidRPr="00233C44">
        <w:rPr>
          <w:i/>
          <w:color w:val="000000"/>
          <w:sz w:val="20"/>
          <w:szCs w:val="20"/>
          <w:lang w:val="es-AR"/>
        </w:rPr>
        <w:t>“</w:t>
      </w:r>
      <w:r w:rsidR="00FC6617">
        <w:rPr>
          <w:i/>
          <w:color w:val="000000"/>
          <w:sz w:val="20"/>
          <w:szCs w:val="20"/>
          <w:lang w:val="es-AR"/>
        </w:rPr>
        <w:t>Oferta de las Obligaciones Negociables – Monto Mínimo de Suscripción”</w:t>
      </w:r>
      <w:r w:rsidRPr="00251FDB">
        <w:rPr>
          <w:sz w:val="20"/>
          <w:szCs w:val="20"/>
          <w:lang w:val="es-AR"/>
        </w:rPr>
        <w:t xml:space="preserve">. </w:t>
      </w:r>
    </w:p>
    <w:p w:rsidR="003715BD" w:rsidRPr="00251FDB" w:rsidRDefault="003715BD" w:rsidP="003715BD">
      <w:pPr>
        <w:widowControl w:val="0"/>
        <w:ind w:left="567" w:hanging="283"/>
        <w:jc w:val="both"/>
        <w:rPr>
          <w:sz w:val="20"/>
          <w:szCs w:val="20"/>
          <w:lang w:val="es-AR"/>
        </w:rPr>
      </w:pPr>
    </w:p>
    <w:p w:rsidR="003715BD" w:rsidRPr="00251FDB" w:rsidRDefault="003715BD" w:rsidP="003715BD">
      <w:pPr>
        <w:widowControl w:val="0"/>
        <w:numPr>
          <w:ilvl w:val="0"/>
          <w:numId w:val="1"/>
        </w:numPr>
        <w:ind w:left="567" w:hanging="283"/>
        <w:jc w:val="both"/>
        <w:rPr>
          <w:sz w:val="20"/>
          <w:szCs w:val="20"/>
          <w:lang w:val="es-AR"/>
        </w:rPr>
      </w:pPr>
      <w:r w:rsidRPr="00251FDB">
        <w:rPr>
          <w:sz w:val="20"/>
          <w:szCs w:val="20"/>
          <w:lang w:val="es-AR"/>
        </w:rPr>
        <w:t>En el supuesto que se adjudiquen Ofertas</w:t>
      </w:r>
      <w:r w:rsidR="00FC6617">
        <w:rPr>
          <w:sz w:val="20"/>
          <w:szCs w:val="20"/>
          <w:lang w:val="es-AR"/>
        </w:rPr>
        <w:t xml:space="preserve"> de Compra</w:t>
      </w:r>
      <w:r w:rsidRPr="00251FDB">
        <w:rPr>
          <w:sz w:val="20"/>
          <w:szCs w:val="20"/>
          <w:lang w:val="es-AR"/>
        </w:rPr>
        <w:t xml:space="preserve"> para el Tramo No Competitivo por un monto inferior al 50% del monto a ser emitido, el monto restante será adjudicado a las Ofertas</w:t>
      </w:r>
      <w:r w:rsidR="00FC6617">
        <w:rPr>
          <w:sz w:val="20"/>
          <w:szCs w:val="20"/>
          <w:lang w:val="es-AR"/>
        </w:rPr>
        <w:t xml:space="preserve"> de Compra</w:t>
      </w:r>
      <w:r w:rsidRPr="00251FDB">
        <w:rPr>
          <w:sz w:val="20"/>
          <w:szCs w:val="20"/>
          <w:lang w:val="es-AR"/>
        </w:rPr>
        <w:t xml:space="preserve"> que conforman el Tramo Competitivo.</w:t>
      </w:r>
    </w:p>
    <w:p w:rsidR="003715BD" w:rsidRPr="00251FDB" w:rsidRDefault="003715BD" w:rsidP="003715BD">
      <w:pPr>
        <w:widowControl w:val="0"/>
        <w:jc w:val="both"/>
        <w:rPr>
          <w:sz w:val="20"/>
          <w:szCs w:val="20"/>
          <w:lang w:val="es-AR"/>
        </w:rPr>
      </w:pPr>
    </w:p>
    <w:p w:rsidR="003715BD" w:rsidRPr="00251FDB" w:rsidRDefault="003715BD" w:rsidP="003715BD">
      <w:pPr>
        <w:widowControl w:val="0"/>
        <w:numPr>
          <w:ilvl w:val="0"/>
          <w:numId w:val="2"/>
        </w:numPr>
        <w:ind w:left="284" w:hanging="284"/>
        <w:jc w:val="both"/>
        <w:rPr>
          <w:sz w:val="20"/>
          <w:szCs w:val="20"/>
          <w:lang w:val="es-AR"/>
        </w:rPr>
      </w:pPr>
      <w:r w:rsidRPr="00251FDB">
        <w:rPr>
          <w:sz w:val="20"/>
          <w:szCs w:val="20"/>
          <w:lang w:val="es-AR"/>
        </w:rPr>
        <w:t xml:space="preserve">El monto restante será adjudicado a las Ofertas </w:t>
      </w:r>
      <w:r w:rsidR="00FC6617">
        <w:rPr>
          <w:sz w:val="20"/>
          <w:szCs w:val="20"/>
          <w:lang w:val="es-AR"/>
        </w:rPr>
        <w:t xml:space="preserve">de Compra </w:t>
      </w:r>
      <w:r w:rsidRPr="00251FDB">
        <w:rPr>
          <w:sz w:val="20"/>
          <w:szCs w:val="20"/>
          <w:lang w:val="es-AR"/>
        </w:rPr>
        <w:t>que conforman el Tramo Competitivo de la siguiente forma:</w:t>
      </w:r>
    </w:p>
    <w:p w:rsidR="006B0357" w:rsidRPr="00251FDB" w:rsidRDefault="006B0357" w:rsidP="003715BD">
      <w:pPr>
        <w:pStyle w:val="Prrafodelista"/>
        <w:ind w:left="0"/>
        <w:jc w:val="both"/>
        <w:rPr>
          <w:sz w:val="20"/>
          <w:szCs w:val="20"/>
          <w:lang w:val="es-AR"/>
        </w:rPr>
      </w:pPr>
    </w:p>
    <w:p w:rsidR="003715BD" w:rsidRPr="00251FDB" w:rsidRDefault="003715BD" w:rsidP="003715BD">
      <w:pPr>
        <w:widowControl w:val="0"/>
        <w:numPr>
          <w:ilvl w:val="0"/>
          <w:numId w:val="1"/>
        </w:numPr>
        <w:ind w:left="567" w:hanging="294"/>
        <w:jc w:val="both"/>
        <w:rPr>
          <w:sz w:val="20"/>
          <w:szCs w:val="20"/>
          <w:lang w:val="es-AR"/>
        </w:rPr>
      </w:pPr>
      <w:r w:rsidRPr="00251FDB">
        <w:rPr>
          <w:sz w:val="20"/>
          <w:szCs w:val="20"/>
          <w:lang w:val="es-AR"/>
        </w:rPr>
        <w:t xml:space="preserve">Todas las Ofertas </w:t>
      </w:r>
      <w:r w:rsidR="00FC6617">
        <w:rPr>
          <w:sz w:val="20"/>
          <w:szCs w:val="20"/>
          <w:lang w:val="es-AR"/>
        </w:rPr>
        <w:t xml:space="preserve">de Compra </w:t>
      </w:r>
      <w:r w:rsidRPr="00251FDB">
        <w:rPr>
          <w:sz w:val="20"/>
          <w:szCs w:val="20"/>
          <w:lang w:val="es-AR"/>
        </w:rPr>
        <w:t xml:space="preserve">que conformen el Tramo Competitivo de las Obligaciones Negociables con </w:t>
      </w:r>
      <w:r w:rsidR="00803C0B" w:rsidRPr="00251FDB">
        <w:rPr>
          <w:sz w:val="20"/>
          <w:szCs w:val="20"/>
          <w:lang w:val="es-AR"/>
        </w:rPr>
        <w:t xml:space="preserve">Márgenes </w:t>
      </w:r>
      <w:r w:rsidR="00FC6617">
        <w:rPr>
          <w:sz w:val="20"/>
          <w:szCs w:val="20"/>
          <w:lang w:val="es-AR"/>
        </w:rPr>
        <w:t>Solicitados</w:t>
      </w:r>
      <w:r w:rsidR="00FC6617" w:rsidRPr="00251FDB">
        <w:rPr>
          <w:sz w:val="20"/>
          <w:szCs w:val="20"/>
          <w:lang w:val="es-AR"/>
        </w:rPr>
        <w:t xml:space="preserve"> </w:t>
      </w:r>
      <w:r w:rsidR="007C2E1A" w:rsidRPr="00251FDB">
        <w:rPr>
          <w:sz w:val="20"/>
          <w:szCs w:val="20"/>
          <w:lang w:val="es-AR"/>
        </w:rPr>
        <w:t>inferiores</w:t>
      </w:r>
      <w:r w:rsidR="009D35CC" w:rsidRPr="00251FDB">
        <w:rPr>
          <w:sz w:val="20"/>
          <w:szCs w:val="20"/>
          <w:lang w:val="es-AR"/>
        </w:rPr>
        <w:t xml:space="preserve"> </w:t>
      </w:r>
      <w:r w:rsidRPr="00251FDB">
        <w:rPr>
          <w:sz w:val="20"/>
          <w:szCs w:val="20"/>
          <w:lang w:val="es-AR"/>
        </w:rPr>
        <w:t>a</w:t>
      </w:r>
      <w:r w:rsidR="00803C0B" w:rsidRPr="00251FDB">
        <w:rPr>
          <w:sz w:val="20"/>
          <w:szCs w:val="20"/>
          <w:lang w:val="es-AR"/>
        </w:rPr>
        <w:t>l Margen de Corte</w:t>
      </w:r>
      <w:r w:rsidRPr="00251FDB">
        <w:rPr>
          <w:sz w:val="20"/>
          <w:szCs w:val="20"/>
          <w:lang w:val="es-AR"/>
        </w:rPr>
        <w:t>, serán adjudicadas.</w:t>
      </w:r>
    </w:p>
    <w:p w:rsidR="003715BD" w:rsidRPr="00251FDB" w:rsidRDefault="003715BD" w:rsidP="003715BD">
      <w:pPr>
        <w:widowControl w:val="0"/>
        <w:ind w:left="567" w:hanging="294"/>
        <w:jc w:val="both"/>
        <w:rPr>
          <w:sz w:val="20"/>
          <w:szCs w:val="20"/>
          <w:lang w:val="es-AR"/>
        </w:rPr>
      </w:pPr>
    </w:p>
    <w:p w:rsidR="003715BD" w:rsidRPr="00EE5E22" w:rsidRDefault="003715BD" w:rsidP="00E35CDC">
      <w:pPr>
        <w:pStyle w:val="Prrafodelista"/>
        <w:widowControl w:val="0"/>
        <w:numPr>
          <w:ilvl w:val="0"/>
          <w:numId w:val="1"/>
        </w:numPr>
        <w:autoSpaceDE w:val="0"/>
        <w:autoSpaceDN w:val="0"/>
        <w:adjustRightInd w:val="0"/>
        <w:ind w:left="567" w:hanging="294"/>
        <w:jc w:val="both"/>
        <w:rPr>
          <w:sz w:val="20"/>
          <w:szCs w:val="20"/>
          <w:lang w:val="es-AR"/>
        </w:rPr>
      </w:pPr>
      <w:r w:rsidRPr="00916BCF">
        <w:rPr>
          <w:sz w:val="20"/>
          <w:szCs w:val="20"/>
          <w:lang w:val="es-AR"/>
        </w:rPr>
        <w:t>Todas las Ofertas</w:t>
      </w:r>
      <w:r w:rsidR="00FC6617" w:rsidRPr="00EE5E22">
        <w:rPr>
          <w:sz w:val="20"/>
          <w:szCs w:val="20"/>
          <w:lang w:val="es-AR"/>
        </w:rPr>
        <w:t xml:space="preserve"> de Compra</w:t>
      </w:r>
      <w:r w:rsidRPr="00EE5E22">
        <w:rPr>
          <w:sz w:val="20"/>
          <w:szCs w:val="20"/>
          <w:lang w:val="es-AR"/>
        </w:rPr>
        <w:t xml:space="preserve"> que conformen el Tramo Competitivo de las Obligaciones Negociables con </w:t>
      </w:r>
      <w:r w:rsidR="00803C0B" w:rsidRPr="00EE5E22">
        <w:rPr>
          <w:sz w:val="20"/>
          <w:szCs w:val="20"/>
          <w:lang w:val="es-AR"/>
        </w:rPr>
        <w:t xml:space="preserve">Márgenes </w:t>
      </w:r>
      <w:r w:rsidR="00FC6617" w:rsidRPr="00EE5E22">
        <w:rPr>
          <w:sz w:val="20"/>
          <w:szCs w:val="20"/>
          <w:lang w:val="es-AR"/>
        </w:rPr>
        <w:t xml:space="preserve">Solicitados </w:t>
      </w:r>
      <w:r w:rsidR="008B451A" w:rsidRPr="00EE5E22">
        <w:rPr>
          <w:sz w:val="20"/>
          <w:szCs w:val="20"/>
          <w:lang w:val="es-AR"/>
        </w:rPr>
        <w:t>i</w:t>
      </w:r>
      <w:r w:rsidR="007C2E1A" w:rsidRPr="00EE5E22">
        <w:rPr>
          <w:sz w:val="20"/>
          <w:szCs w:val="20"/>
          <w:lang w:val="es-AR"/>
        </w:rPr>
        <w:t>guales</w:t>
      </w:r>
      <w:r w:rsidRPr="00EE5E22">
        <w:rPr>
          <w:sz w:val="20"/>
          <w:szCs w:val="20"/>
          <w:lang w:val="es-AR"/>
        </w:rPr>
        <w:t xml:space="preserve"> a</w:t>
      </w:r>
      <w:r w:rsidR="00803C0B" w:rsidRPr="00EE5E22">
        <w:rPr>
          <w:sz w:val="20"/>
          <w:szCs w:val="20"/>
          <w:lang w:val="es-AR"/>
        </w:rPr>
        <w:t>l Margen de Corte</w:t>
      </w:r>
      <w:r w:rsidRPr="00EE5E22">
        <w:rPr>
          <w:sz w:val="20"/>
          <w:szCs w:val="20"/>
          <w:lang w:val="es-AR"/>
        </w:rPr>
        <w:t xml:space="preserve">, serán adjudicadas </w:t>
      </w:r>
      <w:r w:rsidR="009D35CC" w:rsidRPr="00EE5E22">
        <w:rPr>
          <w:sz w:val="20"/>
          <w:szCs w:val="20"/>
          <w:lang w:val="es-AR"/>
        </w:rPr>
        <w:t>de acuerdo con el</w:t>
      </w:r>
      <w:r w:rsidRPr="00EE5E22">
        <w:rPr>
          <w:sz w:val="20"/>
          <w:szCs w:val="20"/>
          <w:lang w:val="es-AR"/>
        </w:rPr>
        <w:t xml:space="preserve"> método que brinda al efecto el Sistema SIOPEL,</w:t>
      </w:r>
      <w:r w:rsidR="002303E1" w:rsidRPr="00EE5E22">
        <w:rPr>
          <w:sz w:val="20"/>
          <w:szCs w:val="20"/>
          <w:lang w:val="es-AR"/>
        </w:rPr>
        <w:t xml:space="preserve"> </w:t>
      </w:r>
      <w:r w:rsidR="002303E1" w:rsidRPr="00EE5E22">
        <w:rPr>
          <w:color w:val="000000"/>
          <w:sz w:val="20"/>
          <w:szCs w:val="20"/>
          <w:lang w:val="es-AR"/>
        </w:rPr>
        <w:t>pero en caso de sobresuscripción serán adjudicadas al Margen de Corte a prorrata entre sí, sobre la base de su valor nominal y sin excluir ninguna Oferta de Compra,</w:t>
      </w:r>
      <w:r w:rsidRPr="00EE5E22">
        <w:rPr>
          <w:sz w:val="20"/>
          <w:szCs w:val="20"/>
          <w:lang w:val="es-AR"/>
        </w:rPr>
        <w:t xml:space="preserve"> desestimándose cualquier Oferta </w:t>
      </w:r>
      <w:r w:rsidR="00FC6617" w:rsidRPr="00EE5E22">
        <w:rPr>
          <w:sz w:val="20"/>
          <w:szCs w:val="20"/>
          <w:lang w:val="es-AR"/>
        </w:rPr>
        <w:t xml:space="preserve">de Compra </w:t>
      </w:r>
      <w:r w:rsidRPr="00EE5E22">
        <w:rPr>
          <w:sz w:val="20"/>
          <w:szCs w:val="20"/>
          <w:lang w:val="es-AR"/>
        </w:rPr>
        <w:t>que como resultado de dicho prorrateo su monto sea inferior a</w:t>
      </w:r>
      <w:r w:rsidR="00FC6617" w:rsidRPr="00EE5E22">
        <w:rPr>
          <w:sz w:val="20"/>
          <w:szCs w:val="20"/>
          <w:lang w:val="es-AR"/>
        </w:rPr>
        <w:t xml:space="preserve">l Monto Mínimo de Suscripción </w:t>
      </w:r>
      <w:r w:rsidR="00FC6617" w:rsidRPr="00EE5E22">
        <w:rPr>
          <w:color w:val="000000"/>
          <w:sz w:val="20"/>
          <w:szCs w:val="20"/>
          <w:lang w:val="es-AR"/>
        </w:rPr>
        <w:t xml:space="preserve">según dicho término se define en el Capítulo II </w:t>
      </w:r>
      <w:r w:rsidR="00FC6617" w:rsidRPr="00EE5E22">
        <w:rPr>
          <w:i/>
          <w:color w:val="000000"/>
          <w:sz w:val="20"/>
          <w:szCs w:val="20"/>
          <w:lang w:val="es-AR"/>
        </w:rPr>
        <w:t>“Oferta de las Obligaciones Negociables – Monto Mínimo de Suscripción”</w:t>
      </w:r>
      <w:r w:rsidRPr="00EE5E22">
        <w:rPr>
          <w:sz w:val="20"/>
          <w:szCs w:val="20"/>
          <w:lang w:val="es-AR"/>
        </w:rPr>
        <w:t>.</w:t>
      </w:r>
    </w:p>
    <w:p w:rsidR="003715BD" w:rsidRPr="00251FDB" w:rsidRDefault="003715BD" w:rsidP="003715BD">
      <w:pPr>
        <w:widowControl w:val="0"/>
        <w:ind w:left="567" w:hanging="294"/>
        <w:jc w:val="both"/>
        <w:rPr>
          <w:sz w:val="20"/>
          <w:szCs w:val="20"/>
          <w:lang w:val="es-AR"/>
        </w:rPr>
      </w:pPr>
    </w:p>
    <w:p w:rsidR="003715BD" w:rsidRPr="00251FDB" w:rsidRDefault="003715BD" w:rsidP="003715BD">
      <w:pPr>
        <w:widowControl w:val="0"/>
        <w:numPr>
          <w:ilvl w:val="0"/>
          <w:numId w:val="1"/>
        </w:numPr>
        <w:ind w:left="567" w:hanging="294"/>
        <w:jc w:val="both"/>
        <w:rPr>
          <w:sz w:val="20"/>
          <w:szCs w:val="20"/>
          <w:lang w:val="es-AR"/>
        </w:rPr>
      </w:pPr>
      <w:r w:rsidRPr="00251FDB">
        <w:rPr>
          <w:sz w:val="20"/>
          <w:szCs w:val="20"/>
          <w:lang w:val="es-AR"/>
        </w:rPr>
        <w:t>Todas las Ofertas</w:t>
      </w:r>
      <w:r w:rsidR="00FC6617">
        <w:rPr>
          <w:sz w:val="20"/>
          <w:szCs w:val="20"/>
          <w:lang w:val="es-AR"/>
        </w:rPr>
        <w:t xml:space="preserve"> de Compra</w:t>
      </w:r>
      <w:r w:rsidRPr="00251FDB">
        <w:rPr>
          <w:sz w:val="20"/>
          <w:szCs w:val="20"/>
          <w:lang w:val="es-AR"/>
        </w:rPr>
        <w:t xml:space="preserve"> que conformen el Tramo Competitivo de las Obligaciones Negociables con </w:t>
      </w:r>
      <w:r w:rsidR="00803C0B" w:rsidRPr="00251FDB">
        <w:rPr>
          <w:sz w:val="20"/>
          <w:szCs w:val="20"/>
          <w:lang w:val="es-AR"/>
        </w:rPr>
        <w:t xml:space="preserve">Márgenes </w:t>
      </w:r>
      <w:r w:rsidR="00FC6617">
        <w:rPr>
          <w:sz w:val="20"/>
          <w:szCs w:val="20"/>
          <w:lang w:val="es-AR"/>
        </w:rPr>
        <w:t xml:space="preserve">Solicitados </w:t>
      </w:r>
      <w:r w:rsidRPr="00251FDB">
        <w:rPr>
          <w:sz w:val="20"/>
          <w:szCs w:val="20"/>
          <w:lang w:val="es-AR"/>
        </w:rPr>
        <w:t>superiores a</w:t>
      </w:r>
      <w:r w:rsidR="00803C0B" w:rsidRPr="00251FDB">
        <w:rPr>
          <w:sz w:val="20"/>
          <w:szCs w:val="20"/>
          <w:lang w:val="es-AR"/>
        </w:rPr>
        <w:t>l Margen de Corte</w:t>
      </w:r>
      <w:r w:rsidRPr="00251FDB">
        <w:rPr>
          <w:sz w:val="20"/>
          <w:szCs w:val="20"/>
          <w:lang w:val="es-AR"/>
        </w:rPr>
        <w:t>, no serán adjudicadas.</w:t>
      </w:r>
    </w:p>
    <w:p w:rsidR="003715BD" w:rsidRPr="00251FDB" w:rsidRDefault="003715BD" w:rsidP="003715BD">
      <w:pPr>
        <w:widowControl w:val="0"/>
        <w:jc w:val="both"/>
        <w:rPr>
          <w:sz w:val="20"/>
          <w:szCs w:val="20"/>
          <w:lang w:val="es-AR"/>
        </w:rPr>
      </w:pPr>
    </w:p>
    <w:p w:rsidR="003715BD" w:rsidRPr="00251FDB" w:rsidRDefault="003715BD" w:rsidP="003715BD">
      <w:pPr>
        <w:widowControl w:val="0"/>
        <w:jc w:val="both"/>
        <w:rPr>
          <w:sz w:val="20"/>
          <w:szCs w:val="20"/>
          <w:lang w:val="es-AR"/>
        </w:rPr>
      </w:pPr>
      <w:r w:rsidRPr="00251FDB">
        <w:rPr>
          <w:sz w:val="20"/>
          <w:szCs w:val="20"/>
          <w:lang w:val="es-AR"/>
        </w:rPr>
        <w:t>Ni el Emisor ni los Colocadores tendrán obligación alguna de informar en forma individual a cada uno de los Inversores cuyas Ofertas</w:t>
      </w:r>
      <w:r w:rsidR="00FC6617">
        <w:rPr>
          <w:sz w:val="20"/>
          <w:szCs w:val="20"/>
          <w:lang w:val="es-AR"/>
        </w:rPr>
        <w:t xml:space="preserve"> de Compra</w:t>
      </w:r>
      <w:r w:rsidRPr="00251FDB">
        <w:rPr>
          <w:sz w:val="20"/>
          <w:szCs w:val="20"/>
          <w:lang w:val="es-AR"/>
        </w:rPr>
        <w:t xml:space="preserve"> fueron total o parcialmente excluidas, que las mismas fueron total o parcialmente excluidas.</w:t>
      </w:r>
    </w:p>
    <w:p w:rsidR="003715BD" w:rsidRPr="00251FDB" w:rsidRDefault="003715BD" w:rsidP="003715BD">
      <w:pPr>
        <w:widowControl w:val="0"/>
        <w:jc w:val="both"/>
        <w:rPr>
          <w:sz w:val="20"/>
          <w:szCs w:val="20"/>
          <w:lang w:val="es-AR"/>
        </w:rPr>
      </w:pPr>
    </w:p>
    <w:p w:rsidR="003715BD" w:rsidRPr="00251FDB" w:rsidRDefault="003715BD" w:rsidP="003715BD">
      <w:pPr>
        <w:widowControl w:val="0"/>
        <w:jc w:val="both"/>
        <w:rPr>
          <w:sz w:val="20"/>
          <w:szCs w:val="20"/>
          <w:lang w:val="es-AR"/>
        </w:rPr>
      </w:pPr>
      <w:r w:rsidRPr="00251FDB">
        <w:rPr>
          <w:sz w:val="20"/>
          <w:szCs w:val="20"/>
          <w:lang w:val="es-AR"/>
        </w:rPr>
        <w:t xml:space="preserve">El resultado final de la adjudicación será el que surja del Sistema SIOPEL. Ni el Emisor ni los Colocadores serán responsables por los problemas, fallas, pérdidas de enlace, errores o caídas del software del Sistema SIOPEL. Para </w:t>
      </w:r>
      <w:r w:rsidR="009D35CC" w:rsidRPr="00251FDB">
        <w:rPr>
          <w:sz w:val="20"/>
          <w:szCs w:val="20"/>
          <w:lang w:val="es-AR"/>
        </w:rPr>
        <w:t>más información</w:t>
      </w:r>
      <w:r w:rsidRPr="00251FDB">
        <w:rPr>
          <w:sz w:val="20"/>
          <w:szCs w:val="20"/>
          <w:lang w:val="es-AR"/>
        </w:rPr>
        <w:t xml:space="preserve"> respecto del Sistema SIOPEL, se recomienda a los Inversores la lectura del “</w:t>
      </w:r>
      <w:r w:rsidRPr="00251FDB">
        <w:rPr>
          <w:i/>
          <w:sz w:val="20"/>
          <w:szCs w:val="20"/>
          <w:lang w:val="es-AR"/>
        </w:rPr>
        <w:t>Manual del usuario - Colocadores</w:t>
      </w:r>
      <w:r w:rsidRPr="00251FDB">
        <w:rPr>
          <w:sz w:val="20"/>
          <w:szCs w:val="20"/>
          <w:lang w:val="es-AR"/>
        </w:rPr>
        <w:t>” y documentación relacionada publicada en la Página Web del MAE.</w:t>
      </w:r>
    </w:p>
    <w:p w:rsidR="003715BD" w:rsidRPr="00251FDB" w:rsidRDefault="003715BD" w:rsidP="003715BD">
      <w:pPr>
        <w:widowControl w:val="0"/>
        <w:jc w:val="both"/>
        <w:rPr>
          <w:sz w:val="20"/>
          <w:szCs w:val="20"/>
          <w:lang w:val="es-AR"/>
        </w:rPr>
      </w:pPr>
    </w:p>
    <w:p w:rsidR="003715BD" w:rsidRPr="00251FDB" w:rsidRDefault="003715BD" w:rsidP="003715BD">
      <w:pPr>
        <w:widowControl w:val="0"/>
        <w:jc w:val="both"/>
        <w:rPr>
          <w:sz w:val="20"/>
          <w:szCs w:val="20"/>
          <w:lang w:val="es-AR"/>
        </w:rPr>
      </w:pPr>
      <w:r w:rsidRPr="00251FDB">
        <w:rPr>
          <w:sz w:val="20"/>
          <w:szCs w:val="20"/>
          <w:lang w:val="es-AR"/>
        </w:rPr>
        <w:t>Si como resultado del prorrateo bajo el mecanismo de adjudicación arriba descripto, el valor nominal a adjudicar a una Oferta</w:t>
      </w:r>
      <w:r w:rsidR="00FC6617">
        <w:rPr>
          <w:sz w:val="20"/>
          <w:szCs w:val="20"/>
          <w:lang w:val="es-AR"/>
        </w:rPr>
        <w:t xml:space="preserve"> de Compra</w:t>
      </w:r>
      <w:r w:rsidRPr="00251FDB">
        <w:rPr>
          <w:sz w:val="20"/>
          <w:szCs w:val="20"/>
          <w:lang w:val="es-AR"/>
        </w:rPr>
        <w:t xml:space="preserve"> contiene decimales por debajo de los $0,50 los mismos serán suprimidos a efectos de redondear el valor nominal de las Obligaciones Negociables a adjudicar. Contrariamente, si contiene decimales iguales o por encima de $0,50 los mismos serán ponderados hacia arriba, otorgando $1 al valor nominal de las Obligaciones Negociables a adjudicar.</w:t>
      </w:r>
    </w:p>
    <w:p w:rsidR="00FC6617" w:rsidRPr="00EA1080" w:rsidRDefault="00FC6617" w:rsidP="00C04C7C">
      <w:pPr>
        <w:widowControl w:val="0"/>
        <w:jc w:val="both"/>
        <w:rPr>
          <w:b/>
          <w:sz w:val="20"/>
          <w:szCs w:val="20"/>
          <w:lang w:val="es-AR"/>
        </w:rPr>
      </w:pPr>
    </w:p>
    <w:p w:rsidR="00C04C7C" w:rsidRPr="00EA1080" w:rsidRDefault="00C04C7C" w:rsidP="00C04C7C">
      <w:pPr>
        <w:widowControl w:val="0"/>
        <w:jc w:val="both"/>
        <w:rPr>
          <w:b/>
          <w:sz w:val="20"/>
          <w:szCs w:val="20"/>
          <w:lang w:val="es-AR"/>
        </w:rPr>
      </w:pPr>
      <w:r w:rsidRPr="00EA1080">
        <w:rPr>
          <w:b/>
          <w:sz w:val="20"/>
          <w:szCs w:val="20"/>
          <w:lang w:val="es-AR"/>
        </w:rPr>
        <w:t>El Emisor podrá, hasta la Fecha de Emisión</w:t>
      </w:r>
      <w:r w:rsidR="00FC6617">
        <w:rPr>
          <w:b/>
          <w:sz w:val="20"/>
          <w:szCs w:val="20"/>
          <w:lang w:val="es-AR"/>
        </w:rPr>
        <w:t xml:space="preserve"> y Liquidación</w:t>
      </w:r>
      <w:r w:rsidRPr="00EA1080">
        <w:rPr>
          <w:b/>
          <w:sz w:val="20"/>
          <w:szCs w:val="20"/>
          <w:lang w:val="es-AR"/>
        </w:rPr>
        <w:t xml:space="preserve">, dejar sin efecto la colocación y adjudicación de las Obligaciones Negociables, en caso de que hayan sucedido cambios en la normativa cambiaria, impositiva y/o de cualquier otra índole que tornen más gravosa la emisión para </w:t>
      </w:r>
      <w:r w:rsidR="00FC6617">
        <w:rPr>
          <w:b/>
          <w:sz w:val="20"/>
          <w:szCs w:val="20"/>
          <w:lang w:val="es-AR"/>
        </w:rPr>
        <w:t>el Emisor</w:t>
      </w:r>
      <w:r w:rsidRPr="00EA1080">
        <w:rPr>
          <w:b/>
          <w:sz w:val="20"/>
          <w:szCs w:val="20"/>
          <w:lang w:val="es-AR"/>
        </w:rPr>
        <w:t>, según lo determine</w:t>
      </w:r>
      <w:r w:rsidR="00FC6617">
        <w:rPr>
          <w:b/>
          <w:sz w:val="20"/>
          <w:szCs w:val="20"/>
          <w:lang w:val="es-AR"/>
        </w:rPr>
        <w:t xml:space="preserve"> el Emisor</w:t>
      </w:r>
      <w:r w:rsidRPr="00EA1080">
        <w:rPr>
          <w:b/>
          <w:sz w:val="20"/>
          <w:szCs w:val="20"/>
          <w:lang w:val="es-AR"/>
        </w:rPr>
        <w:t>, quedando pues sin efecto alguno la totalidad de las Ofertas</w:t>
      </w:r>
      <w:r w:rsidR="00FC6617">
        <w:rPr>
          <w:b/>
          <w:sz w:val="20"/>
          <w:szCs w:val="20"/>
          <w:lang w:val="es-AR"/>
        </w:rPr>
        <w:t xml:space="preserve"> de Compra de las Obligaciones Negociables</w:t>
      </w:r>
      <w:r w:rsidRPr="00EA1080">
        <w:rPr>
          <w:b/>
          <w:sz w:val="20"/>
          <w:szCs w:val="20"/>
          <w:lang w:val="es-AR"/>
        </w:rPr>
        <w:t xml:space="preserve">. Esta circunstancia no otorgará a los </w:t>
      </w:r>
      <w:r w:rsidR="00FC6617" w:rsidRPr="002217AD">
        <w:rPr>
          <w:b/>
          <w:sz w:val="20"/>
          <w:szCs w:val="20"/>
          <w:lang w:val="es-AR"/>
        </w:rPr>
        <w:t xml:space="preserve">inversores </w:t>
      </w:r>
      <w:r w:rsidRPr="00EA1080">
        <w:rPr>
          <w:b/>
          <w:sz w:val="20"/>
          <w:szCs w:val="20"/>
          <w:lang w:val="es-AR"/>
        </w:rPr>
        <w:t>derecho a compensación ni indemnización alguna.</w:t>
      </w:r>
      <w:r w:rsidR="00803C0B" w:rsidRPr="00EA1080">
        <w:rPr>
          <w:b/>
          <w:sz w:val="20"/>
          <w:szCs w:val="20"/>
          <w:lang w:val="es-AR"/>
        </w:rPr>
        <w:t xml:space="preserve"> </w:t>
      </w:r>
    </w:p>
    <w:p w:rsidR="00803C0B" w:rsidRPr="00EA1080" w:rsidRDefault="00803C0B" w:rsidP="00C04C7C">
      <w:pPr>
        <w:widowControl w:val="0"/>
        <w:jc w:val="both"/>
        <w:rPr>
          <w:b/>
          <w:sz w:val="20"/>
          <w:szCs w:val="20"/>
          <w:lang w:val="es-AR"/>
        </w:rPr>
      </w:pPr>
    </w:p>
    <w:p w:rsidR="00196B90" w:rsidRPr="00EA1080" w:rsidRDefault="00C04C7C" w:rsidP="00196B90">
      <w:pPr>
        <w:widowControl w:val="0"/>
        <w:jc w:val="both"/>
        <w:rPr>
          <w:b/>
          <w:sz w:val="20"/>
          <w:szCs w:val="20"/>
          <w:lang w:val="es-AR"/>
        </w:rPr>
      </w:pPr>
      <w:r w:rsidRPr="00EA1080">
        <w:rPr>
          <w:b/>
          <w:sz w:val="20"/>
          <w:szCs w:val="20"/>
          <w:lang w:val="es-AR"/>
        </w:rPr>
        <w:t xml:space="preserve">Ni el Emisor ni los Colocadores garantizan a los </w:t>
      </w:r>
      <w:r w:rsidR="00FC6617">
        <w:rPr>
          <w:b/>
          <w:sz w:val="20"/>
          <w:szCs w:val="20"/>
          <w:lang w:val="es-AR"/>
        </w:rPr>
        <w:t>i</w:t>
      </w:r>
      <w:r w:rsidR="00FC6617" w:rsidRPr="00EA1080">
        <w:rPr>
          <w:b/>
          <w:sz w:val="20"/>
          <w:szCs w:val="20"/>
          <w:lang w:val="es-AR"/>
        </w:rPr>
        <w:t>nversores</w:t>
      </w:r>
      <w:r w:rsidRPr="00EA1080">
        <w:rPr>
          <w:b/>
          <w:sz w:val="20"/>
          <w:szCs w:val="20"/>
          <w:lang w:val="es-AR"/>
        </w:rPr>
        <w:t>, que se les adjudicará el mismo valor nominal de Obligaciones Negociables detallado en la respectiva Oferta</w:t>
      </w:r>
      <w:r w:rsidR="00FC6617">
        <w:rPr>
          <w:b/>
          <w:sz w:val="20"/>
          <w:szCs w:val="20"/>
          <w:lang w:val="es-AR"/>
        </w:rPr>
        <w:t xml:space="preserve"> de Compra</w:t>
      </w:r>
      <w:r w:rsidRPr="00EA1080">
        <w:rPr>
          <w:b/>
          <w:sz w:val="20"/>
          <w:szCs w:val="20"/>
          <w:lang w:val="es-AR"/>
        </w:rPr>
        <w:t xml:space="preserve">, debido a que puede existir sobresuscripción de dichos títulos respecto del monto de Obligaciones Negociables que el </w:t>
      </w:r>
      <w:r w:rsidR="00803C0B" w:rsidRPr="00EA1080">
        <w:rPr>
          <w:b/>
          <w:sz w:val="20"/>
          <w:szCs w:val="20"/>
          <w:lang w:val="es-AR"/>
        </w:rPr>
        <w:t xml:space="preserve">Emisor, juntamente con </w:t>
      </w:r>
      <w:r w:rsidRPr="00EA1080">
        <w:rPr>
          <w:b/>
          <w:sz w:val="20"/>
          <w:szCs w:val="20"/>
          <w:lang w:val="es-AR"/>
        </w:rPr>
        <w:t>los Colocadores, decidan emitir y colocar.</w:t>
      </w:r>
    </w:p>
    <w:p w:rsidR="002F1D2A" w:rsidRPr="00251FDB" w:rsidRDefault="002F1D2A" w:rsidP="00C04C7C">
      <w:pPr>
        <w:pStyle w:val="Textoindependiente3"/>
        <w:widowControl w:val="0"/>
        <w:rPr>
          <w:color w:val="auto"/>
          <w:szCs w:val="20"/>
          <w:lang w:val="es-AR"/>
        </w:rPr>
      </w:pPr>
    </w:p>
    <w:p w:rsidR="00C04C7C" w:rsidRPr="00EA1080" w:rsidRDefault="00C04C7C" w:rsidP="00C04C7C">
      <w:pPr>
        <w:pStyle w:val="Textoindependiente3"/>
        <w:widowControl w:val="0"/>
        <w:rPr>
          <w:i/>
          <w:iCs/>
          <w:color w:val="000000"/>
          <w:szCs w:val="20"/>
          <w:lang w:val="es-AR"/>
        </w:rPr>
      </w:pPr>
      <w:r w:rsidRPr="00EA1080">
        <w:rPr>
          <w:i/>
          <w:iCs/>
          <w:color w:val="000000"/>
          <w:szCs w:val="20"/>
          <w:lang w:val="es-AR"/>
        </w:rPr>
        <w:t>Suscripción e Integración</w:t>
      </w:r>
    </w:p>
    <w:p w:rsidR="00C04C7C" w:rsidRPr="00251FDB" w:rsidRDefault="00C04C7C" w:rsidP="00C04C7C">
      <w:pPr>
        <w:pStyle w:val="Textoindependiente3"/>
        <w:widowControl w:val="0"/>
        <w:rPr>
          <w:bCs w:val="0"/>
          <w:iCs/>
          <w:color w:val="000000"/>
          <w:szCs w:val="20"/>
          <w:lang w:val="es-AR"/>
        </w:rPr>
      </w:pPr>
    </w:p>
    <w:p w:rsidR="00C04C7C" w:rsidRPr="00251FDB" w:rsidRDefault="00C04C7C" w:rsidP="00071A6F">
      <w:pPr>
        <w:autoSpaceDE w:val="0"/>
        <w:autoSpaceDN w:val="0"/>
        <w:adjustRightInd w:val="0"/>
        <w:jc w:val="both"/>
        <w:rPr>
          <w:sz w:val="20"/>
          <w:szCs w:val="20"/>
          <w:lang w:val="es-AR"/>
        </w:rPr>
      </w:pPr>
      <w:r w:rsidRPr="00251FDB">
        <w:rPr>
          <w:sz w:val="20"/>
          <w:szCs w:val="20"/>
          <w:lang w:val="es-AR"/>
        </w:rPr>
        <w:t xml:space="preserve">Cada uno de los </w:t>
      </w:r>
      <w:r w:rsidR="00FC6617">
        <w:rPr>
          <w:sz w:val="20"/>
          <w:szCs w:val="20"/>
          <w:lang w:val="es-AR"/>
        </w:rPr>
        <w:t>i</w:t>
      </w:r>
      <w:r w:rsidR="00FC6617" w:rsidRPr="00251FDB">
        <w:rPr>
          <w:sz w:val="20"/>
          <w:szCs w:val="20"/>
          <w:lang w:val="es-AR"/>
        </w:rPr>
        <w:t xml:space="preserve">nversores </w:t>
      </w:r>
      <w:r w:rsidRPr="00251FDB">
        <w:rPr>
          <w:sz w:val="20"/>
          <w:szCs w:val="20"/>
          <w:lang w:val="es-AR"/>
        </w:rPr>
        <w:t>que hubieren presentado sus Órdenes</w:t>
      </w:r>
      <w:r w:rsidR="00FC6617">
        <w:rPr>
          <w:sz w:val="20"/>
          <w:szCs w:val="20"/>
          <w:lang w:val="es-AR"/>
        </w:rPr>
        <w:t xml:space="preserve"> de Compra</w:t>
      </w:r>
      <w:r w:rsidRPr="00251FDB">
        <w:rPr>
          <w:sz w:val="20"/>
          <w:szCs w:val="20"/>
          <w:lang w:val="es-AR"/>
        </w:rPr>
        <w:t xml:space="preserve"> a través de cualquier Colocador y los Agentes del MAE que hubieren ingresado Ofertas a través del Sistema SIOPEL, deberán indicar, en sus correspondientes Órdenes</w:t>
      </w:r>
      <w:r w:rsidR="00FC6617">
        <w:rPr>
          <w:sz w:val="20"/>
          <w:szCs w:val="20"/>
          <w:lang w:val="es-AR"/>
        </w:rPr>
        <w:t xml:space="preserve"> de Compra</w:t>
      </w:r>
      <w:r w:rsidRPr="00251FDB">
        <w:rPr>
          <w:sz w:val="20"/>
          <w:szCs w:val="20"/>
          <w:lang w:val="es-AR"/>
        </w:rPr>
        <w:t xml:space="preserve"> (en el caso de los mencionados </w:t>
      </w:r>
      <w:r w:rsidR="00803C0B" w:rsidRPr="00251FDB">
        <w:rPr>
          <w:sz w:val="20"/>
          <w:szCs w:val="20"/>
          <w:lang w:val="es-AR"/>
        </w:rPr>
        <w:t>i</w:t>
      </w:r>
      <w:r w:rsidRPr="00251FDB">
        <w:rPr>
          <w:sz w:val="20"/>
          <w:szCs w:val="20"/>
          <w:lang w:val="es-AR"/>
        </w:rPr>
        <w:t xml:space="preserve">nversores) o mediante nota escrita dirigida al Agente de Liquidación </w:t>
      </w:r>
      <w:r w:rsidR="00FC6617">
        <w:rPr>
          <w:sz w:val="20"/>
          <w:szCs w:val="20"/>
          <w:lang w:val="es-AR"/>
        </w:rPr>
        <w:t xml:space="preserve">y Compensación </w:t>
      </w:r>
      <w:r w:rsidRPr="00251FDB">
        <w:rPr>
          <w:sz w:val="20"/>
          <w:szCs w:val="20"/>
          <w:lang w:val="es-AR"/>
        </w:rPr>
        <w:t>a más tardar el Día Hábil anterior a la Fecha de Emisión</w:t>
      </w:r>
      <w:r w:rsidR="00FC6617">
        <w:rPr>
          <w:sz w:val="20"/>
          <w:szCs w:val="20"/>
          <w:lang w:val="es-AR"/>
        </w:rPr>
        <w:t xml:space="preserve"> y Liquidación</w:t>
      </w:r>
      <w:r w:rsidRPr="00251FDB">
        <w:rPr>
          <w:sz w:val="20"/>
          <w:szCs w:val="20"/>
          <w:lang w:val="es-AR"/>
        </w:rPr>
        <w:t xml:space="preserve"> (en el caso de dichos Agentes del MAE) (cada una de ellas, una “</w:t>
      </w:r>
      <w:r w:rsidRPr="00251FDB">
        <w:rPr>
          <w:bCs/>
          <w:sz w:val="20"/>
          <w:szCs w:val="20"/>
          <w:u w:val="single"/>
          <w:lang w:val="es-AR"/>
        </w:rPr>
        <w:t>Notificación de Elección</w:t>
      </w:r>
      <w:r w:rsidRPr="00251FDB">
        <w:rPr>
          <w:sz w:val="20"/>
          <w:szCs w:val="20"/>
          <w:lang w:val="es-AR"/>
        </w:rPr>
        <w:t>”), si optan por la suscripción e integración de las Obligaciones Negociables que pudieren serle adjudicadas a través del sistema de compensación MAE-Clear (o aquel que en un futuro lo reemplace) o a través de los Colocadores, conforme los procedimientos que se detallan a continuación</w:t>
      </w:r>
      <w:r w:rsidR="00803C0B" w:rsidRPr="00251FDB">
        <w:rPr>
          <w:sz w:val="20"/>
          <w:szCs w:val="20"/>
          <w:lang w:val="es-AR"/>
        </w:rPr>
        <w:t xml:space="preserve">. </w:t>
      </w:r>
      <w:r w:rsidR="00071A6F" w:rsidRPr="00251FDB">
        <w:rPr>
          <w:sz w:val="20"/>
          <w:szCs w:val="20"/>
          <w:lang w:val="es-AR"/>
        </w:rPr>
        <w:t xml:space="preserve">La sola entrega de una Orden de Compra por parte del inversor interesado en suscribir e integrar las Obligaciones Negociables importará un compromiso en firme, respecto de dicho inversor, de integrar el precio de las mismas </w:t>
      </w:r>
      <w:r w:rsidR="00B15F73" w:rsidRPr="00251FDB">
        <w:rPr>
          <w:sz w:val="20"/>
          <w:szCs w:val="20"/>
          <w:lang w:val="es-AR"/>
        </w:rPr>
        <w:t xml:space="preserve">en los términos previstos en el presente </w:t>
      </w:r>
      <w:r w:rsidR="00071A6F" w:rsidRPr="00251FDB">
        <w:rPr>
          <w:sz w:val="20"/>
          <w:szCs w:val="20"/>
          <w:lang w:val="es-AR"/>
        </w:rPr>
        <w:t xml:space="preserve">y la aceptación de todos los términos y condiciones de </w:t>
      </w:r>
      <w:r w:rsidR="00622EF9">
        <w:rPr>
          <w:sz w:val="20"/>
          <w:szCs w:val="20"/>
          <w:lang w:val="es-AR"/>
        </w:rPr>
        <w:t>las Obligaciones Negociables</w:t>
      </w:r>
      <w:r w:rsidR="00DD5F44" w:rsidRPr="00251FDB">
        <w:rPr>
          <w:sz w:val="20"/>
          <w:szCs w:val="20"/>
          <w:lang w:val="es-AR"/>
        </w:rPr>
        <w:t>.</w:t>
      </w:r>
    </w:p>
    <w:p w:rsidR="00B15F73" w:rsidRPr="00251FDB" w:rsidRDefault="00B15F73" w:rsidP="00071A6F">
      <w:pPr>
        <w:autoSpaceDE w:val="0"/>
        <w:autoSpaceDN w:val="0"/>
        <w:adjustRightInd w:val="0"/>
        <w:jc w:val="both"/>
        <w:rPr>
          <w:rFonts w:eastAsia="SimSun"/>
          <w:sz w:val="20"/>
          <w:szCs w:val="20"/>
          <w:lang w:val="es-MX"/>
        </w:rPr>
      </w:pPr>
    </w:p>
    <w:p w:rsidR="00C04C7C" w:rsidRPr="00EA1080" w:rsidRDefault="00C04C7C" w:rsidP="00C04C7C">
      <w:pPr>
        <w:jc w:val="both"/>
        <w:rPr>
          <w:i/>
          <w:iCs/>
          <w:sz w:val="20"/>
          <w:szCs w:val="20"/>
          <w:lang w:val="es-AR"/>
        </w:rPr>
      </w:pPr>
      <w:r w:rsidRPr="00EA1080">
        <w:rPr>
          <w:i/>
          <w:iCs/>
          <w:sz w:val="20"/>
          <w:szCs w:val="20"/>
          <w:lang w:val="es-AR"/>
        </w:rPr>
        <w:t xml:space="preserve">MAE-Clear </w:t>
      </w:r>
    </w:p>
    <w:p w:rsidR="00C04C7C" w:rsidRPr="00251FDB" w:rsidRDefault="00C04C7C" w:rsidP="00C04C7C">
      <w:pPr>
        <w:jc w:val="both"/>
        <w:rPr>
          <w:sz w:val="20"/>
          <w:szCs w:val="20"/>
          <w:lang w:val="es-AR"/>
        </w:rPr>
      </w:pPr>
    </w:p>
    <w:p w:rsidR="00C04C7C" w:rsidRPr="00251FDB" w:rsidRDefault="00C04C7C" w:rsidP="00C04C7C">
      <w:pPr>
        <w:jc w:val="both"/>
        <w:rPr>
          <w:sz w:val="20"/>
          <w:szCs w:val="20"/>
          <w:lang w:val="es-AR"/>
        </w:rPr>
      </w:pPr>
      <w:r w:rsidRPr="00251FDB">
        <w:rPr>
          <w:sz w:val="20"/>
          <w:szCs w:val="20"/>
          <w:lang w:val="es-AR"/>
        </w:rPr>
        <w:t xml:space="preserve">Si se optare por el sistema de compensación MAE-Clear, cada Orden </w:t>
      </w:r>
      <w:r w:rsidR="00622EF9">
        <w:rPr>
          <w:sz w:val="20"/>
          <w:szCs w:val="20"/>
          <w:lang w:val="es-AR"/>
        </w:rPr>
        <w:t xml:space="preserve">de Compra </w:t>
      </w:r>
      <w:r w:rsidRPr="00251FDB">
        <w:rPr>
          <w:sz w:val="20"/>
          <w:szCs w:val="20"/>
          <w:lang w:val="es-AR"/>
        </w:rPr>
        <w:t xml:space="preserve">presentada por cualquier </w:t>
      </w:r>
      <w:r w:rsidR="00622EF9">
        <w:rPr>
          <w:sz w:val="20"/>
          <w:szCs w:val="20"/>
          <w:lang w:val="es-AR"/>
        </w:rPr>
        <w:t>i</w:t>
      </w:r>
      <w:r w:rsidR="00622EF9" w:rsidRPr="00251FDB">
        <w:rPr>
          <w:sz w:val="20"/>
          <w:szCs w:val="20"/>
          <w:lang w:val="es-AR"/>
        </w:rPr>
        <w:t xml:space="preserve">nversor </w:t>
      </w:r>
      <w:r w:rsidRPr="00251FDB">
        <w:rPr>
          <w:sz w:val="20"/>
          <w:szCs w:val="20"/>
          <w:lang w:val="es-AR"/>
        </w:rPr>
        <w:t>a través de cualquier Colocador y cada Notificación de Elección presentada por cualquier Agente del MAE, deberá indicar las cuentas de los custodios participantes en el sistema de compensación administrado por MAE-Clear a ser utilizadas para la liquidación e integración de las Obligaciones Negociables adjudicadas; estableciéndose que cada Agente del MAE sólo podrá indicar una única e idéntica cuenta custodio de su titularidad en el sistema de compensación administrado por MAE-Clear en todas las Notificaciones de Elección presentadas por dicho Agente del MAE para la liquidación e integración de Obligaciones Negociables a través del sistema de compensación MAE-Clear.</w:t>
      </w:r>
    </w:p>
    <w:p w:rsidR="00C04C7C" w:rsidRPr="00251FDB" w:rsidRDefault="00C04C7C" w:rsidP="00C04C7C">
      <w:pPr>
        <w:jc w:val="both"/>
        <w:rPr>
          <w:sz w:val="20"/>
          <w:szCs w:val="20"/>
          <w:lang w:val="es-AR"/>
        </w:rPr>
      </w:pPr>
    </w:p>
    <w:p w:rsidR="00C04C7C" w:rsidRPr="00251FDB" w:rsidRDefault="00C04C7C" w:rsidP="00C04C7C">
      <w:pPr>
        <w:jc w:val="both"/>
        <w:rPr>
          <w:sz w:val="20"/>
          <w:szCs w:val="20"/>
          <w:lang w:val="es-AR"/>
        </w:rPr>
      </w:pPr>
      <w:r w:rsidRPr="00251FDB">
        <w:rPr>
          <w:sz w:val="20"/>
          <w:szCs w:val="20"/>
          <w:lang w:val="es-AR"/>
        </w:rPr>
        <w:t xml:space="preserve">Cada </w:t>
      </w:r>
      <w:r w:rsidR="000D17B7" w:rsidRPr="00251FDB">
        <w:rPr>
          <w:sz w:val="20"/>
          <w:szCs w:val="20"/>
          <w:lang w:val="es-AR"/>
        </w:rPr>
        <w:t>i</w:t>
      </w:r>
      <w:r w:rsidRPr="00251FDB">
        <w:rPr>
          <w:sz w:val="20"/>
          <w:szCs w:val="20"/>
          <w:lang w:val="es-AR"/>
        </w:rPr>
        <w:t>nversor (en el caso de Órdenes</w:t>
      </w:r>
      <w:r w:rsidR="00622EF9">
        <w:rPr>
          <w:sz w:val="20"/>
          <w:szCs w:val="20"/>
          <w:lang w:val="es-AR"/>
        </w:rPr>
        <w:t xml:space="preserve"> de Compra</w:t>
      </w:r>
      <w:r w:rsidRPr="00251FDB">
        <w:rPr>
          <w:sz w:val="20"/>
          <w:szCs w:val="20"/>
          <w:lang w:val="es-AR"/>
        </w:rPr>
        <w:t xml:space="preserve"> presentadas a través de cualquier Colocador) y cada Agente del MAE (en el caso de Ofertas ingresadas por éstos a través del Sistema SIOPEL) que hubiere optado por la suscripción e integración de las Obligaciones Negociables a través del sistema MAE-Clear se compromete a tomar todos los recaudos necesarios a tal efecto en relación con el pago del precio de suscripción de las Obligaciones Negociables que le fueren adjudicadas. En tal sentido, en la Fecha de Emisión y Liquidación, </w:t>
      </w:r>
      <w:r w:rsidR="000D17B7" w:rsidRPr="00251FDB">
        <w:rPr>
          <w:sz w:val="20"/>
          <w:szCs w:val="20"/>
          <w:lang w:val="es-AR"/>
        </w:rPr>
        <w:t xml:space="preserve">en el caso de integración en efectivo, </w:t>
      </w:r>
      <w:r w:rsidRPr="00251FDB">
        <w:rPr>
          <w:sz w:val="20"/>
          <w:szCs w:val="20"/>
          <w:lang w:val="es-AR"/>
        </w:rPr>
        <w:t xml:space="preserve">cada uno de dichos </w:t>
      </w:r>
      <w:r w:rsidR="000D17B7" w:rsidRPr="00251FDB">
        <w:rPr>
          <w:sz w:val="20"/>
          <w:szCs w:val="20"/>
          <w:lang w:val="es-AR"/>
        </w:rPr>
        <w:t>i</w:t>
      </w:r>
      <w:r w:rsidRPr="00251FDB">
        <w:rPr>
          <w:sz w:val="20"/>
          <w:szCs w:val="20"/>
          <w:lang w:val="es-AR"/>
        </w:rPr>
        <w:t xml:space="preserve">nversores y Agentes del MAE deberá </w:t>
      </w:r>
      <w:r w:rsidR="00BB7D81" w:rsidRPr="00251FDB">
        <w:rPr>
          <w:sz w:val="20"/>
          <w:szCs w:val="20"/>
          <w:lang w:val="es-AR"/>
        </w:rPr>
        <w:t xml:space="preserve">contar con los fondos </w:t>
      </w:r>
      <w:r w:rsidRPr="00251FDB">
        <w:rPr>
          <w:sz w:val="20"/>
          <w:szCs w:val="20"/>
          <w:lang w:val="es-AR"/>
        </w:rPr>
        <w:t>suficiente</w:t>
      </w:r>
      <w:r w:rsidR="00BB7D81" w:rsidRPr="00251FDB">
        <w:rPr>
          <w:sz w:val="20"/>
          <w:szCs w:val="20"/>
          <w:lang w:val="es-AR"/>
        </w:rPr>
        <w:t>s</w:t>
      </w:r>
      <w:r w:rsidRPr="00251FDB">
        <w:rPr>
          <w:sz w:val="20"/>
          <w:szCs w:val="20"/>
          <w:lang w:val="es-AR"/>
        </w:rPr>
        <w:t xml:space="preserve"> para cubrir el valor nominal que le fuera adjudicado de Obligaciones Negociables (el “</w:t>
      </w:r>
      <w:r w:rsidRPr="00251FDB">
        <w:rPr>
          <w:bCs/>
          <w:sz w:val="20"/>
          <w:szCs w:val="20"/>
          <w:u w:val="single"/>
          <w:lang w:val="es-AR"/>
        </w:rPr>
        <w:t>Monto a Integrar</w:t>
      </w:r>
      <w:r w:rsidRPr="00251FDB">
        <w:rPr>
          <w:sz w:val="20"/>
          <w:szCs w:val="20"/>
          <w:lang w:val="es-AR"/>
        </w:rPr>
        <w:t xml:space="preserve">”) se encuentre disponible (i) en las cuentas de los custodios participantes en el sistema de compensación administrado por MAE-Clear indicadas por el </w:t>
      </w:r>
      <w:r w:rsidR="00B15F73" w:rsidRPr="00251FDB">
        <w:rPr>
          <w:sz w:val="20"/>
          <w:szCs w:val="20"/>
          <w:lang w:val="es-AR"/>
        </w:rPr>
        <w:t>i</w:t>
      </w:r>
      <w:r w:rsidRPr="00251FDB">
        <w:rPr>
          <w:sz w:val="20"/>
          <w:szCs w:val="20"/>
          <w:lang w:val="es-AR"/>
        </w:rPr>
        <w:t>nversor adjudicado en sus respectivas Órdenes (en el caso de aquellas entregadas a los Colocadores), o (ii) en la cuenta custodio del Agente del MAE abierta en el sistema de compensación administrado por MAE-Clear e indicada por dicho Agente del MAE adjudicado en su correspondiente Notificación de Elección.</w:t>
      </w:r>
    </w:p>
    <w:p w:rsidR="00C04C7C" w:rsidRPr="00251FDB" w:rsidRDefault="00C04C7C" w:rsidP="00C04C7C">
      <w:pPr>
        <w:jc w:val="both"/>
        <w:rPr>
          <w:sz w:val="20"/>
          <w:szCs w:val="20"/>
          <w:lang w:val="es-AR"/>
        </w:rPr>
      </w:pPr>
    </w:p>
    <w:p w:rsidR="00C04C7C" w:rsidRPr="00251FDB" w:rsidRDefault="00C04C7C" w:rsidP="00C04C7C">
      <w:pPr>
        <w:jc w:val="both"/>
        <w:rPr>
          <w:sz w:val="20"/>
          <w:szCs w:val="20"/>
          <w:lang w:val="es-AR"/>
        </w:rPr>
      </w:pPr>
      <w:r w:rsidRPr="00251FDB">
        <w:rPr>
          <w:sz w:val="20"/>
          <w:szCs w:val="20"/>
          <w:lang w:val="es-AR"/>
        </w:rPr>
        <w:t xml:space="preserve">En la Fecha de Emisión y Liquidación, una vez efectuada la integración de las Obligaciones Negociables, las mismas serán acreditadas en las cuentas de los custodios participantes en el sistema de compensación administrado por MAE-Clear que hubiese indicado el </w:t>
      </w:r>
      <w:r w:rsidR="00B15F73" w:rsidRPr="00251FDB">
        <w:rPr>
          <w:sz w:val="20"/>
          <w:szCs w:val="20"/>
          <w:lang w:val="es-AR"/>
        </w:rPr>
        <w:t>i</w:t>
      </w:r>
      <w:r w:rsidRPr="00251FDB">
        <w:rPr>
          <w:sz w:val="20"/>
          <w:szCs w:val="20"/>
          <w:lang w:val="es-AR"/>
        </w:rPr>
        <w:t xml:space="preserve">nversor en su respectiva Orden y/o el Agente del MAE en su Notificación de Elección, según fuera aplicable. Asimismo, cada Agente del MAE deberá de forma inmediata transferir dichas Obligaciones Negociables a la cuenta indicada por cada </w:t>
      </w:r>
      <w:r w:rsidR="00B15F73" w:rsidRPr="00251FDB">
        <w:rPr>
          <w:sz w:val="20"/>
          <w:szCs w:val="20"/>
          <w:lang w:val="es-AR"/>
        </w:rPr>
        <w:t>i</w:t>
      </w:r>
      <w:r w:rsidRPr="00251FDB">
        <w:rPr>
          <w:sz w:val="20"/>
          <w:szCs w:val="20"/>
          <w:lang w:val="es-AR"/>
        </w:rPr>
        <w:t>nversor adjudicado en las respectivas Órdenes presentadas a través suyo.</w:t>
      </w:r>
    </w:p>
    <w:p w:rsidR="00F4085C" w:rsidRPr="00251FDB" w:rsidRDefault="00F4085C" w:rsidP="00C04C7C">
      <w:pPr>
        <w:jc w:val="both"/>
        <w:rPr>
          <w:i/>
          <w:iCs/>
          <w:sz w:val="20"/>
          <w:szCs w:val="20"/>
          <w:lang w:val="es-AR"/>
        </w:rPr>
      </w:pPr>
    </w:p>
    <w:p w:rsidR="00C04C7C" w:rsidRPr="00EA1080" w:rsidRDefault="00C04C7C" w:rsidP="00C04C7C">
      <w:pPr>
        <w:pStyle w:val="Default"/>
        <w:jc w:val="both"/>
        <w:rPr>
          <w:i/>
          <w:color w:val="auto"/>
          <w:sz w:val="20"/>
          <w:szCs w:val="20"/>
        </w:rPr>
      </w:pPr>
      <w:r w:rsidRPr="00EA1080">
        <w:rPr>
          <w:i/>
          <w:color w:val="auto"/>
          <w:sz w:val="20"/>
          <w:szCs w:val="20"/>
        </w:rPr>
        <w:t>Colocadores</w:t>
      </w:r>
    </w:p>
    <w:p w:rsidR="00C04C7C" w:rsidRPr="00251FDB" w:rsidRDefault="00C04C7C" w:rsidP="00C04C7C">
      <w:pPr>
        <w:pStyle w:val="Default"/>
        <w:jc w:val="both"/>
        <w:rPr>
          <w:color w:val="auto"/>
          <w:sz w:val="20"/>
          <w:szCs w:val="20"/>
        </w:rPr>
      </w:pPr>
    </w:p>
    <w:p w:rsidR="00C04C7C" w:rsidRPr="00251FDB" w:rsidRDefault="00622EF9" w:rsidP="00C04C7C">
      <w:pPr>
        <w:pStyle w:val="Textoindependiente3"/>
        <w:widowControl w:val="0"/>
        <w:rPr>
          <w:color w:val="auto"/>
          <w:szCs w:val="20"/>
          <w:lang w:val="es-AR"/>
        </w:rPr>
      </w:pPr>
      <w:r>
        <w:rPr>
          <w:bCs w:val="0"/>
          <w:color w:val="auto"/>
          <w:szCs w:val="20"/>
        </w:rPr>
        <w:t>C</w:t>
      </w:r>
      <w:r w:rsidR="00C04C7C" w:rsidRPr="00251FDB">
        <w:rPr>
          <w:bCs w:val="0"/>
          <w:color w:val="auto"/>
          <w:szCs w:val="20"/>
          <w:lang w:val="es-AR"/>
        </w:rPr>
        <w:t xml:space="preserve">ada inversor y cada Agente del MAE que hubiere optado por la suscripción e integración de las Obligaciones Negociables a través de los Colocadores y a quien se le hubiere adjudicado cualquier valor nominal de tales títulos, deberá, en la Fecha de Emisión y Liquidación, integrar en efectivo, los </w:t>
      </w:r>
      <w:r w:rsidR="00BB7D81" w:rsidRPr="00251FDB">
        <w:rPr>
          <w:bCs w:val="0"/>
          <w:color w:val="auto"/>
          <w:szCs w:val="20"/>
          <w:lang w:val="es-AR"/>
        </w:rPr>
        <w:t>fondo</w:t>
      </w:r>
      <w:r w:rsidR="00C04C7C" w:rsidRPr="00251FDB">
        <w:rPr>
          <w:bCs w:val="0"/>
          <w:color w:val="auto"/>
          <w:szCs w:val="20"/>
          <w:lang w:val="es-AR"/>
        </w:rPr>
        <w:t>s suficientes para cubrir el correspondiente Monto a Integrar, de la siguiente forma: mediante (a) transferencia electrónica a una cuenta abierta a nombre del Colocador correspondiente, la cual será informada en la Orden</w:t>
      </w:r>
      <w:r>
        <w:rPr>
          <w:bCs w:val="0"/>
          <w:color w:val="auto"/>
          <w:szCs w:val="20"/>
          <w:lang w:val="es-AR"/>
        </w:rPr>
        <w:t xml:space="preserve"> de Compra</w:t>
      </w:r>
      <w:r w:rsidR="00C04C7C" w:rsidRPr="00251FDB">
        <w:rPr>
          <w:bCs w:val="0"/>
          <w:color w:val="auto"/>
          <w:szCs w:val="20"/>
          <w:lang w:val="es-AR"/>
        </w:rPr>
        <w:t xml:space="preserve">, o (b) autorización al Colocador en cuestión para que debite de una o más cuentas de titularidad del inversor las sumas correspondientes; todo ello de acuerdo a las instrucciones consignadas en la Orden </w:t>
      </w:r>
      <w:r>
        <w:rPr>
          <w:bCs w:val="0"/>
          <w:color w:val="auto"/>
          <w:szCs w:val="20"/>
          <w:lang w:val="es-AR"/>
        </w:rPr>
        <w:t xml:space="preserve">de Compra </w:t>
      </w:r>
      <w:r w:rsidR="00C04C7C" w:rsidRPr="00251FDB">
        <w:rPr>
          <w:bCs w:val="0"/>
          <w:color w:val="auto"/>
          <w:szCs w:val="20"/>
          <w:lang w:val="es-AR"/>
        </w:rPr>
        <w:t xml:space="preserve">respectiva; y  cada uno de tales Agentes del MAE deberá pagar el correspondiente Monto a </w:t>
      </w:r>
      <w:r w:rsidR="00C04C7C" w:rsidRPr="0060060A">
        <w:rPr>
          <w:bCs w:val="0"/>
          <w:color w:val="auto"/>
          <w:szCs w:val="20"/>
          <w:lang w:val="es-AR"/>
        </w:rPr>
        <w:t>Integrar respectivo mediante transferencia electrónica a la cuenta que el Agente de Liquidación</w:t>
      </w:r>
      <w:r w:rsidR="00983B80" w:rsidRPr="0060060A">
        <w:rPr>
          <w:bCs w:val="0"/>
          <w:color w:val="auto"/>
          <w:szCs w:val="20"/>
          <w:lang w:val="es-AR"/>
        </w:rPr>
        <w:t xml:space="preserve"> le</w:t>
      </w:r>
      <w:r w:rsidR="00C04C7C" w:rsidRPr="0060060A">
        <w:rPr>
          <w:bCs w:val="0"/>
          <w:color w:val="auto"/>
          <w:szCs w:val="20"/>
          <w:lang w:val="es-AR"/>
        </w:rPr>
        <w:t xml:space="preserve"> indique hasta las 14 horas de la Fecha de Emisión</w:t>
      </w:r>
      <w:r w:rsidR="00B15F73" w:rsidRPr="0060060A">
        <w:rPr>
          <w:bCs w:val="0"/>
          <w:color w:val="auto"/>
          <w:szCs w:val="20"/>
          <w:lang w:val="es-AR"/>
        </w:rPr>
        <w:t xml:space="preserve"> y Liquidación</w:t>
      </w:r>
      <w:r w:rsidR="00C04C7C" w:rsidRPr="0060060A">
        <w:rPr>
          <w:bCs w:val="0"/>
          <w:color w:val="auto"/>
          <w:szCs w:val="20"/>
          <w:lang w:val="es-AR"/>
        </w:rPr>
        <w:t>. El incumplimiento por parte de cualquier inversor de su obligación de pagar el Monto a Integrar aplicable</w:t>
      </w:r>
      <w:r w:rsidR="00C04C7C" w:rsidRPr="00251FDB">
        <w:rPr>
          <w:bCs w:val="0"/>
          <w:color w:val="auto"/>
          <w:szCs w:val="20"/>
          <w:lang w:val="es-AR"/>
        </w:rPr>
        <w:t xml:space="preserve"> a los Agentes del MAE que correspondieran no liberará a dichos Agentes </w:t>
      </w:r>
      <w:r w:rsidR="00C04C7C" w:rsidRPr="00251FDB">
        <w:rPr>
          <w:color w:val="auto"/>
          <w:szCs w:val="20"/>
          <w:lang w:val="es-AR"/>
        </w:rPr>
        <w:t>del MAE</w:t>
      </w:r>
      <w:r w:rsidR="00C04C7C" w:rsidRPr="00251FDB">
        <w:rPr>
          <w:bCs w:val="0"/>
          <w:color w:val="auto"/>
          <w:szCs w:val="20"/>
          <w:lang w:val="es-AR"/>
        </w:rPr>
        <w:t xml:space="preserve"> de su obligación de integrar el valor nominal de las Obligaciones Negociables solicitado en las correspondientes Ofertas </w:t>
      </w:r>
      <w:r>
        <w:rPr>
          <w:bCs w:val="0"/>
          <w:color w:val="auto"/>
          <w:szCs w:val="20"/>
          <w:lang w:val="es-AR"/>
        </w:rPr>
        <w:t xml:space="preserve">de Compra </w:t>
      </w:r>
      <w:r w:rsidR="00C04C7C" w:rsidRPr="00251FDB">
        <w:rPr>
          <w:bCs w:val="0"/>
          <w:color w:val="auto"/>
          <w:szCs w:val="20"/>
          <w:lang w:val="es-AR"/>
        </w:rPr>
        <w:t>que le hubiere sido adjudicado.</w:t>
      </w:r>
    </w:p>
    <w:p w:rsidR="00C04C7C" w:rsidRPr="00251FDB" w:rsidRDefault="00C04C7C" w:rsidP="00C04C7C">
      <w:pPr>
        <w:pStyle w:val="Textoindependiente3"/>
        <w:widowControl w:val="0"/>
        <w:rPr>
          <w:color w:val="auto"/>
          <w:szCs w:val="20"/>
          <w:lang w:val="es-AR"/>
        </w:rPr>
      </w:pPr>
    </w:p>
    <w:p w:rsidR="00C04C7C" w:rsidRPr="00251FDB" w:rsidRDefault="00C04C7C" w:rsidP="00C04C7C">
      <w:pPr>
        <w:pStyle w:val="Textoindependiente3"/>
        <w:widowControl w:val="0"/>
        <w:rPr>
          <w:color w:val="auto"/>
          <w:szCs w:val="20"/>
          <w:lang w:val="es-AR"/>
        </w:rPr>
      </w:pPr>
      <w:r w:rsidRPr="00251FDB">
        <w:rPr>
          <w:bCs w:val="0"/>
          <w:color w:val="auto"/>
          <w:szCs w:val="20"/>
          <w:lang w:val="es-AR"/>
        </w:rPr>
        <w:t>En la Fecha de Emisión</w:t>
      </w:r>
      <w:r w:rsidR="00776039">
        <w:rPr>
          <w:bCs w:val="0"/>
          <w:color w:val="auto"/>
          <w:szCs w:val="20"/>
          <w:lang w:val="es-AR"/>
        </w:rPr>
        <w:t xml:space="preserve"> y liquidación</w:t>
      </w:r>
      <w:r w:rsidRPr="00251FDB">
        <w:rPr>
          <w:bCs w:val="0"/>
          <w:color w:val="auto"/>
          <w:szCs w:val="20"/>
          <w:lang w:val="es-AR"/>
        </w:rPr>
        <w:t>, una vez efectuada la integración de las Obligaciones Negociables, las mismas serán acreditadas en la cuentas depositante y comitente en Caja de Valores indicadas en las correspondientes Órdenes</w:t>
      </w:r>
      <w:r w:rsidR="00776039">
        <w:rPr>
          <w:bCs w:val="0"/>
          <w:color w:val="auto"/>
          <w:szCs w:val="20"/>
          <w:lang w:val="es-AR"/>
        </w:rPr>
        <w:t xml:space="preserve"> de Compra</w:t>
      </w:r>
      <w:r w:rsidRPr="00251FDB">
        <w:rPr>
          <w:bCs w:val="0"/>
          <w:color w:val="auto"/>
          <w:szCs w:val="20"/>
          <w:lang w:val="es-AR"/>
        </w:rPr>
        <w:t xml:space="preserve"> presentadas por </w:t>
      </w:r>
      <w:r w:rsidR="00776039">
        <w:rPr>
          <w:bCs w:val="0"/>
          <w:color w:val="auto"/>
          <w:szCs w:val="20"/>
          <w:lang w:val="es-AR"/>
        </w:rPr>
        <w:t>i</w:t>
      </w:r>
      <w:r w:rsidR="00776039" w:rsidRPr="00251FDB">
        <w:rPr>
          <w:bCs w:val="0"/>
          <w:color w:val="auto"/>
          <w:szCs w:val="20"/>
          <w:lang w:val="es-AR"/>
        </w:rPr>
        <w:t xml:space="preserve">nversores </w:t>
      </w:r>
      <w:r w:rsidRPr="00251FDB">
        <w:rPr>
          <w:bCs w:val="0"/>
          <w:color w:val="auto"/>
          <w:szCs w:val="20"/>
          <w:lang w:val="es-AR"/>
        </w:rPr>
        <w:t xml:space="preserve">que las hubieren cursado a través de los Colocadores, o en las correspondientes Notificaciones de Elección presentadas por Agentes </w:t>
      </w:r>
      <w:r w:rsidRPr="00251FDB">
        <w:rPr>
          <w:color w:val="auto"/>
          <w:szCs w:val="20"/>
          <w:lang w:val="es-AR"/>
        </w:rPr>
        <w:t xml:space="preserve">del MAE </w:t>
      </w:r>
      <w:r w:rsidRPr="00251FDB">
        <w:rPr>
          <w:bCs w:val="0"/>
          <w:color w:val="auto"/>
          <w:szCs w:val="20"/>
          <w:lang w:val="es-AR"/>
        </w:rPr>
        <w:t>que hubieren ingresado sus Ofertas</w:t>
      </w:r>
      <w:r w:rsidR="00776039">
        <w:rPr>
          <w:bCs w:val="0"/>
          <w:color w:val="auto"/>
          <w:szCs w:val="20"/>
          <w:lang w:val="es-AR"/>
        </w:rPr>
        <w:t xml:space="preserve"> de Compra</w:t>
      </w:r>
      <w:r w:rsidRPr="00251FDB">
        <w:rPr>
          <w:bCs w:val="0"/>
          <w:color w:val="auto"/>
          <w:szCs w:val="20"/>
          <w:lang w:val="es-AR"/>
        </w:rPr>
        <w:t xml:space="preserve"> a través del </w:t>
      </w:r>
      <w:r w:rsidR="00776039">
        <w:rPr>
          <w:bCs w:val="0"/>
          <w:color w:val="auto"/>
          <w:szCs w:val="20"/>
          <w:lang w:val="es-AR"/>
        </w:rPr>
        <w:t xml:space="preserve">Sistema </w:t>
      </w:r>
      <w:r w:rsidRPr="00251FDB">
        <w:rPr>
          <w:bCs w:val="0"/>
          <w:color w:val="auto"/>
          <w:szCs w:val="20"/>
          <w:lang w:val="es-AR"/>
        </w:rPr>
        <w:t>SIOPEL. Los Agentes del MAE que hayan recibido Obligaciones Negociables en virtud de Ofertas</w:t>
      </w:r>
      <w:r w:rsidR="00776039">
        <w:rPr>
          <w:bCs w:val="0"/>
          <w:color w:val="auto"/>
          <w:szCs w:val="20"/>
          <w:lang w:val="es-AR"/>
        </w:rPr>
        <w:t xml:space="preserve"> de Compra</w:t>
      </w:r>
      <w:r w:rsidRPr="00251FDB">
        <w:rPr>
          <w:bCs w:val="0"/>
          <w:color w:val="auto"/>
          <w:szCs w:val="20"/>
          <w:lang w:val="es-AR"/>
        </w:rPr>
        <w:t xml:space="preserve"> presentadas como consecuencia de la recepción de Órdenes </w:t>
      </w:r>
      <w:r w:rsidR="00776039">
        <w:rPr>
          <w:bCs w:val="0"/>
          <w:color w:val="auto"/>
          <w:szCs w:val="20"/>
          <w:lang w:val="es-AR"/>
        </w:rPr>
        <w:t xml:space="preserve">de Compra </w:t>
      </w:r>
      <w:r w:rsidRPr="00251FDB">
        <w:rPr>
          <w:bCs w:val="0"/>
          <w:color w:val="auto"/>
          <w:szCs w:val="20"/>
          <w:lang w:val="es-AR"/>
        </w:rPr>
        <w:t xml:space="preserve">de parte de </w:t>
      </w:r>
      <w:r w:rsidR="00776039">
        <w:rPr>
          <w:bCs w:val="0"/>
          <w:color w:val="auto"/>
          <w:szCs w:val="20"/>
          <w:lang w:val="es-AR"/>
        </w:rPr>
        <w:t>i</w:t>
      </w:r>
      <w:r w:rsidR="00776039" w:rsidRPr="00251FDB">
        <w:rPr>
          <w:bCs w:val="0"/>
          <w:color w:val="auto"/>
          <w:szCs w:val="20"/>
          <w:lang w:val="es-AR"/>
        </w:rPr>
        <w:t xml:space="preserve">nversores </w:t>
      </w:r>
      <w:r w:rsidRPr="00251FDB">
        <w:rPr>
          <w:bCs w:val="0"/>
          <w:color w:val="auto"/>
          <w:szCs w:val="20"/>
          <w:lang w:val="es-AR"/>
        </w:rPr>
        <w:t>deberán transferir los títulos aplicables en forma inmediata a los mismos.</w:t>
      </w:r>
    </w:p>
    <w:p w:rsidR="00C04C7C" w:rsidRPr="00251FDB" w:rsidRDefault="00C04C7C" w:rsidP="00C04C7C">
      <w:pPr>
        <w:pStyle w:val="Textoindependiente3"/>
        <w:widowControl w:val="0"/>
        <w:rPr>
          <w:color w:val="auto"/>
          <w:szCs w:val="20"/>
          <w:lang w:val="es-AR"/>
        </w:rPr>
      </w:pPr>
    </w:p>
    <w:p w:rsidR="00C04C7C" w:rsidRPr="00251FDB" w:rsidRDefault="00C04C7C" w:rsidP="00C04C7C">
      <w:pPr>
        <w:pStyle w:val="Textoindependiente3"/>
        <w:widowControl w:val="0"/>
        <w:rPr>
          <w:color w:val="auto"/>
          <w:szCs w:val="20"/>
          <w:lang w:val="es-AR"/>
        </w:rPr>
      </w:pPr>
      <w:r w:rsidRPr="00251FDB">
        <w:rPr>
          <w:bCs w:val="0"/>
          <w:color w:val="auto"/>
          <w:szCs w:val="20"/>
          <w:lang w:val="es-AR"/>
        </w:rPr>
        <w:t>Los Colocadores se reservan el derecho de rechazar y tener por no integradas todas las Ofertas</w:t>
      </w:r>
      <w:r w:rsidR="00776039">
        <w:rPr>
          <w:bCs w:val="0"/>
          <w:color w:val="auto"/>
          <w:szCs w:val="20"/>
          <w:lang w:val="es-AR"/>
        </w:rPr>
        <w:t xml:space="preserve"> de Compra</w:t>
      </w:r>
      <w:r w:rsidRPr="00251FDB">
        <w:rPr>
          <w:bCs w:val="0"/>
          <w:color w:val="auto"/>
          <w:szCs w:val="20"/>
          <w:lang w:val="es-AR"/>
        </w:rPr>
        <w:t xml:space="preserve"> adjudicadas que los inversores hubiesen cursado a través de un Agente del MAE si no hubiesen sido integradas conforme con el procedimiento descripto. En dicho caso, los rechazos no darán derecho a reclamo alguno contra </w:t>
      </w:r>
      <w:r w:rsidR="00EA5BC9" w:rsidRPr="00251FDB">
        <w:rPr>
          <w:bCs w:val="0"/>
          <w:color w:val="auto"/>
          <w:szCs w:val="20"/>
          <w:lang w:val="es-AR"/>
        </w:rPr>
        <w:t>el Emisor</w:t>
      </w:r>
      <w:r w:rsidRPr="00251FDB">
        <w:rPr>
          <w:bCs w:val="0"/>
          <w:color w:val="auto"/>
          <w:szCs w:val="20"/>
          <w:lang w:val="es-AR"/>
        </w:rPr>
        <w:t xml:space="preserve"> ni contra los Colocadores.</w:t>
      </w:r>
    </w:p>
    <w:p w:rsidR="00C04C7C" w:rsidRPr="00251FDB" w:rsidRDefault="00C04C7C" w:rsidP="00C04C7C">
      <w:pPr>
        <w:widowControl w:val="0"/>
        <w:jc w:val="both"/>
        <w:rPr>
          <w:sz w:val="20"/>
          <w:szCs w:val="20"/>
          <w:lang w:val="es-AR"/>
        </w:rPr>
      </w:pPr>
    </w:p>
    <w:p w:rsidR="00C04C7C" w:rsidRPr="00251FDB" w:rsidRDefault="00C04C7C" w:rsidP="00C04C7C">
      <w:pPr>
        <w:widowControl w:val="0"/>
        <w:jc w:val="both"/>
        <w:rPr>
          <w:b/>
          <w:sz w:val="20"/>
          <w:szCs w:val="20"/>
          <w:lang w:val="es-AR"/>
        </w:rPr>
      </w:pPr>
      <w:r w:rsidRPr="00251FDB">
        <w:rPr>
          <w:sz w:val="20"/>
          <w:szCs w:val="20"/>
          <w:lang w:val="es-AR"/>
        </w:rPr>
        <w:t>Efectuada la integración, por el 100% del Monto a Integrar conforme fuera detallado, en la Fecha de Emisión</w:t>
      </w:r>
      <w:r w:rsidR="00776039">
        <w:rPr>
          <w:sz w:val="20"/>
          <w:szCs w:val="20"/>
          <w:lang w:val="es-AR"/>
        </w:rPr>
        <w:t xml:space="preserve"> y</w:t>
      </w:r>
      <w:r w:rsidRPr="00251FDB">
        <w:rPr>
          <w:sz w:val="20"/>
          <w:szCs w:val="20"/>
          <w:lang w:val="es-AR"/>
        </w:rPr>
        <w:t xml:space="preserve"> Liquidación, el Agente de Liquidación</w:t>
      </w:r>
      <w:r w:rsidRPr="00251FDB">
        <w:rPr>
          <w:rStyle w:val="DeltaViewInsertion"/>
          <w:color w:val="000000"/>
          <w:sz w:val="20"/>
          <w:szCs w:val="20"/>
          <w:u w:val="none"/>
          <w:lang w:val="es-AR"/>
        </w:rPr>
        <w:t xml:space="preserve"> </w:t>
      </w:r>
      <w:r w:rsidR="00776039">
        <w:rPr>
          <w:rStyle w:val="DeltaViewInsertion"/>
          <w:color w:val="000000"/>
          <w:sz w:val="20"/>
          <w:szCs w:val="20"/>
          <w:u w:val="none"/>
          <w:lang w:val="es-AR"/>
        </w:rPr>
        <w:t xml:space="preserve">y Compensación </w:t>
      </w:r>
      <w:r w:rsidRPr="00251FDB">
        <w:rPr>
          <w:sz w:val="20"/>
          <w:szCs w:val="20"/>
          <w:lang w:val="es-AR"/>
        </w:rPr>
        <w:t xml:space="preserve">(i) transferirá las Obligaciones Negociables objeto de las Ofertas </w:t>
      </w:r>
      <w:r w:rsidR="00776039">
        <w:rPr>
          <w:sz w:val="20"/>
          <w:szCs w:val="20"/>
          <w:lang w:val="es-AR"/>
        </w:rPr>
        <w:t xml:space="preserve">de Compra </w:t>
      </w:r>
      <w:r w:rsidRPr="00251FDB">
        <w:rPr>
          <w:sz w:val="20"/>
          <w:szCs w:val="20"/>
          <w:lang w:val="es-AR"/>
        </w:rPr>
        <w:t xml:space="preserve">adjudicadas que los </w:t>
      </w:r>
      <w:r w:rsidR="00776039">
        <w:rPr>
          <w:sz w:val="20"/>
          <w:szCs w:val="20"/>
          <w:lang w:val="es-AR"/>
        </w:rPr>
        <w:t>i</w:t>
      </w:r>
      <w:r w:rsidR="00776039" w:rsidRPr="00251FDB">
        <w:rPr>
          <w:sz w:val="20"/>
          <w:szCs w:val="20"/>
          <w:lang w:val="es-AR"/>
        </w:rPr>
        <w:t xml:space="preserve">nversores </w:t>
      </w:r>
      <w:r w:rsidRPr="00251FDB">
        <w:rPr>
          <w:sz w:val="20"/>
          <w:szCs w:val="20"/>
          <w:lang w:val="es-AR"/>
        </w:rPr>
        <w:t>hubiesen cursado a través de él, a las cuentas en Caja de Valores de dichos Inversores; y (ii) transferirá a la cuenta en Caja de Valores de y de</w:t>
      </w:r>
      <w:r w:rsidRPr="00251FDB">
        <w:rPr>
          <w:rStyle w:val="DeltaViewInsertion"/>
          <w:color w:val="000000"/>
          <w:sz w:val="20"/>
          <w:szCs w:val="20"/>
          <w:u w:val="none"/>
          <w:lang w:val="es-MX"/>
        </w:rPr>
        <w:t xml:space="preserve"> </w:t>
      </w:r>
      <w:r w:rsidRPr="00251FDB">
        <w:rPr>
          <w:sz w:val="20"/>
          <w:szCs w:val="20"/>
          <w:lang w:val="es-AR"/>
        </w:rPr>
        <w:t>cada Agente del MAE, las Obligaciones Negociables objeto de las Ofertas adjudicadas que los Inversores hubiesen cursado a través de Banco Galicia</w:t>
      </w:r>
      <w:r w:rsidRPr="00251FDB">
        <w:rPr>
          <w:b/>
          <w:sz w:val="20"/>
          <w:szCs w:val="20"/>
          <w:lang w:val="es-AR"/>
        </w:rPr>
        <w:t xml:space="preserve"> </w:t>
      </w:r>
      <w:r w:rsidRPr="00251FDB">
        <w:rPr>
          <w:sz w:val="20"/>
          <w:szCs w:val="20"/>
          <w:lang w:val="es-AR"/>
        </w:rPr>
        <w:t>y de los Agentes del MAE, según sea el caso. Una vez recibidas por Banco Galicia</w:t>
      </w:r>
      <w:r w:rsidR="00776039">
        <w:rPr>
          <w:sz w:val="20"/>
          <w:szCs w:val="20"/>
          <w:lang w:val="es-AR"/>
        </w:rPr>
        <w:t xml:space="preserve"> </w:t>
      </w:r>
      <w:r w:rsidRPr="00251FDB">
        <w:rPr>
          <w:sz w:val="20"/>
          <w:szCs w:val="20"/>
          <w:lang w:val="es-AR"/>
        </w:rPr>
        <w:t>y los Agentes del MAE, según sea el caso, las correspondientes Obligaciones Negociables, en la Fecha de Emisión y Liquidación</w:t>
      </w:r>
      <w:r w:rsidR="0057380E" w:rsidRPr="00251FDB">
        <w:rPr>
          <w:sz w:val="20"/>
          <w:szCs w:val="20"/>
          <w:lang w:val="es-AR"/>
        </w:rPr>
        <w:t>,</w:t>
      </w:r>
      <w:r w:rsidRPr="00251FDB">
        <w:rPr>
          <w:sz w:val="20"/>
          <w:szCs w:val="20"/>
          <w:lang w:val="es-AR"/>
        </w:rPr>
        <w:t xml:space="preserve"> Banco Galicia</w:t>
      </w:r>
      <w:r w:rsidRPr="00251FDB">
        <w:rPr>
          <w:b/>
          <w:sz w:val="20"/>
          <w:szCs w:val="20"/>
          <w:lang w:val="es-AR"/>
        </w:rPr>
        <w:t xml:space="preserve"> </w:t>
      </w:r>
      <w:r w:rsidRPr="00251FDB">
        <w:rPr>
          <w:sz w:val="20"/>
          <w:szCs w:val="20"/>
          <w:lang w:val="es-AR"/>
        </w:rPr>
        <w:t xml:space="preserve">y los Agentes del MAE, según sea el caso y bajo su exclusiva responsabilidad, deberán transferir dichas Obligaciones Negociables a las cuentas en Caja de Valores de tales </w:t>
      </w:r>
      <w:r w:rsidR="00776039">
        <w:rPr>
          <w:sz w:val="20"/>
          <w:szCs w:val="20"/>
          <w:lang w:val="es-AR"/>
        </w:rPr>
        <w:t>i</w:t>
      </w:r>
      <w:r w:rsidR="00776039" w:rsidRPr="00251FDB">
        <w:rPr>
          <w:sz w:val="20"/>
          <w:szCs w:val="20"/>
          <w:lang w:val="es-AR"/>
        </w:rPr>
        <w:t>nversores</w:t>
      </w:r>
      <w:r w:rsidRPr="00251FDB">
        <w:rPr>
          <w:sz w:val="20"/>
          <w:szCs w:val="20"/>
          <w:lang w:val="es-AR"/>
        </w:rPr>
        <w:t>.</w:t>
      </w:r>
    </w:p>
    <w:p w:rsidR="00C04C7C" w:rsidRDefault="00C04C7C" w:rsidP="00C04C7C">
      <w:pPr>
        <w:widowControl w:val="0"/>
        <w:jc w:val="both"/>
        <w:rPr>
          <w:rStyle w:val="DeltaViewInsertion"/>
          <w:color w:val="000000"/>
          <w:sz w:val="20"/>
          <w:szCs w:val="20"/>
          <w:lang w:val="es-MX"/>
        </w:rPr>
      </w:pPr>
    </w:p>
    <w:p w:rsidR="00776039" w:rsidRPr="00EA1080" w:rsidRDefault="00776039" w:rsidP="00C04C7C">
      <w:pPr>
        <w:widowControl w:val="0"/>
        <w:jc w:val="both"/>
        <w:rPr>
          <w:rStyle w:val="DeltaViewInsertion"/>
          <w:i/>
          <w:color w:val="000000"/>
          <w:sz w:val="20"/>
          <w:szCs w:val="20"/>
          <w:u w:val="none"/>
          <w:lang w:val="es-MX"/>
        </w:rPr>
      </w:pPr>
      <w:r w:rsidRPr="00EA1080">
        <w:rPr>
          <w:rStyle w:val="DeltaViewInsertion"/>
          <w:i/>
          <w:color w:val="000000"/>
          <w:sz w:val="20"/>
          <w:szCs w:val="20"/>
          <w:u w:val="none"/>
          <w:lang w:val="es-MX"/>
        </w:rPr>
        <w:t>Garantías</w:t>
      </w:r>
    </w:p>
    <w:p w:rsidR="00776039" w:rsidRPr="00251FDB" w:rsidRDefault="00776039" w:rsidP="00C04C7C">
      <w:pPr>
        <w:widowControl w:val="0"/>
        <w:jc w:val="both"/>
        <w:rPr>
          <w:rStyle w:val="DeltaViewInsertion"/>
          <w:color w:val="000000"/>
          <w:sz w:val="20"/>
          <w:szCs w:val="20"/>
          <w:lang w:val="es-MX"/>
        </w:rPr>
      </w:pPr>
    </w:p>
    <w:p w:rsidR="00C04C7C" w:rsidRPr="00251FDB" w:rsidRDefault="00C04C7C" w:rsidP="002F1D2A">
      <w:pPr>
        <w:widowControl w:val="0"/>
        <w:jc w:val="both"/>
        <w:rPr>
          <w:bCs/>
          <w:sz w:val="20"/>
          <w:szCs w:val="20"/>
          <w:lang w:val="es-AR"/>
        </w:rPr>
      </w:pPr>
      <w:r w:rsidRPr="00EA1080">
        <w:rPr>
          <w:bCs/>
          <w:sz w:val="20"/>
          <w:szCs w:val="20"/>
          <w:lang w:val="es-AR"/>
        </w:rPr>
        <w:t xml:space="preserve">Los Colocadores y los Agente del MAE tendrán la facultad, pero no la obligación, de solicitar garantías u otros recaudos que aseguren la integración de las Órdenes </w:t>
      </w:r>
      <w:r w:rsidR="00776039">
        <w:rPr>
          <w:bCs/>
          <w:sz w:val="20"/>
          <w:szCs w:val="20"/>
          <w:lang w:val="es-AR"/>
        </w:rPr>
        <w:t xml:space="preserve">de Compra </w:t>
      </w:r>
      <w:r w:rsidRPr="00EA1080">
        <w:rPr>
          <w:bCs/>
          <w:sz w:val="20"/>
          <w:szCs w:val="20"/>
          <w:lang w:val="es-AR"/>
        </w:rPr>
        <w:t xml:space="preserve">realizadas por los </w:t>
      </w:r>
      <w:r w:rsidR="00776039">
        <w:rPr>
          <w:bCs/>
          <w:sz w:val="20"/>
          <w:szCs w:val="20"/>
          <w:lang w:val="es-AR"/>
        </w:rPr>
        <w:t>i</w:t>
      </w:r>
      <w:r w:rsidRPr="00EA1080">
        <w:rPr>
          <w:bCs/>
          <w:sz w:val="20"/>
          <w:szCs w:val="20"/>
          <w:lang w:val="es-AR"/>
        </w:rPr>
        <w:t xml:space="preserve">nversores, cuando así lo consideren necesario. Por lo tanto, si los Colocadores y/o los Agentes del MAE resolvieran solicitar garantías que aseguren la integración de las Órdenes </w:t>
      </w:r>
      <w:r w:rsidR="00776039" w:rsidRPr="002217AD">
        <w:rPr>
          <w:bCs/>
          <w:sz w:val="20"/>
          <w:szCs w:val="20"/>
          <w:lang w:val="es-AR"/>
        </w:rPr>
        <w:t xml:space="preserve">de Compra </w:t>
      </w:r>
      <w:r w:rsidRPr="00EA1080">
        <w:rPr>
          <w:bCs/>
          <w:sz w:val="20"/>
          <w:szCs w:val="20"/>
          <w:lang w:val="es-AR"/>
        </w:rPr>
        <w:t>realizadas por los Inversores y estos últimos no dieran cumplimiento con lo requerido, los Colocadores o dicho Agente del MAE, según corresponda, podrán, a su exclusivo criterio, tener la Orden</w:t>
      </w:r>
      <w:r w:rsidR="00776039">
        <w:rPr>
          <w:bCs/>
          <w:sz w:val="20"/>
          <w:szCs w:val="20"/>
          <w:lang w:val="es-AR"/>
        </w:rPr>
        <w:t xml:space="preserve"> de Compra</w:t>
      </w:r>
      <w:r w:rsidRPr="00EA1080">
        <w:rPr>
          <w:bCs/>
          <w:sz w:val="20"/>
          <w:szCs w:val="20"/>
          <w:lang w:val="es-AR"/>
        </w:rPr>
        <w:t xml:space="preserve"> por no presentada y rechazarla. Los Agentes del MAE serán responsables de que existan las garantías suficientes que aseguren la integración de las Ofertas </w:t>
      </w:r>
      <w:r w:rsidR="00776039">
        <w:rPr>
          <w:bCs/>
          <w:sz w:val="20"/>
          <w:szCs w:val="20"/>
          <w:lang w:val="es-AR"/>
        </w:rPr>
        <w:t xml:space="preserve">de Compra </w:t>
      </w:r>
      <w:r w:rsidRPr="00EA1080">
        <w:rPr>
          <w:bCs/>
          <w:sz w:val="20"/>
          <w:szCs w:val="20"/>
          <w:lang w:val="es-AR"/>
        </w:rPr>
        <w:t>que hubieran sido cursados a través suyo. Los Agentes del MAE serán responsables frente al Emisor y los Colocadores por los daños y perjuicios que la falta de integración de una Oferta</w:t>
      </w:r>
      <w:r w:rsidR="00776039">
        <w:rPr>
          <w:bCs/>
          <w:sz w:val="20"/>
          <w:szCs w:val="20"/>
          <w:lang w:val="es-AR"/>
        </w:rPr>
        <w:t xml:space="preserve"> de Compra</w:t>
      </w:r>
      <w:r w:rsidRPr="00EA1080">
        <w:rPr>
          <w:bCs/>
          <w:sz w:val="20"/>
          <w:szCs w:val="20"/>
          <w:lang w:val="es-AR"/>
        </w:rPr>
        <w:t xml:space="preserve"> cursada por dicho Agente de MAE ocasione al Emisor y/o a los Colocadores</w:t>
      </w:r>
      <w:r w:rsidR="002F1D2A" w:rsidRPr="002217AD">
        <w:rPr>
          <w:bCs/>
          <w:sz w:val="20"/>
          <w:szCs w:val="20"/>
          <w:lang w:val="es-AR"/>
        </w:rPr>
        <w:t>.</w:t>
      </w:r>
    </w:p>
    <w:p w:rsidR="002F1D2A" w:rsidRPr="00251FDB" w:rsidRDefault="002F1D2A" w:rsidP="002F1D2A">
      <w:pPr>
        <w:widowControl w:val="0"/>
        <w:jc w:val="both"/>
        <w:rPr>
          <w:bCs/>
          <w:sz w:val="20"/>
          <w:szCs w:val="20"/>
          <w:lang w:val="es-AR"/>
        </w:rPr>
      </w:pPr>
    </w:p>
    <w:p w:rsidR="00B15F73" w:rsidRPr="00251FDB" w:rsidRDefault="00B15F73" w:rsidP="00B15F73">
      <w:pPr>
        <w:autoSpaceDE w:val="0"/>
        <w:autoSpaceDN w:val="0"/>
        <w:adjustRightInd w:val="0"/>
        <w:jc w:val="both"/>
        <w:rPr>
          <w:sz w:val="20"/>
          <w:szCs w:val="20"/>
          <w:lang w:val="es-MX"/>
        </w:rPr>
      </w:pPr>
      <w:r w:rsidRPr="00251FDB">
        <w:rPr>
          <w:sz w:val="20"/>
          <w:szCs w:val="20"/>
          <w:lang w:val="es-MX"/>
        </w:rPr>
        <w:t>En la Fecha de Emisión y Liquidación, los Agentes del MAE deberán transferir al Agente de Liquidación</w:t>
      </w:r>
      <w:r w:rsidR="00776039">
        <w:rPr>
          <w:sz w:val="20"/>
          <w:szCs w:val="20"/>
          <w:lang w:val="es-MX"/>
        </w:rPr>
        <w:t xml:space="preserve"> y Compensación</w:t>
      </w:r>
      <w:r w:rsidRPr="00251FDB">
        <w:rPr>
          <w:sz w:val="20"/>
          <w:szCs w:val="20"/>
          <w:lang w:val="es-MX"/>
        </w:rPr>
        <w:t xml:space="preserve"> los fondos que hubieran recibido de los inversores.</w:t>
      </w:r>
    </w:p>
    <w:p w:rsidR="000D17B7" w:rsidRPr="00251FDB" w:rsidRDefault="000D17B7" w:rsidP="000D17B7">
      <w:pPr>
        <w:autoSpaceDE w:val="0"/>
        <w:autoSpaceDN w:val="0"/>
        <w:adjustRightInd w:val="0"/>
        <w:jc w:val="both"/>
        <w:rPr>
          <w:sz w:val="20"/>
          <w:szCs w:val="20"/>
          <w:lang w:val="es-MX"/>
        </w:rPr>
      </w:pPr>
    </w:p>
    <w:p w:rsidR="00C04C7C" w:rsidRPr="00EA1080" w:rsidRDefault="00C04C7C" w:rsidP="00C04C7C">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i/>
          <w:iCs/>
          <w:lang w:val="es-AR"/>
        </w:rPr>
      </w:pPr>
      <w:r w:rsidRPr="00EA1080">
        <w:rPr>
          <w:rFonts w:ascii="Times New Roman" w:hAnsi="Times New Roman"/>
          <w:i/>
          <w:iCs/>
          <w:lang w:val="es-AR"/>
        </w:rPr>
        <w:t>Comisiones</w:t>
      </w:r>
    </w:p>
    <w:p w:rsidR="00C04C7C" w:rsidRPr="00251FDB" w:rsidRDefault="00C04C7C" w:rsidP="00C04C7C">
      <w:pPr>
        <w:widowControl w:val="0"/>
        <w:jc w:val="both"/>
        <w:rPr>
          <w:bCs/>
          <w:sz w:val="20"/>
          <w:szCs w:val="20"/>
          <w:lang w:val="es-AR"/>
        </w:rPr>
      </w:pPr>
    </w:p>
    <w:p w:rsidR="00C04C7C" w:rsidRPr="00251FDB" w:rsidRDefault="00904DF2" w:rsidP="00904DF2">
      <w:pPr>
        <w:widowControl w:val="0"/>
        <w:jc w:val="both"/>
        <w:rPr>
          <w:bCs/>
          <w:sz w:val="20"/>
          <w:szCs w:val="20"/>
          <w:lang w:val="es-ES"/>
        </w:rPr>
      </w:pPr>
      <w:r w:rsidRPr="00251FDB">
        <w:rPr>
          <w:bCs/>
          <w:sz w:val="20"/>
          <w:szCs w:val="20"/>
          <w:lang w:val="es-AR"/>
        </w:rPr>
        <w:t>Para más información acerca de l</w:t>
      </w:r>
      <w:r w:rsidR="00C04C7C" w:rsidRPr="00251FDB">
        <w:rPr>
          <w:bCs/>
          <w:sz w:val="20"/>
          <w:szCs w:val="20"/>
          <w:lang w:val="es-AR"/>
        </w:rPr>
        <w:t>a comisión por pagar a los colocadores</w:t>
      </w:r>
      <w:r w:rsidRPr="00251FDB">
        <w:rPr>
          <w:bCs/>
          <w:sz w:val="20"/>
          <w:szCs w:val="20"/>
          <w:lang w:val="es-AR"/>
        </w:rPr>
        <w:t>, véase</w:t>
      </w:r>
      <w:r w:rsidRPr="00251FDB">
        <w:rPr>
          <w:color w:val="000000"/>
          <w:sz w:val="20"/>
          <w:szCs w:val="20"/>
          <w:lang w:val="es-AR"/>
        </w:rPr>
        <w:t xml:space="preserve"> “</w:t>
      </w:r>
      <w:r w:rsidRPr="00251FDB">
        <w:rPr>
          <w:i/>
          <w:iCs/>
          <w:color w:val="000000"/>
          <w:sz w:val="20"/>
          <w:szCs w:val="20"/>
          <w:lang w:val="es-AR"/>
        </w:rPr>
        <w:t>Gastos de Emisión”</w:t>
      </w:r>
      <w:r w:rsidRPr="00251FDB">
        <w:rPr>
          <w:color w:val="000000"/>
          <w:sz w:val="20"/>
          <w:szCs w:val="20"/>
          <w:lang w:val="es-ES"/>
        </w:rPr>
        <w:t xml:space="preserve"> más abajo en el presente Suplemento de Precio.</w:t>
      </w:r>
    </w:p>
    <w:p w:rsidR="00C04C7C" w:rsidRPr="00251FDB" w:rsidRDefault="00C04C7C" w:rsidP="00C04C7C">
      <w:pPr>
        <w:widowControl w:val="0"/>
        <w:jc w:val="both"/>
        <w:rPr>
          <w:bCs/>
          <w:sz w:val="20"/>
          <w:szCs w:val="20"/>
          <w:lang w:val="es-AR"/>
        </w:rPr>
      </w:pPr>
    </w:p>
    <w:p w:rsidR="00C04C7C" w:rsidRPr="00EA1080" w:rsidRDefault="00C04C7C" w:rsidP="00C04C7C">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rFonts w:ascii="Times New Roman" w:hAnsi="Times New Roman"/>
          <w:i/>
          <w:iCs/>
          <w:lang w:val="es-AR"/>
        </w:rPr>
      </w:pPr>
      <w:r w:rsidRPr="00EA1080">
        <w:rPr>
          <w:rFonts w:ascii="Times New Roman" w:hAnsi="Times New Roman"/>
          <w:i/>
          <w:iCs/>
          <w:lang w:val="es-AR"/>
        </w:rPr>
        <w:t>Esfuerzos de Colocación</w:t>
      </w:r>
    </w:p>
    <w:p w:rsidR="00C04C7C" w:rsidRPr="00251FDB" w:rsidRDefault="00C04C7C" w:rsidP="00C04C7C">
      <w:pPr>
        <w:widowControl w:val="0"/>
        <w:jc w:val="both"/>
        <w:rPr>
          <w:sz w:val="20"/>
          <w:szCs w:val="20"/>
          <w:lang w:val="es-AR"/>
        </w:rPr>
      </w:pPr>
    </w:p>
    <w:p w:rsidR="001C2A4C" w:rsidRPr="00EA1080" w:rsidRDefault="001C2A4C" w:rsidP="00EA1080">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lang w:val="es-AR"/>
        </w:rPr>
      </w:pPr>
      <w:r>
        <w:rPr>
          <w:lang w:val="es-MX"/>
        </w:rPr>
        <w:t xml:space="preserve">Los Colocadores </w:t>
      </w:r>
      <w:r w:rsidR="00C04C7C" w:rsidRPr="00251FDB">
        <w:rPr>
          <w:lang w:val="es-MX"/>
        </w:rPr>
        <w:t>se proponen realizar sus actividades</w:t>
      </w:r>
      <w:r>
        <w:rPr>
          <w:lang w:val="es-MX"/>
        </w:rPr>
        <w:t xml:space="preserve"> usuales para la difusión pública de la información referida al Emisor y a </w:t>
      </w:r>
      <w:r w:rsidR="00C04C7C" w:rsidRPr="00251FDB">
        <w:rPr>
          <w:lang w:val="es-MX"/>
        </w:rPr>
        <w:t xml:space="preserve">las Obligaciones Negociables </w:t>
      </w:r>
      <w:r>
        <w:rPr>
          <w:lang w:val="es-MX"/>
        </w:rPr>
        <w:t>y para invitar a potenciales inversores a presentar las correspondientes Órdenes de Compra para suscribir las Obligaciones Negociables. Tales actividades</w:t>
      </w:r>
      <w:r w:rsidR="00C04C7C" w:rsidRPr="00251FDB">
        <w:rPr>
          <w:lang w:val="es-MX"/>
        </w:rPr>
        <w:t xml:space="preserve"> podrán incluir, entre otros, algunos de los siguientes actos: (i) contactos personales con potenciales inversores; (ii) envío de correos electrónicos a potenciales inversores con material de difusión, de ser el caso; (iii) publicaciones y avisos en medios de difusión de reconocido prestigio; (iv) conferencias telefónicas con potenciales inversores; (v) distribución física y/o electrónica de material de difusión, incluyendo el presente Suplemento de Precio y </w:t>
      </w:r>
      <w:r w:rsidR="00BD0C4A" w:rsidRPr="00251FDB">
        <w:rPr>
          <w:lang w:val="es-MX"/>
        </w:rPr>
        <w:t xml:space="preserve">el </w:t>
      </w:r>
      <w:r w:rsidR="00C04C7C" w:rsidRPr="00251FDB">
        <w:rPr>
          <w:lang w:val="es-MX"/>
        </w:rPr>
        <w:t>Prospecto (a aquellos inversores que lo soliciten) e información contenida en dichos documentos; y (vi) reuniones informativas colectivas (“</w:t>
      </w:r>
      <w:r w:rsidR="00C04C7C" w:rsidRPr="00251FDB">
        <w:rPr>
          <w:i/>
          <w:iCs/>
          <w:lang w:val="es-MX"/>
        </w:rPr>
        <w:t>road shows</w:t>
      </w:r>
      <w:r w:rsidR="00C04C7C" w:rsidRPr="00251FDB">
        <w:rPr>
          <w:lang w:val="es-MX"/>
        </w:rPr>
        <w:t>”) y/o individuales (“</w:t>
      </w:r>
      <w:r w:rsidR="00C04C7C" w:rsidRPr="00251FDB">
        <w:rPr>
          <w:i/>
          <w:iCs/>
          <w:lang w:val="es-MX"/>
        </w:rPr>
        <w:t>one on one</w:t>
      </w:r>
      <w:r w:rsidR="00C04C7C" w:rsidRPr="00251FDB">
        <w:rPr>
          <w:lang w:val="es-MX"/>
        </w:rPr>
        <w:t xml:space="preserve">”) con potenciales inversores, todo lo cual se realizará de conformidad con la normativa vigente y conforme con lo dispuesto en el presente. </w:t>
      </w:r>
    </w:p>
    <w:p w:rsidR="00C04C7C" w:rsidRPr="002217AD" w:rsidRDefault="00C04C7C" w:rsidP="00C04C7C">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left"/>
        <w:rPr>
          <w:rFonts w:ascii="Times New Roman" w:hAnsi="Times New Roman"/>
          <w:lang w:val="es-AR"/>
        </w:rPr>
      </w:pPr>
    </w:p>
    <w:p w:rsidR="00C04C7C" w:rsidRPr="00EA1080" w:rsidRDefault="00C04C7C" w:rsidP="00C04C7C">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left"/>
        <w:rPr>
          <w:rFonts w:ascii="Times New Roman" w:hAnsi="Times New Roman"/>
          <w:i/>
          <w:iCs/>
          <w:lang w:val="es-AR"/>
        </w:rPr>
      </w:pPr>
      <w:r w:rsidRPr="00EA1080">
        <w:rPr>
          <w:rFonts w:ascii="Times New Roman" w:hAnsi="Times New Roman"/>
          <w:i/>
          <w:iCs/>
          <w:lang w:val="es-AR"/>
        </w:rPr>
        <w:t>Restricciones a la Venta</w:t>
      </w:r>
    </w:p>
    <w:p w:rsidR="00C04C7C" w:rsidRPr="00251FDB" w:rsidRDefault="00C04C7C" w:rsidP="00C04C7C">
      <w:pPr>
        <w:pStyle w:val="Sangradetextonormal"/>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left"/>
        <w:rPr>
          <w:rFonts w:ascii="Times New Roman" w:hAnsi="Times New Roman"/>
          <w:i/>
          <w:iCs/>
          <w:u w:val="single"/>
          <w:lang w:val="es-AR"/>
        </w:rPr>
      </w:pPr>
    </w:p>
    <w:p w:rsidR="00C04C7C" w:rsidRPr="00251FDB" w:rsidRDefault="00C04C7C" w:rsidP="00C04C7C">
      <w:pPr>
        <w:widowControl w:val="0"/>
        <w:jc w:val="both"/>
        <w:rPr>
          <w:sz w:val="20"/>
          <w:szCs w:val="20"/>
          <w:lang w:val="es-AR" w:eastAsia="es-ES"/>
        </w:rPr>
      </w:pPr>
      <w:r w:rsidRPr="00251FDB">
        <w:rPr>
          <w:sz w:val="20"/>
          <w:szCs w:val="20"/>
          <w:lang w:val="es-AR" w:eastAsia="es-ES"/>
        </w:rPr>
        <w:t>Las Obligaciones Negociables serán ofrecidas y colocadas por los Colocadores y Agentes de MAE a inversores en Argentina de acuerdo con lo establecido en la Ley de Mercado de Capitales, en las Normas de la CNV y demás normativa aplicable, mediante el Prospecto y el Suplemento de Precio. Las Obligaciones Negociables no han sido registradas bajo la Ley de Títulos Valores de los Estados Unidos de América, ni según las leyes de títulos valores vigentes en los estados de dicho país, ni podrán ser ofrecidas, vendidas, entregadas, garantizadas o de otra forma transferidas en los Estados Unidos de América o a personas estadounidenses, a menos que las Obligaciones Negociables sean registradas bajo la Ley de Títulos Valores de Estados Unidos de América o pueda efectuarse la oferta o venta bajo una excepción de registración de la Ley de Títulos Valores de los Estados Unidos de América. Para más información, véase “</w:t>
      </w:r>
      <w:r w:rsidRPr="00251FDB">
        <w:rPr>
          <w:i/>
          <w:sz w:val="20"/>
          <w:szCs w:val="20"/>
          <w:lang w:val="es-AR" w:eastAsia="es-ES"/>
        </w:rPr>
        <w:t>Restricciones a la Venta</w:t>
      </w:r>
      <w:r w:rsidRPr="00251FDB">
        <w:rPr>
          <w:sz w:val="20"/>
          <w:szCs w:val="20"/>
          <w:lang w:val="es-AR" w:eastAsia="es-ES"/>
        </w:rPr>
        <w:t>” del Prospecto.</w:t>
      </w:r>
    </w:p>
    <w:p w:rsidR="00C04C7C" w:rsidRPr="00251FDB" w:rsidRDefault="00C04C7C" w:rsidP="00C04C7C">
      <w:pPr>
        <w:widowControl w:val="0"/>
        <w:jc w:val="both"/>
        <w:rPr>
          <w:sz w:val="20"/>
          <w:szCs w:val="20"/>
          <w:lang w:val="es-AR" w:eastAsia="es-ES"/>
        </w:rPr>
      </w:pPr>
    </w:p>
    <w:p w:rsidR="005172FA" w:rsidRPr="00251FDB" w:rsidRDefault="005172FA" w:rsidP="003079F0">
      <w:pPr>
        <w:widowControl w:val="0"/>
        <w:jc w:val="both"/>
        <w:outlineLvl w:val="0"/>
        <w:rPr>
          <w:sz w:val="20"/>
          <w:szCs w:val="20"/>
          <w:lang w:val="es-AR"/>
        </w:rPr>
      </w:pPr>
      <w:bookmarkStart w:id="93" w:name="_Toc328132844"/>
      <w:bookmarkStart w:id="94" w:name="_Toc329767345"/>
      <w:bookmarkStart w:id="95" w:name="_Toc331065795"/>
      <w:bookmarkStart w:id="96" w:name="_Toc398118893"/>
    </w:p>
    <w:p w:rsidR="003079F0" w:rsidRPr="00251FDB" w:rsidRDefault="003079F0" w:rsidP="005172FA">
      <w:pPr>
        <w:outlineLvl w:val="0"/>
        <w:rPr>
          <w:b/>
          <w:bCs/>
          <w:smallCaps/>
          <w:sz w:val="20"/>
          <w:szCs w:val="20"/>
          <w:lang w:val="es-AR"/>
        </w:rPr>
      </w:pPr>
      <w:bookmarkStart w:id="97" w:name="_Toc446503856"/>
      <w:bookmarkStart w:id="98" w:name="_Toc528927605"/>
      <w:r w:rsidRPr="00251FDB">
        <w:rPr>
          <w:b/>
          <w:bCs/>
          <w:smallCaps/>
          <w:sz w:val="20"/>
          <w:szCs w:val="20"/>
          <w:lang w:val="es-AR"/>
        </w:rPr>
        <w:br w:type="page"/>
      </w:r>
    </w:p>
    <w:p w:rsidR="005172FA" w:rsidRPr="00251FDB" w:rsidRDefault="00AB661E" w:rsidP="005172FA">
      <w:pPr>
        <w:outlineLvl w:val="0"/>
        <w:rPr>
          <w:sz w:val="20"/>
          <w:szCs w:val="20"/>
          <w:lang w:val="es-AR"/>
        </w:rPr>
      </w:pPr>
      <w:r>
        <w:rPr>
          <w:b/>
          <w:bCs/>
          <w:smallCaps/>
          <w:sz w:val="20"/>
          <w:szCs w:val="20"/>
          <w:lang w:val="es-AR"/>
        </w:rPr>
        <w:t xml:space="preserve">IV. </w:t>
      </w:r>
      <w:r w:rsidR="005172FA" w:rsidRPr="00251FDB">
        <w:rPr>
          <w:b/>
          <w:bCs/>
          <w:smallCaps/>
          <w:sz w:val="20"/>
          <w:szCs w:val="20"/>
          <w:lang w:val="es-AR"/>
        </w:rPr>
        <w:t>factores de riesgo</w:t>
      </w:r>
      <w:bookmarkEnd w:id="97"/>
      <w:bookmarkEnd w:id="98"/>
    </w:p>
    <w:p w:rsidR="001053B7" w:rsidRDefault="001053B7" w:rsidP="001053B7">
      <w:pPr>
        <w:widowControl w:val="0"/>
        <w:spacing w:line="240" w:lineRule="atLeast"/>
        <w:jc w:val="both"/>
        <w:rPr>
          <w:color w:val="000000"/>
          <w:sz w:val="20"/>
          <w:szCs w:val="20"/>
          <w:lang w:val="es-ES"/>
        </w:rPr>
      </w:pPr>
      <w:bookmarkStart w:id="99" w:name="_Hlk531859289"/>
    </w:p>
    <w:p w:rsidR="001C7802" w:rsidRPr="00251FDB" w:rsidRDefault="001C7802" w:rsidP="001C7802">
      <w:pPr>
        <w:pStyle w:val="Textoindependiente"/>
        <w:widowControl w:val="0"/>
        <w:spacing w:line="240" w:lineRule="atLeast"/>
        <w:rPr>
          <w:i/>
          <w:color w:val="000000"/>
          <w:lang w:val="es-AR"/>
        </w:rPr>
      </w:pPr>
      <w:r w:rsidRPr="00EA1080">
        <w:rPr>
          <w:i/>
          <w:lang w:val="es-AR" w:eastAsia="es-ES"/>
        </w:rPr>
        <w:t>Antes de tomar una decisión de inversión</w:t>
      </w:r>
      <w:r>
        <w:rPr>
          <w:i/>
          <w:lang w:val="es-AR" w:eastAsia="es-ES"/>
        </w:rPr>
        <w:t xml:space="preserve"> en las Obligaciones Negociables</w:t>
      </w:r>
      <w:r w:rsidRPr="00EA1080">
        <w:rPr>
          <w:i/>
          <w:lang w:val="es-AR" w:eastAsia="es-ES"/>
        </w:rPr>
        <w:t xml:space="preserve">, los potenciales inversores deben considerar cuidadosamente a la luz de sus propias circunstancias financieras y objetivos de inversión, la totalidad de la información que se incluye en este Suplemento de Precio y en el Capítulo II “Factores de Riesgo” del Prospecto, en particular los factores de riesgo para la inversión que se describen en el Prospecto en relación con el </w:t>
      </w:r>
      <w:r>
        <w:rPr>
          <w:i/>
          <w:lang w:val="es-AR" w:eastAsia="es-ES"/>
        </w:rPr>
        <w:t>Emisor</w:t>
      </w:r>
      <w:r w:rsidRPr="00EA1080">
        <w:rPr>
          <w:i/>
          <w:lang w:val="es-AR" w:eastAsia="es-ES"/>
        </w:rPr>
        <w:t xml:space="preserve"> y la inversión en las Obligaciones Negociables. Se recomienda enfáticamente la lectura conjunta de la información incluida en el Prospecto y en este Suplemento de Precio.</w:t>
      </w:r>
      <w:r>
        <w:rPr>
          <w:i/>
          <w:lang w:val="es-AR" w:eastAsia="es-ES"/>
        </w:rPr>
        <w:t xml:space="preserve"> </w:t>
      </w:r>
      <w:r w:rsidRPr="00251FDB">
        <w:rPr>
          <w:i/>
          <w:color w:val="000000"/>
          <w:lang w:val="es-AR"/>
        </w:rPr>
        <w:t>Los potenciales inversores deben tener en cuenta, entre otras cuestiones, las especiales consideraciones para la inversión aplicables al Emisor, a la industria y las relativas a las inversiones en Argentina, incluyendo las consideraciones mencionadas en el presente apartado.</w:t>
      </w:r>
    </w:p>
    <w:p w:rsidR="001C7802" w:rsidRDefault="001C7802" w:rsidP="001C7802">
      <w:pPr>
        <w:spacing w:line="240" w:lineRule="atLeast"/>
        <w:jc w:val="both"/>
        <w:rPr>
          <w:i/>
          <w:sz w:val="20"/>
          <w:szCs w:val="20"/>
          <w:lang w:val="es-AR" w:eastAsia="es-ES"/>
        </w:rPr>
      </w:pPr>
    </w:p>
    <w:p w:rsidR="001053B7" w:rsidRPr="00EA1080" w:rsidRDefault="001C7802" w:rsidP="001053B7">
      <w:pPr>
        <w:widowControl w:val="0"/>
        <w:spacing w:line="240" w:lineRule="atLeast"/>
        <w:jc w:val="both"/>
        <w:rPr>
          <w:i/>
          <w:color w:val="000000"/>
          <w:sz w:val="20"/>
          <w:szCs w:val="20"/>
          <w:lang w:val="es-AR"/>
        </w:rPr>
      </w:pPr>
      <w:r w:rsidRPr="00EA1080">
        <w:rPr>
          <w:i/>
          <w:color w:val="000000"/>
          <w:sz w:val="20"/>
          <w:szCs w:val="20"/>
          <w:lang w:val="es-AR"/>
        </w:rPr>
        <w:t>C</w:t>
      </w:r>
      <w:r w:rsidR="001053B7" w:rsidRPr="00EA1080">
        <w:rPr>
          <w:i/>
          <w:color w:val="000000"/>
          <w:sz w:val="20"/>
          <w:szCs w:val="20"/>
          <w:lang w:val="es-AR"/>
        </w:rPr>
        <w:t xml:space="preserve">abe señalar que el Emisor podría enfrentar otros riesgos e incertidumbres además de los que se mencionan a continuación que, a la fecha del </w:t>
      </w:r>
      <w:r w:rsidRPr="00EA1080">
        <w:rPr>
          <w:i/>
          <w:color w:val="000000"/>
          <w:sz w:val="20"/>
          <w:szCs w:val="20"/>
          <w:lang w:val="es-AR"/>
        </w:rPr>
        <w:t>presente Suplemento de Precio</w:t>
      </w:r>
      <w:r w:rsidR="001053B7" w:rsidRPr="00EA1080">
        <w:rPr>
          <w:i/>
          <w:color w:val="000000"/>
          <w:sz w:val="20"/>
          <w:szCs w:val="20"/>
          <w:lang w:val="es-AR"/>
        </w:rPr>
        <w:t>, no conoce o considera como no significativos, los cuales podrían afectar su negocio y sus operaciones en el futuro en forma significativa.</w:t>
      </w:r>
    </w:p>
    <w:p w:rsidR="001053B7" w:rsidRDefault="001053B7" w:rsidP="001053B7">
      <w:pPr>
        <w:widowControl w:val="0"/>
        <w:spacing w:line="240" w:lineRule="atLeast"/>
        <w:jc w:val="both"/>
        <w:rPr>
          <w:color w:val="000000"/>
          <w:sz w:val="20"/>
          <w:szCs w:val="20"/>
          <w:lang w:val="es-AR"/>
        </w:rPr>
      </w:pPr>
    </w:p>
    <w:p w:rsidR="00E32F63" w:rsidRPr="00EA1080" w:rsidRDefault="007C09E7" w:rsidP="00EA1080">
      <w:pPr>
        <w:widowControl w:val="0"/>
        <w:spacing w:line="240" w:lineRule="atLeast"/>
        <w:jc w:val="both"/>
        <w:rPr>
          <w:color w:val="000000"/>
          <w:sz w:val="20"/>
          <w:szCs w:val="20"/>
          <w:lang w:val="es-AR"/>
        </w:rPr>
      </w:pPr>
      <w:r>
        <w:rPr>
          <w:color w:val="000000"/>
          <w:sz w:val="20"/>
          <w:szCs w:val="20"/>
          <w:lang w:val="es-AR"/>
        </w:rPr>
        <w:t xml:space="preserve">Para más información sobre el nuevo coronavirus COVID-19, su impacto en el Emisor y en la economía argentina en general, se recomienda al público inversor la lectura del Capítulo III </w:t>
      </w:r>
      <w:r>
        <w:rPr>
          <w:i/>
          <w:color w:val="000000"/>
          <w:sz w:val="20"/>
          <w:szCs w:val="20"/>
          <w:lang w:val="es-AR"/>
        </w:rPr>
        <w:t xml:space="preserve">“Factores de Riesgo – </w:t>
      </w:r>
      <w:r w:rsidRPr="007C09E7">
        <w:rPr>
          <w:i/>
          <w:color w:val="000000"/>
          <w:sz w:val="20"/>
          <w:szCs w:val="20"/>
          <w:lang w:val="es-AR"/>
        </w:rPr>
        <w:t>La economía argentina podría verse afectada negativamente por factores externos que afecten al mundo, como el avance global del COVID-19 y consecuente implementación de medidas destinadas a lidiar con la pandemia, con impacto económico a nivel local y mundial</w:t>
      </w:r>
      <w:r>
        <w:rPr>
          <w:i/>
          <w:color w:val="000000"/>
          <w:sz w:val="20"/>
          <w:szCs w:val="20"/>
          <w:lang w:val="es-AR"/>
        </w:rPr>
        <w:t>”</w:t>
      </w:r>
      <w:r>
        <w:rPr>
          <w:color w:val="000000"/>
          <w:sz w:val="20"/>
          <w:szCs w:val="20"/>
          <w:lang w:val="es-AR"/>
        </w:rPr>
        <w:t xml:space="preserve"> en el Prospecto, así como el Capítulo </w:t>
      </w:r>
      <w:r w:rsidR="00E32F63">
        <w:rPr>
          <w:color w:val="000000"/>
          <w:sz w:val="20"/>
          <w:szCs w:val="20"/>
          <w:lang w:val="es-AR"/>
        </w:rPr>
        <w:t>VII</w:t>
      </w:r>
      <w:r w:rsidR="0017020E">
        <w:rPr>
          <w:color w:val="000000"/>
          <w:sz w:val="20"/>
          <w:szCs w:val="20"/>
          <w:lang w:val="es-AR"/>
        </w:rPr>
        <w:t>I</w:t>
      </w:r>
      <w:r w:rsidR="00E32F63">
        <w:rPr>
          <w:color w:val="000000"/>
          <w:sz w:val="20"/>
          <w:szCs w:val="20"/>
          <w:lang w:val="es-AR"/>
        </w:rPr>
        <w:t xml:space="preserve"> “</w:t>
      </w:r>
      <w:r w:rsidR="00E32F63">
        <w:rPr>
          <w:i/>
          <w:color w:val="000000"/>
          <w:sz w:val="20"/>
          <w:szCs w:val="20"/>
          <w:lang w:val="es-AR"/>
        </w:rPr>
        <w:t xml:space="preserve">Hechos posteriores al cierre – </w:t>
      </w:r>
      <w:r w:rsidR="00E32F63" w:rsidRPr="00EA1080">
        <w:rPr>
          <w:i/>
          <w:sz w:val="20"/>
          <w:szCs w:val="20"/>
          <w:lang w:val="es-AR"/>
        </w:rPr>
        <w:t>Novedades normativas en relación con el nuevo coronavirus COVID-19</w:t>
      </w:r>
      <w:r w:rsidR="00E32F63">
        <w:rPr>
          <w:i/>
          <w:sz w:val="20"/>
          <w:szCs w:val="20"/>
          <w:lang w:val="es-AR"/>
        </w:rPr>
        <w:t>”</w:t>
      </w:r>
      <w:r w:rsidR="00E32F63">
        <w:rPr>
          <w:sz w:val="20"/>
          <w:szCs w:val="20"/>
          <w:lang w:val="es-AR"/>
        </w:rPr>
        <w:t xml:space="preserve"> en este Suplemento de Precio.</w:t>
      </w:r>
    </w:p>
    <w:p w:rsidR="007C09E7" w:rsidRPr="00EA1080" w:rsidRDefault="007C09E7" w:rsidP="001053B7">
      <w:pPr>
        <w:widowControl w:val="0"/>
        <w:spacing w:line="240" w:lineRule="atLeast"/>
        <w:jc w:val="both"/>
        <w:rPr>
          <w:i/>
          <w:color w:val="000000"/>
          <w:sz w:val="20"/>
          <w:szCs w:val="20"/>
          <w:lang w:val="es-AR"/>
        </w:rPr>
      </w:pPr>
    </w:p>
    <w:p w:rsidR="007C09E7" w:rsidRPr="00EA1080" w:rsidRDefault="002217AD" w:rsidP="001053B7">
      <w:pPr>
        <w:widowControl w:val="0"/>
        <w:spacing w:line="240" w:lineRule="atLeast"/>
        <w:jc w:val="both"/>
        <w:rPr>
          <w:b/>
          <w:color w:val="000000"/>
          <w:sz w:val="20"/>
          <w:szCs w:val="20"/>
          <w:lang w:val="es-AR"/>
        </w:rPr>
      </w:pPr>
      <w:r w:rsidRPr="00EA1080">
        <w:rPr>
          <w:b/>
          <w:color w:val="000000"/>
          <w:sz w:val="20"/>
          <w:szCs w:val="20"/>
          <w:lang w:val="es-AR"/>
        </w:rPr>
        <w:t>Riesgos relacionados con la Argentina</w:t>
      </w:r>
    </w:p>
    <w:p w:rsidR="002217AD" w:rsidRPr="00EA1080" w:rsidRDefault="002217AD" w:rsidP="001053B7">
      <w:pPr>
        <w:widowControl w:val="0"/>
        <w:spacing w:line="240" w:lineRule="atLeast"/>
        <w:jc w:val="both"/>
        <w:rPr>
          <w:i/>
          <w:color w:val="000000"/>
          <w:sz w:val="20"/>
          <w:szCs w:val="20"/>
          <w:lang w:val="es-AR"/>
        </w:rPr>
      </w:pPr>
    </w:p>
    <w:p w:rsidR="002217AD" w:rsidRPr="00EA1080" w:rsidRDefault="002217AD" w:rsidP="002217AD">
      <w:pPr>
        <w:widowControl w:val="0"/>
        <w:spacing w:line="240" w:lineRule="atLeast"/>
        <w:jc w:val="both"/>
        <w:rPr>
          <w:i/>
          <w:color w:val="000000"/>
          <w:sz w:val="20"/>
          <w:szCs w:val="20"/>
          <w:lang w:val="es-AR"/>
        </w:rPr>
      </w:pPr>
      <w:r w:rsidRPr="00EA1080">
        <w:rPr>
          <w:i/>
          <w:color w:val="000000"/>
          <w:sz w:val="20"/>
          <w:szCs w:val="20"/>
          <w:lang w:val="es-AR"/>
        </w:rPr>
        <w:t>La capacidad de Argentina de refinanciar su deuda externa podría afectar su capacidad para implementar reformas y generar crecimiento económico sostenible</w:t>
      </w:r>
    </w:p>
    <w:p w:rsidR="002217AD" w:rsidRDefault="002217AD" w:rsidP="001053B7">
      <w:pPr>
        <w:widowControl w:val="0"/>
        <w:spacing w:line="240" w:lineRule="atLeast"/>
        <w:jc w:val="both"/>
        <w:rPr>
          <w:color w:val="000000"/>
          <w:sz w:val="20"/>
          <w:szCs w:val="20"/>
          <w:lang w:val="es-AR"/>
        </w:rPr>
      </w:pPr>
    </w:p>
    <w:p w:rsidR="002217AD" w:rsidRPr="00EA1080" w:rsidRDefault="002217AD" w:rsidP="00B33F02">
      <w:pPr>
        <w:widowControl w:val="0"/>
        <w:spacing w:line="240" w:lineRule="atLeast"/>
        <w:jc w:val="both"/>
        <w:rPr>
          <w:color w:val="000000"/>
          <w:sz w:val="20"/>
          <w:szCs w:val="20"/>
          <w:lang w:val="es-AR"/>
        </w:rPr>
      </w:pPr>
      <w:r w:rsidRPr="002217AD">
        <w:rPr>
          <w:color w:val="000000"/>
          <w:sz w:val="20"/>
          <w:szCs w:val="20"/>
          <w:lang w:val="es-AR"/>
        </w:rPr>
        <w:t xml:space="preserve">Con fecha 22 de abril de 2020 se publicó el Decreto N° 391/2020 sobre Reestructuración de títulos públicos emitidos bajo ley extranjera, a través del cual el Gobierno Nacional aprueba la reestructuración de los títulos públicos nacionales emitidos bajo ley de Nueva York – EEUU y Londres - Reino Unido de Gran Bretaña e Irlanda del Norte, </w:t>
      </w:r>
      <w:r w:rsidR="00B33F02" w:rsidRPr="00B33F02">
        <w:rPr>
          <w:color w:val="000000"/>
          <w:sz w:val="20"/>
          <w:szCs w:val="20"/>
          <w:lang w:val="es-AR"/>
        </w:rPr>
        <w:t>denominados en moneda extranjera (Dólares, Euros y Francos Suizos) y regidos bajo la legislación del Esta</w:t>
      </w:r>
      <w:r w:rsidR="00B33F02">
        <w:rPr>
          <w:color w:val="000000"/>
          <w:sz w:val="20"/>
          <w:szCs w:val="20"/>
          <w:lang w:val="es-AR"/>
        </w:rPr>
        <w:t xml:space="preserve">do de </w:t>
      </w:r>
      <w:r w:rsidR="00B33F02" w:rsidRPr="00B33F02">
        <w:rPr>
          <w:color w:val="000000"/>
          <w:sz w:val="20"/>
          <w:szCs w:val="20"/>
          <w:lang w:val="es-AR"/>
        </w:rPr>
        <w:t>Nueva York o inglesa, según el caso, que fueran emitidos oportunamente b</w:t>
      </w:r>
      <w:r w:rsidR="00B33F02">
        <w:rPr>
          <w:color w:val="000000"/>
          <w:sz w:val="20"/>
          <w:szCs w:val="20"/>
          <w:lang w:val="es-AR"/>
        </w:rPr>
        <w:t xml:space="preserve">ajo los acuerdos de fideicomiso </w:t>
      </w:r>
      <w:r w:rsidR="00B33F02" w:rsidRPr="00B33F02">
        <w:rPr>
          <w:color w:val="000000"/>
          <w:sz w:val="20"/>
          <w:szCs w:val="20"/>
          <w:lang w:val="es-AR"/>
        </w:rPr>
        <w:t>(</w:t>
      </w:r>
      <w:proofErr w:type="spellStart"/>
      <w:r w:rsidR="00B33F02" w:rsidRPr="00EA1080">
        <w:rPr>
          <w:i/>
          <w:color w:val="000000"/>
          <w:sz w:val="20"/>
          <w:szCs w:val="20"/>
          <w:lang w:val="es-AR"/>
        </w:rPr>
        <w:t>Indentures</w:t>
      </w:r>
      <w:proofErr w:type="spellEnd"/>
      <w:r w:rsidR="00B33F02" w:rsidRPr="00B33F02">
        <w:rPr>
          <w:color w:val="000000"/>
          <w:sz w:val="20"/>
          <w:szCs w:val="20"/>
          <w:lang w:val="es-AR"/>
        </w:rPr>
        <w:t>) 2005 o 2016 (los “</w:t>
      </w:r>
      <w:r w:rsidR="00B33F02" w:rsidRPr="00EA1080">
        <w:rPr>
          <w:color w:val="000000"/>
          <w:sz w:val="20"/>
          <w:szCs w:val="20"/>
          <w:u w:val="single"/>
          <w:lang w:val="es-AR"/>
        </w:rPr>
        <w:t>Bonos Elegibles</w:t>
      </w:r>
      <w:r w:rsidR="00B33F02" w:rsidRPr="00B33F02">
        <w:rPr>
          <w:color w:val="000000"/>
          <w:sz w:val="20"/>
          <w:szCs w:val="20"/>
          <w:lang w:val="es-AR"/>
        </w:rPr>
        <w:t>”) por nuevas series de bonos de</w:t>
      </w:r>
      <w:r w:rsidR="00B33F02">
        <w:rPr>
          <w:color w:val="000000"/>
          <w:sz w:val="20"/>
          <w:szCs w:val="20"/>
          <w:lang w:val="es-AR"/>
        </w:rPr>
        <w:t xml:space="preserve">nominados en Dólares o en Euros </w:t>
      </w:r>
      <w:r w:rsidR="00B33F02" w:rsidRPr="00B33F02">
        <w:rPr>
          <w:color w:val="000000"/>
          <w:sz w:val="20"/>
          <w:szCs w:val="20"/>
          <w:lang w:val="es-AR"/>
        </w:rPr>
        <w:t>que prevén un esquema de amortizaciones periódicas (</w:t>
      </w:r>
      <w:proofErr w:type="spellStart"/>
      <w:r w:rsidR="00B33F02" w:rsidRPr="009B26F9">
        <w:rPr>
          <w:i/>
          <w:iCs/>
          <w:color w:val="000000"/>
          <w:sz w:val="20"/>
          <w:szCs w:val="20"/>
          <w:lang w:val="es-AR"/>
        </w:rPr>
        <w:t>amortizing</w:t>
      </w:r>
      <w:proofErr w:type="spellEnd"/>
      <w:r w:rsidR="00B33F02" w:rsidRPr="00B33F02">
        <w:rPr>
          <w:color w:val="000000"/>
          <w:sz w:val="20"/>
          <w:szCs w:val="20"/>
          <w:lang w:val="es-AR"/>
        </w:rPr>
        <w:t>) y con vencimie</w:t>
      </w:r>
      <w:r w:rsidR="00B33F02">
        <w:rPr>
          <w:color w:val="000000"/>
          <w:sz w:val="20"/>
          <w:szCs w:val="20"/>
          <w:lang w:val="es-AR"/>
        </w:rPr>
        <w:t xml:space="preserve">ntos que varían entre el 2030 y </w:t>
      </w:r>
      <w:r w:rsidR="00B33F02" w:rsidRPr="00B33F02">
        <w:rPr>
          <w:color w:val="000000"/>
          <w:sz w:val="20"/>
          <w:szCs w:val="20"/>
          <w:lang w:val="es-AR"/>
        </w:rPr>
        <w:t>el 2047 (los “</w:t>
      </w:r>
      <w:r w:rsidR="00B33F02" w:rsidRPr="00EA1080">
        <w:rPr>
          <w:color w:val="000000"/>
          <w:sz w:val="20"/>
          <w:szCs w:val="20"/>
          <w:u w:val="single"/>
          <w:lang w:val="es-AR"/>
        </w:rPr>
        <w:t>Nuevos Bonos</w:t>
      </w:r>
      <w:r w:rsidR="00B33F02" w:rsidRPr="00B33F02">
        <w:rPr>
          <w:color w:val="000000"/>
          <w:sz w:val="20"/>
          <w:szCs w:val="20"/>
          <w:lang w:val="es-AR"/>
        </w:rPr>
        <w:t>”) que serán emitidos por el Gobierno Nacional</w:t>
      </w:r>
      <w:r w:rsidR="00B33F02">
        <w:rPr>
          <w:color w:val="000000"/>
          <w:sz w:val="20"/>
          <w:szCs w:val="20"/>
          <w:lang w:val="es-AR"/>
        </w:rPr>
        <w:t xml:space="preserve"> bajo el acuerdo de fideicomiso </w:t>
      </w:r>
      <w:r w:rsidR="00B33F02" w:rsidRPr="00B33F02">
        <w:rPr>
          <w:color w:val="000000"/>
          <w:sz w:val="20"/>
          <w:szCs w:val="20"/>
          <w:lang w:val="es-AR"/>
        </w:rPr>
        <w:t>celebrado en 2016. Según fuera informado por el Ministro de Economía y conform</w:t>
      </w:r>
      <w:r w:rsidR="00B33F02">
        <w:rPr>
          <w:color w:val="000000"/>
          <w:sz w:val="20"/>
          <w:szCs w:val="20"/>
          <w:lang w:val="es-AR"/>
        </w:rPr>
        <w:t xml:space="preserve">e se desprende de la </w:t>
      </w:r>
      <w:r w:rsidR="00B33F02" w:rsidRPr="00B33F02">
        <w:rPr>
          <w:color w:val="000000"/>
          <w:sz w:val="20"/>
          <w:szCs w:val="20"/>
          <w:lang w:val="es-AR"/>
        </w:rPr>
        <w:t>documentación publicada por el Gobierno Nacional en la SEC (</w:t>
      </w:r>
      <w:r w:rsidR="00B33F02" w:rsidRPr="00EA1080">
        <w:rPr>
          <w:i/>
          <w:color w:val="000000"/>
          <w:sz w:val="20"/>
          <w:szCs w:val="20"/>
          <w:lang w:val="es-AR"/>
        </w:rPr>
        <w:t>Securities and Exchange Commission</w:t>
      </w:r>
      <w:r w:rsidR="00B33F02" w:rsidRPr="00B33F02">
        <w:rPr>
          <w:color w:val="000000"/>
          <w:sz w:val="20"/>
          <w:szCs w:val="20"/>
          <w:lang w:val="es-AR"/>
        </w:rPr>
        <w:t>, el organismo regulador de los mercados de capitales en los</w:t>
      </w:r>
      <w:r w:rsidR="00B33F02">
        <w:rPr>
          <w:color w:val="000000"/>
          <w:sz w:val="20"/>
          <w:szCs w:val="20"/>
          <w:lang w:val="es-AR"/>
        </w:rPr>
        <w:t xml:space="preserve"> Estados Unidos de América), en </w:t>
      </w:r>
      <w:r w:rsidR="00B33F02" w:rsidRPr="00B33F02">
        <w:rPr>
          <w:color w:val="000000"/>
          <w:sz w:val="20"/>
          <w:szCs w:val="20"/>
          <w:lang w:val="es-AR"/>
        </w:rPr>
        <w:t>términos globales, el Canje por los Nuevos Bonos implicará una reducción</w:t>
      </w:r>
      <w:r w:rsidR="00B33F02">
        <w:rPr>
          <w:color w:val="000000"/>
          <w:sz w:val="20"/>
          <w:szCs w:val="20"/>
          <w:lang w:val="es-AR"/>
        </w:rPr>
        <w:t xml:space="preserve"> en la carga de intereses de la Argentina</w:t>
      </w:r>
      <w:r w:rsidR="00B33F02" w:rsidRPr="00B33F02">
        <w:rPr>
          <w:color w:val="000000"/>
          <w:sz w:val="20"/>
          <w:szCs w:val="20"/>
          <w:lang w:val="es-AR"/>
        </w:rPr>
        <w:t xml:space="preserve"> del 62% (U$</w:t>
      </w:r>
      <w:r w:rsidR="005019EE">
        <w:rPr>
          <w:color w:val="000000"/>
          <w:sz w:val="20"/>
          <w:szCs w:val="20"/>
          <w:lang w:val="es-AR"/>
        </w:rPr>
        <w:t>S</w:t>
      </w:r>
      <w:r w:rsidR="00B33F02" w:rsidRPr="00B33F02">
        <w:rPr>
          <w:color w:val="000000"/>
          <w:sz w:val="20"/>
          <w:szCs w:val="20"/>
          <w:lang w:val="es-AR"/>
        </w:rPr>
        <w:t>37.900 millones), un alivio en el stock de capital d</w:t>
      </w:r>
      <w:r w:rsidR="00B33F02">
        <w:rPr>
          <w:color w:val="000000"/>
          <w:sz w:val="20"/>
          <w:szCs w:val="20"/>
          <w:lang w:val="es-AR"/>
        </w:rPr>
        <w:t>el 5,4% (U$</w:t>
      </w:r>
      <w:r w:rsidR="005019EE">
        <w:rPr>
          <w:color w:val="000000"/>
          <w:sz w:val="20"/>
          <w:szCs w:val="20"/>
          <w:lang w:val="es-AR"/>
        </w:rPr>
        <w:t>S</w:t>
      </w:r>
      <w:r w:rsidR="00B33F02">
        <w:rPr>
          <w:color w:val="000000"/>
          <w:sz w:val="20"/>
          <w:szCs w:val="20"/>
          <w:lang w:val="es-AR"/>
        </w:rPr>
        <w:t xml:space="preserve">3600 millones) y un </w:t>
      </w:r>
      <w:r w:rsidR="00B33F02" w:rsidRPr="00B33F02">
        <w:rPr>
          <w:color w:val="000000"/>
          <w:sz w:val="20"/>
          <w:szCs w:val="20"/>
          <w:lang w:val="es-AR"/>
        </w:rPr>
        <w:t>período de gracia de aproximadamente tres años</w:t>
      </w:r>
      <w:r w:rsidR="00B33F02">
        <w:rPr>
          <w:color w:val="000000"/>
          <w:sz w:val="20"/>
          <w:szCs w:val="20"/>
          <w:lang w:val="es-AR"/>
        </w:rPr>
        <w:t xml:space="preserve">. </w:t>
      </w:r>
    </w:p>
    <w:p w:rsidR="002217AD" w:rsidRDefault="002217AD" w:rsidP="001053B7">
      <w:pPr>
        <w:widowControl w:val="0"/>
        <w:spacing w:line="240" w:lineRule="atLeast"/>
        <w:jc w:val="both"/>
        <w:rPr>
          <w:color w:val="000000"/>
          <w:sz w:val="20"/>
          <w:szCs w:val="20"/>
          <w:lang w:val="es-AR"/>
        </w:rPr>
      </w:pPr>
    </w:p>
    <w:p w:rsidR="002217AD" w:rsidRDefault="00B33F02" w:rsidP="004E1496">
      <w:pPr>
        <w:widowControl w:val="0"/>
        <w:spacing w:line="240" w:lineRule="atLeast"/>
        <w:jc w:val="both"/>
        <w:rPr>
          <w:color w:val="000000"/>
          <w:sz w:val="20"/>
          <w:szCs w:val="20"/>
          <w:lang w:val="es-AR"/>
        </w:rPr>
      </w:pPr>
      <w:r>
        <w:rPr>
          <w:color w:val="000000"/>
          <w:sz w:val="20"/>
          <w:szCs w:val="20"/>
          <w:lang w:val="es-AR"/>
        </w:rPr>
        <w:t xml:space="preserve">Con fecha 20 de junio de 2020 el Ministerio de Economía y Producción publicó la Resolución N°289/2020 en virtud de la cual </w:t>
      </w:r>
      <w:r w:rsidR="004E1496">
        <w:rPr>
          <w:color w:val="000000"/>
          <w:sz w:val="20"/>
          <w:szCs w:val="20"/>
          <w:lang w:val="es-AR"/>
        </w:rPr>
        <w:t xml:space="preserve">se </w:t>
      </w:r>
      <w:r w:rsidR="004E1496" w:rsidRPr="004E1496">
        <w:rPr>
          <w:color w:val="000000"/>
          <w:sz w:val="20"/>
          <w:szCs w:val="20"/>
          <w:lang w:val="es-AR"/>
        </w:rPr>
        <w:t>extiende</w:t>
      </w:r>
      <w:r w:rsidR="004E1496">
        <w:rPr>
          <w:color w:val="000000"/>
          <w:sz w:val="20"/>
          <w:szCs w:val="20"/>
          <w:lang w:val="es-AR"/>
        </w:rPr>
        <w:t xml:space="preserve"> la fecha de vencimiento de la i</w:t>
      </w:r>
      <w:r w:rsidR="004E1496" w:rsidRPr="004E1496">
        <w:rPr>
          <w:color w:val="000000"/>
          <w:sz w:val="20"/>
          <w:szCs w:val="20"/>
          <w:lang w:val="es-AR"/>
        </w:rPr>
        <w:t xml:space="preserve">nvitación a </w:t>
      </w:r>
      <w:r w:rsidR="004E1496">
        <w:rPr>
          <w:color w:val="000000"/>
          <w:sz w:val="20"/>
          <w:szCs w:val="20"/>
          <w:lang w:val="es-AR"/>
        </w:rPr>
        <w:t>c</w:t>
      </w:r>
      <w:r w:rsidR="004E1496" w:rsidRPr="004E1496">
        <w:rPr>
          <w:color w:val="000000"/>
          <w:sz w:val="20"/>
          <w:szCs w:val="20"/>
          <w:lang w:val="es-AR"/>
        </w:rPr>
        <w:t xml:space="preserve">anjear establecida por el </w:t>
      </w:r>
      <w:r w:rsidR="004E1496">
        <w:rPr>
          <w:color w:val="000000"/>
          <w:sz w:val="20"/>
          <w:szCs w:val="20"/>
          <w:lang w:val="es-AR"/>
        </w:rPr>
        <w:t>s</w:t>
      </w:r>
      <w:r w:rsidR="004E1496" w:rsidRPr="004E1496">
        <w:rPr>
          <w:color w:val="000000"/>
          <w:sz w:val="20"/>
          <w:szCs w:val="20"/>
          <w:lang w:val="es-AR"/>
        </w:rPr>
        <w:t xml:space="preserve">uplemento de </w:t>
      </w:r>
      <w:r w:rsidR="004E1496">
        <w:rPr>
          <w:color w:val="000000"/>
          <w:sz w:val="20"/>
          <w:szCs w:val="20"/>
          <w:lang w:val="es-AR"/>
        </w:rPr>
        <w:t>p</w:t>
      </w:r>
      <w:r w:rsidR="004E1496" w:rsidRPr="004E1496">
        <w:rPr>
          <w:color w:val="000000"/>
          <w:sz w:val="20"/>
          <w:szCs w:val="20"/>
          <w:lang w:val="es-AR"/>
        </w:rPr>
        <w:t>rospecto del 21 de abril de 2020, aprobado como Anexo II del Decreto</w:t>
      </w:r>
      <w:r w:rsidR="004E1496">
        <w:rPr>
          <w:color w:val="000000"/>
          <w:sz w:val="20"/>
          <w:szCs w:val="20"/>
          <w:lang w:val="es-AR"/>
        </w:rPr>
        <w:t xml:space="preserve"> N°</w:t>
      </w:r>
      <w:r w:rsidR="004E1496" w:rsidRPr="004E1496">
        <w:rPr>
          <w:color w:val="000000"/>
          <w:sz w:val="20"/>
          <w:szCs w:val="20"/>
          <w:lang w:val="es-AR"/>
        </w:rPr>
        <w:t xml:space="preserve"> 391</w:t>
      </w:r>
      <w:r w:rsidR="004E1496">
        <w:rPr>
          <w:color w:val="000000"/>
          <w:sz w:val="20"/>
          <w:szCs w:val="20"/>
          <w:lang w:val="es-AR"/>
        </w:rPr>
        <w:t xml:space="preserve">/2020 </w:t>
      </w:r>
      <w:r w:rsidR="004E1496" w:rsidRPr="004E1496">
        <w:rPr>
          <w:color w:val="000000"/>
          <w:sz w:val="20"/>
          <w:szCs w:val="20"/>
          <w:lang w:val="es-AR"/>
        </w:rPr>
        <w:t>y su modificatorio, la que vencerá el día 24 de julio de 2020</w:t>
      </w:r>
      <w:r w:rsidR="004E1496">
        <w:rPr>
          <w:color w:val="000000"/>
          <w:sz w:val="20"/>
          <w:szCs w:val="20"/>
          <w:lang w:val="es-AR"/>
        </w:rPr>
        <w:t>. Asimismo, se extiende la</w:t>
      </w:r>
      <w:r w:rsidR="004E1496" w:rsidRPr="004E1496">
        <w:rPr>
          <w:color w:val="000000"/>
          <w:sz w:val="20"/>
          <w:szCs w:val="20"/>
          <w:lang w:val="es-AR"/>
        </w:rPr>
        <w:t xml:space="preserve"> fecha de anuncio de los resultados de la </w:t>
      </w:r>
      <w:r w:rsidR="004E1496">
        <w:rPr>
          <w:color w:val="000000"/>
          <w:sz w:val="20"/>
          <w:szCs w:val="20"/>
          <w:lang w:val="es-AR"/>
        </w:rPr>
        <w:t>i</w:t>
      </w:r>
      <w:r w:rsidR="004E1496" w:rsidRPr="004E1496">
        <w:rPr>
          <w:color w:val="000000"/>
          <w:sz w:val="20"/>
          <w:szCs w:val="20"/>
          <w:lang w:val="es-AR"/>
        </w:rPr>
        <w:t xml:space="preserve">nvitación a </w:t>
      </w:r>
      <w:r w:rsidR="004E1496">
        <w:rPr>
          <w:color w:val="000000"/>
          <w:sz w:val="20"/>
          <w:szCs w:val="20"/>
          <w:lang w:val="es-AR"/>
        </w:rPr>
        <w:t>c</w:t>
      </w:r>
      <w:r w:rsidR="004E1496" w:rsidRPr="004E1496">
        <w:rPr>
          <w:color w:val="000000"/>
          <w:sz w:val="20"/>
          <w:szCs w:val="20"/>
          <w:lang w:val="es-AR"/>
        </w:rPr>
        <w:t xml:space="preserve">anjear establecida por el </w:t>
      </w:r>
      <w:r w:rsidR="004E1496">
        <w:rPr>
          <w:color w:val="000000"/>
          <w:sz w:val="20"/>
          <w:szCs w:val="20"/>
          <w:lang w:val="es-AR"/>
        </w:rPr>
        <w:t>s</w:t>
      </w:r>
      <w:r w:rsidR="004E1496" w:rsidRPr="004E1496">
        <w:rPr>
          <w:color w:val="000000"/>
          <w:sz w:val="20"/>
          <w:szCs w:val="20"/>
          <w:lang w:val="es-AR"/>
        </w:rPr>
        <w:t xml:space="preserve">uplemento de </w:t>
      </w:r>
      <w:r w:rsidR="004E1496">
        <w:rPr>
          <w:color w:val="000000"/>
          <w:sz w:val="20"/>
          <w:szCs w:val="20"/>
          <w:lang w:val="es-AR"/>
        </w:rPr>
        <w:t>p</w:t>
      </w:r>
      <w:r w:rsidR="004E1496" w:rsidRPr="004E1496">
        <w:rPr>
          <w:color w:val="000000"/>
          <w:sz w:val="20"/>
          <w:szCs w:val="20"/>
          <w:lang w:val="es-AR"/>
        </w:rPr>
        <w:t xml:space="preserve">rospecto del 21 de abril de 2020, la que vencerá el día 27 de julio de 2020, y la fecha de liquidación de la </w:t>
      </w:r>
      <w:r w:rsidR="004E1496">
        <w:rPr>
          <w:color w:val="000000"/>
          <w:sz w:val="20"/>
          <w:szCs w:val="20"/>
          <w:lang w:val="es-AR"/>
        </w:rPr>
        <w:t>i</w:t>
      </w:r>
      <w:r w:rsidR="004E1496" w:rsidRPr="004E1496">
        <w:rPr>
          <w:color w:val="000000"/>
          <w:sz w:val="20"/>
          <w:szCs w:val="20"/>
          <w:lang w:val="es-AR"/>
        </w:rPr>
        <w:t xml:space="preserve">nvitación a </w:t>
      </w:r>
      <w:r w:rsidR="004E1496">
        <w:rPr>
          <w:color w:val="000000"/>
          <w:sz w:val="20"/>
          <w:szCs w:val="20"/>
          <w:lang w:val="es-AR"/>
        </w:rPr>
        <w:t>c</w:t>
      </w:r>
      <w:r w:rsidR="004E1496" w:rsidRPr="004E1496">
        <w:rPr>
          <w:color w:val="000000"/>
          <w:sz w:val="20"/>
          <w:szCs w:val="20"/>
          <w:lang w:val="es-AR"/>
        </w:rPr>
        <w:t xml:space="preserve">anjear establecida por el </w:t>
      </w:r>
      <w:r w:rsidR="004E1496">
        <w:rPr>
          <w:color w:val="000000"/>
          <w:sz w:val="20"/>
          <w:szCs w:val="20"/>
          <w:lang w:val="es-AR"/>
        </w:rPr>
        <w:t>suplemento de p</w:t>
      </w:r>
      <w:r w:rsidR="004E1496" w:rsidRPr="004E1496">
        <w:rPr>
          <w:color w:val="000000"/>
          <w:sz w:val="20"/>
          <w:szCs w:val="20"/>
          <w:lang w:val="es-AR"/>
        </w:rPr>
        <w:t>rospecto del 21 de abril de 2020, la que vencerá el día 30 de julio de 2020.</w:t>
      </w:r>
    </w:p>
    <w:p w:rsidR="004E1496" w:rsidRDefault="004E1496" w:rsidP="004E1496">
      <w:pPr>
        <w:widowControl w:val="0"/>
        <w:spacing w:line="240" w:lineRule="atLeast"/>
        <w:jc w:val="both"/>
        <w:rPr>
          <w:color w:val="000000"/>
          <w:sz w:val="20"/>
          <w:szCs w:val="20"/>
          <w:lang w:val="es-AR"/>
        </w:rPr>
      </w:pPr>
    </w:p>
    <w:p w:rsidR="004E1496" w:rsidRDefault="004E1496" w:rsidP="004E1496">
      <w:pPr>
        <w:widowControl w:val="0"/>
        <w:spacing w:line="240" w:lineRule="atLeast"/>
        <w:jc w:val="both"/>
        <w:rPr>
          <w:color w:val="000000"/>
          <w:sz w:val="20"/>
          <w:szCs w:val="20"/>
          <w:lang w:val="es-AR"/>
        </w:rPr>
      </w:pPr>
      <w:r w:rsidRPr="004E1496">
        <w:rPr>
          <w:color w:val="000000"/>
          <w:sz w:val="20"/>
          <w:szCs w:val="20"/>
          <w:lang w:val="es-AR"/>
        </w:rPr>
        <w:t>A la fecha de este Suplemento de Precio, existe incertidumbre respecto a si el Gobie</w:t>
      </w:r>
      <w:r>
        <w:rPr>
          <w:color w:val="000000"/>
          <w:sz w:val="20"/>
          <w:szCs w:val="20"/>
          <w:lang w:val="es-AR"/>
        </w:rPr>
        <w:t xml:space="preserve">rno Nacional tendrá éxito en </w:t>
      </w:r>
      <w:r w:rsidRPr="004E1496">
        <w:rPr>
          <w:color w:val="000000"/>
          <w:sz w:val="20"/>
          <w:szCs w:val="20"/>
          <w:lang w:val="es-AR"/>
        </w:rPr>
        <w:t>la renegociación de la deuda con los tenedores privados de deuda pública</w:t>
      </w:r>
      <w:r w:rsidR="005019EE">
        <w:rPr>
          <w:color w:val="000000"/>
          <w:sz w:val="20"/>
          <w:szCs w:val="20"/>
          <w:lang w:val="es-AR"/>
        </w:rPr>
        <w:t xml:space="preserve"> y por tanto de las consecuencias que ello podría tener en la economía argentina.</w:t>
      </w:r>
    </w:p>
    <w:p w:rsidR="00094C73" w:rsidRDefault="00094C73" w:rsidP="004E1496">
      <w:pPr>
        <w:widowControl w:val="0"/>
        <w:spacing w:line="240" w:lineRule="atLeast"/>
        <w:jc w:val="both"/>
        <w:rPr>
          <w:color w:val="000000"/>
          <w:sz w:val="20"/>
          <w:szCs w:val="20"/>
          <w:lang w:val="es-AR"/>
        </w:rPr>
      </w:pPr>
    </w:p>
    <w:p w:rsidR="00E616BF" w:rsidRDefault="00E616BF" w:rsidP="00E616BF">
      <w:pPr>
        <w:widowControl w:val="0"/>
        <w:spacing w:line="240" w:lineRule="atLeast"/>
        <w:jc w:val="both"/>
        <w:rPr>
          <w:color w:val="000000"/>
          <w:sz w:val="20"/>
          <w:szCs w:val="20"/>
          <w:lang w:val="es-AR"/>
        </w:rPr>
      </w:pPr>
      <w:r w:rsidRPr="00551C76">
        <w:rPr>
          <w:color w:val="000000"/>
          <w:sz w:val="20"/>
          <w:szCs w:val="20"/>
          <w:lang w:val="es-AR"/>
        </w:rPr>
        <w:t xml:space="preserve">En este contexto, el </w:t>
      </w:r>
      <w:r w:rsidR="003D6E1B">
        <w:rPr>
          <w:color w:val="000000"/>
          <w:sz w:val="20"/>
          <w:szCs w:val="20"/>
          <w:lang w:val="es-AR"/>
        </w:rPr>
        <w:t>G</w:t>
      </w:r>
      <w:r w:rsidRPr="00551C76">
        <w:rPr>
          <w:color w:val="000000"/>
          <w:sz w:val="20"/>
          <w:szCs w:val="20"/>
          <w:lang w:val="es-AR"/>
        </w:rPr>
        <w:t xml:space="preserve">obierno </w:t>
      </w:r>
      <w:r w:rsidR="003D6E1B">
        <w:rPr>
          <w:color w:val="000000"/>
          <w:sz w:val="20"/>
          <w:szCs w:val="20"/>
          <w:lang w:val="es-AR"/>
        </w:rPr>
        <w:t>A</w:t>
      </w:r>
      <w:r w:rsidRPr="00551C76">
        <w:rPr>
          <w:color w:val="000000"/>
          <w:sz w:val="20"/>
          <w:szCs w:val="20"/>
          <w:lang w:val="es-AR"/>
        </w:rPr>
        <w:t xml:space="preserve">rgentino postergó el pago de una cuota de US$ 2.100 millones Club de París, cuyo vencimiento estaba previsto para el 5 de mayo de 2020. Conforme a lo anunciado por el </w:t>
      </w:r>
      <w:r w:rsidR="003D6E1B">
        <w:rPr>
          <w:color w:val="000000"/>
          <w:sz w:val="20"/>
          <w:szCs w:val="20"/>
          <w:lang w:val="es-AR"/>
        </w:rPr>
        <w:t>G</w:t>
      </w:r>
      <w:r w:rsidRPr="00551C76">
        <w:rPr>
          <w:color w:val="000000"/>
          <w:sz w:val="20"/>
          <w:szCs w:val="20"/>
          <w:lang w:val="es-AR"/>
        </w:rPr>
        <w:t xml:space="preserve">obierno </w:t>
      </w:r>
      <w:r w:rsidR="003D6E1B">
        <w:rPr>
          <w:color w:val="000000"/>
          <w:sz w:val="20"/>
          <w:szCs w:val="20"/>
          <w:lang w:val="es-AR"/>
        </w:rPr>
        <w:t>A</w:t>
      </w:r>
      <w:r w:rsidRPr="00551C76">
        <w:rPr>
          <w:color w:val="000000"/>
          <w:sz w:val="20"/>
          <w:szCs w:val="20"/>
          <w:lang w:val="es-AR"/>
        </w:rPr>
        <w:t xml:space="preserve">rgentino, el Club de París habría aceptado la postergación de pago de dicha cuota, en el marco de una negociación destinada a restructurar la deuda vigente con dicho organismo. </w:t>
      </w:r>
    </w:p>
    <w:p w:rsidR="00E616BF" w:rsidRDefault="00E616BF" w:rsidP="00E616BF">
      <w:pPr>
        <w:widowControl w:val="0"/>
        <w:spacing w:line="240" w:lineRule="atLeast"/>
        <w:jc w:val="both"/>
        <w:rPr>
          <w:color w:val="000000"/>
          <w:sz w:val="20"/>
          <w:szCs w:val="20"/>
          <w:lang w:val="es-AR"/>
        </w:rPr>
      </w:pPr>
    </w:p>
    <w:p w:rsidR="00E616BF" w:rsidRDefault="00E616BF" w:rsidP="00E616BF">
      <w:pPr>
        <w:widowControl w:val="0"/>
        <w:spacing w:line="240" w:lineRule="atLeast"/>
        <w:jc w:val="both"/>
        <w:rPr>
          <w:color w:val="000000"/>
          <w:sz w:val="20"/>
          <w:szCs w:val="20"/>
          <w:lang w:val="es-AR"/>
        </w:rPr>
      </w:pPr>
      <w:r>
        <w:rPr>
          <w:color w:val="000000"/>
          <w:sz w:val="20"/>
          <w:szCs w:val="20"/>
          <w:lang w:val="es-AR"/>
        </w:rPr>
        <w:t xml:space="preserve">Asimismo, el 29 de agosto de 2019, mediante el Decreto N°596/2019 se dispuso la postergación de los vencimientos de los títulos de deuda pública nacional a corto plazo (Letes, </w:t>
      </w:r>
      <w:proofErr w:type="spellStart"/>
      <w:r>
        <w:rPr>
          <w:color w:val="000000"/>
          <w:sz w:val="20"/>
          <w:szCs w:val="20"/>
          <w:lang w:val="es-AR"/>
        </w:rPr>
        <w:t>Lecap</w:t>
      </w:r>
      <w:proofErr w:type="spellEnd"/>
      <w:r>
        <w:rPr>
          <w:color w:val="000000"/>
          <w:sz w:val="20"/>
          <w:szCs w:val="20"/>
          <w:lang w:val="es-AR"/>
        </w:rPr>
        <w:t xml:space="preserve">, </w:t>
      </w:r>
      <w:proofErr w:type="spellStart"/>
      <w:r>
        <w:rPr>
          <w:color w:val="000000"/>
          <w:sz w:val="20"/>
          <w:szCs w:val="20"/>
          <w:lang w:val="es-AR"/>
        </w:rPr>
        <w:t>Lecer</w:t>
      </w:r>
      <w:proofErr w:type="spellEnd"/>
      <w:r>
        <w:rPr>
          <w:color w:val="000000"/>
          <w:sz w:val="20"/>
          <w:szCs w:val="20"/>
          <w:lang w:val="es-AR"/>
        </w:rPr>
        <w:t xml:space="preserve"> y </w:t>
      </w:r>
      <w:proofErr w:type="spellStart"/>
      <w:r>
        <w:rPr>
          <w:color w:val="000000"/>
          <w:sz w:val="20"/>
          <w:szCs w:val="20"/>
          <w:lang w:val="es-AR"/>
        </w:rPr>
        <w:t>Lelink</w:t>
      </w:r>
      <w:proofErr w:type="spellEnd"/>
      <w:r>
        <w:rPr>
          <w:color w:val="000000"/>
          <w:sz w:val="20"/>
          <w:szCs w:val="20"/>
          <w:lang w:val="es-AR"/>
        </w:rPr>
        <w:t>). En este sentido, se dispuso el pago del 15% a la fecha del vencimiento, del 25% a los 90 días del pago inicial y del 60% restante a los 180 días del pago inicial, sin quitas en el capital ni en los intereses. Se excluyó de esta medida a los tenedores que, registrados al 31 de julio de 2019 en Caja de Valores sean personas humanas, y que conserven esos títulos a la fecha de pago.</w:t>
      </w:r>
    </w:p>
    <w:p w:rsidR="00E616BF" w:rsidRDefault="00E616BF" w:rsidP="00E616BF">
      <w:pPr>
        <w:widowControl w:val="0"/>
        <w:spacing w:line="240" w:lineRule="atLeast"/>
        <w:jc w:val="both"/>
        <w:rPr>
          <w:color w:val="000000"/>
          <w:sz w:val="20"/>
          <w:szCs w:val="20"/>
          <w:lang w:val="es-AR"/>
        </w:rPr>
      </w:pPr>
    </w:p>
    <w:p w:rsidR="00E616BF" w:rsidRDefault="00E616BF" w:rsidP="00E616BF">
      <w:pPr>
        <w:widowControl w:val="0"/>
        <w:spacing w:line="240" w:lineRule="atLeast"/>
        <w:jc w:val="both"/>
        <w:rPr>
          <w:color w:val="000000"/>
          <w:sz w:val="20"/>
          <w:szCs w:val="20"/>
          <w:lang w:val="es-AR"/>
        </w:rPr>
      </w:pPr>
      <w:r w:rsidRPr="00551C76">
        <w:rPr>
          <w:color w:val="000000"/>
          <w:sz w:val="20"/>
          <w:szCs w:val="20"/>
          <w:lang w:val="es-AR"/>
        </w:rPr>
        <w:t xml:space="preserve">Por otra parte, la reestructuración se desarrolla en forma simultánea con vencimientos de deuda como el de US$ 503 millones correspondiente a intereses de los bonos Global 2021, 2024 y 2026 (bonos elegibles dentro de la Oferta de Canje), ocurrido el 23 de abril de 2020, el cual no fue abonado por el </w:t>
      </w:r>
      <w:r w:rsidR="003D6E1B">
        <w:rPr>
          <w:color w:val="000000"/>
          <w:sz w:val="20"/>
          <w:szCs w:val="20"/>
          <w:lang w:val="es-AR"/>
        </w:rPr>
        <w:t>G</w:t>
      </w:r>
      <w:r w:rsidRPr="00551C76">
        <w:rPr>
          <w:color w:val="000000"/>
          <w:sz w:val="20"/>
          <w:szCs w:val="20"/>
          <w:lang w:val="es-AR"/>
        </w:rPr>
        <w:t xml:space="preserve">obierno </w:t>
      </w:r>
      <w:r w:rsidR="003D6E1B">
        <w:rPr>
          <w:color w:val="000000"/>
          <w:sz w:val="20"/>
          <w:szCs w:val="20"/>
          <w:lang w:val="es-AR"/>
        </w:rPr>
        <w:t>A</w:t>
      </w:r>
      <w:r w:rsidRPr="00551C76">
        <w:rPr>
          <w:color w:val="000000"/>
          <w:sz w:val="20"/>
          <w:szCs w:val="20"/>
          <w:lang w:val="es-AR"/>
        </w:rPr>
        <w:t xml:space="preserve">rgentino a la espera de un acuerdo en el marco de la reestructuración planteada. El plazo final para el pago de este vencimiento ocurrió el 22 de mayo de 2020. Sin perjuicio de ello, Argentina unilateralmente decidió extender el plazo hasta el 2 de junio para continuar las negociaciones con los acreedores, a riesgo de que se decrete el default. </w:t>
      </w:r>
    </w:p>
    <w:p w:rsidR="00E616BF" w:rsidRDefault="00E616BF" w:rsidP="00E616BF">
      <w:pPr>
        <w:widowControl w:val="0"/>
        <w:spacing w:line="240" w:lineRule="atLeast"/>
        <w:jc w:val="both"/>
        <w:rPr>
          <w:color w:val="000000"/>
          <w:sz w:val="20"/>
          <w:szCs w:val="20"/>
          <w:lang w:val="es-AR"/>
        </w:rPr>
      </w:pPr>
    </w:p>
    <w:p w:rsidR="00E616BF" w:rsidRDefault="00E616BF" w:rsidP="00E616BF">
      <w:pPr>
        <w:widowControl w:val="0"/>
        <w:spacing w:line="240" w:lineRule="atLeast"/>
        <w:jc w:val="both"/>
        <w:rPr>
          <w:color w:val="000000"/>
          <w:sz w:val="20"/>
          <w:szCs w:val="20"/>
          <w:lang w:val="es-AR"/>
        </w:rPr>
      </w:pPr>
      <w:r w:rsidRPr="00551C76">
        <w:rPr>
          <w:color w:val="000000"/>
          <w:sz w:val="20"/>
          <w:szCs w:val="20"/>
          <w:lang w:val="es-AR"/>
        </w:rPr>
        <w:t xml:space="preserve">El 26 de mayo de 2020, como consecuencia de la falta de pago de los bonos Global 2021, 2024 y 2026, la calificadora de riesgo Fitch Ratings rebajo la calificación de emisor de moneda extranjera a largo plazo de Argentina de ‘C’ a default restringido (“RD”). </w:t>
      </w:r>
    </w:p>
    <w:p w:rsidR="00E616BF" w:rsidRDefault="00E616BF" w:rsidP="00E616BF">
      <w:pPr>
        <w:widowControl w:val="0"/>
        <w:spacing w:line="240" w:lineRule="atLeast"/>
        <w:jc w:val="both"/>
        <w:rPr>
          <w:color w:val="000000"/>
          <w:sz w:val="20"/>
          <w:szCs w:val="20"/>
          <w:lang w:val="es-AR"/>
        </w:rPr>
      </w:pPr>
    </w:p>
    <w:p w:rsidR="00E616BF" w:rsidRDefault="00E616BF" w:rsidP="00E616BF">
      <w:pPr>
        <w:widowControl w:val="0"/>
        <w:spacing w:line="240" w:lineRule="atLeast"/>
        <w:jc w:val="both"/>
        <w:rPr>
          <w:color w:val="000000"/>
          <w:sz w:val="20"/>
          <w:szCs w:val="20"/>
          <w:lang w:val="es-AR"/>
        </w:rPr>
      </w:pPr>
      <w:r w:rsidRPr="00551C76">
        <w:rPr>
          <w:color w:val="000000"/>
          <w:sz w:val="20"/>
          <w:szCs w:val="20"/>
          <w:lang w:val="es-AR"/>
        </w:rPr>
        <w:t>Por su lado, la Provincia de Buenos Aires también ha adoptado medidas para definir el perfil sostenible de su deuda pública y en ese sentido, el 14 de enero de 2020, solicito a los tenedores de sus bonos US</w:t>
      </w:r>
      <w:r w:rsidR="008E6B81">
        <w:rPr>
          <w:color w:val="000000"/>
          <w:sz w:val="20"/>
          <w:szCs w:val="20"/>
          <w:lang w:val="es-AR"/>
        </w:rPr>
        <w:t>$</w:t>
      </w:r>
      <w:r w:rsidRPr="00551C76">
        <w:rPr>
          <w:color w:val="000000"/>
          <w:sz w:val="20"/>
          <w:szCs w:val="20"/>
          <w:lang w:val="es-AR"/>
        </w:rPr>
        <w:t xml:space="preserve"> 750M 10.875% con vencimiento en 2021 postergar el pago de capital del 26 de enero hasta el 1 de mayo del mismo año. Finalmente, el 4 de febrero de 2020, el gobernador </w:t>
      </w:r>
      <w:r w:rsidR="008E6B81">
        <w:rPr>
          <w:color w:val="000000"/>
          <w:sz w:val="20"/>
          <w:szCs w:val="20"/>
          <w:lang w:val="es-AR"/>
        </w:rPr>
        <w:t xml:space="preserve">de la Provincia de Buenos Aires </w:t>
      </w:r>
      <w:r w:rsidRPr="00551C76">
        <w:rPr>
          <w:color w:val="000000"/>
          <w:sz w:val="20"/>
          <w:szCs w:val="20"/>
          <w:lang w:val="es-AR"/>
        </w:rPr>
        <w:t>anunció que dicha prórroga no había sido aceptada por las mayorías necesarias, y la Provincia</w:t>
      </w:r>
      <w:r w:rsidR="008E6B81">
        <w:rPr>
          <w:color w:val="000000"/>
          <w:sz w:val="20"/>
          <w:szCs w:val="20"/>
          <w:lang w:val="es-AR"/>
        </w:rPr>
        <w:t xml:space="preserve"> de Buenos Aires</w:t>
      </w:r>
      <w:r w:rsidRPr="00551C76">
        <w:rPr>
          <w:color w:val="000000"/>
          <w:sz w:val="20"/>
          <w:szCs w:val="20"/>
          <w:lang w:val="es-AR"/>
        </w:rPr>
        <w:t xml:space="preserve"> decidió afrontar el pago del servicio de la deuda con recursos propios, anunciando el comienzo de las negociaciones para llevar adelante la reestructuración de su deuda. </w:t>
      </w:r>
    </w:p>
    <w:p w:rsidR="00E616BF" w:rsidRDefault="00E616BF" w:rsidP="00E616BF">
      <w:pPr>
        <w:widowControl w:val="0"/>
        <w:spacing w:line="240" w:lineRule="atLeast"/>
        <w:jc w:val="both"/>
        <w:rPr>
          <w:color w:val="000000"/>
          <w:sz w:val="20"/>
          <w:szCs w:val="20"/>
          <w:lang w:val="es-AR"/>
        </w:rPr>
      </w:pPr>
    </w:p>
    <w:p w:rsidR="00E616BF" w:rsidRPr="00EA1080" w:rsidRDefault="00E616BF" w:rsidP="00E616BF">
      <w:pPr>
        <w:widowControl w:val="0"/>
        <w:spacing w:line="240" w:lineRule="atLeast"/>
        <w:jc w:val="both"/>
        <w:rPr>
          <w:color w:val="000000"/>
          <w:sz w:val="20"/>
          <w:szCs w:val="20"/>
          <w:lang w:val="es-AR"/>
        </w:rPr>
      </w:pPr>
      <w:r>
        <w:rPr>
          <w:color w:val="000000"/>
          <w:sz w:val="20"/>
          <w:szCs w:val="20"/>
          <w:lang w:val="es-AR"/>
        </w:rPr>
        <w:t xml:space="preserve">A la fecha del presente, </w:t>
      </w:r>
      <w:r w:rsidRPr="00551C76">
        <w:rPr>
          <w:color w:val="000000"/>
          <w:sz w:val="20"/>
          <w:szCs w:val="20"/>
          <w:lang w:val="es-AR"/>
        </w:rPr>
        <w:t xml:space="preserve">la capacidad del </w:t>
      </w:r>
      <w:r w:rsidR="003D6E1B">
        <w:rPr>
          <w:color w:val="000000"/>
          <w:sz w:val="20"/>
          <w:szCs w:val="20"/>
          <w:lang w:val="es-AR"/>
        </w:rPr>
        <w:t>G</w:t>
      </w:r>
      <w:r w:rsidRPr="00551C76">
        <w:rPr>
          <w:color w:val="000000"/>
          <w:sz w:val="20"/>
          <w:szCs w:val="20"/>
          <w:lang w:val="es-AR"/>
        </w:rPr>
        <w:t>obierno para renegociar exitosamente los términos del Acuerdo con el F</w:t>
      </w:r>
      <w:r w:rsidR="003D6E1B">
        <w:rPr>
          <w:color w:val="000000"/>
          <w:sz w:val="20"/>
          <w:szCs w:val="20"/>
          <w:lang w:val="es-AR"/>
        </w:rPr>
        <w:t xml:space="preserve">ondo </w:t>
      </w:r>
      <w:r w:rsidRPr="00551C76">
        <w:rPr>
          <w:color w:val="000000"/>
          <w:sz w:val="20"/>
          <w:szCs w:val="20"/>
          <w:lang w:val="es-AR"/>
        </w:rPr>
        <w:t>M</w:t>
      </w:r>
      <w:r w:rsidR="003D6E1B">
        <w:rPr>
          <w:color w:val="000000"/>
          <w:sz w:val="20"/>
          <w:szCs w:val="20"/>
          <w:lang w:val="es-AR"/>
        </w:rPr>
        <w:t xml:space="preserve">onetario </w:t>
      </w:r>
      <w:r w:rsidRPr="00551C76">
        <w:rPr>
          <w:color w:val="000000"/>
          <w:sz w:val="20"/>
          <w:szCs w:val="20"/>
          <w:lang w:val="es-AR"/>
        </w:rPr>
        <w:t>I</w:t>
      </w:r>
      <w:r w:rsidR="003D6E1B">
        <w:rPr>
          <w:color w:val="000000"/>
          <w:sz w:val="20"/>
          <w:szCs w:val="20"/>
          <w:lang w:val="es-AR"/>
        </w:rPr>
        <w:t>nternacional (“</w:t>
      </w:r>
      <w:r w:rsidR="003D6E1B">
        <w:rPr>
          <w:color w:val="000000"/>
          <w:sz w:val="20"/>
          <w:szCs w:val="20"/>
          <w:u w:val="single"/>
          <w:lang w:val="es-AR"/>
        </w:rPr>
        <w:t>FMI</w:t>
      </w:r>
      <w:r w:rsidR="003D6E1B">
        <w:rPr>
          <w:color w:val="000000"/>
          <w:sz w:val="20"/>
          <w:szCs w:val="20"/>
          <w:lang w:val="es-AR"/>
        </w:rPr>
        <w:t>”)</w:t>
      </w:r>
      <w:r w:rsidRPr="00551C76">
        <w:rPr>
          <w:color w:val="000000"/>
          <w:sz w:val="20"/>
          <w:szCs w:val="20"/>
          <w:lang w:val="es-AR"/>
        </w:rPr>
        <w:t xml:space="preserve"> o con los tenedores de la deuda pública nacional es incierta. No se puede predecir con exactitud los efectos que puedan tener en la economía y situación financiera argentina y, en consecuencia, en la economía y la situación financiera de la Sociedad, la falta de éxito; pero ello podrían afectar negativamente la capacidad del </w:t>
      </w:r>
      <w:r w:rsidR="003D6E1B">
        <w:rPr>
          <w:color w:val="000000"/>
          <w:sz w:val="20"/>
          <w:szCs w:val="20"/>
          <w:lang w:val="es-AR"/>
        </w:rPr>
        <w:t>G</w:t>
      </w:r>
      <w:r w:rsidRPr="00551C76">
        <w:rPr>
          <w:color w:val="000000"/>
          <w:sz w:val="20"/>
          <w:szCs w:val="20"/>
          <w:lang w:val="es-AR"/>
        </w:rPr>
        <w:t xml:space="preserve">obierno </w:t>
      </w:r>
      <w:r w:rsidR="003D6E1B">
        <w:rPr>
          <w:color w:val="000000"/>
          <w:sz w:val="20"/>
          <w:szCs w:val="20"/>
          <w:lang w:val="es-AR"/>
        </w:rPr>
        <w:t>A</w:t>
      </w:r>
      <w:r w:rsidRPr="00551C76">
        <w:rPr>
          <w:color w:val="000000"/>
          <w:sz w:val="20"/>
          <w:szCs w:val="20"/>
          <w:lang w:val="es-AR"/>
        </w:rPr>
        <w:t>rgentino de emitir títulos de deuda u obtener términos favorables cuando surja la necesidad de acceder a los mercados de capitales internacionales y, en consecuencia, la capacidad de la Sociedad para acceder a estos mercados también podría ser limitada.</w:t>
      </w:r>
    </w:p>
    <w:p w:rsidR="004E1496" w:rsidRDefault="004E1496" w:rsidP="001053B7">
      <w:pPr>
        <w:widowControl w:val="0"/>
        <w:spacing w:line="240" w:lineRule="atLeast"/>
        <w:jc w:val="both"/>
        <w:rPr>
          <w:color w:val="000000"/>
          <w:sz w:val="20"/>
          <w:szCs w:val="20"/>
          <w:lang w:val="es-AR"/>
        </w:rPr>
      </w:pPr>
    </w:p>
    <w:p w:rsidR="004013FA" w:rsidRPr="00EA1080" w:rsidRDefault="004013FA" w:rsidP="001053B7">
      <w:pPr>
        <w:widowControl w:val="0"/>
        <w:spacing w:line="240" w:lineRule="atLeast"/>
        <w:jc w:val="both"/>
        <w:rPr>
          <w:color w:val="000000"/>
          <w:sz w:val="20"/>
          <w:szCs w:val="20"/>
          <w:lang w:val="es-AR"/>
        </w:rPr>
      </w:pPr>
      <w:r w:rsidRPr="004013FA">
        <w:rPr>
          <w:i/>
          <w:color w:val="000000"/>
          <w:sz w:val="20"/>
          <w:szCs w:val="20"/>
          <w:lang w:val="es-AR"/>
        </w:rPr>
        <w:t>MSCI mantiene a Argentina en el índice de Mercados Emergentes</w:t>
      </w:r>
    </w:p>
    <w:p w:rsidR="004013FA" w:rsidRDefault="004013FA" w:rsidP="001053B7">
      <w:pPr>
        <w:widowControl w:val="0"/>
        <w:spacing w:line="240" w:lineRule="atLeast"/>
        <w:jc w:val="both"/>
        <w:rPr>
          <w:color w:val="000000"/>
          <w:sz w:val="20"/>
          <w:szCs w:val="20"/>
          <w:lang w:val="es-AR"/>
        </w:rPr>
      </w:pPr>
    </w:p>
    <w:p w:rsidR="004013FA" w:rsidRPr="00EA1080" w:rsidRDefault="004013FA" w:rsidP="004013FA">
      <w:pPr>
        <w:widowControl w:val="0"/>
        <w:spacing w:line="240" w:lineRule="atLeast"/>
        <w:jc w:val="both"/>
        <w:rPr>
          <w:color w:val="000000"/>
          <w:sz w:val="20"/>
          <w:szCs w:val="20"/>
          <w:lang w:val="es-AR"/>
        </w:rPr>
      </w:pPr>
      <w:r>
        <w:rPr>
          <w:color w:val="000000"/>
          <w:sz w:val="20"/>
          <w:szCs w:val="20"/>
          <w:lang w:val="es-AR"/>
        </w:rPr>
        <w:t>El 23 de junio del corriente año, e</w:t>
      </w:r>
      <w:r w:rsidRPr="004013FA">
        <w:rPr>
          <w:color w:val="000000"/>
          <w:sz w:val="20"/>
          <w:szCs w:val="20"/>
          <w:lang w:val="es-AR"/>
        </w:rPr>
        <w:t>l MSCI (</w:t>
      </w:r>
      <w:r w:rsidRPr="00EA1080">
        <w:rPr>
          <w:i/>
          <w:color w:val="000000"/>
          <w:sz w:val="20"/>
          <w:szCs w:val="20"/>
          <w:lang w:val="es-AR"/>
        </w:rPr>
        <w:t>Morgan Stanley Capital Investment</w:t>
      </w:r>
      <w:r w:rsidRPr="004013FA">
        <w:rPr>
          <w:color w:val="000000"/>
          <w:sz w:val="20"/>
          <w:szCs w:val="20"/>
          <w:lang w:val="es-AR"/>
        </w:rPr>
        <w:t xml:space="preserve"> por sus siglas en inglés)</w:t>
      </w:r>
      <w:r>
        <w:rPr>
          <w:color w:val="000000"/>
          <w:sz w:val="20"/>
          <w:szCs w:val="20"/>
          <w:lang w:val="es-AR"/>
        </w:rPr>
        <w:t xml:space="preserve"> dio a conocer que </w:t>
      </w:r>
      <w:r w:rsidRPr="004013FA">
        <w:rPr>
          <w:color w:val="000000"/>
          <w:sz w:val="20"/>
          <w:szCs w:val="20"/>
          <w:lang w:val="es-AR"/>
        </w:rPr>
        <w:t xml:space="preserve">el MSCI Argentina se mantiene dentro de </w:t>
      </w:r>
      <w:r>
        <w:rPr>
          <w:color w:val="000000"/>
          <w:sz w:val="20"/>
          <w:szCs w:val="20"/>
          <w:lang w:val="es-AR"/>
        </w:rPr>
        <w:t xml:space="preserve">la categoría de Mercados </w:t>
      </w:r>
      <w:r w:rsidRPr="004013FA">
        <w:rPr>
          <w:color w:val="000000"/>
          <w:sz w:val="20"/>
          <w:szCs w:val="20"/>
          <w:lang w:val="es-AR"/>
        </w:rPr>
        <w:t xml:space="preserve">Emergentes, aunque con una participación mínima del 0.12%, y una capitalización de mercado de </w:t>
      </w:r>
      <w:r w:rsidR="005019EE" w:rsidRPr="004013FA">
        <w:rPr>
          <w:color w:val="000000"/>
          <w:sz w:val="20"/>
          <w:szCs w:val="20"/>
          <w:lang w:val="es-AR"/>
        </w:rPr>
        <w:t>U</w:t>
      </w:r>
      <w:r w:rsidR="005019EE">
        <w:rPr>
          <w:color w:val="000000"/>
          <w:sz w:val="20"/>
          <w:szCs w:val="20"/>
          <w:lang w:val="es-AR"/>
        </w:rPr>
        <w:t>$S</w:t>
      </w:r>
      <w:r w:rsidRPr="004013FA">
        <w:rPr>
          <w:color w:val="000000"/>
          <w:sz w:val="20"/>
          <w:szCs w:val="20"/>
          <w:lang w:val="es-AR"/>
        </w:rPr>
        <w:t>7.122 millones.</w:t>
      </w:r>
      <w:r>
        <w:rPr>
          <w:color w:val="000000"/>
          <w:sz w:val="20"/>
          <w:szCs w:val="20"/>
          <w:lang w:val="es-AR"/>
        </w:rPr>
        <w:t xml:space="preserve"> </w:t>
      </w:r>
      <w:r w:rsidRPr="004013FA">
        <w:rPr>
          <w:color w:val="000000"/>
          <w:sz w:val="20"/>
          <w:szCs w:val="20"/>
          <w:lang w:val="es-AR"/>
        </w:rPr>
        <w:t xml:space="preserve">El período de consulta para una revisión </w:t>
      </w:r>
      <w:r>
        <w:rPr>
          <w:color w:val="000000"/>
          <w:sz w:val="20"/>
          <w:szCs w:val="20"/>
          <w:lang w:val="es-AR"/>
        </w:rPr>
        <w:t xml:space="preserve">de la </w:t>
      </w:r>
      <w:r w:rsidRPr="004013FA">
        <w:rPr>
          <w:color w:val="000000"/>
          <w:sz w:val="20"/>
          <w:szCs w:val="20"/>
          <w:lang w:val="es-AR"/>
        </w:rPr>
        <w:t xml:space="preserve">Argentina se había abierto en septiembre del año </w:t>
      </w:r>
      <w:r>
        <w:rPr>
          <w:color w:val="000000"/>
          <w:sz w:val="20"/>
          <w:szCs w:val="20"/>
          <w:lang w:val="es-AR"/>
        </w:rPr>
        <w:t xml:space="preserve">2019 </w:t>
      </w:r>
      <w:r w:rsidRPr="004013FA">
        <w:rPr>
          <w:color w:val="000000"/>
          <w:sz w:val="20"/>
          <w:szCs w:val="20"/>
          <w:lang w:val="es-AR"/>
        </w:rPr>
        <w:t>ante la implementación a principio de ese mes de los primeros controles de capitales.</w:t>
      </w:r>
    </w:p>
    <w:p w:rsidR="001053B7" w:rsidRDefault="001053B7" w:rsidP="001053B7">
      <w:pPr>
        <w:widowControl w:val="0"/>
        <w:spacing w:line="240" w:lineRule="atLeast"/>
        <w:jc w:val="both"/>
        <w:rPr>
          <w:sz w:val="20"/>
          <w:szCs w:val="20"/>
          <w:lang w:val="es-AR"/>
        </w:rPr>
      </w:pPr>
    </w:p>
    <w:p w:rsidR="00E616BF" w:rsidRDefault="00E616BF" w:rsidP="00E616BF">
      <w:pPr>
        <w:widowControl w:val="0"/>
        <w:spacing w:line="240" w:lineRule="atLeast"/>
        <w:jc w:val="both"/>
        <w:rPr>
          <w:i/>
          <w:color w:val="000000"/>
          <w:sz w:val="20"/>
          <w:szCs w:val="20"/>
          <w:lang w:val="es-ES"/>
        </w:rPr>
      </w:pPr>
      <w:r w:rsidRPr="00551C76">
        <w:rPr>
          <w:i/>
          <w:color w:val="000000"/>
          <w:sz w:val="20"/>
          <w:szCs w:val="20"/>
          <w:lang w:val="es-ES"/>
        </w:rPr>
        <w:t>El crecimiento y la estabilidad de la economía argentina se ven desafiados por la pandemia del Coronavirus.</w:t>
      </w:r>
    </w:p>
    <w:p w:rsidR="00E616BF" w:rsidRPr="007D2A8B" w:rsidRDefault="00E616BF" w:rsidP="00E616BF">
      <w:pPr>
        <w:widowControl w:val="0"/>
        <w:spacing w:line="240" w:lineRule="atLeast"/>
        <w:jc w:val="both"/>
        <w:rPr>
          <w:color w:val="000000"/>
          <w:sz w:val="20"/>
          <w:szCs w:val="20"/>
          <w:lang w:val="es-ES"/>
        </w:rPr>
      </w:pPr>
    </w:p>
    <w:p w:rsidR="00E616BF" w:rsidRPr="007235D4" w:rsidRDefault="00E616BF" w:rsidP="00E616BF">
      <w:pPr>
        <w:widowControl w:val="0"/>
        <w:spacing w:line="240" w:lineRule="atLeast"/>
        <w:jc w:val="both"/>
        <w:rPr>
          <w:color w:val="000000"/>
          <w:sz w:val="20"/>
          <w:szCs w:val="20"/>
          <w:lang w:val="es-ES"/>
        </w:rPr>
      </w:pPr>
      <w:r>
        <w:rPr>
          <w:color w:val="000000"/>
          <w:sz w:val="20"/>
          <w:szCs w:val="20"/>
          <w:lang w:val="es-ES"/>
        </w:rPr>
        <w:t>De acuerdo con el informe publicado por el Instituto Nacional de Estadísticas y Censos (“</w:t>
      </w:r>
      <w:r w:rsidRPr="00E35CDC">
        <w:rPr>
          <w:color w:val="000000"/>
          <w:sz w:val="20"/>
          <w:szCs w:val="20"/>
          <w:u w:val="single"/>
          <w:lang w:val="es-ES"/>
        </w:rPr>
        <w:t>INDEC</w:t>
      </w:r>
      <w:r>
        <w:rPr>
          <w:color w:val="000000"/>
          <w:sz w:val="20"/>
          <w:szCs w:val="20"/>
          <w:lang w:val="es-ES"/>
        </w:rPr>
        <w:t>”) el 29 de junio de 2020, el</w:t>
      </w:r>
      <w:r w:rsidRPr="007235D4">
        <w:rPr>
          <w:color w:val="000000"/>
          <w:sz w:val="20"/>
          <w:szCs w:val="20"/>
          <w:lang w:val="es-AR"/>
        </w:rPr>
        <w:t xml:space="preserve"> nivel de actividad económica </w:t>
      </w:r>
      <w:r>
        <w:rPr>
          <w:color w:val="000000"/>
          <w:sz w:val="20"/>
          <w:szCs w:val="20"/>
          <w:lang w:val="es-AR"/>
        </w:rPr>
        <w:t xml:space="preserve">de Argentina </w:t>
      </w:r>
      <w:r w:rsidRPr="007235D4">
        <w:rPr>
          <w:color w:val="000000"/>
          <w:sz w:val="20"/>
          <w:szCs w:val="20"/>
          <w:lang w:val="es-AR"/>
        </w:rPr>
        <w:t>retrocedió 26,4% a nivel interanual durante abril</w:t>
      </w:r>
      <w:r>
        <w:rPr>
          <w:color w:val="000000"/>
          <w:sz w:val="20"/>
          <w:szCs w:val="20"/>
          <w:lang w:val="es-AR"/>
        </w:rPr>
        <w:t xml:space="preserve"> de 2020</w:t>
      </w:r>
      <w:r w:rsidRPr="007235D4">
        <w:rPr>
          <w:color w:val="000000"/>
          <w:sz w:val="20"/>
          <w:szCs w:val="20"/>
          <w:lang w:val="es-AR"/>
        </w:rPr>
        <w:t xml:space="preserve">, primer mes en que se aplicaron las medidas de </w:t>
      </w:r>
      <w:r>
        <w:rPr>
          <w:color w:val="000000"/>
          <w:sz w:val="20"/>
          <w:szCs w:val="20"/>
          <w:lang w:val="es-AR"/>
        </w:rPr>
        <w:t>aislamiento en virtud de la pandemia del Covid-19</w:t>
      </w:r>
      <w:r w:rsidRPr="007235D4">
        <w:rPr>
          <w:color w:val="000000"/>
          <w:sz w:val="20"/>
          <w:szCs w:val="20"/>
          <w:lang w:val="es-ES"/>
        </w:rPr>
        <w:t>.  </w:t>
      </w:r>
      <w:r>
        <w:rPr>
          <w:color w:val="000000"/>
          <w:sz w:val="20"/>
          <w:szCs w:val="20"/>
          <w:lang w:val="es-ES"/>
        </w:rPr>
        <w:t xml:space="preserve">Por otro lado, el </w:t>
      </w:r>
      <w:r w:rsidRPr="00551C76">
        <w:rPr>
          <w:color w:val="000000"/>
          <w:sz w:val="20"/>
          <w:szCs w:val="20"/>
          <w:lang w:val="es-ES"/>
        </w:rPr>
        <w:t>Estimador Mensual de la Actividad Económica (</w:t>
      </w:r>
      <w:r w:rsidR="00094C73" w:rsidRPr="00551C76">
        <w:rPr>
          <w:color w:val="000000"/>
          <w:sz w:val="20"/>
          <w:szCs w:val="20"/>
          <w:lang w:val="es-ES"/>
        </w:rPr>
        <w:t>EMAE</w:t>
      </w:r>
      <w:r w:rsidRPr="00551C76">
        <w:rPr>
          <w:color w:val="000000"/>
          <w:sz w:val="20"/>
          <w:szCs w:val="20"/>
          <w:lang w:val="es-ES"/>
        </w:rPr>
        <w:t xml:space="preserve">) registró </w:t>
      </w:r>
      <w:r>
        <w:rPr>
          <w:color w:val="000000"/>
          <w:sz w:val="20"/>
          <w:szCs w:val="20"/>
          <w:lang w:val="es-ES"/>
        </w:rPr>
        <w:t xml:space="preserve">en el mismo período </w:t>
      </w:r>
      <w:r w:rsidRPr="00551C76">
        <w:rPr>
          <w:color w:val="000000"/>
          <w:sz w:val="20"/>
          <w:szCs w:val="20"/>
          <w:lang w:val="es-ES"/>
        </w:rPr>
        <w:t>una baja del 17,5% respecto a marzo y acumuló un retroceso del 11% en el primer cuatrimestre del año</w:t>
      </w:r>
      <w:r w:rsidR="008E6B81">
        <w:rPr>
          <w:color w:val="000000"/>
          <w:sz w:val="20"/>
          <w:szCs w:val="20"/>
          <w:lang w:val="es-ES"/>
        </w:rPr>
        <w:t xml:space="preserve"> 2020</w:t>
      </w:r>
      <w:r>
        <w:rPr>
          <w:color w:val="000000"/>
          <w:sz w:val="20"/>
          <w:szCs w:val="20"/>
          <w:lang w:val="es-ES"/>
        </w:rPr>
        <w:t>, y la recaudación impositiva se contrajo un 22,5% en términos reales en el mes de mayo</w:t>
      </w:r>
      <w:r w:rsidRPr="00551C76">
        <w:rPr>
          <w:color w:val="000000"/>
          <w:sz w:val="20"/>
          <w:szCs w:val="20"/>
          <w:lang w:val="es-ES"/>
        </w:rPr>
        <w:t>.</w:t>
      </w:r>
    </w:p>
    <w:p w:rsidR="00E616BF" w:rsidRDefault="00E616BF" w:rsidP="00E616BF">
      <w:pPr>
        <w:widowControl w:val="0"/>
        <w:spacing w:line="240" w:lineRule="atLeast"/>
        <w:jc w:val="both"/>
        <w:rPr>
          <w:color w:val="000000"/>
          <w:sz w:val="20"/>
          <w:szCs w:val="20"/>
          <w:lang w:val="es-ES"/>
        </w:rPr>
      </w:pPr>
    </w:p>
    <w:p w:rsidR="00E616BF" w:rsidRDefault="00E616BF" w:rsidP="00E616BF">
      <w:pPr>
        <w:widowControl w:val="0"/>
        <w:spacing w:line="240" w:lineRule="atLeast"/>
        <w:jc w:val="both"/>
        <w:rPr>
          <w:color w:val="000000"/>
          <w:sz w:val="20"/>
          <w:szCs w:val="20"/>
          <w:lang w:val="es-AR"/>
        </w:rPr>
      </w:pPr>
      <w:r>
        <w:rPr>
          <w:color w:val="000000"/>
          <w:sz w:val="20"/>
          <w:szCs w:val="20"/>
          <w:lang w:val="es-AR"/>
        </w:rPr>
        <w:t>Al</w:t>
      </w:r>
      <w:r w:rsidRPr="005C4153">
        <w:rPr>
          <w:color w:val="000000"/>
          <w:sz w:val="20"/>
          <w:szCs w:val="20"/>
          <w:lang w:val="es-AR"/>
        </w:rPr>
        <w:t xml:space="preserve"> estancamiento de la economía argentina se suma un contexto de crisis internacional como consecuencia de la pandemia del Covid-19. En este escenario se espera una fuerte caída de exportaciones y menos ingreso de divisas, lo que complejiza aún más la posibilidad de que el </w:t>
      </w:r>
      <w:r w:rsidR="003D6E1B">
        <w:rPr>
          <w:color w:val="000000"/>
          <w:sz w:val="20"/>
          <w:szCs w:val="20"/>
          <w:lang w:val="es-AR"/>
        </w:rPr>
        <w:t>G</w:t>
      </w:r>
      <w:r w:rsidRPr="005C4153">
        <w:rPr>
          <w:color w:val="000000"/>
          <w:sz w:val="20"/>
          <w:szCs w:val="20"/>
          <w:lang w:val="es-AR"/>
        </w:rPr>
        <w:t xml:space="preserve">obierno </w:t>
      </w:r>
      <w:r w:rsidR="003D6E1B">
        <w:rPr>
          <w:color w:val="000000"/>
          <w:sz w:val="20"/>
          <w:szCs w:val="20"/>
          <w:lang w:val="es-AR"/>
        </w:rPr>
        <w:t>N</w:t>
      </w:r>
      <w:r w:rsidRPr="005C4153">
        <w:rPr>
          <w:color w:val="000000"/>
          <w:sz w:val="20"/>
          <w:szCs w:val="20"/>
          <w:lang w:val="es-AR"/>
        </w:rPr>
        <w:t xml:space="preserve">acional logre reactivar la economía durante el año en curso. En este sentido, en el marco de la actual pandemia del COVID-19, el relevamiento sobre expectativas de mercado elaborado por el Banco Central en mayo de 2020, denominado REM, estima una inflación minorista del 43,3% para 2020 y una variación del PBI real para 2020 de (9,5%). A su vez, prevén que en 2021 la actividad económica alcance un crecimiento de 4,5%. </w:t>
      </w:r>
    </w:p>
    <w:p w:rsidR="00E616BF" w:rsidRDefault="00E616BF" w:rsidP="00E616BF">
      <w:pPr>
        <w:widowControl w:val="0"/>
        <w:spacing w:line="240" w:lineRule="atLeast"/>
        <w:jc w:val="both"/>
        <w:rPr>
          <w:color w:val="000000"/>
          <w:sz w:val="20"/>
          <w:szCs w:val="20"/>
          <w:lang w:val="es-AR"/>
        </w:rPr>
      </w:pPr>
    </w:p>
    <w:p w:rsidR="00E616BF" w:rsidRDefault="00E616BF" w:rsidP="00E616BF">
      <w:pPr>
        <w:widowControl w:val="0"/>
        <w:spacing w:line="240" w:lineRule="atLeast"/>
        <w:jc w:val="both"/>
        <w:rPr>
          <w:color w:val="000000"/>
          <w:sz w:val="20"/>
          <w:szCs w:val="20"/>
          <w:lang w:val="es-AR"/>
        </w:rPr>
      </w:pPr>
      <w:r w:rsidRPr="005C4153">
        <w:rPr>
          <w:color w:val="000000"/>
          <w:sz w:val="20"/>
          <w:szCs w:val="20"/>
          <w:lang w:val="es-AR"/>
        </w:rPr>
        <w:t>Por su parte, el F</w:t>
      </w:r>
      <w:r w:rsidR="003D6E1B">
        <w:rPr>
          <w:color w:val="000000"/>
          <w:sz w:val="20"/>
          <w:szCs w:val="20"/>
          <w:lang w:val="es-AR"/>
        </w:rPr>
        <w:t>MI</w:t>
      </w:r>
      <w:r w:rsidRPr="005C4153">
        <w:rPr>
          <w:color w:val="000000"/>
          <w:sz w:val="20"/>
          <w:szCs w:val="20"/>
          <w:lang w:val="es-AR"/>
        </w:rPr>
        <w:t>, en su informe sobre las Perspectivas Económicas Mundiales del 14 de abril de 2020, proyectó una contracción de la economía argentina de 5,7% en 2020 en el marco de la pandemia del COVID-19 y un crecimiento de 4,4% en 2021. En caso que la Argentina logre un resultado favorable y acuerde la reestructuración de su deuda con el FMI, esto podría impactar favorablemente en la economía argentina, en el mediano y largo plazo.</w:t>
      </w:r>
    </w:p>
    <w:p w:rsidR="00E616BF" w:rsidRDefault="00E616BF" w:rsidP="00E616BF">
      <w:pPr>
        <w:widowControl w:val="0"/>
        <w:spacing w:line="240" w:lineRule="atLeast"/>
        <w:jc w:val="both"/>
        <w:rPr>
          <w:color w:val="000000"/>
          <w:sz w:val="20"/>
          <w:szCs w:val="20"/>
          <w:lang w:val="es-AR"/>
        </w:rPr>
      </w:pPr>
    </w:p>
    <w:p w:rsidR="00E616BF" w:rsidRDefault="00E616BF" w:rsidP="00E616BF">
      <w:pPr>
        <w:autoSpaceDE w:val="0"/>
        <w:autoSpaceDN w:val="0"/>
        <w:adjustRightInd w:val="0"/>
        <w:jc w:val="both"/>
        <w:rPr>
          <w:rFonts w:eastAsia="SimSun"/>
          <w:i/>
          <w:iCs/>
          <w:color w:val="000000"/>
          <w:sz w:val="20"/>
          <w:szCs w:val="20"/>
          <w:lang w:val="es-ES"/>
        </w:rPr>
      </w:pPr>
      <w:r w:rsidRPr="005F7748">
        <w:rPr>
          <w:rFonts w:eastAsia="SimSun"/>
          <w:i/>
          <w:iCs/>
          <w:color w:val="000000"/>
          <w:sz w:val="20"/>
          <w:szCs w:val="20"/>
          <w:lang w:val="es-ES"/>
        </w:rPr>
        <w:t xml:space="preserve">La intervención del Gobierno en la economía argentina podría afectar adversamente los resultados operativos y financieros del Emisor. </w:t>
      </w:r>
    </w:p>
    <w:p w:rsidR="00E616BF" w:rsidRPr="005F7748" w:rsidRDefault="00E616BF" w:rsidP="00E616BF">
      <w:pPr>
        <w:autoSpaceDE w:val="0"/>
        <w:autoSpaceDN w:val="0"/>
        <w:adjustRightInd w:val="0"/>
        <w:jc w:val="left"/>
        <w:rPr>
          <w:rFonts w:eastAsia="SimSun"/>
          <w:color w:val="000000"/>
          <w:sz w:val="20"/>
          <w:szCs w:val="20"/>
          <w:lang w:val="es-ES"/>
        </w:rPr>
      </w:pPr>
    </w:p>
    <w:p w:rsidR="00E616BF" w:rsidRDefault="00A50538" w:rsidP="00E616BF">
      <w:pPr>
        <w:widowControl w:val="0"/>
        <w:spacing w:line="240" w:lineRule="atLeast"/>
        <w:jc w:val="both"/>
        <w:rPr>
          <w:rFonts w:eastAsia="SimSun"/>
          <w:color w:val="000000"/>
          <w:sz w:val="20"/>
          <w:szCs w:val="20"/>
          <w:lang w:val="es-ES"/>
        </w:rPr>
      </w:pPr>
      <w:r>
        <w:rPr>
          <w:rFonts w:eastAsia="SimSun"/>
          <w:color w:val="000000"/>
          <w:sz w:val="20"/>
          <w:szCs w:val="20"/>
          <w:lang w:val="es-ES"/>
        </w:rPr>
        <w:t>Las políticas</w:t>
      </w:r>
      <w:r w:rsidR="00E616BF" w:rsidRPr="005F7748">
        <w:rPr>
          <w:rFonts w:eastAsia="SimSun"/>
          <w:color w:val="000000"/>
          <w:sz w:val="20"/>
          <w:szCs w:val="20"/>
          <w:lang w:val="es-ES"/>
        </w:rPr>
        <w:t xml:space="preserve"> en materia económica, incluyendo decisiones sobre la tasa de interés, impuestos, controles de precios, aumentos en los salarios, aumentos en los beneficios para empleados, controles en el tipo de cambio y potenciales modificaciones al mercado de cambio internacional tuvieron y podrían continuar teniendo un efecto adverso material en el crecimiento económico argentino y, por consiguiente, en la posición financiera de la Sociedad y sus resultados operativos. </w:t>
      </w:r>
    </w:p>
    <w:p w:rsidR="00E616BF" w:rsidRDefault="00E616BF" w:rsidP="00E616BF">
      <w:pPr>
        <w:widowControl w:val="0"/>
        <w:spacing w:line="240" w:lineRule="atLeast"/>
        <w:jc w:val="both"/>
        <w:rPr>
          <w:color w:val="000000"/>
          <w:sz w:val="20"/>
          <w:szCs w:val="20"/>
          <w:lang w:val="es-AR"/>
        </w:rPr>
      </w:pPr>
    </w:p>
    <w:p w:rsidR="00E616BF" w:rsidRDefault="00E616BF" w:rsidP="00E616BF">
      <w:pPr>
        <w:widowControl w:val="0"/>
        <w:spacing w:line="240" w:lineRule="atLeast"/>
        <w:jc w:val="both"/>
        <w:rPr>
          <w:color w:val="000000"/>
          <w:sz w:val="20"/>
          <w:szCs w:val="20"/>
          <w:lang w:val="es-ES"/>
        </w:rPr>
      </w:pPr>
      <w:r>
        <w:rPr>
          <w:color w:val="000000"/>
          <w:sz w:val="20"/>
          <w:szCs w:val="20"/>
          <w:lang w:val="es-AR"/>
        </w:rPr>
        <w:t xml:space="preserve">En este contexto, </w:t>
      </w:r>
      <w:r w:rsidR="00A50538">
        <w:rPr>
          <w:color w:val="000000"/>
          <w:sz w:val="20"/>
          <w:szCs w:val="20"/>
          <w:lang w:val="es-ES"/>
        </w:rPr>
        <w:t>e</w:t>
      </w:r>
      <w:r w:rsidRPr="00551C76">
        <w:rPr>
          <w:color w:val="000000"/>
          <w:sz w:val="20"/>
          <w:szCs w:val="20"/>
          <w:lang w:val="es-ES"/>
        </w:rPr>
        <w:t xml:space="preserve">l 9 de junio de 2020, el Poder Ejecutivo nacional, a través del </w:t>
      </w:r>
      <w:r w:rsidR="00A50538" w:rsidRPr="00551C76">
        <w:rPr>
          <w:color w:val="000000"/>
          <w:sz w:val="20"/>
          <w:szCs w:val="20"/>
          <w:lang w:val="es-ES"/>
        </w:rPr>
        <w:t>Decreto</w:t>
      </w:r>
      <w:r w:rsidR="00A50538">
        <w:rPr>
          <w:color w:val="000000"/>
          <w:sz w:val="20"/>
          <w:szCs w:val="20"/>
          <w:lang w:val="es-ES"/>
        </w:rPr>
        <w:t xml:space="preserve"> de Necesidad y Urgencia N°</w:t>
      </w:r>
      <w:r w:rsidR="00A50538" w:rsidRPr="00551C76">
        <w:rPr>
          <w:color w:val="000000"/>
          <w:sz w:val="20"/>
          <w:szCs w:val="20"/>
          <w:lang w:val="es-ES"/>
        </w:rPr>
        <w:t xml:space="preserve"> </w:t>
      </w:r>
      <w:r w:rsidRPr="00551C76">
        <w:rPr>
          <w:color w:val="000000"/>
          <w:sz w:val="20"/>
          <w:szCs w:val="20"/>
          <w:lang w:val="es-ES"/>
        </w:rPr>
        <w:t>522/2020</w:t>
      </w:r>
      <w:r w:rsidR="00A50538">
        <w:rPr>
          <w:color w:val="000000"/>
          <w:sz w:val="20"/>
          <w:szCs w:val="20"/>
          <w:lang w:val="es-ES"/>
        </w:rPr>
        <w:t xml:space="preserve"> (“</w:t>
      </w:r>
      <w:r w:rsidR="00A50538">
        <w:rPr>
          <w:color w:val="000000"/>
          <w:sz w:val="20"/>
          <w:szCs w:val="20"/>
          <w:u w:val="single"/>
          <w:lang w:val="es-ES"/>
        </w:rPr>
        <w:t>DNU 522/2020</w:t>
      </w:r>
      <w:r w:rsidR="00A50538">
        <w:rPr>
          <w:color w:val="000000"/>
          <w:sz w:val="20"/>
          <w:szCs w:val="20"/>
          <w:lang w:val="es-ES"/>
        </w:rPr>
        <w:t>”)</w:t>
      </w:r>
      <w:r w:rsidRPr="00551C76">
        <w:rPr>
          <w:color w:val="000000"/>
          <w:sz w:val="20"/>
          <w:szCs w:val="20"/>
          <w:lang w:val="es-ES"/>
        </w:rPr>
        <w:t xml:space="preserve">, oficializó la decisión de intervenir transitoriamente la agroexportadora Vicentin S.A.I.C. </w:t>
      </w:r>
      <w:r w:rsidR="00A50538">
        <w:rPr>
          <w:color w:val="000000"/>
          <w:sz w:val="20"/>
          <w:szCs w:val="20"/>
          <w:lang w:val="es-ES"/>
        </w:rPr>
        <w:t>(“</w:t>
      </w:r>
      <w:proofErr w:type="spellStart"/>
      <w:r w:rsidR="00A50538">
        <w:rPr>
          <w:color w:val="000000"/>
          <w:sz w:val="20"/>
          <w:szCs w:val="20"/>
          <w:u w:val="single"/>
          <w:lang w:val="es-ES"/>
        </w:rPr>
        <w:t>Vicentín</w:t>
      </w:r>
      <w:proofErr w:type="spellEnd"/>
      <w:r w:rsidR="00A50538">
        <w:rPr>
          <w:color w:val="000000"/>
          <w:sz w:val="20"/>
          <w:szCs w:val="20"/>
          <w:lang w:val="es-ES"/>
        </w:rPr>
        <w:t xml:space="preserve">”) </w:t>
      </w:r>
      <w:r w:rsidRPr="00551C76">
        <w:rPr>
          <w:color w:val="000000"/>
          <w:sz w:val="20"/>
          <w:szCs w:val="20"/>
          <w:lang w:val="es-ES"/>
        </w:rPr>
        <w:t>por un plazo de 60 días</w:t>
      </w:r>
      <w:r w:rsidR="00A50538">
        <w:rPr>
          <w:color w:val="000000"/>
          <w:sz w:val="20"/>
          <w:szCs w:val="20"/>
          <w:lang w:val="es-ES"/>
        </w:rPr>
        <w:t xml:space="preserve">. </w:t>
      </w:r>
      <w:r w:rsidRPr="00551C76">
        <w:rPr>
          <w:color w:val="000000"/>
          <w:sz w:val="20"/>
          <w:szCs w:val="20"/>
          <w:lang w:val="es-ES"/>
        </w:rPr>
        <w:t xml:space="preserve">En paralelo, el Gobierno Nacional difundió </w:t>
      </w:r>
      <w:r w:rsidR="00A50538">
        <w:rPr>
          <w:color w:val="000000"/>
          <w:sz w:val="20"/>
          <w:szCs w:val="20"/>
          <w:lang w:val="es-ES"/>
        </w:rPr>
        <w:t>un</w:t>
      </w:r>
      <w:r w:rsidRPr="00551C76">
        <w:rPr>
          <w:color w:val="000000"/>
          <w:sz w:val="20"/>
          <w:szCs w:val="20"/>
          <w:lang w:val="es-ES"/>
        </w:rPr>
        <w:t xml:space="preserve"> proyecto de ley, mediante el cual buscará declarar de utilidad pública y expropiar a la sociedad </w:t>
      </w:r>
      <w:proofErr w:type="spellStart"/>
      <w:r w:rsidRPr="00551C76">
        <w:rPr>
          <w:color w:val="000000"/>
          <w:sz w:val="20"/>
          <w:szCs w:val="20"/>
          <w:lang w:val="es-ES"/>
        </w:rPr>
        <w:t>Vicent</w:t>
      </w:r>
      <w:r w:rsidR="00094C73">
        <w:rPr>
          <w:color w:val="000000"/>
          <w:sz w:val="20"/>
          <w:szCs w:val="20"/>
          <w:lang w:val="es-ES"/>
        </w:rPr>
        <w:t>ín</w:t>
      </w:r>
      <w:proofErr w:type="spellEnd"/>
      <w:r w:rsidRPr="00551C76">
        <w:rPr>
          <w:color w:val="000000"/>
          <w:sz w:val="20"/>
          <w:szCs w:val="20"/>
          <w:lang w:val="es-ES"/>
        </w:rPr>
        <w:t xml:space="preserve">. El 19 de junio de 2020, el Juzgado de Primera Instancia, Civil y Comercial de la Segunda Nominación de Reconquista (Santa Fe) –a cargo del concurso preventivo de </w:t>
      </w:r>
      <w:proofErr w:type="spellStart"/>
      <w:r w:rsidRPr="00551C76">
        <w:rPr>
          <w:color w:val="000000"/>
          <w:sz w:val="20"/>
          <w:szCs w:val="20"/>
          <w:lang w:val="es-ES"/>
        </w:rPr>
        <w:t>Vicent</w:t>
      </w:r>
      <w:r w:rsidR="00094C73">
        <w:rPr>
          <w:color w:val="000000"/>
          <w:sz w:val="20"/>
          <w:szCs w:val="20"/>
          <w:lang w:val="es-ES"/>
        </w:rPr>
        <w:t>í</w:t>
      </w:r>
      <w:r w:rsidRPr="00551C76">
        <w:rPr>
          <w:color w:val="000000"/>
          <w:sz w:val="20"/>
          <w:szCs w:val="20"/>
          <w:lang w:val="es-ES"/>
        </w:rPr>
        <w:t>n</w:t>
      </w:r>
      <w:proofErr w:type="spellEnd"/>
      <w:r w:rsidRPr="00551C76">
        <w:rPr>
          <w:color w:val="000000"/>
          <w:sz w:val="20"/>
          <w:szCs w:val="20"/>
          <w:lang w:val="es-ES"/>
        </w:rPr>
        <w:t xml:space="preserve">- resolvió reponer en sus funciones a los directores de </w:t>
      </w:r>
      <w:proofErr w:type="spellStart"/>
      <w:r w:rsidR="00A50538">
        <w:rPr>
          <w:color w:val="000000"/>
          <w:sz w:val="20"/>
          <w:szCs w:val="20"/>
          <w:lang w:val="es-ES"/>
        </w:rPr>
        <w:t>Vicentín</w:t>
      </w:r>
      <w:proofErr w:type="spellEnd"/>
      <w:r w:rsidRPr="00551C76">
        <w:rPr>
          <w:color w:val="000000"/>
          <w:sz w:val="20"/>
          <w:szCs w:val="20"/>
          <w:lang w:val="es-ES"/>
        </w:rPr>
        <w:t xml:space="preserve"> y, a su vez, que los interventores designados por el </w:t>
      </w:r>
      <w:r w:rsidR="00A50538">
        <w:rPr>
          <w:color w:val="000000"/>
          <w:sz w:val="20"/>
          <w:szCs w:val="20"/>
          <w:lang w:val="es-ES"/>
        </w:rPr>
        <w:t xml:space="preserve">DNU </w:t>
      </w:r>
      <w:r w:rsidRPr="00551C76">
        <w:rPr>
          <w:color w:val="000000"/>
          <w:sz w:val="20"/>
          <w:szCs w:val="20"/>
          <w:lang w:val="es-ES"/>
        </w:rPr>
        <w:t xml:space="preserve">522/2020, continúen desarrollando su tarea, con el grado de veedores controladores. </w:t>
      </w:r>
      <w:r w:rsidR="00A50538">
        <w:rPr>
          <w:color w:val="000000"/>
          <w:sz w:val="20"/>
          <w:szCs w:val="20"/>
          <w:lang w:val="es-ES"/>
        </w:rPr>
        <w:t>Posteriormente</w:t>
      </w:r>
      <w:r w:rsidRPr="00551C76">
        <w:rPr>
          <w:color w:val="000000"/>
          <w:sz w:val="20"/>
          <w:szCs w:val="20"/>
          <w:lang w:val="es-ES"/>
        </w:rPr>
        <w:t>, el gobernador de la Provincia de Santa Fe anuncio la presentación de una propuesta de intervención mixta “sin expropiación” mediante la conformación de un Órgano de Intervención durante todo el plazo que se extienda el proceso judicial</w:t>
      </w:r>
      <w:r w:rsidR="00A50538">
        <w:rPr>
          <w:color w:val="000000"/>
          <w:sz w:val="20"/>
          <w:szCs w:val="20"/>
          <w:lang w:val="es-ES"/>
        </w:rPr>
        <w:t>.</w:t>
      </w:r>
      <w:r w:rsidR="00A50538" w:rsidRPr="00551C76" w:rsidDel="00A50538">
        <w:rPr>
          <w:color w:val="000000"/>
          <w:sz w:val="20"/>
          <w:szCs w:val="20"/>
          <w:lang w:val="es-ES"/>
        </w:rPr>
        <w:t xml:space="preserve"> </w:t>
      </w:r>
    </w:p>
    <w:p w:rsidR="00E616BF" w:rsidRPr="00551C76" w:rsidRDefault="00E616BF" w:rsidP="00E616BF">
      <w:pPr>
        <w:widowControl w:val="0"/>
        <w:spacing w:line="240" w:lineRule="atLeast"/>
        <w:jc w:val="both"/>
        <w:rPr>
          <w:rFonts w:eastAsia="SimSun"/>
          <w:color w:val="000000"/>
          <w:sz w:val="20"/>
          <w:szCs w:val="20"/>
          <w:lang w:val="es-ES"/>
        </w:rPr>
      </w:pPr>
      <w:r>
        <w:rPr>
          <w:rFonts w:eastAsia="SimSun"/>
          <w:color w:val="000000"/>
          <w:sz w:val="20"/>
          <w:szCs w:val="20"/>
          <w:lang w:val="es-ES"/>
        </w:rPr>
        <w:t>Las</w:t>
      </w:r>
      <w:r w:rsidRPr="005F7748">
        <w:rPr>
          <w:rFonts w:eastAsia="SimSun"/>
          <w:color w:val="000000"/>
          <w:sz w:val="20"/>
          <w:szCs w:val="20"/>
          <w:lang w:val="es-ES"/>
        </w:rPr>
        <w:t xml:space="preserve"> políticas establecidas por el Gobierno Nacional podrían afectar sustancialmente de manera adversa la economía y consecuentemente el negocio, los resultados operativos y la condición financiera del Emisor y su habilidad para el repago en tiempo y forma las Obligaciones Negociables.</w:t>
      </w:r>
    </w:p>
    <w:p w:rsidR="00E616BF" w:rsidRDefault="00E616BF" w:rsidP="00E616BF">
      <w:pPr>
        <w:widowControl w:val="0"/>
        <w:spacing w:line="240" w:lineRule="atLeast"/>
        <w:jc w:val="both"/>
        <w:rPr>
          <w:color w:val="000000"/>
          <w:sz w:val="20"/>
          <w:szCs w:val="20"/>
          <w:lang w:val="es-AR"/>
        </w:rPr>
      </w:pPr>
    </w:p>
    <w:p w:rsidR="00E616BF" w:rsidRPr="00551C76" w:rsidRDefault="00E616BF" w:rsidP="00E616BF">
      <w:pPr>
        <w:widowControl w:val="0"/>
        <w:spacing w:line="240" w:lineRule="atLeast"/>
        <w:jc w:val="both"/>
        <w:rPr>
          <w:i/>
          <w:color w:val="000000"/>
          <w:sz w:val="20"/>
          <w:szCs w:val="20"/>
          <w:lang w:val="es-ES"/>
        </w:rPr>
      </w:pPr>
      <w:r w:rsidRPr="00551C76">
        <w:rPr>
          <w:i/>
          <w:color w:val="000000"/>
          <w:sz w:val="20"/>
          <w:szCs w:val="20"/>
          <w:lang w:val="es-ES"/>
        </w:rPr>
        <w:t>Fluctuaciones significativas en el valor del Peso podrían tener un impacto negativo sobre la economía arge</w:t>
      </w:r>
      <w:r>
        <w:rPr>
          <w:i/>
          <w:color w:val="000000"/>
          <w:sz w:val="20"/>
          <w:szCs w:val="20"/>
          <w:lang w:val="es-ES"/>
        </w:rPr>
        <w:t>ntina y sobre el desempeño del</w:t>
      </w:r>
      <w:r w:rsidRPr="00551C76">
        <w:rPr>
          <w:i/>
          <w:color w:val="000000"/>
          <w:sz w:val="20"/>
          <w:szCs w:val="20"/>
          <w:lang w:val="es-ES"/>
        </w:rPr>
        <w:t xml:space="preserve"> Emisor.</w:t>
      </w:r>
    </w:p>
    <w:p w:rsidR="00E616BF" w:rsidRDefault="00E616BF" w:rsidP="00E616BF">
      <w:pPr>
        <w:widowControl w:val="0"/>
        <w:spacing w:line="240" w:lineRule="atLeast"/>
        <w:jc w:val="both"/>
        <w:rPr>
          <w:sz w:val="20"/>
          <w:szCs w:val="20"/>
          <w:lang w:val="es-AR"/>
        </w:rPr>
      </w:pPr>
    </w:p>
    <w:p w:rsidR="00E616BF" w:rsidRDefault="00E616BF" w:rsidP="00E616BF">
      <w:pPr>
        <w:widowControl w:val="0"/>
        <w:spacing w:line="240" w:lineRule="atLeast"/>
        <w:jc w:val="both"/>
        <w:rPr>
          <w:sz w:val="20"/>
          <w:szCs w:val="20"/>
          <w:lang w:val="es-ES"/>
        </w:rPr>
      </w:pPr>
      <w:r w:rsidRPr="00551C76">
        <w:rPr>
          <w:sz w:val="20"/>
          <w:szCs w:val="20"/>
          <w:lang w:val="es-ES"/>
        </w:rPr>
        <w:t>A partir de abril de 2018 el Peso sufrió una significativa devaluación con respecto</w:t>
      </w:r>
      <w:r>
        <w:rPr>
          <w:sz w:val="20"/>
          <w:szCs w:val="20"/>
          <w:lang w:val="es-ES"/>
        </w:rPr>
        <w:t xml:space="preserve"> al dólar estadounidense y al 29</w:t>
      </w:r>
      <w:r w:rsidRPr="00551C76">
        <w:rPr>
          <w:sz w:val="20"/>
          <w:szCs w:val="20"/>
          <w:lang w:val="es-ES"/>
        </w:rPr>
        <w:t xml:space="preserve"> de junio de 2020, el tipo de cam</w:t>
      </w:r>
      <w:r>
        <w:rPr>
          <w:sz w:val="20"/>
          <w:szCs w:val="20"/>
          <w:lang w:val="es-ES"/>
        </w:rPr>
        <w:t>bio de cierre fue de Pesos 70,40</w:t>
      </w:r>
      <w:r w:rsidRPr="00551C76">
        <w:rPr>
          <w:sz w:val="20"/>
          <w:szCs w:val="20"/>
          <w:lang w:val="es-ES"/>
        </w:rPr>
        <w:t xml:space="preserve"> por Dólar Estadounidense. </w:t>
      </w:r>
    </w:p>
    <w:p w:rsidR="00E616BF" w:rsidRDefault="00E616BF" w:rsidP="00E616BF">
      <w:pPr>
        <w:widowControl w:val="0"/>
        <w:spacing w:line="240" w:lineRule="atLeast"/>
        <w:jc w:val="both"/>
        <w:rPr>
          <w:sz w:val="20"/>
          <w:szCs w:val="20"/>
          <w:lang w:val="es-ES"/>
        </w:rPr>
      </w:pPr>
    </w:p>
    <w:p w:rsidR="00E616BF" w:rsidRDefault="00E616BF" w:rsidP="00E616BF">
      <w:pPr>
        <w:widowControl w:val="0"/>
        <w:spacing w:line="240" w:lineRule="atLeast"/>
        <w:jc w:val="both"/>
        <w:rPr>
          <w:sz w:val="20"/>
          <w:szCs w:val="20"/>
          <w:lang w:val="es-ES"/>
        </w:rPr>
      </w:pPr>
      <w:r w:rsidRPr="00551C76">
        <w:rPr>
          <w:sz w:val="20"/>
          <w:szCs w:val="20"/>
          <w:lang w:val="es-ES"/>
        </w:rPr>
        <w:t>Además, la caída del nivel de reservas del Banco Central, podría generar dudas sobre la estabilidad de la moneda y sobre la capacidad del país de hacer frente a situaciones de inestabilidad. En los últimos años, el nivel de reservas internacionales fluctuó significativamente entre un mínimo de U$S 24.141 millones el 17 de diciembre de 2015 y un máximo de U$S 77.481 millones el 9 de abril de 2019. Durante los últimos meses las reservas internacionales disminuyeron, llega</w:t>
      </w:r>
      <w:r>
        <w:rPr>
          <w:sz w:val="20"/>
          <w:szCs w:val="20"/>
          <w:lang w:val="es-ES"/>
        </w:rPr>
        <w:t>ndo a aproximadamente US$ 43.203 millones al 29</w:t>
      </w:r>
      <w:r w:rsidRPr="00551C76">
        <w:rPr>
          <w:sz w:val="20"/>
          <w:szCs w:val="20"/>
          <w:lang w:val="es-ES"/>
        </w:rPr>
        <w:t xml:space="preserve"> de junio de 2020. </w:t>
      </w:r>
    </w:p>
    <w:p w:rsidR="00E616BF" w:rsidRDefault="00E616BF" w:rsidP="00E616BF">
      <w:pPr>
        <w:widowControl w:val="0"/>
        <w:spacing w:line="240" w:lineRule="atLeast"/>
        <w:jc w:val="both"/>
        <w:rPr>
          <w:sz w:val="20"/>
          <w:szCs w:val="20"/>
          <w:lang w:val="es-ES"/>
        </w:rPr>
      </w:pPr>
    </w:p>
    <w:p w:rsidR="00E616BF" w:rsidRDefault="00E616BF" w:rsidP="00E616BF">
      <w:pPr>
        <w:widowControl w:val="0"/>
        <w:spacing w:line="240" w:lineRule="atLeast"/>
        <w:jc w:val="both"/>
        <w:rPr>
          <w:sz w:val="20"/>
          <w:szCs w:val="20"/>
          <w:lang w:val="es-ES"/>
        </w:rPr>
      </w:pPr>
      <w:r w:rsidRPr="00551C76">
        <w:rPr>
          <w:sz w:val="20"/>
          <w:szCs w:val="20"/>
          <w:lang w:val="es-ES"/>
        </w:rPr>
        <w:t xml:space="preserve">De esta forma tanto una apreciación como una depreciación del </w:t>
      </w:r>
      <w:r w:rsidR="001B36F9">
        <w:rPr>
          <w:sz w:val="20"/>
          <w:szCs w:val="20"/>
          <w:lang w:val="es-ES"/>
        </w:rPr>
        <w:t>P</w:t>
      </w:r>
      <w:r w:rsidRPr="00551C76">
        <w:rPr>
          <w:sz w:val="20"/>
          <w:szCs w:val="20"/>
          <w:lang w:val="es-ES"/>
        </w:rPr>
        <w:t>eso o una caída pronunciada en el nivel de reservas podrían tener efectos adversos sobre la economía argentina y, en caso de que esto ocurriera, las o</w:t>
      </w:r>
      <w:r>
        <w:rPr>
          <w:sz w:val="20"/>
          <w:szCs w:val="20"/>
          <w:lang w:val="es-ES"/>
        </w:rPr>
        <w:t xml:space="preserve">peraciones y los negocios del </w:t>
      </w:r>
      <w:r w:rsidRPr="00551C76">
        <w:rPr>
          <w:sz w:val="20"/>
          <w:szCs w:val="20"/>
          <w:lang w:val="es-ES"/>
        </w:rPr>
        <w:t>Emisor podrían verse afectados negativamente.</w:t>
      </w:r>
    </w:p>
    <w:p w:rsidR="00E616BF" w:rsidRDefault="00E616BF" w:rsidP="00E616BF">
      <w:pPr>
        <w:widowControl w:val="0"/>
        <w:spacing w:line="240" w:lineRule="atLeast"/>
        <w:jc w:val="both"/>
        <w:rPr>
          <w:sz w:val="20"/>
          <w:szCs w:val="20"/>
          <w:lang w:val="es-ES"/>
        </w:rPr>
      </w:pPr>
    </w:p>
    <w:p w:rsidR="00E616BF" w:rsidRPr="00551C76" w:rsidRDefault="00E616BF" w:rsidP="00E616BF">
      <w:pPr>
        <w:widowControl w:val="0"/>
        <w:spacing w:line="240" w:lineRule="atLeast"/>
        <w:jc w:val="both"/>
        <w:rPr>
          <w:i/>
          <w:sz w:val="20"/>
          <w:szCs w:val="20"/>
          <w:lang w:val="es-ES"/>
        </w:rPr>
      </w:pPr>
      <w:r w:rsidRPr="00551C76">
        <w:rPr>
          <w:i/>
          <w:sz w:val="20"/>
          <w:szCs w:val="20"/>
          <w:lang w:val="es-ES"/>
        </w:rPr>
        <w:t xml:space="preserve">Efecto de la inflación sobre la actividad económica y financiera </w:t>
      </w:r>
    </w:p>
    <w:p w:rsidR="00E616BF" w:rsidRPr="00551C76" w:rsidRDefault="00E616BF" w:rsidP="00E616BF">
      <w:pPr>
        <w:widowControl w:val="0"/>
        <w:spacing w:line="240" w:lineRule="atLeast"/>
        <w:jc w:val="both"/>
        <w:rPr>
          <w:sz w:val="20"/>
          <w:szCs w:val="20"/>
          <w:lang w:val="es-ES"/>
        </w:rPr>
      </w:pPr>
    </w:p>
    <w:p w:rsidR="00E616BF" w:rsidRDefault="00E616BF" w:rsidP="00E616BF">
      <w:pPr>
        <w:widowControl w:val="0"/>
        <w:spacing w:line="240" w:lineRule="atLeast"/>
        <w:jc w:val="both"/>
        <w:rPr>
          <w:sz w:val="20"/>
          <w:szCs w:val="20"/>
          <w:lang w:val="es-ES"/>
        </w:rPr>
      </w:pPr>
      <w:r w:rsidRPr="00551C76">
        <w:rPr>
          <w:sz w:val="20"/>
          <w:szCs w:val="20"/>
          <w:lang w:val="es-ES"/>
        </w:rPr>
        <w:t>Durante su historia, Argentina experimentó períodos de inflación alta e incluso de hiperinflación que tuvieron impactos negativos sobre la actividad económica.</w:t>
      </w:r>
      <w:r>
        <w:rPr>
          <w:sz w:val="20"/>
          <w:szCs w:val="20"/>
          <w:lang w:val="es-ES"/>
        </w:rPr>
        <w:t xml:space="preserve"> </w:t>
      </w:r>
      <w:r w:rsidRPr="00551C76">
        <w:rPr>
          <w:sz w:val="20"/>
          <w:szCs w:val="20"/>
          <w:lang w:val="es-ES"/>
        </w:rPr>
        <w:t xml:space="preserve">Con respecto a 2020, la inflación de enero, febrero, marzo y abril fue de 2,3%, 2%, 3,3% y 1,5%, respectivamente. </w:t>
      </w:r>
    </w:p>
    <w:p w:rsidR="00E616BF" w:rsidRDefault="00E616BF" w:rsidP="00E616BF">
      <w:pPr>
        <w:widowControl w:val="0"/>
        <w:spacing w:line="240" w:lineRule="atLeast"/>
        <w:jc w:val="both"/>
        <w:rPr>
          <w:sz w:val="20"/>
          <w:szCs w:val="20"/>
          <w:lang w:val="es-ES"/>
        </w:rPr>
      </w:pPr>
    </w:p>
    <w:p w:rsidR="00E616BF" w:rsidRPr="00551C76" w:rsidRDefault="00E616BF" w:rsidP="00E616BF">
      <w:pPr>
        <w:widowControl w:val="0"/>
        <w:spacing w:line="240" w:lineRule="atLeast"/>
        <w:jc w:val="both"/>
        <w:rPr>
          <w:sz w:val="20"/>
          <w:szCs w:val="20"/>
          <w:lang w:val="es-ES"/>
        </w:rPr>
      </w:pPr>
      <w:r w:rsidRPr="00551C76">
        <w:rPr>
          <w:sz w:val="20"/>
          <w:szCs w:val="20"/>
          <w:lang w:val="es-ES"/>
        </w:rPr>
        <w:t>La persistencia del entorno de altas tasas de inflación y la incertidumbre sobre su evolución futura podrían afectar negativamente la disponibilidad de crédito a largo plazo, el mercado agropecuario y podría también socavar la competitividad de Argentina en el extranjero, afectando así de modo negativo el nivel de actividad económica, el empleo, los salarios reales, el consumo y las tasas de interés. Ello provocaría, como consecuencia, un efecto negativo sobre la situación financiera y los resu</w:t>
      </w:r>
      <w:r>
        <w:rPr>
          <w:sz w:val="20"/>
          <w:szCs w:val="20"/>
          <w:lang w:val="es-ES"/>
        </w:rPr>
        <w:t>ltados de las operaciones del Emisor</w:t>
      </w:r>
      <w:r w:rsidRPr="00551C76">
        <w:rPr>
          <w:sz w:val="20"/>
          <w:szCs w:val="20"/>
          <w:lang w:val="es-ES"/>
        </w:rPr>
        <w:t xml:space="preserve">. Además, altas y volátiles tasas de inflación dificultan la planificación a mediano y largo plazo, lo que también podría tener un impacto negativo sobre </w:t>
      </w:r>
      <w:r>
        <w:rPr>
          <w:sz w:val="20"/>
          <w:szCs w:val="20"/>
          <w:lang w:val="es-ES"/>
        </w:rPr>
        <w:t>el Emisor</w:t>
      </w:r>
      <w:r w:rsidRPr="00551C76">
        <w:rPr>
          <w:sz w:val="20"/>
          <w:szCs w:val="20"/>
          <w:lang w:val="es-ES"/>
        </w:rPr>
        <w:t>.</w:t>
      </w:r>
    </w:p>
    <w:p w:rsidR="00E616BF" w:rsidRPr="00E35CDC" w:rsidRDefault="00E616BF" w:rsidP="001053B7">
      <w:pPr>
        <w:widowControl w:val="0"/>
        <w:spacing w:line="240" w:lineRule="atLeast"/>
        <w:jc w:val="both"/>
        <w:rPr>
          <w:sz w:val="20"/>
          <w:szCs w:val="20"/>
          <w:lang w:val="es-ES"/>
        </w:rPr>
      </w:pPr>
    </w:p>
    <w:p w:rsidR="001053B7" w:rsidRPr="00251FDB" w:rsidRDefault="001053B7" w:rsidP="001053B7">
      <w:pPr>
        <w:widowControl w:val="0"/>
        <w:spacing w:line="240" w:lineRule="atLeast"/>
        <w:jc w:val="both"/>
        <w:rPr>
          <w:b/>
          <w:sz w:val="20"/>
          <w:szCs w:val="20"/>
          <w:lang w:val="es-AR"/>
        </w:rPr>
      </w:pPr>
      <w:r w:rsidRPr="00251FDB">
        <w:rPr>
          <w:b/>
          <w:sz w:val="20"/>
          <w:szCs w:val="20"/>
          <w:lang w:val="es-AR"/>
        </w:rPr>
        <w:t>Factores de riesgo relacionados con las Obligaciones Negociables.</w:t>
      </w:r>
    </w:p>
    <w:p w:rsidR="001053B7" w:rsidRPr="00251FDB" w:rsidRDefault="001053B7" w:rsidP="001053B7">
      <w:pPr>
        <w:widowControl w:val="0"/>
        <w:spacing w:line="240" w:lineRule="atLeast"/>
        <w:jc w:val="both"/>
        <w:rPr>
          <w:sz w:val="20"/>
          <w:szCs w:val="20"/>
          <w:lang w:val="es-AR"/>
        </w:rPr>
      </w:pPr>
    </w:p>
    <w:p w:rsidR="001053B7" w:rsidRPr="00251FDB" w:rsidRDefault="001053B7" w:rsidP="001053B7">
      <w:pPr>
        <w:widowControl w:val="0"/>
        <w:spacing w:line="240" w:lineRule="atLeast"/>
        <w:jc w:val="both"/>
        <w:rPr>
          <w:i/>
          <w:color w:val="000000"/>
          <w:sz w:val="20"/>
          <w:szCs w:val="20"/>
          <w:lang w:val="es-AR"/>
        </w:rPr>
      </w:pPr>
      <w:r w:rsidRPr="00251FDB">
        <w:rPr>
          <w:i/>
          <w:sz w:val="20"/>
          <w:szCs w:val="20"/>
          <w:lang w:val="es-AR"/>
        </w:rPr>
        <w:t xml:space="preserve">Posible </w:t>
      </w:r>
      <w:r w:rsidRPr="00251FDB">
        <w:rPr>
          <w:i/>
          <w:color w:val="000000"/>
          <w:sz w:val="20"/>
          <w:szCs w:val="20"/>
          <w:lang w:val="es-AR"/>
        </w:rPr>
        <w:t>inexistencia de un mercado secundario para las Obligaciones Negociables.</w:t>
      </w:r>
    </w:p>
    <w:p w:rsidR="001053B7" w:rsidRPr="00251FDB" w:rsidRDefault="001053B7" w:rsidP="001053B7">
      <w:pPr>
        <w:widowControl w:val="0"/>
        <w:spacing w:line="240" w:lineRule="atLeast"/>
        <w:jc w:val="both"/>
        <w:rPr>
          <w:color w:val="000000"/>
          <w:sz w:val="20"/>
          <w:szCs w:val="20"/>
          <w:lang w:val="es-AR"/>
        </w:rPr>
      </w:pPr>
    </w:p>
    <w:p w:rsidR="001053B7" w:rsidRPr="00251FDB" w:rsidRDefault="001053B7" w:rsidP="001053B7">
      <w:pPr>
        <w:widowControl w:val="0"/>
        <w:spacing w:line="240" w:lineRule="atLeast"/>
        <w:jc w:val="both"/>
        <w:rPr>
          <w:color w:val="000000"/>
          <w:sz w:val="20"/>
          <w:szCs w:val="20"/>
          <w:lang w:val="es-AR"/>
        </w:rPr>
      </w:pPr>
      <w:r w:rsidRPr="00251FDB">
        <w:rPr>
          <w:color w:val="000000"/>
          <w:sz w:val="20"/>
          <w:szCs w:val="20"/>
          <w:lang w:val="es-AR"/>
        </w:rPr>
        <w:t>Las Obligaciones Negociables constituirán una emisión de títulos valores, no pudiendo asegurarse la existencia futura de un mercado secundario para las Obligaciones Negociables, así como tampoco puede asegurarse que los tenedores de las Obligaciones Negociables podrán negociarlas ni asegurar, en su caso, el precio al cual podrían negociarlas. Si el mercado se desarrollara, las Obligaciones Negociables se negociarían a precios que podrían resultar mayores o menores al precio de suscripción inicial, dependiendo de diversos factores que exceden al control de</w:t>
      </w:r>
      <w:r w:rsidR="00D006C2">
        <w:rPr>
          <w:color w:val="000000"/>
          <w:sz w:val="20"/>
          <w:szCs w:val="20"/>
          <w:lang w:val="es-AR"/>
        </w:rPr>
        <w:t>l Emisor</w:t>
      </w:r>
      <w:r w:rsidRPr="00251FDB">
        <w:rPr>
          <w:color w:val="000000"/>
          <w:sz w:val="20"/>
          <w:szCs w:val="20"/>
          <w:lang w:val="es-AR"/>
        </w:rPr>
        <w:t xml:space="preserve">. </w:t>
      </w:r>
    </w:p>
    <w:p w:rsidR="001053B7" w:rsidRPr="00251FDB" w:rsidRDefault="001053B7" w:rsidP="001053B7">
      <w:pPr>
        <w:widowControl w:val="0"/>
        <w:spacing w:line="240" w:lineRule="atLeast"/>
        <w:jc w:val="both"/>
        <w:rPr>
          <w:color w:val="000000"/>
          <w:sz w:val="20"/>
          <w:szCs w:val="20"/>
          <w:lang w:val="es-AR"/>
        </w:rPr>
      </w:pPr>
    </w:p>
    <w:p w:rsidR="001053B7" w:rsidRPr="00251FDB" w:rsidRDefault="001053B7" w:rsidP="001053B7">
      <w:pPr>
        <w:widowControl w:val="0"/>
        <w:spacing w:line="240" w:lineRule="atLeast"/>
        <w:jc w:val="both"/>
        <w:rPr>
          <w:color w:val="000000"/>
          <w:sz w:val="20"/>
          <w:szCs w:val="20"/>
          <w:lang w:val="es-AR"/>
        </w:rPr>
      </w:pPr>
      <w:r w:rsidRPr="00251FDB">
        <w:rPr>
          <w:color w:val="000000"/>
          <w:sz w:val="20"/>
          <w:szCs w:val="20"/>
          <w:lang w:val="es-AR"/>
        </w:rPr>
        <w:t>Asimismo, la liquidez y el mercado de las Obligaciones Negociables pueden verse afectados por las variaciones en la tasa de interés, por las regulaciones que el Gobierno pudiera dictar y por la volatilidad de los mercados, sean nacionales o internacionales, para títulos valores similares, así como también por cualquier modificación en la liquidez, la posición patrimonial, la solvencia, los resultados y la rentabilidad de</w:t>
      </w:r>
      <w:r w:rsidR="00D006C2">
        <w:rPr>
          <w:color w:val="000000"/>
          <w:sz w:val="20"/>
          <w:szCs w:val="20"/>
          <w:lang w:val="es-AR"/>
        </w:rPr>
        <w:t>l Emisor</w:t>
      </w:r>
      <w:r w:rsidRPr="00251FDB">
        <w:rPr>
          <w:color w:val="000000"/>
          <w:sz w:val="20"/>
          <w:szCs w:val="20"/>
          <w:lang w:val="es-AR"/>
        </w:rPr>
        <w:t>.</w:t>
      </w:r>
    </w:p>
    <w:p w:rsidR="001053B7" w:rsidRDefault="001053B7" w:rsidP="001053B7">
      <w:pPr>
        <w:widowControl w:val="0"/>
        <w:spacing w:line="240" w:lineRule="atLeast"/>
        <w:jc w:val="both"/>
        <w:rPr>
          <w:color w:val="000000"/>
          <w:sz w:val="20"/>
          <w:szCs w:val="20"/>
          <w:lang w:val="es-AR"/>
        </w:rPr>
      </w:pPr>
    </w:p>
    <w:p w:rsidR="00D006C2" w:rsidRDefault="00D006C2" w:rsidP="00D006C2">
      <w:pPr>
        <w:widowControl w:val="0"/>
        <w:spacing w:line="240" w:lineRule="atLeast"/>
        <w:jc w:val="both"/>
        <w:rPr>
          <w:color w:val="000000"/>
          <w:sz w:val="20"/>
          <w:szCs w:val="20"/>
          <w:lang w:val="es-AR"/>
        </w:rPr>
      </w:pPr>
      <w:r w:rsidRPr="00EA1080">
        <w:rPr>
          <w:i/>
          <w:color w:val="000000"/>
          <w:sz w:val="20"/>
          <w:szCs w:val="20"/>
          <w:lang w:val="es-AR"/>
        </w:rPr>
        <w:t>El Emisor podría rescatar las Obligaciones Negociables antes de su vencimiento</w:t>
      </w:r>
      <w:r w:rsidRPr="00EA1080">
        <w:rPr>
          <w:color w:val="000000"/>
          <w:sz w:val="20"/>
          <w:szCs w:val="20"/>
          <w:lang w:val="es-AR"/>
        </w:rPr>
        <w:t xml:space="preserve">. </w:t>
      </w:r>
    </w:p>
    <w:p w:rsidR="00D006C2" w:rsidRDefault="00D006C2" w:rsidP="00D006C2">
      <w:pPr>
        <w:widowControl w:val="0"/>
        <w:spacing w:line="240" w:lineRule="atLeast"/>
        <w:jc w:val="both"/>
        <w:rPr>
          <w:color w:val="000000"/>
          <w:sz w:val="20"/>
          <w:szCs w:val="20"/>
          <w:lang w:val="es-AR"/>
        </w:rPr>
      </w:pPr>
    </w:p>
    <w:p w:rsidR="00D006C2" w:rsidRDefault="00D006C2" w:rsidP="00D006C2">
      <w:pPr>
        <w:widowControl w:val="0"/>
        <w:spacing w:line="240" w:lineRule="atLeast"/>
        <w:jc w:val="both"/>
        <w:rPr>
          <w:color w:val="000000"/>
          <w:sz w:val="20"/>
          <w:szCs w:val="20"/>
          <w:lang w:val="es-AR"/>
        </w:rPr>
      </w:pPr>
      <w:r w:rsidRPr="00EA1080">
        <w:rPr>
          <w:color w:val="000000"/>
          <w:sz w:val="20"/>
          <w:szCs w:val="20"/>
          <w:lang w:val="es-AR"/>
        </w:rPr>
        <w:t>Las Obligaciones Negociables podrán ser rescatadas total o parcialmente a opción de la Compañía bajo ciertas circunstancias específicas detalladas en “</w:t>
      </w:r>
      <w:r w:rsidRPr="00EA1080">
        <w:rPr>
          <w:i/>
          <w:color w:val="000000"/>
          <w:sz w:val="20"/>
          <w:szCs w:val="20"/>
          <w:lang w:val="es-AR"/>
        </w:rPr>
        <w:t>Oferta de las Obligaciones Negociables</w:t>
      </w:r>
      <w:r w:rsidRPr="00EA1080">
        <w:rPr>
          <w:color w:val="000000"/>
          <w:sz w:val="20"/>
          <w:szCs w:val="20"/>
          <w:lang w:val="es-AR"/>
        </w:rPr>
        <w:t>” en el presente Suplemento de Precio. En consecuencia, un inversor podría no ser capaz de reinvertir los fondos del rescate en un título valor similar a una tasa de interés efectiva igual a la de las Obligaciones Negociables.</w:t>
      </w:r>
    </w:p>
    <w:p w:rsidR="00D006C2" w:rsidRDefault="00D006C2" w:rsidP="001053B7">
      <w:pPr>
        <w:widowControl w:val="0"/>
        <w:spacing w:line="240" w:lineRule="atLeast"/>
        <w:jc w:val="both"/>
        <w:rPr>
          <w:color w:val="000000"/>
          <w:sz w:val="20"/>
          <w:szCs w:val="20"/>
          <w:lang w:val="es-AR"/>
        </w:rPr>
      </w:pPr>
    </w:p>
    <w:p w:rsidR="00D006C2" w:rsidRPr="00EA1080" w:rsidRDefault="00D006C2" w:rsidP="00D006C2">
      <w:pPr>
        <w:widowControl w:val="0"/>
        <w:spacing w:line="240" w:lineRule="atLeast"/>
        <w:jc w:val="both"/>
        <w:rPr>
          <w:i/>
          <w:color w:val="000000"/>
          <w:sz w:val="20"/>
          <w:szCs w:val="20"/>
          <w:lang w:val="es-AR"/>
        </w:rPr>
      </w:pPr>
      <w:r w:rsidRPr="00EA1080">
        <w:rPr>
          <w:i/>
          <w:color w:val="000000"/>
          <w:sz w:val="20"/>
          <w:szCs w:val="20"/>
          <w:lang w:val="es-AR"/>
        </w:rPr>
        <w:t>Resulta incierto el tratamiento impositivo que recibirán los tenedores de las Obligaciones Negociables en ciertas jurisdicciones.</w:t>
      </w:r>
    </w:p>
    <w:p w:rsidR="00D006C2" w:rsidRPr="00D006C2" w:rsidRDefault="00D006C2" w:rsidP="00D006C2">
      <w:pPr>
        <w:widowControl w:val="0"/>
        <w:spacing w:line="240" w:lineRule="atLeast"/>
        <w:jc w:val="both"/>
        <w:rPr>
          <w:color w:val="000000"/>
          <w:sz w:val="20"/>
          <w:szCs w:val="20"/>
          <w:lang w:val="es-AR"/>
        </w:rPr>
      </w:pPr>
    </w:p>
    <w:p w:rsidR="00D006C2" w:rsidRPr="00EA1080" w:rsidRDefault="00D006C2" w:rsidP="00D006C2">
      <w:pPr>
        <w:widowControl w:val="0"/>
        <w:spacing w:line="240" w:lineRule="atLeast"/>
        <w:jc w:val="both"/>
        <w:rPr>
          <w:i/>
          <w:color w:val="000000"/>
          <w:sz w:val="20"/>
          <w:szCs w:val="20"/>
          <w:lang w:val="es-AR"/>
        </w:rPr>
      </w:pPr>
      <w:r w:rsidRPr="00D006C2">
        <w:rPr>
          <w:color w:val="000000"/>
          <w:sz w:val="20"/>
          <w:szCs w:val="20"/>
          <w:lang w:val="es-AR"/>
        </w:rPr>
        <w:t xml:space="preserve">Se ha introducido en la Argentina una reforma impositiva integral que, entre otras </w:t>
      </w:r>
      <w:r>
        <w:rPr>
          <w:color w:val="000000"/>
          <w:sz w:val="20"/>
          <w:szCs w:val="20"/>
          <w:lang w:val="es-AR"/>
        </w:rPr>
        <w:t xml:space="preserve">cuestiones, prevé que el sujeto </w:t>
      </w:r>
      <w:r w:rsidRPr="00D006C2">
        <w:rPr>
          <w:color w:val="000000"/>
          <w:sz w:val="20"/>
          <w:szCs w:val="20"/>
          <w:lang w:val="es-AR"/>
        </w:rPr>
        <w:t>pagador en virtud de instrumentos financieros debe actuar como agente de retenci</w:t>
      </w:r>
      <w:r>
        <w:rPr>
          <w:color w:val="000000"/>
          <w:sz w:val="20"/>
          <w:szCs w:val="20"/>
          <w:lang w:val="es-AR"/>
        </w:rPr>
        <w:t xml:space="preserve">ón del impuesto a las ganancias </w:t>
      </w:r>
      <w:r w:rsidRPr="00D006C2">
        <w:rPr>
          <w:color w:val="000000"/>
          <w:sz w:val="20"/>
          <w:szCs w:val="20"/>
          <w:lang w:val="es-AR"/>
        </w:rPr>
        <w:t>correspondientes cuando el tenedor de dicho instrumento financiero sea re</w:t>
      </w:r>
      <w:r>
        <w:rPr>
          <w:color w:val="000000"/>
          <w:sz w:val="20"/>
          <w:szCs w:val="20"/>
          <w:lang w:val="es-AR"/>
        </w:rPr>
        <w:t>sidente de una jurisdicción “</w:t>
      </w:r>
      <w:r w:rsidRPr="00EA1080">
        <w:rPr>
          <w:i/>
          <w:color w:val="000000"/>
          <w:sz w:val="20"/>
          <w:szCs w:val="20"/>
          <w:lang w:val="es-AR"/>
        </w:rPr>
        <w:t>no cooperante</w:t>
      </w:r>
      <w:r w:rsidRPr="00D006C2">
        <w:rPr>
          <w:color w:val="000000"/>
          <w:sz w:val="20"/>
          <w:szCs w:val="20"/>
          <w:lang w:val="es-AR"/>
        </w:rPr>
        <w:t>”, o sus fondos provengan de cuentas ubicadas en tales jurisdicciones</w:t>
      </w:r>
      <w:r>
        <w:rPr>
          <w:color w:val="000000"/>
          <w:sz w:val="20"/>
          <w:szCs w:val="20"/>
          <w:lang w:val="es-AR"/>
        </w:rPr>
        <w:t xml:space="preserve">, conforme se definen en la Ley </w:t>
      </w:r>
      <w:r w:rsidRPr="00D006C2">
        <w:rPr>
          <w:color w:val="000000"/>
          <w:sz w:val="20"/>
          <w:szCs w:val="20"/>
          <w:lang w:val="es-AR"/>
        </w:rPr>
        <w:t>de Impuesto a las Ganancias N° 20.628, según fuera modificada y compleme</w:t>
      </w:r>
      <w:r>
        <w:rPr>
          <w:color w:val="000000"/>
          <w:sz w:val="20"/>
          <w:szCs w:val="20"/>
          <w:lang w:val="es-AR"/>
        </w:rPr>
        <w:t xml:space="preserve">ntada de tiempo en tiempo (y su </w:t>
      </w:r>
      <w:r w:rsidRPr="00D006C2">
        <w:rPr>
          <w:color w:val="000000"/>
          <w:sz w:val="20"/>
          <w:szCs w:val="20"/>
          <w:lang w:val="es-AR"/>
        </w:rPr>
        <w:t>Decreto Reglamentario Nº 862/2019, la “</w:t>
      </w:r>
      <w:r w:rsidRPr="00EA1080">
        <w:rPr>
          <w:color w:val="000000"/>
          <w:sz w:val="20"/>
          <w:szCs w:val="20"/>
          <w:u w:val="single"/>
          <w:lang w:val="es-AR"/>
        </w:rPr>
        <w:t>Ley de Impuesto a las Ganancias</w:t>
      </w:r>
      <w:r w:rsidRPr="00D006C2">
        <w:rPr>
          <w:color w:val="000000"/>
          <w:sz w:val="20"/>
          <w:szCs w:val="20"/>
          <w:lang w:val="es-AR"/>
        </w:rPr>
        <w:t>”).</w:t>
      </w:r>
      <w:r>
        <w:rPr>
          <w:color w:val="000000"/>
          <w:sz w:val="20"/>
          <w:szCs w:val="20"/>
          <w:lang w:val="es-AR"/>
        </w:rPr>
        <w:t xml:space="preserve"> Asimismo, existe incertidumbre </w:t>
      </w:r>
      <w:r w:rsidRPr="00D006C2">
        <w:rPr>
          <w:color w:val="000000"/>
          <w:sz w:val="20"/>
          <w:szCs w:val="20"/>
          <w:lang w:val="es-AR"/>
        </w:rPr>
        <w:t>con respecto al alcance de las modificaciones y si el criterio adoptado se mante</w:t>
      </w:r>
      <w:r>
        <w:rPr>
          <w:color w:val="000000"/>
          <w:sz w:val="20"/>
          <w:szCs w:val="20"/>
          <w:lang w:val="es-AR"/>
        </w:rPr>
        <w:t xml:space="preserve">ndrá en el futuro. Los pagos de </w:t>
      </w:r>
      <w:r w:rsidRPr="00D006C2">
        <w:rPr>
          <w:color w:val="000000"/>
          <w:sz w:val="20"/>
          <w:szCs w:val="20"/>
          <w:lang w:val="es-AR"/>
        </w:rPr>
        <w:t>intereses a tenedores de las Obligaciones Negociables residentes de aquellas juris</w:t>
      </w:r>
      <w:r>
        <w:rPr>
          <w:color w:val="000000"/>
          <w:sz w:val="20"/>
          <w:szCs w:val="20"/>
          <w:lang w:val="es-AR"/>
        </w:rPr>
        <w:t xml:space="preserve">dicciones estarán sujetos a una </w:t>
      </w:r>
      <w:r w:rsidRPr="00D006C2">
        <w:rPr>
          <w:color w:val="000000"/>
          <w:sz w:val="20"/>
          <w:szCs w:val="20"/>
          <w:lang w:val="es-AR"/>
        </w:rPr>
        <w:t xml:space="preserve">retención impositiva del 35%, y </w:t>
      </w:r>
      <w:r>
        <w:rPr>
          <w:color w:val="000000"/>
          <w:sz w:val="20"/>
          <w:szCs w:val="20"/>
          <w:lang w:val="es-AR"/>
        </w:rPr>
        <w:t>el Emisor</w:t>
      </w:r>
      <w:r w:rsidRPr="00D006C2">
        <w:rPr>
          <w:color w:val="000000"/>
          <w:sz w:val="20"/>
          <w:szCs w:val="20"/>
          <w:lang w:val="es-AR"/>
        </w:rPr>
        <w:t xml:space="preserve"> no abonará Montos Adici</w:t>
      </w:r>
      <w:r>
        <w:rPr>
          <w:color w:val="000000"/>
          <w:sz w:val="20"/>
          <w:szCs w:val="20"/>
          <w:lang w:val="es-AR"/>
        </w:rPr>
        <w:t xml:space="preserve">onales (según se define en este </w:t>
      </w:r>
      <w:r w:rsidRPr="00D006C2">
        <w:rPr>
          <w:color w:val="000000"/>
          <w:sz w:val="20"/>
          <w:szCs w:val="20"/>
          <w:lang w:val="es-AR"/>
        </w:rPr>
        <w:t>Suplemento de Precio) a dichos tenedores. Para mayor información, véas</w:t>
      </w:r>
      <w:r>
        <w:rPr>
          <w:color w:val="000000"/>
          <w:sz w:val="20"/>
          <w:szCs w:val="20"/>
          <w:lang w:val="es-AR"/>
        </w:rPr>
        <w:t>e el Capítulo X “</w:t>
      </w:r>
      <w:r w:rsidRPr="00EA1080">
        <w:rPr>
          <w:i/>
          <w:color w:val="000000"/>
          <w:sz w:val="20"/>
          <w:szCs w:val="20"/>
          <w:lang w:val="es-AR"/>
        </w:rPr>
        <w:t>Información Adicional –</w:t>
      </w:r>
      <w:r>
        <w:rPr>
          <w:i/>
          <w:color w:val="000000"/>
          <w:sz w:val="20"/>
          <w:szCs w:val="20"/>
          <w:lang w:val="es-AR"/>
        </w:rPr>
        <w:t xml:space="preserve"> d) </w:t>
      </w:r>
      <w:r w:rsidRPr="00EA1080">
        <w:rPr>
          <w:i/>
          <w:color w:val="000000"/>
          <w:sz w:val="20"/>
          <w:szCs w:val="20"/>
          <w:lang w:val="es-AR"/>
        </w:rPr>
        <w:t>Carga Tributaria</w:t>
      </w:r>
      <w:r w:rsidRPr="00D006C2">
        <w:rPr>
          <w:color w:val="000000"/>
          <w:sz w:val="20"/>
          <w:szCs w:val="20"/>
          <w:lang w:val="es-AR"/>
        </w:rPr>
        <w:t>” en el Prospecto. Como consecuencia de esta incertidumbre, las O</w:t>
      </w:r>
      <w:r>
        <w:rPr>
          <w:color w:val="000000"/>
          <w:sz w:val="20"/>
          <w:szCs w:val="20"/>
          <w:lang w:val="es-AR"/>
        </w:rPr>
        <w:t xml:space="preserve">bligaciones Negociables podrían </w:t>
      </w:r>
      <w:r w:rsidRPr="00D006C2">
        <w:rPr>
          <w:color w:val="000000"/>
          <w:sz w:val="20"/>
          <w:szCs w:val="20"/>
          <w:lang w:val="es-AR"/>
        </w:rPr>
        <w:t xml:space="preserve">experimentar liquidez reducida, lo cual podría afectar adversamente el precio de mercado y la </w:t>
      </w:r>
      <w:r>
        <w:rPr>
          <w:color w:val="000000"/>
          <w:sz w:val="20"/>
          <w:szCs w:val="20"/>
          <w:lang w:val="es-AR"/>
        </w:rPr>
        <w:t xml:space="preserve">comerciabilidad </w:t>
      </w:r>
      <w:r w:rsidRPr="00D006C2">
        <w:rPr>
          <w:color w:val="000000"/>
          <w:sz w:val="20"/>
          <w:szCs w:val="20"/>
          <w:lang w:val="es-AR"/>
        </w:rPr>
        <w:t>de las Obligaciones Negociables.</w:t>
      </w:r>
      <w:r w:rsidRPr="00D006C2">
        <w:rPr>
          <w:color w:val="000000"/>
          <w:sz w:val="20"/>
          <w:szCs w:val="20"/>
          <w:lang w:val="es-AR"/>
        </w:rPr>
        <w:cr/>
      </w:r>
    </w:p>
    <w:p w:rsidR="00D006C2" w:rsidRDefault="00D006C2" w:rsidP="00D006C2">
      <w:pPr>
        <w:widowControl w:val="0"/>
        <w:spacing w:line="240" w:lineRule="atLeast"/>
        <w:jc w:val="both"/>
        <w:rPr>
          <w:i/>
          <w:color w:val="000000"/>
          <w:sz w:val="20"/>
          <w:szCs w:val="20"/>
          <w:lang w:val="es-AR"/>
        </w:rPr>
      </w:pPr>
      <w:r w:rsidRPr="00EA1080">
        <w:rPr>
          <w:i/>
          <w:color w:val="000000"/>
          <w:sz w:val="20"/>
          <w:szCs w:val="20"/>
          <w:lang w:val="es-AR"/>
        </w:rPr>
        <w:t>No puede garantizarse que las calificaciones de riesgo que se asignen a las Obligaciones Negociables no serán objeto de una disminución, suspensión o retiro por parte de las agencias calificadoras y las calificaciones crediticias podrían no reflejar todos los riesgos de invertir en la Obligaciones Negociables.</w:t>
      </w:r>
    </w:p>
    <w:p w:rsidR="00D006C2" w:rsidRPr="00EA1080" w:rsidRDefault="00D006C2" w:rsidP="00D006C2">
      <w:pPr>
        <w:widowControl w:val="0"/>
        <w:spacing w:line="240" w:lineRule="atLeast"/>
        <w:jc w:val="both"/>
        <w:rPr>
          <w:i/>
          <w:color w:val="000000"/>
          <w:sz w:val="20"/>
          <w:szCs w:val="20"/>
          <w:lang w:val="es-AR"/>
        </w:rPr>
      </w:pPr>
    </w:p>
    <w:p w:rsidR="00D006C2" w:rsidRPr="00D006C2" w:rsidRDefault="00D006C2" w:rsidP="00D006C2">
      <w:pPr>
        <w:widowControl w:val="0"/>
        <w:spacing w:line="240" w:lineRule="atLeast"/>
        <w:jc w:val="both"/>
        <w:rPr>
          <w:color w:val="000000"/>
          <w:sz w:val="20"/>
          <w:szCs w:val="20"/>
          <w:lang w:val="es-AR"/>
        </w:rPr>
      </w:pPr>
      <w:r w:rsidRPr="00D006C2">
        <w:rPr>
          <w:color w:val="000000"/>
          <w:sz w:val="20"/>
          <w:szCs w:val="20"/>
          <w:lang w:val="es-AR"/>
        </w:rPr>
        <w:t>Las calificaciones de riesgo que se asignen a las Obligaciones Negociables repre</w:t>
      </w:r>
      <w:r>
        <w:rPr>
          <w:color w:val="000000"/>
          <w:sz w:val="20"/>
          <w:szCs w:val="20"/>
          <w:lang w:val="es-AR"/>
        </w:rPr>
        <w:t xml:space="preserve">sentan una evaluación por parte </w:t>
      </w:r>
      <w:r w:rsidRPr="00D006C2">
        <w:rPr>
          <w:color w:val="000000"/>
          <w:sz w:val="20"/>
          <w:szCs w:val="20"/>
          <w:lang w:val="es-AR"/>
        </w:rPr>
        <w:t>de las agencias calificadoras de riesgo de la capacidad de</w:t>
      </w:r>
      <w:r>
        <w:rPr>
          <w:color w:val="000000"/>
          <w:sz w:val="20"/>
          <w:szCs w:val="20"/>
          <w:lang w:val="es-AR"/>
        </w:rPr>
        <w:t>l Emisor</w:t>
      </w:r>
      <w:r w:rsidRPr="00D006C2">
        <w:rPr>
          <w:color w:val="000000"/>
          <w:sz w:val="20"/>
          <w:szCs w:val="20"/>
          <w:lang w:val="es-AR"/>
        </w:rPr>
        <w:t xml:space="preserve"> de pagar </w:t>
      </w:r>
      <w:r>
        <w:rPr>
          <w:color w:val="000000"/>
          <w:sz w:val="20"/>
          <w:szCs w:val="20"/>
          <w:lang w:val="es-AR"/>
        </w:rPr>
        <w:t xml:space="preserve">sus deudas a su vencimiento. En </w:t>
      </w:r>
      <w:r w:rsidRPr="00D006C2">
        <w:rPr>
          <w:color w:val="000000"/>
          <w:sz w:val="20"/>
          <w:szCs w:val="20"/>
          <w:lang w:val="es-AR"/>
        </w:rPr>
        <w:t>consecuencia, cualquier disminución o retiro de una calificación por parte de una agencia calificadora p</w:t>
      </w:r>
      <w:r>
        <w:rPr>
          <w:color w:val="000000"/>
          <w:sz w:val="20"/>
          <w:szCs w:val="20"/>
          <w:lang w:val="es-AR"/>
        </w:rPr>
        <w:t xml:space="preserve">odría </w:t>
      </w:r>
      <w:r w:rsidRPr="00D006C2">
        <w:rPr>
          <w:color w:val="000000"/>
          <w:sz w:val="20"/>
          <w:szCs w:val="20"/>
          <w:lang w:val="es-AR"/>
        </w:rPr>
        <w:t>reducir la liquidez o el valor de mercado de las Obligaciones Negociables. E</w:t>
      </w:r>
      <w:r>
        <w:rPr>
          <w:color w:val="000000"/>
          <w:sz w:val="20"/>
          <w:szCs w:val="20"/>
          <w:lang w:val="es-AR"/>
        </w:rPr>
        <w:t xml:space="preserve">stas calificaciones crediticias </w:t>
      </w:r>
      <w:r w:rsidRPr="00D006C2">
        <w:rPr>
          <w:color w:val="000000"/>
          <w:sz w:val="20"/>
          <w:szCs w:val="20"/>
          <w:lang w:val="es-AR"/>
        </w:rPr>
        <w:t>podrían no reflejar el posible impacto de los riesgos relacionados con la estruct</w:t>
      </w:r>
      <w:r>
        <w:rPr>
          <w:color w:val="000000"/>
          <w:sz w:val="20"/>
          <w:szCs w:val="20"/>
          <w:lang w:val="es-AR"/>
        </w:rPr>
        <w:t xml:space="preserve">ura o la comerciabilidad de las </w:t>
      </w:r>
      <w:r w:rsidRPr="00D006C2">
        <w:rPr>
          <w:color w:val="000000"/>
          <w:sz w:val="20"/>
          <w:szCs w:val="20"/>
          <w:lang w:val="es-AR"/>
        </w:rPr>
        <w:t>Obligaciones Negociables. Una calificación asignada podría incrementarse o</w:t>
      </w:r>
      <w:r>
        <w:rPr>
          <w:color w:val="000000"/>
          <w:sz w:val="20"/>
          <w:szCs w:val="20"/>
          <w:lang w:val="es-AR"/>
        </w:rPr>
        <w:t xml:space="preserve"> disminuirse dependiendo, entre </w:t>
      </w:r>
      <w:r w:rsidRPr="00D006C2">
        <w:rPr>
          <w:color w:val="000000"/>
          <w:sz w:val="20"/>
          <w:szCs w:val="20"/>
          <w:lang w:val="es-AR"/>
        </w:rPr>
        <w:t>otras cuestiones, de la evaluación realizada por la agencia calificadora respectiv</w:t>
      </w:r>
      <w:r>
        <w:rPr>
          <w:color w:val="000000"/>
          <w:sz w:val="20"/>
          <w:szCs w:val="20"/>
          <w:lang w:val="es-AR"/>
        </w:rPr>
        <w:t xml:space="preserve">a de su solidez financiera, así </w:t>
      </w:r>
      <w:r w:rsidRPr="00D006C2">
        <w:rPr>
          <w:color w:val="000000"/>
          <w:sz w:val="20"/>
          <w:szCs w:val="20"/>
          <w:lang w:val="es-AR"/>
        </w:rPr>
        <w:t xml:space="preserve">como de su evaluación del riesgo soberano de los países en los que la Compañía </w:t>
      </w:r>
      <w:r>
        <w:rPr>
          <w:color w:val="000000"/>
          <w:sz w:val="20"/>
          <w:szCs w:val="20"/>
          <w:lang w:val="es-AR"/>
        </w:rPr>
        <w:t xml:space="preserve">opera generalmente. La baja, la </w:t>
      </w:r>
      <w:r w:rsidRPr="00D006C2">
        <w:rPr>
          <w:color w:val="000000"/>
          <w:sz w:val="20"/>
          <w:szCs w:val="20"/>
          <w:lang w:val="es-AR"/>
        </w:rPr>
        <w:t xml:space="preserve">suspensión o el retiro de dichas calificaciones podrían tener un efecto negativo </w:t>
      </w:r>
      <w:r>
        <w:rPr>
          <w:color w:val="000000"/>
          <w:sz w:val="20"/>
          <w:szCs w:val="20"/>
          <w:lang w:val="es-AR"/>
        </w:rPr>
        <w:t xml:space="preserve">sobre el precio de mercado y la </w:t>
      </w:r>
      <w:r w:rsidRPr="00D006C2">
        <w:rPr>
          <w:color w:val="000000"/>
          <w:sz w:val="20"/>
          <w:szCs w:val="20"/>
          <w:lang w:val="es-AR"/>
        </w:rPr>
        <w:t>comerciabilidad de las Obligaciones Negociables.</w:t>
      </w:r>
    </w:p>
    <w:p w:rsidR="00D006C2" w:rsidRDefault="00D006C2" w:rsidP="00D006C2">
      <w:pPr>
        <w:widowControl w:val="0"/>
        <w:spacing w:line="240" w:lineRule="atLeast"/>
        <w:jc w:val="both"/>
        <w:rPr>
          <w:color w:val="000000"/>
          <w:sz w:val="20"/>
          <w:szCs w:val="20"/>
          <w:lang w:val="es-AR"/>
        </w:rPr>
      </w:pPr>
    </w:p>
    <w:p w:rsidR="00D006C2" w:rsidRPr="00EA1080" w:rsidRDefault="00D006C2" w:rsidP="00D006C2">
      <w:pPr>
        <w:widowControl w:val="0"/>
        <w:spacing w:line="240" w:lineRule="atLeast"/>
        <w:jc w:val="both"/>
        <w:rPr>
          <w:color w:val="000000"/>
          <w:sz w:val="20"/>
          <w:szCs w:val="20"/>
          <w:lang w:val="es-AR"/>
        </w:rPr>
      </w:pPr>
      <w:r w:rsidRPr="00D006C2">
        <w:rPr>
          <w:color w:val="000000"/>
          <w:sz w:val="20"/>
          <w:szCs w:val="20"/>
          <w:lang w:val="es-AR"/>
        </w:rPr>
        <w:t>Las calificaciones no constituyen una recomendación para comprar, vender o man</w:t>
      </w:r>
      <w:r>
        <w:rPr>
          <w:color w:val="000000"/>
          <w:sz w:val="20"/>
          <w:szCs w:val="20"/>
          <w:lang w:val="es-AR"/>
        </w:rPr>
        <w:t xml:space="preserve">tener títulos valores, y pueden </w:t>
      </w:r>
      <w:r w:rsidRPr="00D006C2">
        <w:rPr>
          <w:color w:val="000000"/>
          <w:sz w:val="20"/>
          <w:szCs w:val="20"/>
          <w:lang w:val="es-AR"/>
        </w:rPr>
        <w:t>ser modificadas o retiradas en cualquier momento por la agencia que las emite,</w:t>
      </w:r>
      <w:r>
        <w:rPr>
          <w:color w:val="000000"/>
          <w:sz w:val="20"/>
          <w:szCs w:val="20"/>
          <w:lang w:val="es-AR"/>
        </w:rPr>
        <w:t xml:space="preserve"> y las calificaciones no emiten </w:t>
      </w:r>
      <w:r w:rsidRPr="00D006C2">
        <w:rPr>
          <w:color w:val="000000"/>
          <w:sz w:val="20"/>
          <w:szCs w:val="20"/>
          <w:lang w:val="es-AR"/>
        </w:rPr>
        <w:t xml:space="preserve">juicio sobre el precio de mercado o la conveniencia para un inversor particular. </w:t>
      </w:r>
      <w:r>
        <w:rPr>
          <w:color w:val="000000"/>
          <w:sz w:val="20"/>
          <w:szCs w:val="20"/>
          <w:lang w:val="es-AR"/>
        </w:rPr>
        <w:t xml:space="preserve">La calificación de cada agencia </w:t>
      </w:r>
      <w:r w:rsidRPr="00D006C2">
        <w:rPr>
          <w:color w:val="000000"/>
          <w:sz w:val="20"/>
          <w:szCs w:val="20"/>
          <w:lang w:val="es-AR"/>
        </w:rPr>
        <w:t>debe evaluarse en forma independiente de la de cualquier otra agencia. La Co</w:t>
      </w:r>
      <w:r>
        <w:rPr>
          <w:color w:val="000000"/>
          <w:sz w:val="20"/>
          <w:szCs w:val="20"/>
          <w:lang w:val="es-AR"/>
        </w:rPr>
        <w:t xml:space="preserve">mpañía no puede asegurar que la </w:t>
      </w:r>
      <w:r w:rsidRPr="00D006C2">
        <w:rPr>
          <w:color w:val="000000"/>
          <w:sz w:val="20"/>
          <w:szCs w:val="20"/>
          <w:lang w:val="es-AR"/>
        </w:rPr>
        <w:t>calificación de las Obligaciones Negociables permanecerá vigente por un perí</w:t>
      </w:r>
      <w:r>
        <w:rPr>
          <w:color w:val="000000"/>
          <w:sz w:val="20"/>
          <w:szCs w:val="20"/>
          <w:lang w:val="es-AR"/>
        </w:rPr>
        <w:t xml:space="preserve">odo de tiempo determinado o que </w:t>
      </w:r>
      <w:r w:rsidRPr="00D006C2">
        <w:rPr>
          <w:color w:val="000000"/>
          <w:sz w:val="20"/>
          <w:szCs w:val="20"/>
          <w:lang w:val="es-AR"/>
        </w:rPr>
        <w:t>la calificación no será objeto de una disminución, suspensión o retiro en su t</w:t>
      </w:r>
      <w:r>
        <w:rPr>
          <w:color w:val="000000"/>
          <w:sz w:val="20"/>
          <w:szCs w:val="20"/>
          <w:lang w:val="es-AR"/>
        </w:rPr>
        <w:t xml:space="preserve">otalidad por parte de una o más </w:t>
      </w:r>
      <w:r w:rsidRPr="00D006C2">
        <w:rPr>
          <w:color w:val="000000"/>
          <w:sz w:val="20"/>
          <w:szCs w:val="20"/>
          <w:lang w:val="es-AR"/>
        </w:rPr>
        <w:t>agencias calificadoras si, a criterio de dichas agencias calificadoras, las circunstancias lo justifican.</w:t>
      </w:r>
    </w:p>
    <w:p w:rsidR="00D006C2" w:rsidRPr="00251FDB" w:rsidRDefault="00D006C2" w:rsidP="001053B7">
      <w:pPr>
        <w:widowControl w:val="0"/>
        <w:spacing w:line="240" w:lineRule="atLeast"/>
        <w:jc w:val="both"/>
        <w:rPr>
          <w:color w:val="000000"/>
          <w:sz w:val="20"/>
          <w:szCs w:val="20"/>
          <w:lang w:val="es-AR"/>
        </w:rPr>
      </w:pPr>
    </w:p>
    <w:p w:rsidR="0086707A" w:rsidRPr="00251FDB" w:rsidRDefault="0086707A" w:rsidP="005756A0">
      <w:pPr>
        <w:jc w:val="both"/>
        <w:rPr>
          <w:caps/>
          <w:sz w:val="20"/>
          <w:szCs w:val="20"/>
          <w:lang w:val="es-MX"/>
        </w:rPr>
      </w:pPr>
      <w:r w:rsidRPr="00251FDB">
        <w:rPr>
          <w:rStyle w:val="Ttulo1Car1"/>
          <w:rFonts w:ascii="Times New Roman" w:hAnsi="Times New Roman"/>
          <w:sz w:val="20"/>
          <w:szCs w:val="20"/>
          <w:lang w:val="es-MX"/>
        </w:rPr>
        <w:br w:type="page"/>
      </w:r>
      <w:bookmarkStart w:id="100" w:name="_DV_M422"/>
      <w:bookmarkStart w:id="101" w:name="_DV_C162"/>
      <w:bookmarkStart w:id="102" w:name="_Toc293150905"/>
      <w:bookmarkStart w:id="103" w:name="_Toc293481150"/>
      <w:bookmarkEnd w:id="100"/>
      <w:bookmarkEnd w:id="101"/>
    </w:p>
    <w:bookmarkEnd w:id="99"/>
    <w:bookmarkEnd w:id="102"/>
    <w:bookmarkEnd w:id="103"/>
    <w:p w:rsidR="00D26439" w:rsidRPr="00251FDB" w:rsidRDefault="00AB661E" w:rsidP="009B26F9">
      <w:pPr>
        <w:ind w:firstLine="3"/>
        <w:rPr>
          <w:rFonts w:eastAsia="MS Mincho"/>
          <w:sz w:val="20"/>
          <w:szCs w:val="20"/>
          <w:lang w:val="es-AR" w:eastAsia="zh-CN"/>
        </w:rPr>
      </w:pPr>
      <w:r w:rsidRPr="008F2C84">
        <w:rPr>
          <w:b/>
          <w:smallCaps/>
          <w:sz w:val="20"/>
          <w:szCs w:val="20"/>
          <w:lang w:val="es-AR"/>
        </w:rPr>
        <w:t xml:space="preserve">V. </w:t>
      </w:r>
      <w:r w:rsidR="00D26439" w:rsidRPr="009B26F9">
        <w:rPr>
          <w:b/>
          <w:smallCaps/>
          <w:sz w:val="20"/>
          <w:szCs w:val="20"/>
          <w:lang w:val="es-AR"/>
        </w:rPr>
        <w:t>Información Financiera</w:t>
      </w:r>
    </w:p>
    <w:p w:rsidR="00D26439" w:rsidRPr="00251FDB" w:rsidRDefault="00D26439" w:rsidP="00D26439">
      <w:pPr>
        <w:widowControl w:val="0"/>
        <w:outlineLvl w:val="0"/>
        <w:rPr>
          <w:sz w:val="20"/>
          <w:szCs w:val="20"/>
          <w:highlight w:val="yellow"/>
          <w:lang w:val="es-AR"/>
        </w:rPr>
      </w:pPr>
    </w:p>
    <w:p w:rsidR="005019EE" w:rsidRDefault="005019EE" w:rsidP="005019EE">
      <w:pPr>
        <w:widowControl w:val="0"/>
        <w:spacing w:after="120"/>
        <w:jc w:val="both"/>
        <w:rPr>
          <w:rFonts w:ascii="Helvetica" w:hAnsi="Helvetica"/>
          <w:sz w:val="17"/>
          <w:szCs w:val="17"/>
          <w:shd w:val="clear" w:color="auto" w:fill="F7F7F7"/>
          <w:lang w:val="es-AR"/>
        </w:rPr>
      </w:pPr>
      <w:r>
        <w:rPr>
          <w:i/>
          <w:iCs/>
          <w:sz w:val="20"/>
          <w:szCs w:val="20"/>
          <w:lang w:val="es-AR"/>
        </w:rPr>
        <w:t xml:space="preserve">La información contable incluida en esta sección respecto del período intermedio de tres meses finalizado el 31 de marzo de 2020 presentada en forma comparativa ha sido extraída de los estados financieros a dicha fecha, que se encuentran a disposición del público inversor en la AIF, en el ítem </w:t>
      </w:r>
      <w:r>
        <w:rPr>
          <w:sz w:val="20"/>
          <w:szCs w:val="20"/>
          <w:lang w:val="es-AR"/>
        </w:rPr>
        <w:t>“</w:t>
      </w:r>
      <w:r>
        <w:rPr>
          <w:i/>
          <w:sz w:val="20"/>
          <w:szCs w:val="20"/>
          <w:lang w:val="es-AR"/>
        </w:rPr>
        <w:t xml:space="preserve">Empresas (Entidades con oferta pública) - </w:t>
      </w:r>
      <w:r>
        <w:rPr>
          <w:i/>
          <w:iCs/>
          <w:sz w:val="20"/>
          <w:szCs w:val="20"/>
          <w:lang w:val="es-AR"/>
        </w:rPr>
        <w:t>Información Financiera – Trimestrales - Completo”, bajo el ID 2616741. Esta información debe leerse juntamente con los referidos estados financieros de Tarjeta Naranja, sus anexos y notas.</w:t>
      </w:r>
    </w:p>
    <w:p w:rsidR="005019EE" w:rsidRDefault="005019EE" w:rsidP="005019EE">
      <w:pPr>
        <w:widowControl w:val="0"/>
        <w:spacing w:after="120"/>
        <w:jc w:val="both"/>
        <w:rPr>
          <w:i/>
          <w:iCs/>
          <w:sz w:val="20"/>
          <w:szCs w:val="20"/>
          <w:lang w:val="es-AR"/>
        </w:rPr>
      </w:pPr>
    </w:p>
    <w:p w:rsidR="005019EE" w:rsidRDefault="005019EE" w:rsidP="005019EE">
      <w:pPr>
        <w:jc w:val="both"/>
        <w:rPr>
          <w:b/>
          <w:sz w:val="20"/>
          <w:szCs w:val="20"/>
          <w:lang w:val="es-MX"/>
        </w:rPr>
      </w:pPr>
      <w:r>
        <w:rPr>
          <w:b/>
          <w:sz w:val="20"/>
          <w:szCs w:val="20"/>
          <w:lang w:val="es-MX"/>
        </w:rPr>
        <w:t>a) Estados Financieros</w:t>
      </w:r>
    </w:p>
    <w:p w:rsidR="005019EE" w:rsidRDefault="005019EE" w:rsidP="00E35CDC">
      <w:pPr>
        <w:jc w:val="both"/>
        <w:rPr>
          <w:sz w:val="20"/>
          <w:szCs w:val="20"/>
          <w:lang w:val="es-MX"/>
        </w:rPr>
      </w:pPr>
    </w:p>
    <w:p w:rsidR="005019EE" w:rsidRDefault="005019EE" w:rsidP="005019EE">
      <w:pPr>
        <w:pStyle w:val="Default"/>
        <w:rPr>
          <w:b/>
          <w:bCs/>
          <w:color w:val="auto"/>
          <w:sz w:val="20"/>
          <w:szCs w:val="20"/>
          <w:lang w:val="es-AR"/>
        </w:rPr>
      </w:pPr>
      <w:r>
        <w:rPr>
          <w:b/>
          <w:bCs/>
          <w:color w:val="auto"/>
          <w:sz w:val="20"/>
          <w:szCs w:val="20"/>
          <w:lang w:val="es-AR"/>
        </w:rPr>
        <w:t xml:space="preserve">Resultado operativo </w:t>
      </w:r>
    </w:p>
    <w:p w:rsidR="005019EE" w:rsidRDefault="005019EE" w:rsidP="005019EE">
      <w:pPr>
        <w:jc w:val="both"/>
        <w:rPr>
          <w:sz w:val="20"/>
          <w:szCs w:val="20"/>
          <w:lang w:val="es-ES"/>
        </w:rPr>
      </w:pPr>
    </w:p>
    <w:p w:rsidR="005B7F0B" w:rsidRDefault="005B7F0B" w:rsidP="005B7F0B">
      <w:pPr>
        <w:jc w:val="both"/>
        <w:rPr>
          <w:sz w:val="20"/>
          <w:szCs w:val="20"/>
          <w:lang w:val="es-AR"/>
        </w:rPr>
      </w:pPr>
      <w:r w:rsidRPr="0060060A">
        <w:rPr>
          <w:sz w:val="20"/>
          <w:szCs w:val="20"/>
          <w:lang w:val="es-AR"/>
        </w:rPr>
        <w:t>Actualmente, la Sociedad continúa consolidando su posición, producto de las estrategias implementadas. Para lograrlo, es necesario continuar brindando a los titulares de las tarjetas planes atractivos y nuevos productos, manteniendo la oferta de pagos en plazos cortos a los comercios.  Mantener el liderazgo en el mercado local, significa para la Sociedad mantener las ofertas de financiación actuales e incrementar los niveles de ventas, lo que conlleva una necesidad de fondos. Para ello la Sociedad cuenta con diversas líneas de crédito de uso no permanente, que permitan obtener liquidez inmediata por períodos cortos.</w:t>
      </w:r>
    </w:p>
    <w:p w:rsidR="005019EE" w:rsidRDefault="005019EE" w:rsidP="005019EE">
      <w:pPr>
        <w:jc w:val="both"/>
        <w:rPr>
          <w:sz w:val="20"/>
          <w:szCs w:val="20"/>
          <w:lang w:val="es-AR" w:eastAsia="es-ES"/>
        </w:rPr>
      </w:pPr>
    </w:p>
    <w:p w:rsidR="005019EE" w:rsidRDefault="005019EE" w:rsidP="005019EE">
      <w:pPr>
        <w:jc w:val="both"/>
        <w:rPr>
          <w:sz w:val="20"/>
          <w:szCs w:val="20"/>
          <w:lang w:val="es-AR" w:eastAsia="es-ES"/>
        </w:rPr>
      </w:pPr>
      <w:r>
        <w:rPr>
          <w:sz w:val="20"/>
          <w:szCs w:val="20"/>
          <w:lang w:val="es-AR" w:eastAsia="es-ES"/>
        </w:rPr>
        <w:t>Los siguientes cuadros especifican cierta información de la Sociedad respecto de los resultados, la situación patrimonial del Emisor y el Estado de Flujo de Efectivo para los períodos detallados a continuación:</w:t>
      </w:r>
    </w:p>
    <w:p w:rsidR="005019EE" w:rsidRDefault="005019EE" w:rsidP="005019EE">
      <w:pPr>
        <w:rPr>
          <w:sz w:val="20"/>
          <w:szCs w:val="20"/>
          <w:lang w:val="es-MX"/>
        </w:rPr>
      </w:pPr>
    </w:p>
    <w:p w:rsidR="005019EE" w:rsidRDefault="005019EE" w:rsidP="005019EE">
      <w:pPr>
        <w:pStyle w:val="Prrafodelista"/>
        <w:numPr>
          <w:ilvl w:val="0"/>
          <w:numId w:val="16"/>
        </w:numPr>
        <w:jc w:val="left"/>
        <w:rPr>
          <w:b/>
          <w:sz w:val="20"/>
          <w:szCs w:val="20"/>
          <w:lang w:val="es-MX"/>
        </w:rPr>
      </w:pPr>
      <w:r>
        <w:rPr>
          <w:b/>
          <w:sz w:val="20"/>
          <w:szCs w:val="20"/>
          <w:lang w:val="es-MX"/>
        </w:rPr>
        <w:t>Estado de Resultados y Otros Resultados Integrales</w:t>
      </w:r>
    </w:p>
    <w:p w:rsidR="005019EE" w:rsidRDefault="005019EE" w:rsidP="00E35CDC">
      <w:pPr>
        <w:ind w:left="60"/>
        <w:jc w:val="left"/>
        <w:rPr>
          <w:b/>
          <w:sz w:val="20"/>
          <w:szCs w:val="20"/>
          <w:lang w:val="es-MX"/>
        </w:rPr>
      </w:pPr>
    </w:p>
    <w:p w:rsidR="005019EE" w:rsidRDefault="005019EE" w:rsidP="005019EE">
      <w:pPr>
        <w:pStyle w:val="Prrafodelista"/>
        <w:ind w:left="4248"/>
        <w:jc w:val="both"/>
        <w:rPr>
          <w:b/>
          <w:bCs/>
          <w:color w:val="000000"/>
          <w:sz w:val="20"/>
          <w:szCs w:val="20"/>
          <w:lang w:val="es-AR" w:eastAsia="es-AR"/>
        </w:rPr>
      </w:pPr>
      <w:r>
        <w:rPr>
          <w:b/>
          <w:bCs/>
          <w:color w:val="000000"/>
          <w:sz w:val="20"/>
          <w:szCs w:val="20"/>
          <w:lang w:val="es-AR" w:eastAsia="es-AR"/>
        </w:rPr>
        <w:t xml:space="preserve">             Período de tres meses finalizado</w:t>
      </w:r>
    </w:p>
    <w:p w:rsidR="005019EE" w:rsidRDefault="005019EE" w:rsidP="005019EE">
      <w:pPr>
        <w:jc w:val="both"/>
        <w:rPr>
          <w:b/>
          <w:sz w:val="20"/>
          <w:szCs w:val="20"/>
          <w:lang w:val="es-MX"/>
        </w:rPr>
      </w:pPr>
      <w:r>
        <w:rPr>
          <w:b/>
          <w:bCs/>
          <w:color w:val="000000"/>
          <w:sz w:val="20"/>
          <w:szCs w:val="20"/>
          <w:lang w:val="es-AR" w:eastAsia="es-AR"/>
        </w:rPr>
        <w:t xml:space="preserve">                                                                                                               el </w:t>
      </w:r>
      <w:r>
        <w:rPr>
          <w:b/>
          <w:sz w:val="20"/>
          <w:szCs w:val="20"/>
          <w:lang w:val="es-AR"/>
        </w:rPr>
        <w:t xml:space="preserve">31 de </w:t>
      </w:r>
      <w:r>
        <w:rPr>
          <w:b/>
          <w:sz w:val="20"/>
          <w:szCs w:val="20"/>
          <w:lang w:val="es-AR" w:eastAsia="es-ES"/>
        </w:rPr>
        <w:t xml:space="preserve">marzo </w:t>
      </w:r>
      <w:r>
        <w:rPr>
          <w:b/>
          <w:bCs/>
          <w:color w:val="000000"/>
          <w:sz w:val="20"/>
          <w:szCs w:val="20"/>
          <w:lang w:val="es-AR" w:eastAsia="es-AR"/>
        </w:rPr>
        <w:t>de</w:t>
      </w:r>
    </w:p>
    <w:tbl>
      <w:tblPr>
        <w:tblW w:w="5000" w:type="pct"/>
        <w:tblCellMar>
          <w:left w:w="70" w:type="dxa"/>
          <w:right w:w="70" w:type="dxa"/>
        </w:tblCellMar>
        <w:tblLook w:val="04A0" w:firstRow="1" w:lastRow="0" w:firstColumn="1" w:lastColumn="0" w:noHBand="0" w:noVBand="1"/>
      </w:tblPr>
      <w:tblGrid>
        <w:gridCol w:w="3621"/>
        <w:gridCol w:w="2443"/>
        <w:gridCol w:w="2441"/>
      </w:tblGrid>
      <w:tr w:rsidR="005019EE" w:rsidTr="00E35CDC">
        <w:trPr>
          <w:trHeight w:val="315"/>
        </w:trPr>
        <w:tc>
          <w:tcPr>
            <w:tcW w:w="2129" w:type="pct"/>
            <w:tcBorders>
              <w:top w:val="single" w:sz="8" w:space="0" w:color="auto"/>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Detalle</w:t>
            </w:r>
          </w:p>
        </w:tc>
        <w:tc>
          <w:tcPr>
            <w:tcW w:w="1436" w:type="pct"/>
            <w:tcBorders>
              <w:top w:val="single" w:sz="8" w:space="0" w:color="auto"/>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 xml:space="preserve">2020 </w:t>
            </w:r>
            <w:r>
              <w:rPr>
                <w:b/>
                <w:bCs/>
                <w:color w:val="000000"/>
                <w:sz w:val="16"/>
                <w:szCs w:val="16"/>
                <w:lang w:val="es-AR" w:eastAsia="es-AR"/>
              </w:rPr>
              <w:t>(*)</w:t>
            </w:r>
          </w:p>
        </w:tc>
        <w:tc>
          <w:tcPr>
            <w:tcW w:w="1435" w:type="pct"/>
            <w:tcBorders>
              <w:top w:val="single" w:sz="8" w:space="0" w:color="auto"/>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 xml:space="preserve">2019 </w:t>
            </w:r>
            <w:r>
              <w:rPr>
                <w:b/>
                <w:bCs/>
                <w:color w:val="000000"/>
                <w:sz w:val="16"/>
                <w:szCs w:val="16"/>
                <w:lang w:val="es-AR" w:eastAsia="es-AR"/>
              </w:rPr>
              <w:t>(*)</w:t>
            </w:r>
          </w:p>
        </w:tc>
      </w:tr>
      <w:tr w:rsidR="005019EE" w:rsidTr="00E35CDC">
        <w:trPr>
          <w:trHeight w:val="331"/>
        </w:trPr>
        <w:tc>
          <w:tcPr>
            <w:tcW w:w="2129" w:type="pct"/>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Ingresos Ordinarios</w:t>
            </w:r>
          </w:p>
        </w:tc>
        <w:tc>
          <w:tcPr>
            <w:tcW w:w="1436"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9.326.774</w:t>
            </w:r>
          </w:p>
        </w:tc>
        <w:tc>
          <w:tcPr>
            <w:tcW w:w="1435"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11.107.358</w:t>
            </w:r>
          </w:p>
        </w:tc>
      </w:tr>
      <w:tr w:rsidR="005019EE" w:rsidTr="00E35CDC">
        <w:trPr>
          <w:trHeight w:val="414"/>
        </w:trPr>
        <w:tc>
          <w:tcPr>
            <w:tcW w:w="2129" w:type="pct"/>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Resultado Operativo</w:t>
            </w:r>
          </w:p>
        </w:tc>
        <w:tc>
          <w:tcPr>
            <w:tcW w:w="1436"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1.912.565</w:t>
            </w:r>
          </w:p>
        </w:tc>
        <w:tc>
          <w:tcPr>
            <w:tcW w:w="1435"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376.357</w:t>
            </w:r>
          </w:p>
        </w:tc>
      </w:tr>
      <w:tr w:rsidR="005019EE" w:rsidTr="00E35CDC">
        <w:trPr>
          <w:trHeight w:val="292"/>
        </w:trPr>
        <w:tc>
          <w:tcPr>
            <w:tcW w:w="2129" w:type="pct"/>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Resultado antes del Impuesto</w:t>
            </w:r>
          </w:p>
        </w:tc>
        <w:tc>
          <w:tcPr>
            <w:tcW w:w="1436"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1.912.088</w:t>
            </w:r>
          </w:p>
        </w:tc>
        <w:tc>
          <w:tcPr>
            <w:tcW w:w="1435"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375.813</w:t>
            </w:r>
          </w:p>
        </w:tc>
      </w:tr>
      <w:tr w:rsidR="005019EE" w:rsidTr="00E35CDC">
        <w:trPr>
          <w:trHeight w:val="424"/>
        </w:trPr>
        <w:tc>
          <w:tcPr>
            <w:tcW w:w="2129" w:type="pct"/>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Resultado Neto</w:t>
            </w:r>
          </w:p>
        </w:tc>
        <w:tc>
          <w:tcPr>
            <w:tcW w:w="1436"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1.286.459</w:t>
            </w:r>
          </w:p>
        </w:tc>
        <w:tc>
          <w:tcPr>
            <w:tcW w:w="1435"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96.888</w:t>
            </w:r>
          </w:p>
        </w:tc>
      </w:tr>
      <w:tr w:rsidR="005019EE" w:rsidTr="00E35CDC">
        <w:trPr>
          <w:trHeight w:val="288"/>
        </w:trPr>
        <w:tc>
          <w:tcPr>
            <w:tcW w:w="2129" w:type="pct"/>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Otros resultados integrales (ORI)</w:t>
            </w:r>
          </w:p>
        </w:tc>
        <w:tc>
          <w:tcPr>
            <w:tcW w:w="1436"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w:t>
            </w:r>
          </w:p>
        </w:tc>
        <w:tc>
          <w:tcPr>
            <w:tcW w:w="1435"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w:t>
            </w:r>
          </w:p>
        </w:tc>
      </w:tr>
      <w:tr w:rsidR="005019EE" w:rsidTr="00E35CDC">
        <w:trPr>
          <w:trHeight w:val="525"/>
        </w:trPr>
        <w:tc>
          <w:tcPr>
            <w:tcW w:w="2129" w:type="pct"/>
            <w:tcBorders>
              <w:top w:val="nil"/>
              <w:left w:val="nil"/>
              <w:bottom w:val="single" w:sz="8" w:space="0" w:color="auto"/>
              <w:right w:val="nil"/>
            </w:tcBorders>
            <w:vAlign w:val="center"/>
            <w:hideMark/>
          </w:tcPr>
          <w:p w:rsidR="005019EE" w:rsidRDefault="005019EE">
            <w:pPr>
              <w:spacing w:line="256" w:lineRule="auto"/>
              <w:jc w:val="left"/>
              <w:rPr>
                <w:b/>
                <w:bCs/>
                <w:color w:val="000000"/>
                <w:sz w:val="20"/>
                <w:szCs w:val="20"/>
                <w:lang w:val="es-AR" w:eastAsia="es-AR"/>
              </w:rPr>
            </w:pPr>
            <w:r>
              <w:rPr>
                <w:b/>
                <w:bCs/>
                <w:color w:val="000000"/>
                <w:sz w:val="20"/>
                <w:szCs w:val="20"/>
                <w:lang w:val="es-AR" w:eastAsia="es-AR"/>
              </w:rPr>
              <w:t>Resultado Integral Total</w:t>
            </w:r>
          </w:p>
        </w:tc>
        <w:tc>
          <w:tcPr>
            <w:tcW w:w="1436" w:type="pct"/>
            <w:tcBorders>
              <w:top w:val="nil"/>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1.286.459</w:t>
            </w:r>
          </w:p>
        </w:tc>
        <w:tc>
          <w:tcPr>
            <w:tcW w:w="1435" w:type="pct"/>
            <w:tcBorders>
              <w:top w:val="nil"/>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96.888</w:t>
            </w:r>
          </w:p>
        </w:tc>
      </w:tr>
      <w:tr w:rsidR="005019EE" w:rsidTr="00E35CDC">
        <w:trPr>
          <w:trHeight w:val="315"/>
        </w:trPr>
        <w:tc>
          <w:tcPr>
            <w:tcW w:w="2129" w:type="pct"/>
            <w:noWrap/>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c>
          <w:tcPr>
            <w:tcW w:w="1436" w:type="pct"/>
            <w:noWrap/>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c>
          <w:tcPr>
            <w:tcW w:w="1435" w:type="pct"/>
            <w:noWrap/>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r>
      <w:tr w:rsidR="005019EE" w:rsidTr="00E35CDC">
        <w:trPr>
          <w:trHeight w:val="315"/>
        </w:trPr>
        <w:tc>
          <w:tcPr>
            <w:tcW w:w="2129" w:type="pct"/>
            <w:tcBorders>
              <w:top w:val="single" w:sz="8" w:space="0" w:color="auto"/>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Detalle</w:t>
            </w:r>
          </w:p>
        </w:tc>
        <w:tc>
          <w:tcPr>
            <w:tcW w:w="1436" w:type="pct"/>
            <w:tcBorders>
              <w:top w:val="single" w:sz="8" w:space="0" w:color="auto"/>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 xml:space="preserve">2020 </w:t>
            </w:r>
            <w:r>
              <w:rPr>
                <w:b/>
                <w:bCs/>
                <w:color w:val="000000"/>
                <w:sz w:val="16"/>
                <w:szCs w:val="16"/>
                <w:lang w:val="es-AR" w:eastAsia="es-AR"/>
              </w:rPr>
              <w:t>(*)</w:t>
            </w:r>
          </w:p>
        </w:tc>
        <w:tc>
          <w:tcPr>
            <w:tcW w:w="1435" w:type="pct"/>
            <w:tcBorders>
              <w:top w:val="single" w:sz="8" w:space="0" w:color="auto"/>
              <w:left w:val="nil"/>
              <w:bottom w:val="single" w:sz="8" w:space="0" w:color="auto"/>
              <w:right w:val="nil"/>
            </w:tcBorders>
            <w:vAlign w:val="center"/>
            <w:hideMark/>
          </w:tcPr>
          <w:p w:rsidR="005019EE" w:rsidRDefault="005019EE">
            <w:pPr>
              <w:spacing w:line="256" w:lineRule="auto"/>
              <w:ind w:firstLineChars="200" w:firstLine="402"/>
              <w:rPr>
                <w:b/>
                <w:bCs/>
                <w:color w:val="000000"/>
                <w:sz w:val="20"/>
                <w:szCs w:val="20"/>
                <w:lang w:val="es-AR" w:eastAsia="es-AR"/>
              </w:rPr>
            </w:pPr>
            <w:r>
              <w:rPr>
                <w:b/>
                <w:bCs/>
                <w:color w:val="000000"/>
                <w:sz w:val="20"/>
                <w:szCs w:val="20"/>
                <w:lang w:val="es-AR" w:eastAsia="es-AR"/>
              </w:rPr>
              <w:t xml:space="preserve">2019 </w:t>
            </w:r>
            <w:r>
              <w:rPr>
                <w:b/>
                <w:bCs/>
                <w:color w:val="000000"/>
                <w:sz w:val="16"/>
                <w:szCs w:val="16"/>
                <w:lang w:val="es-AR" w:eastAsia="es-AR"/>
              </w:rPr>
              <w:t>(*)</w:t>
            </w:r>
          </w:p>
        </w:tc>
      </w:tr>
      <w:tr w:rsidR="005019EE" w:rsidTr="00E35CDC">
        <w:trPr>
          <w:trHeight w:val="510"/>
        </w:trPr>
        <w:tc>
          <w:tcPr>
            <w:tcW w:w="2129" w:type="pct"/>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Cantidad de acciones</w:t>
            </w:r>
          </w:p>
        </w:tc>
        <w:tc>
          <w:tcPr>
            <w:tcW w:w="1436"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2.824</w:t>
            </w:r>
          </w:p>
        </w:tc>
        <w:tc>
          <w:tcPr>
            <w:tcW w:w="1435"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2.824</w:t>
            </w:r>
          </w:p>
        </w:tc>
      </w:tr>
      <w:tr w:rsidR="005019EE" w:rsidTr="00E35CDC">
        <w:trPr>
          <w:trHeight w:val="80"/>
        </w:trPr>
        <w:tc>
          <w:tcPr>
            <w:tcW w:w="2129" w:type="pct"/>
            <w:tcBorders>
              <w:top w:val="nil"/>
              <w:left w:val="nil"/>
              <w:bottom w:val="single" w:sz="8" w:space="0" w:color="auto"/>
              <w:right w:val="nil"/>
            </w:tcBorders>
            <w:vAlign w:val="center"/>
            <w:hideMark/>
          </w:tcPr>
          <w:p w:rsidR="005019EE" w:rsidRDefault="005019EE">
            <w:pPr>
              <w:rPr>
                <w:color w:val="000000"/>
                <w:sz w:val="20"/>
                <w:szCs w:val="20"/>
                <w:lang w:val="es-AR" w:eastAsia="es-AR"/>
              </w:rPr>
            </w:pPr>
          </w:p>
        </w:tc>
        <w:tc>
          <w:tcPr>
            <w:tcW w:w="1436" w:type="pct"/>
            <w:tcBorders>
              <w:top w:val="nil"/>
              <w:left w:val="nil"/>
              <w:bottom w:val="single" w:sz="8" w:space="0" w:color="auto"/>
              <w:right w:val="nil"/>
            </w:tcBorders>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c>
          <w:tcPr>
            <w:tcW w:w="1435" w:type="pct"/>
            <w:tcBorders>
              <w:top w:val="nil"/>
              <w:left w:val="nil"/>
              <w:bottom w:val="single" w:sz="8" w:space="0" w:color="auto"/>
              <w:right w:val="nil"/>
            </w:tcBorders>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r>
      <w:tr w:rsidR="005019EE" w:rsidTr="00E35CDC">
        <w:trPr>
          <w:trHeight w:val="528"/>
        </w:trPr>
        <w:tc>
          <w:tcPr>
            <w:tcW w:w="2129" w:type="pct"/>
            <w:tcBorders>
              <w:top w:val="nil"/>
              <w:left w:val="nil"/>
              <w:bottom w:val="single" w:sz="8" w:space="0" w:color="auto"/>
              <w:right w:val="nil"/>
            </w:tcBorders>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Ganancia básica por acción atribuible a los accionistas de la sociedad: utilidad básica y/o diluida por acción.</w:t>
            </w:r>
          </w:p>
        </w:tc>
        <w:tc>
          <w:tcPr>
            <w:tcW w:w="1436" w:type="pct"/>
            <w:tcBorders>
              <w:top w:val="nil"/>
              <w:left w:val="nil"/>
              <w:bottom w:val="single" w:sz="8" w:space="0" w:color="auto"/>
              <w:right w:val="nil"/>
            </w:tcBorders>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455,54</w:t>
            </w:r>
          </w:p>
        </w:tc>
        <w:tc>
          <w:tcPr>
            <w:tcW w:w="1435" w:type="pct"/>
            <w:tcBorders>
              <w:top w:val="nil"/>
              <w:left w:val="nil"/>
              <w:bottom w:val="single" w:sz="8" w:space="0" w:color="auto"/>
              <w:right w:val="nil"/>
            </w:tcBorders>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34,31</w:t>
            </w:r>
          </w:p>
        </w:tc>
      </w:tr>
    </w:tbl>
    <w:p w:rsidR="005019EE" w:rsidRDefault="005019EE" w:rsidP="005019EE">
      <w:pPr>
        <w:jc w:val="left"/>
        <w:rPr>
          <w:sz w:val="20"/>
          <w:szCs w:val="20"/>
          <w:lang w:val="es-MX"/>
        </w:rPr>
      </w:pPr>
    </w:p>
    <w:p w:rsidR="005019EE" w:rsidRDefault="005019EE" w:rsidP="005019EE">
      <w:pPr>
        <w:pStyle w:val="Prrafodelista"/>
        <w:ind w:left="420"/>
        <w:jc w:val="left"/>
        <w:rPr>
          <w:i/>
          <w:sz w:val="20"/>
          <w:szCs w:val="20"/>
          <w:lang w:val="es-AR"/>
        </w:rPr>
      </w:pPr>
      <w:r>
        <w:rPr>
          <w:i/>
          <w:sz w:val="20"/>
          <w:szCs w:val="20"/>
          <w:lang w:val="es-AR"/>
        </w:rPr>
        <w:t>(*) Cifras expresadas</w:t>
      </w:r>
      <w:r w:rsidR="00094C73">
        <w:rPr>
          <w:i/>
          <w:sz w:val="20"/>
          <w:szCs w:val="20"/>
          <w:lang w:val="es-AR"/>
        </w:rPr>
        <w:t xml:space="preserve"> en miles de Pesos</w:t>
      </w:r>
      <w:r>
        <w:rPr>
          <w:i/>
          <w:sz w:val="20"/>
          <w:szCs w:val="20"/>
          <w:lang w:val="es-AR"/>
        </w:rPr>
        <w:t xml:space="preserve"> en moneda homogénea al 31 de marzo de 2020</w:t>
      </w:r>
    </w:p>
    <w:p w:rsidR="005019EE" w:rsidRDefault="005019EE" w:rsidP="005019EE">
      <w:pPr>
        <w:pStyle w:val="Prrafodelista"/>
        <w:ind w:left="420"/>
        <w:jc w:val="left"/>
        <w:rPr>
          <w:i/>
          <w:sz w:val="20"/>
          <w:szCs w:val="20"/>
          <w:lang w:val="es-AR"/>
        </w:rPr>
      </w:pPr>
    </w:p>
    <w:p w:rsidR="005019EE" w:rsidRDefault="005019EE" w:rsidP="005019EE">
      <w:pPr>
        <w:pStyle w:val="Prrafodelista"/>
        <w:numPr>
          <w:ilvl w:val="0"/>
          <w:numId w:val="16"/>
        </w:numPr>
        <w:jc w:val="left"/>
        <w:rPr>
          <w:b/>
          <w:sz w:val="20"/>
          <w:szCs w:val="20"/>
        </w:rPr>
      </w:pPr>
      <w:r>
        <w:rPr>
          <w:b/>
          <w:sz w:val="20"/>
          <w:szCs w:val="20"/>
        </w:rPr>
        <w:t xml:space="preserve">Estado de </w:t>
      </w:r>
      <w:proofErr w:type="spellStart"/>
      <w:r>
        <w:rPr>
          <w:b/>
          <w:sz w:val="20"/>
          <w:szCs w:val="20"/>
        </w:rPr>
        <w:t>Situación</w:t>
      </w:r>
      <w:proofErr w:type="spellEnd"/>
      <w:r>
        <w:rPr>
          <w:b/>
          <w:sz w:val="20"/>
          <w:szCs w:val="20"/>
        </w:rPr>
        <w:t xml:space="preserve"> Financiera</w:t>
      </w:r>
    </w:p>
    <w:p w:rsidR="005019EE" w:rsidRDefault="005019EE" w:rsidP="005019EE">
      <w:pPr>
        <w:pStyle w:val="Prrafodelista"/>
        <w:ind w:left="4248"/>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bCs/>
          <w:color w:val="000000"/>
          <w:sz w:val="20"/>
          <w:szCs w:val="20"/>
          <w:lang w:val="es-AR" w:eastAsia="es-AR"/>
        </w:rPr>
        <w:t xml:space="preserve">       </w:t>
      </w:r>
    </w:p>
    <w:p w:rsidR="005019EE" w:rsidRDefault="005019EE" w:rsidP="005019EE">
      <w:pPr>
        <w:jc w:val="both"/>
        <w:rPr>
          <w:b/>
          <w:sz w:val="20"/>
          <w:szCs w:val="20"/>
          <w:lang w:val="es-AR"/>
        </w:rPr>
      </w:pPr>
      <w:r>
        <w:rPr>
          <w:b/>
          <w:sz w:val="20"/>
          <w:szCs w:val="20"/>
          <w:lang w:val="es-AR"/>
        </w:rPr>
        <w:t xml:space="preserve">                                                                                                      Por el  período finalizado el</w:t>
      </w:r>
    </w:p>
    <w:tbl>
      <w:tblPr>
        <w:tblW w:w="5000" w:type="pct"/>
        <w:tblCellMar>
          <w:left w:w="70" w:type="dxa"/>
          <w:right w:w="70" w:type="dxa"/>
        </w:tblCellMar>
        <w:tblLook w:val="04A0" w:firstRow="1" w:lastRow="0" w:firstColumn="1" w:lastColumn="0" w:noHBand="0" w:noVBand="1"/>
      </w:tblPr>
      <w:tblGrid>
        <w:gridCol w:w="3691"/>
        <w:gridCol w:w="2407"/>
        <w:gridCol w:w="2407"/>
      </w:tblGrid>
      <w:tr w:rsidR="005019EE" w:rsidTr="005019EE">
        <w:trPr>
          <w:trHeight w:val="315"/>
        </w:trPr>
        <w:tc>
          <w:tcPr>
            <w:tcW w:w="2170" w:type="pct"/>
            <w:tcBorders>
              <w:top w:val="single" w:sz="8" w:space="0" w:color="auto"/>
              <w:left w:val="nil"/>
              <w:bottom w:val="single" w:sz="8" w:space="0" w:color="auto"/>
              <w:right w:val="nil"/>
            </w:tcBorders>
            <w:vAlign w:val="center"/>
            <w:hideMark/>
          </w:tcPr>
          <w:p w:rsidR="005019EE" w:rsidRDefault="005019EE">
            <w:pPr>
              <w:spacing w:line="256" w:lineRule="auto"/>
              <w:jc w:val="left"/>
              <w:rPr>
                <w:b/>
                <w:bCs/>
                <w:color w:val="000000"/>
                <w:sz w:val="20"/>
                <w:szCs w:val="20"/>
                <w:lang w:val="es-AR" w:eastAsia="es-AR"/>
              </w:rPr>
            </w:pPr>
            <w:r>
              <w:rPr>
                <w:b/>
                <w:bCs/>
                <w:color w:val="000000"/>
                <w:sz w:val="20"/>
                <w:szCs w:val="20"/>
                <w:lang w:val="es-AR" w:eastAsia="es-AR"/>
              </w:rPr>
              <w:t>Detalle</w:t>
            </w:r>
          </w:p>
        </w:tc>
        <w:tc>
          <w:tcPr>
            <w:tcW w:w="1415" w:type="pct"/>
            <w:tcBorders>
              <w:top w:val="single" w:sz="8" w:space="0" w:color="auto"/>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 xml:space="preserve">31.03.2020 </w:t>
            </w:r>
            <w:r>
              <w:rPr>
                <w:b/>
                <w:bCs/>
                <w:color w:val="000000"/>
                <w:sz w:val="16"/>
                <w:szCs w:val="16"/>
                <w:lang w:val="es-AR" w:eastAsia="es-AR"/>
              </w:rPr>
              <w:t>(*)</w:t>
            </w:r>
          </w:p>
        </w:tc>
        <w:tc>
          <w:tcPr>
            <w:tcW w:w="1415" w:type="pct"/>
            <w:tcBorders>
              <w:top w:val="single" w:sz="8" w:space="0" w:color="auto"/>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 xml:space="preserve">31.12.2019 </w:t>
            </w:r>
            <w:r>
              <w:rPr>
                <w:b/>
                <w:bCs/>
                <w:color w:val="000000"/>
                <w:sz w:val="16"/>
                <w:szCs w:val="16"/>
                <w:lang w:val="es-AR" w:eastAsia="es-AR"/>
              </w:rPr>
              <w:t>(*)</w:t>
            </w:r>
          </w:p>
        </w:tc>
      </w:tr>
      <w:tr w:rsidR="005019EE" w:rsidTr="005019EE">
        <w:trPr>
          <w:trHeight w:val="300"/>
        </w:trPr>
        <w:tc>
          <w:tcPr>
            <w:tcW w:w="2170" w:type="pct"/>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Activo no corriente</w:t>
            </w:r>
          </w:p>
        </w:tc>
        <w:tc>
          <w:tcPr>
            <w:tcW w:w="1415"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7.661.908</w:t>
            </w:r>
          </w:p>
        </w:tc>
        <w:tc>
          <w:tcPr>
            <w:tcW w:w="1415"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7.937.916</w:t>
            </w:r>
          </w:p>
        </w:tc>
      </w:tr>
      <w:tr w:rsidR="005019EE" w:rsidTr="005019EE">
        <w:trPr>
          <w:trHeight w:val="300"/>
        </w:trPr>
        <w:tc>
          <w:tcPr>
            <w:tcW w:w="2170" w:type="pct"/>
            <w:tcBorders>
              <w:top w:val="nil"/>
              <w:left w:val="nil"/>
              <w:bottom w:val="single" w:sz="4" w:space="0" w:color="auto"/>
              <w:right w:val="nil"/>
            </w:tcBorders>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Activo corriente</w:t>
            </w:r>
          </w:p>
        </w:tc>
        <w:tc>
          <w:tcPr>
            <w:tcW w:w="1415" w:type="pct"/>
            <w:tcBorders>
              <w:top w:val="nil"/>
              <w:left w:val="nil"/>
              <w:bottom w:val="single" w:sz="4" w:space="0" w:color="auto"/>
              <w:right w:val="nil"/>
            </w:tcBorders>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60.992.432</w:t>
            </w:r>
          </w:p>
        </w:tc>
        <w:tc>
          <w:tcPr>
            <w:tcW w:w="1415" w:type="pct"/>
            <w:tcBorders>
              <w:top w:val="nil"/>
              <w:left w:val="nil"/>
              <w:bottom w:val="single" w:sz="4" w:space="0" w:color="auto"/>
              <w:right w:val="nil"/>
            </w:tcBorders>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60.883.278</w:t>
            </w:r>
          </w:p>
        </w:tc>
      </w:tr>
      <w:tr w:rsidR="005019EE" w:rsidTr="005019EE">
        <w:trPr>
          <w:trHeight w:val="315"/>
        </w:trPr>
        <w:tc>
          <w:tcPr>
            <w:tcW w:w="2170" w:type="pct"/>
            <w:tcBorders>
              <w:top w:val="single" w:sz="4" w:space="0" w:color="auto"/>
              <w:left w:val="nil"/>
              <w:bottom w:val="single" w:sz="8" w:space="0" w:color="auto"/>
              <w:right w:val="nil"/>
            </w:tcBorders>
            <w:vAlign w:val="center"/>
            <w:hideMark/>
          </w:tcPr>
          <w:p w:rsidR="005019EE" w:rsidRDefault="005019EE">
            <w:pPr>
              <w:spacing w:line="256" w:lineRule="auto"/>
              <w:jc w:val="left"/>
              <w:rPr>
                <w:b/>
                <w:bCs/>
                <w:color w:val="000000"/>
                <w:sz w:val="20"/>
                <w:szCs w:val="20"/>
                <w:lang w:val="es-AR" w:eastAsia="es-AR"/>
              </w:rPr>
            </w:pPr>
            <w:r>
              <w:rPr>
                <w:b/>
                <w:bCs/>
                <w:color w:val="000000"/>
                <w:sz w:val="20"/>
                <w:szCs w:val="20"/>
                <w:lang w:val="es-AR" w:eastAsia="es-AR"/>
              </w:rPr>
              <w:t>Total Activo</w:t>
            </w:r>
          </w:p>
        </w:tc>
        <w:tc>
          <w:tcPr>
            <w:tcW w:w="1415" w:type="pct"/>
            <w:tcBorders>
              <w:top w:val="single" w:sz="4" w:space="0" w:color="auto"/>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68.654.340</w:t>
            </w:r>
          </w:p>
        </w:tc>
        <w:tc>
          <w:tcPr>
            <w:tcW w:w="1415" w:type="pct"/>
            <w:tcBorders>
              <w:top w:val="single" w:sz="4" w:space="0" w:color="auto"/>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68.821.194</w:t>
            </w:r>
          </w:p>
        </w:tc>
      </w:tr>
      <w:tr w:rsidR="005019EE" w:rsidTr="005019EE">
        <w:trPr>
          <w:trHeight w:val="300"/>
        </w:trPr>
        <w:tc>
          <w:tcPr>
            <w:tcW w:w="2170" w:type="pct"/>
            <w:vMerge w:val="restart"/>
            <w:tcBorders>
              <w:top w:val="nil"/>
              <w:left w:val="nil"/>
              <w:bottom w:val="single" w:sz="8" w:space="0" w:color="000000"/>
              <w:right w:val="nil"/>
            </w:tcBorders>
            <w:vAlign w:val="center"/>
            <w:hideMark/>
          </w:tcPr>
          <w:p w:rsidR="005019EE" w:rsidRDefault="005019EE">
            <w:pPr>
              <w:rPr>
                <w:b/>
                <w:bCs/>
                <w:color w:val="000000"/>
                <w:sz w:val="20"/>
                <w:szCs w:val="20"/>
                <w:lang w:val="es-AR" w:eastAsia="es-AR"/>
              </w:rPr>
            </w:pPr>
          </w:p>
        </w:tc>
        <w:tc>
          <w:tcPr>
            <w:tcW w:w="1415" w:type="pct"/>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c>
          <w:tcPr>
            <w:tcW w:w="1415" w:type="pct"/>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r>
      <w:tr w:rsidR="005019EE" w:rsidTr="005019EE">
        <w:trPr>
          <w:trHeight w:val="315"/>
        </w:trPr>
        <w:tc>
          <w:tcPr>
            <w:tcW w:w="0" w:type="auto"/>
            <w:vMerge/>
            <w:tcBorders>
              <w:top w:val="nil"/>
              <w:left w:val="nil"/>
              <w:bottom w:val="single" w:sz="8" w:space="0" w:color="000000"/>
              <w:right w:val="nil"/>
            </w:tcBorders>
            <w:vAlign w:val="center"/>
            <w:hideMark/>
          </w:tcPr>
          <w:p w:rsidR="005019EE" w:rsidRDefault="005019EE">
            <w:pPr>
              <w:spacing w:line="256" w:lineRule="auto"/>
              <w:jc w:val="left"/>
              <w:rPr>
                <w:b/>
                <w:bCs/>
                <w:color w:val="000000"/>
                <w:sz w:val="20"/>
                <w:szCs w:val="20"/>
                <w:lang w:val="es-AR" w:eastAsia="es-AR"/>
              </w:rPr>
            </w:pPr>
          </w:p>
        </w:tc>
        <w:tc>
          <w:tcPr>
            <w:tcW w:w="1415" w:type="pct"/>
            <w:tcBorders>
              <w:top w:val="nil"/>
              <w:left w:val="nil"/>
              <w:bottom w:val="single" w:sz="8" w:space="0" w:color="auto"/>
              <w:right w:val="nil"/>
            </w:tcBorders>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c>
          <w:tcPr>
            <w:tcW w:w="1415" w:type="pct"/>
            <w:tcBorders>
              <w:top w:val="nil"/>
              <w:left w:val="nil"/>
              <w:bottom w:val="single" w:sz="8" w:space="0" w:color="auto"/>
              <w:right w:val="nil"/>
            </w:tcBorders>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r>
      <w:tr w:rsidR="005019EE" w:rsidTr="005019EE">
        <w:trPr>
          <w:trHeight w:val="384"/>
        </w:trPr>
        <w:tc>
          <w:tcPr>
            <w:tcW w:w="2170" w:type="pct"/>
            <w:tcBorders>
              <w:top w:val="nil"/>
              <w:left w:val="nil"/>
              <w:bottom w:val="single" w:sz="8" w:space="0" w:color="auto"/>
              <w:right w:val="nil"/>
            </w:tcBorders>
            <w:vAlign w:val="center"/>
            <w:hideMark/>
          </w:tcPr>
          <w:p w:rsidR="005019EE" w:rsidRDefault="005019EE">
            <w:pPr>
              <w:spacing w:line="256" w:lineRule="auto"/>
              <w:jc w:val="left"/>
              <w:rPr>
                <w:b/>
                <w:bCs/>
                <w:color w:val="000000"/>
                <w:sz w:val="20"/>
                <w:szCs w:val="20"/>
                <w:lang w:val="es-AR" w:eastAsia="es-AR"/>
              </w:rPr>
            </w:pPr>
            <w:r>
              <w:rPr>
                <w:b/>
                <w:bCs/>
                <w:color w:val="000000"/>
                <w:sz w:val="20"/>
                <w:szCs w:val="20"/>
                <w:lang w:val="es-AR" w:eastAsia="es-AR"/>
              </w:rPr>
              <w:t>Total Patrimonio</w:t>
            </w:r>
          </w:p>
        </w:tc>
        <w:tc>
          <w:tcPr>
            <w:tcW w:w="1415" w:type="pct"/>
            <w:tcBorders>
              <w:top w:val="nil"/>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18.217.564</w:t>
            </w:r>
          </w:p>
        </w:tc>
        <w:tc>
          <w:tcPr>
            <w:tcW w:w="1415" w:type="pct"/>
            <w:tcBorders>
              <w:top w:val="nil"/>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16.931.105</w:t>
            </w:r>
          </w:p>
        </w:tc>
      </w:tr>
      <w:tr w:rsidR="005019EE" w:rsidTr="005019EE">
        <w:trPr>
          <w:trHeight w:val="525"/>
        </w:trPr>
        <w:tc>
          <w:tcPr>
            <w:tcW w:w="2170" w:type="pct"/>
            <w:tcBorders>
              <w:top w:val="nil"/>
              <w:left w:val="nil"/>
              <w:bottom w:val="single" w:sz="8" w:space="0" w:color="auto"/>
              <w:right w:val="nil"/>
            </w:tcBorders>
            <w:vAlign w:val="center"/>
          </w:tcPr>
          <w:p w:rsidR="005019EE" w:rsidRDefault="005019EE">
            <w:pPr>
              <w:spacing w:line="256" w:lineRule="auto"/>
              <w:jc w:val="left"/>
              <w:rPr>
                <w:b/>
                <w:bCs/>
                <w:color w:val="000000"/>
                <w:sz w:val="20"/>
                <w:szCs w:val="20"/>
                <w:lang w:val="es-AR" w:eastAsia="es-AR"/>
              </w:rPr>
            </w:pPr>
          </w:p>
        </w:tc>
        <w:tc>
          <w:tcPr>
            <w:tcW w:w="1415" w:type="pct"/>
            <w:tcBorders>
              <w:top w:val="nil"/>
              <w:left w:val="nil"/>
              <w:bottom w:val="single" w:sz="8" w:space="0" w:color="auto"/>
              <w:right w:val="nil"/>
            </w:tcBorders>
            <w:vAlign w:val="center"/>
          </w:tcPr>
          <w:p w:rsidR="005019EE" w:rsidRDefault="005019EE">
            <w:pPr>
              <w:spacing w:line="256" w:lineRule="auto"/>
              <w:rPr>
                <w:b/>
                <w:bCs/>
                <w:color w:val="000000"/>
                <w:sz w:val="20"/>
                <w:szCs w:val="20"/>
                <w:lang w:val="es-AR" w:eastAsia="es-AR"/>
              </w:rPr>
            </w:pPr>
          </w:p>
        </w:tc>
        <w:tc>
          <w:tcPr>
            <w:tcW w:w="1415" w:type="pct"/>
            <w:tcBorders>
              <w:top w:val="nil"/>
              <w:left w:val="nil"/>
              <w:bottom w:val="single" w:sz="8" w:space="0" w:color="auto"/>
              <w:right w:val="nil"/>
            </w:tcBorders>
            <w:vAlign w:val="center"/>
          </w:tcPr>
          <w:p w:rsidR="005019EE" w:rsidRDefault="005019EE">
            <w:pPr>
              <w:spacing w:line="256" w:lineRule="auto"/>
              <w:rPr>
                <w:b/>
                <w:bCs/>
                <w:color w:val="000000"/>
                <w:sz w:val="20"/>
                <w:szCs w:val="20"/>
                <w:lang w:val="es-AR" w:eastAsia="es-AR"/>
              </w:rPr>
            </w:pPr>
          </w:p>
        </w:tc>
      </w:tr>
      <w:tr w:rsidR="005019EE" w:rsidTr="005019EE">
        <w:trPr>
          <w:trHeight w:val="300"/>
        </w:trPr>
        <w:tc>
          <w:tcPr>
            <w:tcW w:w="2170" w:type="pct"/>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Pasivo no corriente</w:t>
            </w:r>
          </w:p>
        </w:tc>
        <w:tc>
          <w:tcPr>
            <w:tcW w:w="1415"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4.287.539</w:t>
            </w:r>
          </w:p>
        </w:tc>
        <w:tc>
          <w:tcPr>
            <w:tcW w:w="1415"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3.780.177</w:t>
            </w:r>
          </w:p>
        </w:tc>
      </w:tr>
      <w:tr w:rsidR="005019EE" w:rsidTr="005019EE">
        <w:trPr>
          <w:trHeight w:val="300"/>
        </w:trPr>
        <w:tc>
          <w:tcPr>
            <w:tcW w:w="2170" w:type="pct"/>
            <w:tcBorders>
              <w:top w:val="nil"/>
              <w:left w:val="nil"/>
              <w:bottom w:val="single" w:sz="4" w:space="0" w:color="auto"/>
              <w:right w:val="nil"/>
            </w:tcBorders>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Pasivo corriente</w:t>
            </w:r>
          </w:p>
        </w:tc>
        <w:tc>
          <w:tcPr>
            <w:tcW w:w="1415" w:type="pct"/>
            <w:tcBorders>
              <w:top w:val="nil"/>
              <w:left w:val="nil"/>
              <w:bottom w:val="single" w:sz="4" w:space="0" w:color="auto"/>
              <w:right w:val="nil"/>
            </w:tcBorders>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46.149.237</w:t>
            </w:r>
          </w:p>
        </w:tc>
        <w:tc>
          <w:tcPr>
            <w:tcW w:w="1415" w:type="pct"/>
            <w:tcBorders>
              <w:top w:val="nil"/>
              <w:left w:val="nil"/>
              <w:bottom w:val="single" w:sz="4" w:space="0" w:color="auto"/>
              <w:right w:val="nil"/>
            </w:tcBorders>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48.109.912</w:t>
            </w:r>
          </w:p>
        </w:tc>
      </w:tr>
      <w:tr w:rsidR="005019EE" w:rsidTr="005019EE">
        <w:trPr>
          <w:trHeight w:val="315"/>
        </w:trPr>
        <w:tc>
          <w:tcPr>
            <w:tcW w:w="2170" w:type="pct"/>
            <w:tcBorders>
              <w:top w:val="single" w:sz="4" w:space="0" w:color="auto"/>
              <w:left w:val="nil"/>
              <w:bottom w:val="single" w:sz="8" w:space="0" w:color="auto"/>
              <w:right w:val="nil"/>
            </w:tcBorders>
            <w:vAlign w:val="center"/>
            <w:hideMark/>
          </w:tcPr>
          <w:p w:rsidR="005019EE" w:rsidRDefault="005019EE">
            <w:pPr>
              <w:spacing w:line="256" w:lineRule="auto"/>
              <w:jc w:val="left"/>
              <w:rPr>
                <w:b/>
                <w:bCs/>
                <w:color w:val="000000"/>
                <w:sz w:val="20"/>
                <w:szCs w:val="20"/>
                <w:lang w:val="es-AR" w:eastAsia="es-AR"/>
              </w:rPr>
            </w:pPr>
            <w:r>
              <w:rPr>
                <w:b/>
                <w:bCs/>
                <w:color w:val="000000"/>
                <w:sz w:val="20"/>
                <w:szCs w:val="20"/>
                <w:lang w:val="es-AR" w:eastAsia="es-AR"/>
              </w:rPr>
              <w:t>Total Pasivo</w:t>
            </w:r>
          </w:p>
        </w:tc>
        <w:tc>
          <w:tcPr>
            <w:tcW w:w="1415" w:type="pct"/>
            <w:tcBorders>
              <w:top w:val="single" w:sz="4" w:space="0" w:color="auto"/>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50.436.776</w:t>
            </w:r>
          </w:p>
        </w:tc>
        <w:tc>
          <w:tcPr>
            <w:tcW w:w="1415" w:type="pct"/>
            <w:tcBorders>
              <w:top w:val="single" w:sz="4" w:space="0" w:color="auto"/>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51.890.089</w:t>
            </w:r>
          </w:p>
        </w:tc>
      </w:tr>
      <w:tr w:rsidR="005019EE" w:rsidTr="005019EE">
        <w:trPr>
          <w:trHeight w:val="300"/>
        </w:trPr>
        <w:tc>
          <w:tcPr>
            <w:tcW w:w="2170" w:type="pct"/>
            <w:vMerge w:val="restart"/>
            <w:tcBorders>
              <w:top w:val="nil"/>
              <w:left w:val="nil"/>
              <w:bottom w:val="single" w:sz="8" w:space="0" w:color="000000"/>
              <w:right w:val="nil"/>
            </w:tcBorders>
            <w:vAlign w:val="center"/>
            <w:hideMark/>
          </w:tcPr>
          <w:p w:rsidR="005019EE" w:rsidRDefault="005019EE">
            <w:pPr>
              <w:rPr>
                <w:b/>
                <w:bCs/>
                <w:color w:val="000000"/>
                <w:sz w:val="20"/>
                <w:szCs w:val="20"/>
                <w:lang w:val="es-AR" w:eastAsia="es-AR"/>
              </w:rPr>
            </w:pPr>
          </w:p>
        </w:tc>
        <w:tc>
          <w:tcPr>
            <w:tcW w:w="1415" w:type="pct"/>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c>
          <w:tcPr>
            <w:tcW w:w="1415" w:type="pct"/>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r>
      <w:tr w:rsidR="005019EE" w:rsidTr="005019EE">
        <w:trPr>
          <w:trHeight w:val="315"/>
        </w:trPr>
        <w:tc>
          <w:tcPr>
            <w:tcW w:w="0" w:type="auto"/>
            <w:vMerge/>
            <w:tcBorders>
              <w:top w:val="nil"/>
              <w:left w:val="nil"/>
              <w:bottom w:val="single" w:sz="8" w:space="0" w:color="000000"/>
              <w:right w:val="nil"/>
            </w:tcBorders>
            <w:vAlign w:val="center"/>
            <w:hideMark/>
          </w:tcPr>
          <w:p w:rsidR="005019EE" w:rsidRDefault="005019EE">
            <w:pPr>
              <w:spacing w:line="256" w:lineRule="auto"/>
              <w:jc w:val="left"/>
              <w:rPr>
                <w:b/>
                <w:bCs/>
                <w:color w:val="000000"/>
                <w:sz w:val="20"/>
                <w:szCs w:val="20"/>
                <w:lang w:val="es-AR" w:eastAsia="es-AR"/>
              </w:rPr>
            </w:pPr>
          </w:p>
        </w:tc>
        <w:tc>
          <w:tcPr>
            <w:tcW w:w="1415" w:type="pct"/>
            <w:tcBorders>
              <w:top w:val="nil"/>
              <w:left w:val="nil"/>
              <w:bottom w:val="single" w:sz="8" w:space="0" w:color="auto"/>
              <w:right w:val="nil"/>
            </w:tcBorders>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c>
          <w:tcPr>
            <w:tcW w:w="1415" w:type="pct"/>
            <w:tcBorders>
              <w:top w:val="nil"/>
              <w:left w:val="nil"/>
              <w:bottom w:val="single" w:sz="8" w:space="0" w:color="auto"/>
              <w:right w:val="nil"/>
            </w:tcBorders>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r>
      <w:tr w:rsidR="005019EE" w:rsidTr="005019EE">
        <w:trPr>
          <w:trHeight w:val="348"/>
        </w:trPr>
        <w:tc>
          <w:tcPr>
            <w:tcW w:w="2170" w:type="pct"/>
            <w:tcBorders>
              <w:top w:val="nil"/>
              <w:left w:val="nil"/>
              <w:bottom w:val="single" w:sz="8" w:space="0" w:color="auto"/>
              <w:right w:val="nil"/>
            </w:tcBorders>
            <w:vAlign w:val="center"/>
            <w:hideMark/>
          </w:tcPr>
          <w:p w:rsidR="005019EE" w:rsidRDefault="005019EE">
            <w:pPr>
              <w:spacing w:line="256" w:lineRule="auto"/>
              <w:jc w:val="left"/>
              <w:rPr>
                <w:b/>
                <w:bCs/>
                <w:color w:val="000000"/>
                <w:sz w:val="20"/>
                <w:szCs w:val="20"/>
                <w:lang w:val="es-AR" w:eastAsia="es-AR"/>
              </w:rPr>
            </w:pPr>
            <w:r>
              <w:rPr>
                <w:b/>
                <w:bCs/>
                <w:color w:val="000000"/>
                <w:sz w:val="20"/>
                <w:szCs w:val="20"/>
                <w:lang w:val="es-AR" w:eastAsia="es-AR"/>
              </w:rPr>
              <w:t>Total Patrimonio y Pasivo</w:t>
            </w:r>
          </w:p>
        </w:tc>
        <w:tc>
          <w:tcPr>
            <w:tcW w:w="1415" w:type="pct"/>
            <w:tcBorders>
              <w:top w:val="nil"/>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68.654.340</w:t>
            </w:r>
          </w:p>
        </w:tc>
        <w:tc>
          <w:tcPr>
            <w:tcW w:w="1415" w:type="pct"/>
            <w:tcBorders>
              <w:top w:val="nil"/>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68.821.194</w:t>
            </w:r>
          </w:p>
        </w:tc>
      </w:tr>
    </w:tbl>
    <w:p w:rsidR="005019EE" w:rsidRDefault="005019EE" w:rsidP="005019EE">
      <w:pPr>
        <w:jc w:val="both"/>
        <w:rPr>
          <w:sz w:val="20"/>
          <w:szCs w:val="20"/>
          <w:lang w:val="es-AR"/>
        </w:rPr>
      </w:pPr>
    </w:p>
    <w:p w:rsidR="005019EE" w:rsidRDefault="005019EE" w:rsidP="005019EE">
      <w:pPr>
        <w:pStyle w:val="Prrafodelista"/>
        <w:ind w:left="420"/>
        <w:jc w:val="left"/>
        <w:rPr>
          <w:i/>
          <w:sz w:val="20"/>
          <w:szCs w:val="20"/>
          <w:lang w:val="es-AR"/>
        </w:rPr>
      </w:pPr>
      <w:r>
        <w:rPr>
          <w:i/>
          <w:sz w:val="20"/>
          <w:szCs w:val="20"/>
          <w:lang w:val="es-AR"/>
        </w:rPr>
        <w:t>(*) Cifras expresadas</w:t>
      </w:r>
      <w:r w:rsidR="003D6E1B">
        <w:rPr>
          <w:i/>
          <w:sz w:val="20"/>
          <w:szCs w:val="20"/>
          <w:lang w:val="es-AR"/>
        </w:rPr>
        <w:t xml:space="preserve"> en miles de Pesos</w:t>
      </w:r>
      <w:r>
        <w:rPr>
          <w:i/>
          <w:sz w:val="20"/>
          <w:szCs w:val="20"/>
          <w:lang w:val="es-AR"/>
        </w:rPr>
        <w:t xml:space="preserve"> en moneda homogénea al 31 de marzo de 2020</w:t>
      </w:r>
    </w:p>
    <w:p w:rsidR="005019EE" w:rsidRDefault="005019EE" w:rsidP="005019EE">
      <w:pPr>
        <w:jc w:val="both"/>
        <w:rPr>
          <w:sz w:val="20"/>
          <w:szCs w:val="20"/>
          <w:lang w:val="es-AR"/>
        </w:rPr>
      </w:pPr>
    </w:p>
    <w:p w:rsidR="005019EE" w:rsidRDefault="005019EE" w:rsidP="005019EE">
      <w:pPr>
        <w:pStyle w:val="Prrafodelista"/>
        <w:numPr>
          <w:ilvl w:val="0"/>
          <w:numId w:val="16"/>
        </w:numPr>
        <w:jc w:val="left"/>
        <w:rPr>
          <w:b/>
          <w:sz w:val="20"/>
          <w:szCs w:val="20"/>
          <w:lang w:val="es-MX"/>
        </w:rPr>
      </w:pPr>
      <w:r>
        <w:rPr>
          <w:b/>
          <w:sz w:val="20"/>
          <w:szCs w:val="20"/>
          <w:lang w:val="es-MX"/>
        </w:rPr>
        <w:t>Estado de Cambios en el Patrimonio</w:t>
      </w:r>
    </w:p>
    <w:p w:rsidR="003D6E1B" w:rsidRPr="00E35CDC" w:rsidRDefault="003D6E1B" w:rsidP="00E35CDC">
      <w:pPr>
        <w:ind w:left="60"/>
        <w:jc w:val="left"/>
        <w:rPr>
          <w:b/>
          <w:sz w:val="20"/>
          <w:szCs w:val="20"/>
          <w:lang w:val="es-MX"/>
        </w:rPr>
      </w:pPr>
    </w:p>
    <w:p w:rsidR="005019EE" w:rsidRDefault="005019EE" w:rsidP="005019EE">
      <w:pPr>
        <w:pStyle w:val="Prrafodelista"/>
        <w:ind w:left="4248"/>
        <w:jc w:val="both"/>
        <w:rPr>
          <w:b/>
          <w:bCs/>
          <w:color w:val="000000"/>
          <w:sz w:val="20"/>
          <w:szCs w:val="20"/>
          <w:lang w:val="es-AR" w:eastAsia="es-AR"/>
        </w:rPr>
      </w:pPr>
      <w:r>
        <w:rPr>
          <w:b/>
          <w:bCs/>
          <w:color w:val="000000"/>
          <w:sz w:val="20"/>
          <w:szCs w:val="20"/>
          <w:lang w:val="es-AR" w:eastAsia="es-AR"/>
        </w:rPr>
        <w:t xml:space="preserve">                   Período de tres meses finalizado</w:t>
      </w:r>
    </w:p>
    <w:p w:rsidR="005019EE" w:rsidRDefault="005019EE" w:rsidP="005019EE">
      <w:pPr>
        <w:jc w:val="both"/>
        <w:rPr>
          <w:b/>
          <w:bCs/>
          <w:color w:val="000000"/>
          <w:sz w:val="20"/>
          <w:szCs w:val="20"/>
          <w:lang w:val="es-AR" w:eastAsia="es-AR"/>
        </w:rPr>
      </w:pPr>
      <w:r>
        <w:rPr>
          <w:b/>
          <w:bCs/>
          <w:color w:val="000000"/>
          <w:sz w:val="20"/>
          <w:szCs w:val="20"/>
          <w:lang w:val="es-AR" w:eastAsia="es-AR"/>
        </w:rPr>
        <w:t xml:space="preserve">                                                                                                                   el </w:t>
      </w:r>
      <w:r>
        <w:rPr>
          <w:b/>
          <w:sz w:val="20"/>
          <w:szCs w:val="20"/>
          <w:lang w:val="es-AR"/>
        </w:rPr>
        <w:t xml:space="preserve">31 de </w:t>
      </w:r>
      <w:r>
        <w:rPr>
          <w:b/>
          <w:sz w:val="20"/>
          <w:szCs w:val="20"/>
          <w:lang w:val="es-AR" w:eastAsia="es-ES"/>
        </w:rPr>
        <w:t xml:space="preserve">marzo </w:t>
      </w:r>
      <w:r>
        <w:rPr>
          <w:b/>
          <w:bCs/>
          <w:color w:val="000000"/>
          <w:sz w:val="20"/>
          <w:szCs w:val="20"/>
          <w:lang w:val="es-AR" w:eastAsia="es-AR"/>
        </w:rPr>
        <w:t>de</w:t>
      </w:r>
    </w:p>
    <w:tbl>
      <w:tblPr>
        <w:tblW w:w="5000" w:type="pct"/>
        <w:jc w:val="center"/>
        <w:tblCellMar>
          <w:left w:w="70" w:type="dxa"/>
          <w:right w:w="70" w:type="dxa"/>
        </w:tblCellMar>
        <w:tblLook w:val="04A0" w:firstRow="1" w:lastRow="0" w:firstColumn="1" w:lastColumn="0" w:noHBand="0" w:noVBand="1"/>
      </w:tblPr>
      <w:tblGrid>
        <w:gridCol w:w="3323"/>
        <w:gridCol w:w="2591"/>
        <w:gridCol w:w="2591"/>
      </w:tblGrid>
      <w:tr w:rsidR="005019EE" w:rsidTr="00E35CDC">
        <w:trPr>
          <w:trHeight w:val="60"/>
          <w:jc w:val="center"/>
        </w:trPr>
        <w:tc>
          <w:tcPr>
            <w:tcW w:w="1954" w:type="pct"/>
            <w:tcBorders>
              <w:top w:val="single" w:sz="8" w:space="0" w:color="auto"/>
              <w:left w:val="nil"/>
              <w:bottom w:val="single" w:sz="8" w:space="0" w:color="auto"/>
              <w:right w:val="nil"/>
            </w:tcBorders>
            <w:vAlign w:val="center"/>
            <w:hideMark/>
          </w:tcPr>
          <w:p w:rsidR="005019EE" w:rsidRDefault="005019EE">
            <w:pPr>
              <w:spacing w:line="256" w:lineRule="auto"/>
              <w:jc w:val="left"/>
              <w:rPr>
                <w:color w:val="000000"/>
                <w:sz w:val="20"/>
                <w:szCs w:val="20"/>
                <w:lang w:val="es-AR" w:eastAsia="es-AR"/>
              </w:rPr>
            </w:pPr>
            <w:r>
              <w:rPr>
                <w:b/>
                <w:bCs/>
                <w:color w:val="000000"/>
                <w:sz w:val="20"/>
                <w:szCs w:val="20"/>
                <w:lang w:val="es-AR" w:eastAsia="es-AR"/>
              </w:rPr>
              <w:t>Detalle</w:t>
            </w:r>
          </w:p>
        </w:tc>
        <w:tc>
          <w:tcPr>
            <w:tcW w:w="1523" w:type="pct"/>
            <w:tcBorders>
              <w:top w:val="single" w:sz="8" w:space="0" w:color="auto"/>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 xml:space="preserve">2020 </w:t>
            </w:r>
            <w:r>
              <w:rPr>
                <w:b/>
                <w:bCs/>
                <w:color w:val="000000"/>
                <w:sz w:val="16"/>
                <w:szCs w:val="16"/>
                <w:lang w:val="es-AR" w:eastAsia="es-AR"/>
              </w:rPr>
              <w:t>(*)</w:t>
            </w:r>
          </w:p>
        </w:tc>
        <w:tc>
          <w:tcPr>
            <w:tcW w:w="1523" w:type="pct"/>
            <w:tcBorders>
              <w:top w:val="single" w:sz="8" w:space="0" w:color="auto"/>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 xml:space="preserve">2019 </w:t>
            </w:r>
            <w:r>
              <w:rPr>
                <w:b/>
                <w:bCs/>
                <w:color w:val="000000"/>
                <w:sz w:val="16"/>
                <w:szCs w:val="16"/>
                <w:lang w:val="es-AR" w:eastAsia="es-AR"/>
              </w:rPr>
              <w:t>(*)</w:t>
            </w:r>
          </w:p>
        </w:tc>
      </w:tr>
      <w:tr w:rsidR="005019EE" w:rsidTr="00E35CDC">
        <w:trPr>
          <w:trHeight w:val="300"/>
          <w:jc w:val="center"/>
        </w:trPr>
        <w:tc>
          <w:tcPr>
            <w:tcW w:w="1954" w:type="pct"/>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Capital social</w:t>
            </w:r>
          </w:p>
        </w:tc>
        <w:tc>
          <w:tcPr>
            <w:tcW w:w="1523"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1.020.238</w:t>
            </w:r>
          </w:p>
        </w:tc>
        <w:tc>
          <w:tcPr>
            <w:tcW w:w="1523"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1.020.238</w:t>
            </w:r>
          </w:p>
        </w:tc>
      </w:tr>
      <w:tr w:rsidR="005019EE" w:rsidTr="00E35CDC">
        <w:trPr>
          <w:trHeight w:val="352"/>
          <w:jc w:val="center"/>
        </w:trPr>
        <w:tc>
          <w:tcPr>
            <w:tcW w:w="1954" w:type="pct"/>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Aportes no capitalizados</w:t>
            </w:r>
          </w:p>
        </w:tc>
        <w:tc>
          <w:tcPr>
            <w:tcW w:w="1523"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w:t>
            </w:r>
          </w:p>
        </w:tc>
        <w:tc>
          <w:tcPr>
            <w:tcW w:w="1523"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w:t>
            </w:r>
          </w:p>
        </w:tc>
      </w:tr>
      <w:tr w:rsidR="005019EE" w:rsidTr="00E35CDC">
        <w:trPr>
          <w:trHeight w:val="158"/>
          <w:jc w:val="center"/>
        </w:trPr>
        <w:tc>
          <w:tcPr>
            <w:tcW w:w="1954" w:type="pct"/>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Reservas</w:t>
            </w:r>
          </w:p>
        </w:tc>
        <w:tc>
          <w:tcPr>
            <w:tcW w:w="1523"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15.905.346</w:t>
            </w:r>
          </w:p>
        </w:tc>
        <w:tc>
          <w:tcPr>
            <w:tcW w:w="1523"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21.949.917</w:t>
            </w:r>
          </w:p>
        </w:tc>
      </w:tr>
      <w:tr w:rsidR="005019EE" w:rsidTr="00E35CDC">
        <w:trPr>
          <w:trHeight w:val="510"/>
          <w:jc w:val="center"/>
        </w:trPr>
        <w:tc>
          <w:tcPr>
            <w:tcW w:w="1954" w:type="pct"/>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Resultados acumulados</w:t>
            </w:r>
          </w:p>
        </w:tc>
        <w:tc>
          <w:tcPr>
            <w:tcW w:w="1523"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1.291.980</w:t>
            </w:r>
          </w:p>
        </w:tc>
        <w:tc>
          <w:tcPr>
            <w:tcW w:w="1523"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(7.409.857)</w:t>
            </w:r>
          </w:p>
        </w:tc>
      </w:tr>
      <w:tr w:rsidR="005019EE" w:rsidTr="00E35CDC">
        <w:trPr>
          <w:trHeight w:val="80"/>
          <w:jc w:val="center"/>
        </w:trPr>
        <w:tc>
          <w:tcPr>
            <w:tcW w:w="1954" w:type="pct"/>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Otros resultados integrales (ORI)</w:t>
            </w:r>
          </w:p>
        </w:tc>
        <w:tc>
          <w:tcPr>
            <w:tcW w:w="1523"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w:t>
            </w:r>
          </w:p>
        </w:tc>
        <w:tc>
          <w:tcPr>
            <w:tcW w:w="1523"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w:t>
            </w:r>
          </w:p>
        </w:tc>
      </w:tr>
      <w:tr w:rsidR="005019EE" w:rsidTr="00E35CDC">
        <w:trPr>
          <w:trHeight w:val="525"/>
          <w:jc w:val="center"/>
        </w:trPr>
        <w:tc>
          <w:tcPr>
            <w:tcW w:w="1954" w:type="pct"/>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Participaciones no controladoras</w:t>
            </w:r>
          </w:p>
        </w:tc>
        <w:tc>
          <w:tcPr>
            <w:tcW w:w="1523"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w:t>
            </w:r>
          </w:p>
        </w:tc>
        <w:tc>
          <w:tcPr>
            <w:tcW w:w="1523"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w:t>
            </w:r>
          </w:p>
        </w:tc>
      </w:tr>
      <w:tr w:rsidR="005019EE" w:rsidTr="00E35CDC">
        <w:trPr>
          <w:trHeight w:val="373"/>
          <w:jc w:val="center"/>
        </w:trPr>
        <w:tc>
          <w:tcPr>
            <w:tcW w:w="1954" w:type="pct"/>
            <w:tcBorders>
              <w:top w:val="single" w:sz="8" w:space="0" w:color="auto"/>
              <w:left w:val="nil"/>
              <w:bottom w:val="single" w:sz="8" w:space="0" w:color="auto"/>
              <w:right w:val="nil"/>
            </w:tcBorders>
            <w:vAlign w:val="center"/>
            <w:hideMark/>
          </w:tcPr>
          <w:p w:rsidR="005019EE" w:rsidRDefault="005019EE">
            <w:pPr>
              <w:spacing w:line="256" w:lineRule="auto"/>
              <w:jc w:val="left"/>
              <w:rPr>
                <w:b/>
                <w:bCs/>
                <w:color w:val="000000"/>
                <w:sz w:val="20"/>
                <w:szCs w:val="20"/>
                <w:lang w:val="es-AR" w:eastAsia="es-AR"/>
              </w:rPr>
            </w:pPr>
            <w:r>
              <w:rPr>
                <w:b/>
                <w:bCs/>
                <w:color w:val="000000"/>
                <w:sz w:val="20"/>
                <w:szCs w:val="20"/>
                <w:lang w:val="es-AR" w:eastAsia="es-AR"/>
              </w:rPr>
              <w:t>Total del Patrimonio</w:t>
            </w:r>
          </w:p>
        </w:tc>
        <w:tc>
          <w:tcPr>
            <w:tcW w:w="1523" w:type="pct"/>
            <w:tcBorders>
              <w:top w:val="single" w:sz="8" w:space="0" w:color="auto"/>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18.217.564</w:t>
            </w:r>
          </w:p>
        </w:tc>
        <w:tc>
          <w:tcPr>
            <w:tcW w:w="1523" w:type="pct"/>
            <w:tcBorders>
              <w:top w:val="single" w:sz="8" w:space="0" w:color="auto"/>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15.560.298</w:t>
            </w:r>
          </w:p>
        </w:tc>
      </w:tr>
    </w:tbl>
    <w:p w:rsidR="005019EE" w:rsidRDefault="005019EE" w:rsidP="005019EE">
      <w:pPr>
        <w:pStyle w:val="Prrafodelista"/>
        <w:ind w:left="420"/>
        <w:jc w:val="left"/>
        <w:rPr>
          <w:i/>
          <w:sz w:val="20"/>
          <w:szCs w:val="20"/>
          <w:lang w:val="es-AR"/>
        </w:rPr>
      </w:pPr>
    </w:p>
    <w:p w:rsidR="005019EE" w:rsidRDefault="005019EE" w:rsidP="005019EE">
      <w:pPr>
        <w:pStyle w:val="Prrafodelista"/>
        <w:ind w:left="420"/>
        <w:jc w:val="left"/>
        <w:rPr>
          <w:i/>
          <w:sz w:val="20"/>
          <w:szCs w:val="20"/>
          <w:lang w:val="es-AR"/>
        </w:rPr>
      </w:pPr>
      <w:r>
        <w:rPr>
          <w:i/>
          <w:sz w:val="20"/>
          <w:szCs w:val="20"/>
          <w:lang w:val="es-AR"/>
        </w:rPr>
        <w:t>(*) Cifras expresadas en</w:t>
      </w:r>
      <w:r w:rsidR="003D6E1B">
        <w:rPr>
          <w:i/>
          <w:sz w:val="20"/>
          <w:szCs w:val="20"/>
          <w:lang w:val="es-AR"/>
        </w:rPr>
        <w:t xml:space="preserve"> miles de Pesos</w:t>
      </w:r>
      <w:r>
        <w:rPr>
          <w:i/>
          <w:sz w:val="20"/>
          <w:szCs w:val="20"/>
          <w:lang w:val="es-AR"/>
        </w:rPr>
        <w:t xml:space="preserve"> </w:t>
      </w:r>
      <w:r w:rsidR="003D6E1B">
        <w:rPr>
          <w:i/>
          <w:sz w:val="20"/>
          <w:szCs w:val="20"/>
          <w:lang w:val="es-AR"/>
        </w:rPr>
        <w:t xml:space="preserve">en </w:t>
      </w:r>
      <w:r>
        <w:rPr>
          <w:i/>
          <w:sz w:val="20"/>
          <w:szCs w:val="20"/>
          <w:lang w:val="es-AR"/>
        </w:rPr>
        <w:t>moneda homogénea al 31 de marzo de 2020</w:t>
      </w:r>
    </w:p>
    <w:p w:rsidR="005019EE" w:rsidRDefault="005019EE" w:rsidP="005019EE">
      <w:pPr>
        <w:pStyle w:val="Prrafodelista"/>
        <w:ind w:left="420"/>
        <w:jc w:val="left"/>
        <w:rPr>
          <w:i/>
          <w:sz w:val="20"/>
          <w:szCs w:val="20"/>
          <w:lang w:val="es-AR"/>
        </w:rPr>
      </w:pPr>
    </w:p>
    <w:p w:rsidR="005019EE" w:rsidRDefault="005019EE" w:rsidP="005019EE">
      <w:pPr>
        <w:pStyle w:val="Prrafodelista"/>
        <w:numPr>
          <w:ilvl w:val="0"/>
          <w:numId w:val="16"/>
        </w:numPr>
        <w:jc w:val="left"/>
        <w:rPr>
          <w:b/>
          <w:sz w:val="20"/>
          <w:szCs w:val="20"/>
          <w:lang w:val="es-MX"/>
        </w:rPr>
      </w:pPr>
      <w:r>
        <w:rPr>
          <w:b/>
          <w:sz w:val="20"/>
          <w:szCs w:val="20"/>
          <w:lang w:val="es-MX"/>
        </w:rPr>
        <w:t>Estado de flujo de efectivo</w:t>
      </w:r>
    </w:p>
    <w:p w:rsidR="005019EE" w:rsidRDefault="005019EE" w:rsidP="005019EE">
      <w:pPr>
        <w:jc w:val="both"/>
        <w:rPr>
          <w:sz w:val="20"/>
          <w:szCs w:val="20"/>
          <w:lang w:val="es-MX"/>
        </w:rPr>
      </w:pPr>
    </w:p>
    <w:p w:rsidR="005019EE" w:rsidRDefault="005019EE" w:rsidP="005019EE">
      <w:pPr>
        <w:jc w:val="left"/>
        <w:rPr>
          <w:b/>
          <w:bCs/>
          <w:color w:val="000000"/>
          <w:sz w:val="20"/>
          <w:szCs w:val="20"/>
          <w:lang w:val="es-AR" w:eastAsia="es-AR"/>
        </w:rPr>
      </w:pPr>
      <w:r>
        <w:rPr>
          <w:b/>
          <w:bCs/>
          <w:color w:val="000000"/>
          <w:sz w:val="20"/>
          <w:szCs w:val="20"/>
          <w:lang w:val="es-AR" w:eastAsia="es-AR"/>
        </w:rPr>
        <w:t xml:space="preserve">                                                                                                              Período de tres meses finalizado</w:t>
      </w:r>
    </w:p>
    <w:p w:rsidR="005019EE" w:rsidRDefault="005019EE" w:rsidP="005019EE">
      <w:pPr>
        <w:pStyle w:val="Prrafodelista"/>
        <w:ind w:left="4956" w:firstLine="708"/>
        <w:jc w:val="left"/>
        <w:rPr>
          <w:sz w:val="20"/>
          <w:szCs w:val="20"/>
        </w:rPr>
      </w:pPr>
      <w:r>
        <w:rPr>
          <w:b/>
          <w:bCs/>
          <w:color w:val="000000"/>
          <w:sz w:val="20"/>
          <w:szCs w:val="20"/>
          <w:lang w:val="es-AR" w:eastAsia="es-AR"/>
        </w:rPr>
        <w:t xml:space="preserve">           el </w:t>
      </w:r>
      <w:r>
        <w:rPr>
          <w:b/>
          <w:sz w:val="20"/>
          <w:szCs w:val="20"/>
          <w:lang w:val="es-AR"/>
        </w:rPr>
        <w:t xml:space="preserve">31 de </w:t>
      </w:r>
      <w:r>
        <w:rPr>
          <w:b/>
          <w:sz w:val="20"/>
          <w:szCs w:val="20"/>
          <w:lang w:val="es-AR" w:eastAsia="es-ES"/>
        </w:rPr>
        <w:t xml:space="preserve">marzo </w:t>
      </w:r>
      <w:r>
        <w:rPr>
          <w:b/>
          <w:bCs/>
          <w:color w:val="000000"/>
          <w:sz w:val="20"/>
          <w:szCs w:val="20"/>
          <w:lang w:val="es-AR" w:eastAsia="es-AR"/>
        </w:rPr>
        <w:t>de</w:t>
      </w:r>
    </w:p>
    <w:tbl>
      <w:tblPr>
        <w:tblW w:w="5000" w:type="pct"/>
        <w:jc w:val="center"/>
        <w:tblCellMar>
          <w:left w:w="70" w:type="dxa"/>
          <w:right w:w="70" w:type="dxa"/>
        </w:tblCellMar>
        <w:tblLook w:val="04A0" w:firstRow="1" w:lastRow="0" w:firstColumn="1" w:lastColumn="0" w:noHBand="0" w:noVBand="1"/>
      </w:tblPr>
      <w:tblGrid>
        <w:gridCol w:w="3275"/>
        <w:gridCol w:w="2592"/>
        <w:gridCol w:w="2638"/>
      </w:tblGrid>
      <w:tr w:rsidR="005019EE" w:rsidTr="00E35CDC">
        <w:trPr>
          <w:trHeight w:val="315"/>
          <w:jc w:val="center"/>
        </w:trPr>
        <w:tc>
          <w:tcPr>
            <w:tcW w:w="1925" w:type="pct"/>
            <w:tcBorders>
              <w:top w:val="single" w:sz="8" w:space="0" w:color="auto"/>
              <w:left w:val="nil"/>
              <w:bottom w:val="single" w:sz="8" w:space="0" w:color="auto"/>
              <w:right w:val="nil"/>
            </w:tcBorders>
            <w:vAlign w:val="center"/>
            <w:hideMark/>
          </w:tcPr>
          <w:p w:rsidR="005019EE" w:rsidRDefault="005019EE">
            <w:pPr>
              <w:spacing w:line="256" w:lineRule="auto"/>
              <w:jc w:val="left"/>
              <w:rPr>
                <w:b/>
                <w:bCs/>
                <w:color w:val="000000"/>
                <w:sz w:val="20"/>
                <w:szCs w:val="20"/>
                <w:lang w:val="es-AR" w:eastAsia="es-AR"/>
              </w:rPr>
            </w:pPr>
            <w:r>
              <w:rPr>
                <w:b/>
                <w:bCs/>
                <w:color w:val="000000"/>
                <w:sz w:val="20"/>
                <w:szCs w:val="20"/>
                <w:lang w:val="es-AR" w:eastAsia="es-AR"/>
              </w:rPr>
              <w:t>Detalle</w:t>
            </w:r>
          </w:p>
        </w:tc>
        <w:tc>
          <w:tcPr>
            <w:tcW w:w="1524" w:type="pct"/>
            <w:tcBorders>
              <w:top w:val="single" w:sz="8" w:space="0" w:color="auto"/>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 xml:space="preserve">2020 </w:t>
            </w:r>
            <w:r>
              <w:rPr>
                <w:b/>
                <w:bCs/>
                <w:color w:val="000000"/>
                <w:sz w:val="16"/>
                <w:szCs w:val="16"/>
                <w:lang w:val="es-AR" w:eastAsia="es-AR"/>
              </w:rPr>
              <w:t>(*)</w:t>
            </w:r>
          </w:p>
        </w:tc>
        <w:tc>
          <w:tcPr>
            <w:tcW w:w="1551" w:type="pct"/>
            <w:tcBorders>
              <w:top w:val="single" w:sz="8" w:space="0" w:color="auto"/>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 xml:space="preserve">2019 </w:t>
            </w:r>
            <w:r>
              <w:rPr>
                <w:b/>
                <w:bCs/>
                <w:color w:val="000000"/>
                <w:sz w:val="16"/>
                <w:szCs w:val="16"/>
                <w:lang w:val="es-AR" w:eastAsia="es-AR"/>
              </w:rPr>
              <w:t>(*)</w:t>
            </w:r>
          </w:p>
        </w:tc>
      </w:tr>
      <w:tr w:rsidR="005019EE" w:rsidTr="00E35CDC">
        <w:trPr>
          <w:trHeight w:val="300"/>
          <w:jc w:val="center"/>
        </w:trPr>
        <w:tc>
          <w:tcPr>
            <w:tcW w:w="1925" w:type="pct"/>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Variación de efectivo</w:t>
            </w:r>
          </w:p>
        </w:tc>
        <w:tc>
          <w:tcPr>
            <w:tcW w:w="1524" w:type="pct"/>
            <w:vAlign w:val="center"/>
            <w:hideMark/>
          </w:tcPr>
          <w:p w:rsidR="005019EE" w:rsidRDefault="005019EE">
            <w:pPr>
              <w:rPr>
                <w:color w:val="000000"/>
                <w:sz w:val="20"/>
                <w:szCs w:val="20"/>
                <w:lang w:val="es-AR" w:eastAsia="es-AR"/>
              </w:rPr>
            </w:pPr>
          </w:p>
        </w:tc>
        <w:tc>
          <w:tcPr>
            <w:tcW w:w="1551" w:type="pct"/>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r>
      <w:tr w:rsidR="005019EE" w:rsidTr="00E35CDC">
        <w:trPr>
          <w:trHeight w:val="80"/>
          <w:jc w:val="center"/>
        </w:trPr>
        <w:tc>
          <w:tcPr>
            <w:tcW w:w="1925" w:type="pct"/>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c>
          <w:tcPr>
            <w:tcW w:w="1524" w:type="pct"/>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c>
          <w:tcPr>
            <w:tcW w:w="1551" w:type="pct"/>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r>
      <w:tr w:rsidR="005019EE" w:rsidRPr="001633B5" w:rsidTr="00E35CDC">
        <w:trPr>
          <w:trHeight w:val="510"/>
          <w:jc w:val="center"/>
        </w:trPr>
        <w:tc>
          <w:tcPr>
            <w:tcW w:w="1925" w:type="pct"/>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Causas de las variaciones de fondos:</w:t>
            </w:r>
          </w:p>
        </w:tc>
        <w:tc>
          <w:tcPr>
            <w:tcW w:w="1524" w:type="pct"/>
            <w:vAlign w:val="center"/>
            <w:hideMark/>
          </w:tcPr>
          <w:p w:rsidR="005019EE" w:rsidRDefault="005019EE">
            <w:pPr>
              <w:rPr>
                <w:color w:val="000000"/>
                <w:sz w:val="20"/>
                <w:szCs w:val="20"/>
                <w:lang w:val="es-AR" w:eastAsia="es-AR"/>
              </w:rPr>
            </w:pPr>
          </w:p>
        </w:tc>
        <w:tc>
          <w:tcPr>
            <w:tcW w:w="1551" w:type="pct"/>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r>
      <w:tr w:rsidR="005019EE" w:rsidTr="00E35CDC">
        <w:trPr>
          <w:trHeight w:val="510"/>
          <w:jc w:val="center"/>
        </w:trPr>
        <w:tc>
          <w:tcPr>
            <w:tcW w:w="1925" w:type="pct"/>
            <w:vAlign w:val="center"/>
            <w:hideMark/>
          </w:tcPr>
          <w:p w:rsidR="005019EE" w:rsidRDefault="005019EE">
            <w:pPr>
              <w:spacing w:line="256" w:lineRule="auto"/>
              <w:jc w:val="left"/>
              <w:rPr>
                <w:rFonts w:ascii="Symbol" w:hAnsi="Symbol"/>
                <w:b/>
                <w:bCs/>
                <w:color w:val="000000"/>
                <w:sz w:val="20"/>
                <w:szCs w:val="20"/>
                <w:lang w:val="es-AR" w:eastAsia="es-AR"/>
              </w:rPr>
            </w:pPr>
            <w:r>
              <w:rPr>
                <w:rFonts w:ascii="Symbol" w:hAnsi="Symbol"/>
                <w:b/>
                <w:bCs/>
                <w:color w:val="000000"/>
                <w:sz w:val="20"/>
                <w:szCs w:val="20"/>
                <w:lang w:val="es-AR" w:eastAsia="es-AR"/>
              </w:rPr>
              <w:t></w:t>
            </w:r>
            <w:r>
              <w:rPr>
                <w:b/>
                <w:bCs/>
                <w:color w:val="000000"/>
                <w:sz w:val="20"/>
                <w:szCs w:val="20"/>
                <w:lang w:val="es-AR" w:eastAsia="es-AR"/>
              </w:rPr>
              <w:t xml:space="preserve"> Total cambios en activos y pasivos operativos.</w:t>
            </w:r>
          </w:p>
        </w:tc>
        <w:tc>
          <w:tcPr>
            <w:tcW w:w="1524"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3.950.773</w:t>
            </w:r>
          </w:p>
        </w:tc>
        <w:tc>
          <w:tcPr>
            <w:tcW w:w="1551"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4.995.730</w:t>
            </w:r>
          </w:p>
        </w:tc>
      </w:tr>
      <w:tr w:rsidR="005019EE" w:rsidTr="00E35CDC">
        <w:trPr>
          <w:trHeight w:val="510"/>
          <w:jc w:val="center"/>
        </w:trPr>
        <w:tc>
          <w:tcPr>
            <w:tcW w:w="1925" w:type="pct"/>
            <w:vAlign w:val="center"/>
            <w:hideMark/>
          </w:tcPr>
          <w:p w:rsidR="005019EE" w:rsidRDefault="005019EE">
            <w:pPr>
              <w:spacing w:line="256" w:lineRule="auto"/>
              <w:jc w:val="left"/>
              <w:rPr>
                <w:rFonts w:ascii="Symbol" w:hAnsi="Symbol"/>
                <w:b/>
                <w:bCs/>
                <w:color w:val="000000"/>
                <w:sz w:val="20"/>
                <w:szCs w:val="20"/>
                <w:lang w:val="es-AR" w:eastAsia="es-AR"/>
              </w:rPr>
            </w:pPr>
            <w:r>
              <w:rPr>
                <w:rFonts w:ascii="Symbol" w:hAnsi="Symbol"/>
                <w:b/>
                <w:bCs/>
                <w:color w:val="000000"/>
                <w:sz w:val="20"/>
                <w:szCs w:val="20"/>
                <w:lang w:val="es-AR" w:eastAsia="es-AR"/>
              </w:rPr>
              <w:t></w:t>
            </w:r>
            <w:r>
              <w:rPr>
                <w:b/>
                <w:bCs/>
                <w:color w:val="000000"/>
                <w:sz w:val="20"/>
                <w:szCs w:val="20"/>
                <w:lang w:val="es-AR" w:eastAsia="es-AR"/>
              </w:rPr>
              <w:t xml:space="preserve"> Total de actividades de inversión.</w:t>
            </w:r>
          </w:p>
        </w:tc>
        <w:tc>
          <w:tcPr>
            <w:tcW w:w="1524"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1.177.285</w:t>
            </w:r>
          </w:p>
        </w:tc>
        <w:tc>
          <w:tcPr>
            <w:tcW w:w="1551"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(195.336)</w:t>
            </w:r>
          </w:p>
        </w:tc>
      </w:tr>
      <w:tr w:rsidR="005019EE" w:rsidTr="00E35CDC">
        <w:trPr>
          <w:trHeight w:val="510"/>
          <w:jc w:val="center"/>
        </w:trPr>
        <w:tc>
          <w:tcPr>
            <w:tcW w:w="1925" w:type="pct"/>
            <w:vAlign w:val="center"/>
            <w:hideMark/>
          </w:tcPr>
          <w:p w:rsidR="005019EE" w:rsidRDefault="005019EE">
            <w:pPr>
              <w:spacing w:line="256" w:lineRule="auto"/>
              <w:jc w:val="left"/>
              <w:rPr>
                <w:rFonts w:ascii="Symbol" w:hAnsi="Symbol"/>
                <w:b/>
                <w:bCs/>
                <w:color w:val="000000"/>
                <w:sz w:val="20"/>
                <w:szCs w:val="20"/>
                <w:lang w:val="es-AR" w:eastAsia="es-AR"/>
              </w:rPr>
            </w:pPr>
            <w:r>
              <w:rPr>
                <w:rFonts w:ascii="Symbol" w:hAnsi="Symbol"/>
                <w:b/>
                <w:bCs/>
                <w:color w:val="000000"/>
                <w:sz w:val="20"/>
                <w:szCs w:val="20"/>
                <w:lang w:val="es-AR" w:eastAsia="es-AR"/>
              </w:rPr>
              <w:t></w:t>
            </w:r>
            <w:r>
              <w:rPr>
                <w:b/>
                <w:bCs/>
                <w:color w:val="000000"/>
                <w:sz w:val="20"/>
                <w:szCs w:val="20"/>
                <w:lang w:val="es-AR" w:eastAsia="es-AR"/>
              </w:rPr>
              <w:t xml:space="preserve"> Total de actividades de financiación.</w:t>
            </w:r>
          </w:p>
        </w:tc>
        <w:tc>
          <w:tcPr>
            <w:tcW w:w="1524"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1.162.845</w:t>
            </w:r>
          </w:p>
        </w:tc>
        <w:tc>
          <w:tcPr>
            <w:tcW w:w="1551"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(3.367.490)</w:t>
            </w:r>
          </w:p>
        </w:tc>
      </w:tr>
      <w:tr w:rsidR="005019EE" w:rsidTr="00E35CDC">
        <w:trPr>
          <w:trHeight w:val="99"/>
          <w:jc w:val="center"/>
        </w:trPr>
        <w:tc>
          <w:tcPr>
            <w:tcW w:w="1925" w:type="pct"/>
            <w:vAlign w:val="center"/>
            <w:hideMark/>
          </w:tcPr>
          <w:p w:rsidR="005019EE" w:rsidRDefault="005019EE">
            <w:pPr>
              <w:rPr>
                <w:color w:val="000000"/>
                <w:sz w:val="20"/>
                <w:szCs w:val="20"/>
                <w:lang w:val="es-AR" w:eastAsia="es-AR"/>
              </w:rPr>
            </w:pPr>
          </w:p>
        </w:tc>
        <w:tc>
          <w:tcPr>
            <w:tcW w:w="1524" w:type="pct"/>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c>
          <w:tcPr>
            <w:tcW w:w="1551" w:type="pct"/>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r>
      <w:tr w:rsidR="005019EE" w:rsidTr="00E35CDC">
        <w:trPr>
          <w:trHeight w:val="510"/>
          <w:jc w:val="center"/>
        </w:trPr>
        <w:tc>
          <w:tcPr>
            <w:tcW w:w="1925" w:type="pct"/>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Aumento (disminución) neto del efectivo</w:t>
            </w:r>
          </w:p>
        </w:tc>
        <w:tc>
          <w:tcPr>
            <w:tcW w:w="1524"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6.290.903</w:t>
            </w:r>
          </w:p>
        </w:tc>
        <w:tc>
          <w:tcPr>
            <w:tcW w:w="1551"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1.432.904</w:t>
            </w:r>
          </w:p>
        </w:tc>
      </w:tr>
      <w:tr w:rsidR="005019EE" w:rsidTr="00E35CDC">
        <w:trPr>
          <w:trHeight w:val="80"/>
          <w:jc w:val="center"/>
        </w:trPr>
        <w:tc>
          <w:tcPr>
            <w:tcW w:w="1925" w:type="pct"/>
            <w:vAlign w:val="center"/>
            <w:hideMark/>
          </w:tcPr>
          <w:p w:rsidR="005019EE" w:rsidRDefault="005019EE">
            <w:pPr>
              <w:rPr>
                <w:color w:val="000000"/>
                <w:sz w:val="20"/>
                <w:szCs w:val="20"/>
                <w:lang w:val="es-AR" w:eastAsia="es-AR"/>
              </w:rPr>
            </w:pPr>
          </w:p>
        </w:tc>
        <w:tc>
          <w:tcPr>
            <w:tcW w:w="1524" w:type="pct"/>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c>
          <w:tcPr>
            <w:tcW w:w="1551" w:type="pct"/>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r>
      <w:tr w:rsidR="005019EE" w:rsidTr="00E35CDC">
        <w:trPr>
          <w:trHeight w:val="300"/>
          <w:jc w:val="center"/>
        </w:trPr>
        <w:tc>
          <w:tcPr>
            <w:tcW w:w="1925" w:type="pct"/>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Resultados acumulados</w:t>
            </w:r>
          </w:p>
        </w:tc>
        <w:tc>
          <w:tcPr>
            <w:tcW w:w="1524"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1.286.459</w:t>
            </w:r>
          </w:p>
        </w:tc>
        <w:tc>
          <w:tcPr>
            <w:tcW w:w="1551"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96.888</w:t>
            </w:r>
          </w:p>
        </w:tc>
      </w:tr>
      <w:tr w:rsidR="005019EE" w:rsidTr="00E35CDC">
        <w:trPr>
          <w:trHeight w:val="300"/>
          <w:jc w:val="center"/>
        </w:trPr>
        <w:tc>
          <w:tcPr>
            <w:tcW w:w="1925" w:type="pct"/>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Otros resultados integrales (ORI)</w:t>
            </w:r>
          </w:p>
        </w:tc>
        <w:tc>
          <w:tcPr>
            <w:tcW w:w="1524"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w:t>
            </w:r>
          </w:p>
        </w:tc>
        <w:tc>
          <w:tcPr>
            <w:tcW w:w="1551" w:type="pct"/>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w:t>
            </w:r>
          </w:p>
        </w:tc>
      </w:tr>
      <w:tr w:rsidR="005019EE" w:rsidTr="00E35CDC">
        <w:trPr>
          <w:trHeight w:val="300"/>
          <w:jc w:val="center"/>
        </w:trPr>
        <w:tc>
          <w:tcPr>
            <w:tcW w:w="1925" w:type="pct"/>
            <w:tcBorders>
              <w:top w:val="nil"/>
              <w:left w:val="nil"/>
              <w:bottom w:val="single" w:sz="4" w:space="0" w:color="auto"/>
              <w:right w:val="nil"/>
            </w:tcBorders>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Participaciones no controladoras</w:t>
            </w:r>
          </w:p>
        </w:tc>
        <w:tc>
          <w:tcPr>
            <w:tcW w:w="1524" w:type="pct"/>
            <w:tcBorders>
              <w:top w:val="nil"/>
              <w:left w:val="nil"/>
              <w:bottom w:val="single" w:sz="4" w:space="0" w:color="auto"/>
              <w:right w:val="nil"/>
            </w:tcBorders>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(477)</w:t>
            </w:r>
          </w:p>
        </w:tc>
        <w:tc>
          <w:tcPr>
            <w:tcW w:w="1551" w:type="pct"/>
            <w:tcBorders>
              <w:top w:val="nil"/>
              <w:left w:val="nil"/>
              <w:bottom w:val="single" w:sz="4" w:space="0" w:color="auto"/>
              <w:right w:val="nil"/>
            </w:tcBorders>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(544)</w:t>
            </w:r>
          </w:p>
        </w:tc>
      </w:tr>
      <w:tr w:rsidR="005019EE" w:rsidTr="00E35CDC">
        <w:trPr>
          <w:trHeight w:val="315"/>
          <w:jc w:val="center"/>
        </w:trPr>
        <w:tc>
          <w:tcPr>
            <w:tcW w:w="1925" w:type="pct"/>
            <w:tcBorders>
              <w:top w:val="single" w:sz="4" w:space="0" w:color="auto"/>
              <w:left w:val="nil"/>
              <w:bottom w:val="single" w:sz="8" w:space="0" w:color="auto"/>
              <w:right w:val="nil"/>
            </w:tcBorders>
            <w:vAlign w:val="center"/>
            <w:hideMark/>
          </w:tcPr>
          <w:p w:rsidR="005019EE" w:rsidRDefault="005019EE">
            <w:pPr>
              <w:spacing w:line="256" w:lineRule="auto"/>
              <w:jc w:val="left"/>
              <w:rPr>
                <w:b/>
                <w:bCs/>
                <w:color w:val="000000"/>
                <w:sz w:val="20"/>
                <w:szCs w:val="20"/>
                <w:lang w:val="es-AR" w:eastAsia="es-AR"/>
              </w:rPr>
            </w:pPr>
            <w:r>
              <w:rPr>
                <w:b/>
                <w:bCs/>
                <w:color w:val="000000"/>
                <w:sz w:val="20"/>
                <w:szCs w:val="20"/>
                <w:lang w:val="es-AR" w:eastAsia="es-AR"/>
              </w:rPr>
              <w:t>Total del Patrimonio</w:t>
            </w:r>
          </w:p>
        </w:tc>
        <w:tc>
          <w:tcPr>
            <w:tcW w:w="1524" w:type="pct"/>
            <w:tcBorders>
              <w:top w:val="single" w:sz="4" w:space="0" w:color="auto"/>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18.217.564</w:t>
            </w:r>
          </w:p>
        </w:tc>
        <w:tc>
          <w:tcPr>
            <w:tcW w:w="1551" w:type="pct"/>
            <w:tcBorders>
              <w:top w:val="single" w:sz="4" w:space="0" w:color="auto"/>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15.560.298</w:t>
            </w:r>
          </w:p>
        </w:tc>
      </w:tr>
    </w:tbl>
    <w:p w:rsidR="005019EE" w:rsidRDefault="005019EE" w:rsidP="005019EE">
      <w:pPr>
        <w:jc w:val="both"/>
        <w:rPr>
          <w:sz w:val="20"/>
          <w:szCs w:val="20"/>
        </w:rPr>
      </w:pPr>
    </w:p>
    <w:p w:rsidR="005019EE" w:rsidRDefault="005019EE" w:rsidP="005019EE">
      <w:pPr>
        <w:pStyle w:val="Prrafodelista"/>
        <w:ind w:left="420"/>
        <w:jc w:val="left"/>
        <w:rPr>
          <w:i/>
          <w:sz w:val="20"/>
          <w:szCs w:val="20"/>
          <w:lang w:val="es-AR"/>
        </w:rPr>
      </w:pPr>
      <w:r>
        <w:rPr>
          <w:i/>
          <w:sz w:val="20"/>
          <w:szCs w:val="20"/>
          <w:lang w:val="es-AR"/>
        </w:rPr>
        <w:t>(*) Cifras expresadas en</w:t>
      </w:r>
      <w:r w:rsidR="003D6E1B">
        <w:rPr>
          <w:i/>
          <w:sz w:val="20"/>
          <w:szCs w:val="20"/>
          <w:lang w:val="es-AR"/>
        </w:rPr>
        <w:t xml:space="preserve"> miles de Pesos en</w:t>
      </w:r>
      <w:r>
        <w:rPr>
          <w:i/>
          <w:sz w:val="20"/>
          <w:szCs w:val="20"/>
          <w:lang w:val="es-AR"/>
        </w:rPr>
        <w:t xml:space="preserve"> moneda homogénea al 31 de marzo de 2020</w:t>
      </w:r>
    </w:p>
    <w:p w:rsidR="005019EE" w:rsidRDefault="005019EE" w:rsidP="005019EE">
      <w:pPr>
        <w:jc w:val="both"/>
        <w:rPr>
          <w:sz w:val="20"/>
          <w:szCs w:val="20"/>
          <w:lang w:val="es-AR"/>
        </w:rPr>
      </w:pPr>
    </w:p>
    <w:p w:rsidR="005019EE" w:rsidRDefault="005019EE" w:rsidP="005019EE">
      <w:pPr>
        <w:jc w:val="both"/>
        <w:rPr>
          <w:b/>
          <w:sz w:val="20"/>
          <w:szCs w:val="20"/>
          <w:lang w:val="es-AR"/>
        </w:rPr>
      </w:pPr>
      <w:r>
        <w:rPr>
          <w:b/>
          <w:sz w:val="20"/>
          <w:szCs w:val="20"/>
          <w:lang w:val="es-AR"/>
        </w:rPr>
        <w:t>b) Indicadores Financieros</w:t>
      </w:r>
    </w:p>
    <w:p w:rsidR="005019EE" w:rsidRDefault="005019EE" w:rsidP="005019EE">
      <w:pPr>
        <w:rPr>
          <w:sz w:val="20"/>
          <w:szCs w:val="20"/>
          <w:lang w:val="es-AR"/>
        </w:rPr>
      </w:pPr>
    </w:p>
    <w:p w:rsidR="005019EE" w:rsidRDefault="005019EE" w:rsidP="005019EE">
      <w:pPr>
        <w:widowControl w:val="0"/>
        <w:jc w:val="both"/>
        <w:rPr>
          <w:sz w:val="20"/>
          <w:szCs w:val="20"/>
          <w:lang w:val="es-AR"/>
        </w:rPr>
      </w:pPr>
      <w:r>
        <w:rPr>
          <w:sz w:val="20"/>
          <w:szCs w:val="20"/>
          <w:lang w:val="es-AR"/>
        </w:rPr>
        <w:t xml:space="preserve">El siguiente cuadro presenta, para los períodos de tres meses finalizados el 31 de </w:t>
      </w:r>
      <w:r>
        <w:rPr>
          <w:sz w:val="20"/>
          <w:szCs w:val="20"/>
          <w:lang w:val="es-AR" w:eastAsia="es-ES"/>
        </w:rPr>
        <w:t xml:space="preserve">marzo </w:t>
      </w:r>
      <w:r>
        <w:rPr>
          <w:sz w:val="20"/>
          <w:szCs w:val="20"/>
          <w:lang w:val="es-AR"/>
        </w:rPr>
        <w:t>de 2020 y 2019, determinados indicadores respecto al Emisor:</w:t>
      </w:r>
    </w:p>
    <w:p w:rsidR="005019EE" w:rsidRDefault="005019EE" w:rsidP="005019EE">
      <w:pPr>
        <w:widowControl w:val="0"/>
        <w:jc w:val="both"/>
        <w:rPr>
          <w:sz w:val="20"/>
          <w:szCs w:val="20"/>
          <w:lang w:val="es-AR"/>
        </w:rPr>
      </w:pPr>
    </w:p>
    <w:tbl>
      <w:tblPr>
        <w:tblW w:w="5205" w:type="dxa"/>
        <w:jc w:val="center"/>
        <w:tblLayout w:type="fixed"/>
        <w:tblCellMar>
          <w:left w:w="70" w:type="dxa"/>
          <w:right w:w="70" w:type="dxa"/>
        </w:tblCellMar>
        <w:tblLook w:val="04A0" w:firstRow="1" w:lastRow="0" w:firstColumn="1" w:lastColumn="0" w:noHBand="0" w:noVBand="1"/>
      </w:tblPr>
      <w:tblGrid>
        <w:gridCol w:w="2514"/>
        <w:gridCol w:w="1274"/>
        <w:gridCol w:w="1417"/>
      </w:tblGrid>
      <w:tr w:rsidR="005019EE" w:rsidTr="00E35CDC">
        <w:trPr>
          <w:trHeight w:val="315"/>
          <w:jc w:val="center"/>
        </w:trPr>
        <w:tc>
          <w:tcPr>
            <w:tcW w:w="2516" w:type="dxa"/>
            <w:tcBorders>
              <w:top w:val="nil"/>
              <w:left w:val="nil"/>
              <w:bottom w:val="single" w:sz="8" w:space="0" w:color="auto"/>
              <w:right w:val="nil"/>
            </w:tcBorders>
            <w:vAlign w:val="center"/>
            <w:hideMark/>
          </w:tcPr>
          <w:p w:rsidR="005019EE" w:rsidRDefault="005019EE">
            <w:pPr>
              <w:rPr>
                <w:sz w:val="20"/>
                <w:szCs w:val="20"/>
                <w:lang w:val="es-AR"/>
              </w:rPr>
            </w:pPr>
          </w:p>
        </w:tc>
        <w:tc>
          <w:tcPr>
            <w:tcW w:w="1275" w:type="dxa"/>
            <w:tcBorders>
              <w:top w:val="nil"/>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31.03.2020</w:t>
            </w:r>
          </w:p>
        </w:tc>
        <w:tc>
          <w:tcPr>
            <w:tcW w:w="1418" w:type="dxa"/>
            <w:tcBorders>
              <w:top w:val="nil"/>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31.03.2019</w:t>
            </w:r>
          </w:p>
        </w:tc>
      </w:tr>
      <w:tr w:rsidR="005019EE" w:rsidTr="00E35CDC">
        <w:trPr>
          <w:trHeight w:val="300"/>
          <w:jc w:val="center"/>
        </w:trPr>
        <w:tc>
          <w:tcPr>
            <w:tcW w:w="2516" w:type="dxa"/>
            <w:vAlign w:val="center"/>
            <w:hideMark/>
          </w:tcPr>
          <w:p w:rsidR="005019EE" w:rsidRDefault="005019EE">
            <w:pPr>
              <w:spacing w:line="256" w:lineRule="auto"/>
              <w:jc w:val="left"/>
              <w:rPr>
                <w:b/>
                <w:bCs/>
                <w:color w:val="000000"/>
                <w:sz w:val="20"/>
                <w:szCs w:val="20"/>
                <w:lang w:val="es-AR" w:eastAsia="es-AR"/>
              </w:rPr>
            </w:pPr>
            <w:r>
              <w:rPr>
                <w:b/>
                <w:bCs/>
                <w:color w:val="000000"/>
                <w:sz w:val="20"/>
                <w:szCs w:val="20"/>
                <w:lang w:val="es-AR" w:eastAsia="es-AR"/>
              </w:rPr>
              <w:t>Liquidez</w:t>
            </w:r>
          </w:p>
        </w:tc>
        <w:tc>
          <w:tcPr>
            <w:tcW w:w="1275" w:type="dxa"/>
            <w:vAlign w:val="center"/>
            <w:hideMark/>
          </w:tcPr>
          <w:p w:rsidR="005019EE" w:rsidRDefault="005019EE">
            <w:pPr>
              <w:spacing w:line="256" w:lineRule="auto"/>
              <w:rPr>
                <w:color w:val="000000"/>
                <w:sz w:val="18"/>
                <w:szCs w:val="18"/>
                <w:lang w:val="es-AR" w:eastAsia="es-AR"/>
              </w:rPr>
            </w:pPr>
            <w:r>
              <w:rPr>
                <w:color w:val="000000"/>
                <w:sz w:val="18"/>
                <w:szCs w:val="18"/>
                <w:lang w:val="es-AR" w:eastAsia="es-AR"/>
              </w:rPr>
              <w:t>1,322</w:t>
            </w:r>
          </w:p>
        </w:tc>
        <w:tc>
          <w:tcPr>
            <w:tcW w:w="1418" w:type="dxa"/>
            <w:vAlign w:val="center"/>
            <w:hideMark/>
          </w:tcPr>
          <w:p w:rsidR="005019EE" w:rsidRDefault="005019EE">
            <w:pPr>
              <w:spacing w:line="256" w:lineRule="auto"/>
              <w:rPr>
                <w:color w:val="000000"/>
                <w:sz w:val="18"/>
                <w:szCs w:val="18"/>
                <w:lang w:val="es-AR" w:eastAsia="es-AR"/>
              </w:rPr>
            </w:pPr>
            <w:r>
              <w:rPr>
                <w:color w:val="000000"/>
                <w:sz w:val="18"/>
                <w:szCs w:val="18"/>
                <w:lang w:val="es-AR" w:eastAsia="es-AR"/>
              </w:rPr>
              <w:t>1,49</w:t>
            </w:r>
          </w:p>
        </w:tc>
      </w:tr>
      <w:tr w:rsidR="005019EE" w:rsidTr="00E35CDC">
        <w:trPr>
          <w:trHeight w:val="300"/>
          <w:jc w:val="center"/>
        </w:trPr>
        <w:tc>
          <w:tcPr>
            <w:tcW w:w="2516" w:type="dxa"/>
            <w:vAlign w:val="center"/>
            <w:hideMark/>
          </w:tcPr>
          <w:p w:rsidR="005019EE" w:rsidRDefault="005019EE">
            <w:pPr>
              <w:spacing w:line="256" w:lineRule="auto"/>
              <w:jc w:val="left"/>
              <w:rPr>
                <w:b/>
                <w:bCs/>
                <w:color w:val="000000"/>
                <w:sz w:val="20"/>
                <w:szCs w:val="20"/>
                <w:lang w:val="es-AR" w:eastAsia="es-AR"/>
              </w:rPr>
            </w:pPr>
            <w:r>
              <w:rPr>
                <w:b/>
                <w:bCs/>
                <w:color w:val="000000"/>
                <w:sz w:val="20"/>
                <w:szCs w:val="20"/>
                <w:lang w:val="es-AR" w:eastAsia="es-AR"/>
              </w:rPr>
              <w:t>Endeudamiento</w:t>
            </w:r>
          </w:p>
        </w:tc>
        <w:tc>
          <w:tcPr>
            <w:tcW w:w="1275" w:type="dxa"/>
            <w:vAlign w:val="center"/>
            <w:hideMark/>
          </w:tcPr>
          <w:p w:rsidR="005019EE" w:rsidRDefault="005019EE">
            <w:pPr>
              <w:spacing w:line="256" w:lineRule="auto"/>
              <w:rPr>
                <w:color w:val="000000"/>
                <w:sz w:val="18"/>
                <w:szCs w:val="18"/>
                <w:lang w:val="es-AR" w:eastAsia="es-AR"/>
              </w:rPr>
            </w:pPr>
            <w:r>
              <w:rPr>
                <w:color w:val="000000"/>
                <w:sz w:val="18"/>
                <w:szCs w:val="18"/>
                <w:lang w:val="es-AR" w:eastAsia="es-AR"/>
              </w:rPr>
              <w:t>2,769</w:t>
            </w:r>
          </w:p>
        </w:tc>
        <w:tc>
          <w:tcPr>
            <w:tcW w:w="1418" w:type="dxa"/>
            <w:vAlign w:val="center"/>
            <w:hideMark/>
          </w:tcPr>
          <w:p w:rsidR="005019EE" w:rsidRDefault="005019EE">
            <w:pPr>
              <w:spacing w:line="256" w:lineRule="auto"/>
              <w:rPr>
                <w:color w:val="000000"/>
                <w:sz w:val="18"/>
                <w:szCs w:val="18"/>
                <w:lang w:val="es-AR" w:eastAsia="es-AR"/>
              </w:rPr>
            </w:pPr>
            <w:r>
              <w:rPr>
                <w:color w:val="000000"/>
                <w:sz w:val="18"/>
                <w:szCs w:val="18"/>
                <w:lang w:val="es-AR" w:eastAsia="es-AR"/>
              </w:rPr>
              <w:t>4,019</w:t>
            </w:r>
          </w:p>
        </w:tc>
      </w:tr>
      <w:tr w:rsidR="005019EE" w:rsidTr="00E35CDC">
        <w:trPr>
          <w:trHeight w:val="300"/>
          <w:jc w:val="center"/>
        </w:trPr>
        <w:tc>
          <w:tcPr>
            <w:tcW w:w="2516" w:type="dxa"/>
            <w:vAlign w:val="center"/>
            <w:hideMark/>
          </w:tcPr>
          <w:p w:rsidR="005019EE" w:rsidRDefault="005019EE">
            <w:pPr>
              <w:spacing w:line="256" w:lineRule="auto"/>
              <w:jc w:val="left"/>
              <w:rPr>
                <w:b/>
                <w:bCs/>
                <w:color w:val="000000"/>
                <w:sz w:val="20"/>
                <w:szCs w:val="20"/>
                <w:lang w:val="es-AR" w:eastAsia="es-AR"/>
              </w:rPr>
            </w:pPr>
            <w:r>
              <w:rPr>
                <w:b/>
                <w:bCs/>
                <w:color w:val="000000"/>
                <w:sz w:val="20"/>
                <w:szCs w:val="20"/>
                <w:lang w:val="es-AR" w:eastAsia="es-AR"/>
              </w:rPr>
              <w:t>Solvencia</w:t>
            </w:r>
          </w:p>
        </w:tc>
        <w:tc>
          <w:tcPr>
            <w:tcW w:w="1275" w:type="dxa"/>
            <w:vAlign w:val="center"/>
            <w:hideMark/>
          </w:tcPr>
          <w:p w:rsidR="005019EE" w:rsidRDefault="005019EE">
            <w:pPr>
              <w:spacing w:line="256" w:lineRule="auto"/>
              <w:rPr>
                <w:color w:val="000000"/>
                <w:sz w:val="18"/>
                <w:szCs w:val="18"/>
                <w:lang w:val="es-AR" w:eastAsia="es-AR"/>
              </w:rPr>
            </w:pPr>
            <w:r>
              <w:rPr>
                <w:color w:val="000000"/>
                <w:sz w:val="18"/>
                <w:szCs w:val="18"/>
                <w:lang w:val="es-AR" w:eastAsia="es-AR"/>
              </w:rPr>
              <w:t>0,361</w:t>
            </w:r>
          </w:p>
        </w:tc>
        <w:tc>
          <w:tcPr>
            <w:tcW w:w="1418" w:type="dxa"/>
            <w:vAlign w:val="center"/>
            <w:hideMark/>
          </w:tcPr>
          <w:p w:rsidR="005019EE" w:rsidRDefault="005019EE">
            <w:pPr>
              <w:spacing w:line="256" w:lineRule="auto"/>
              <w:rPr>
                <w:color w:val="000000"/>
                <w:sz w:val="18"/>
                <w:szCs w:val="18"/>
                <w:lang w:val="es-AR" w:eastAsia="es-AR"/>
              </w:rPr>
            </w:pPr>
            <w:r>
              <w:rPr>
                <w:color w:val="000000"/>
                <w:sz w:val="18"/>
                <w:szCs w:val="18"/>
                <w:lang w:val="es-AR" w:eastAsia="es-AR"/>
              </w:rPr>
              <w:t>0,249</w:t>
            </w:r>
          </w:p>
        </w:tc>
      </w:tr>
      <w:tr w:rsidR="005019EE" w:rsidTr="00E35CDC">
        <w:trPr>
          <w:trHeight w:val="510"/>
          <w:jc w:val="center"/>
        </w:trPr>
        <w:tc>
          <w:tcPr>
            <w:tcW w:w="2516" w:type="dxa"/>
            <w:vAlign w:val="center"/>
            <w:hideMark/>
          </w:tcPr>
          <w:p w:rsidR="005019EE" w:rsidRDefault="005019EE">
            <w:pPr>
              <w:spacing w:line="256" w:lineRule="auto"/>
              <w:jc w:val="left"/>
              <w:rPr>
                <w:b/>
                <w:bCs/>
                <w:color w:val="000000"/>
                <w:sz w:val="20"/>
                <w:szCs w:val="20"/>
                <w:lang w:val="es-AR" w:eastAsia="es-AR"/>
              </w:rPr>
            </w:pPr>
            <w:r>
              <w:rPr>
                <w:b/>
                <w:bCs/>
                <w:color w:val="000000"/>
                <w:sz w:val="20"/>
                <w:szCs w:val="20"/>
                <w:lang w:val="es-AR" w:eastAsia="es-AR"/>
              </w:rPr>
              <w:t>Inmovilización del Capital</w:t>
            </w:r>
          </w:p>
        </w:tc>
        <w:tc>
          <w:tcPr>
            <w:tcW w:w="1275" w:type="dxa"/>
            <w:vAlign w:val="center"/>
            <w:hideMark/>
          </w:tcPr>
          <w:p w:rsidR="005019EE" w:rsidRDefault="005019EE">
            <w:pPr>
              <w:spacing w:line="256" w:lineRule="auto"/>
              <w:rPr>
                <w:color w:val="000000"/>
                <w:sz w:val="18"/>
                <w:szCs w:val="18"/>
                <w:lang w:val="es-AR" w:eastAsia="es-AR"/>
              </w:rPr>
            </w:pPr>
            <w:r>
              <w:rPr>
                <w:color w:val="000000"/>
                <w:sz w:val="18"/>
                <w:szCs w:val="18"/>
                <w:lang w:val="es-AR" w:eastAsia="es-AR"/>
              </w:rPr>
              <w:t>0,112</w:t>
            </w:r>
          </w:p>
        </w:tc>
        <w:tc>
          <w:tcPr>
            <w:tcW w:w="1418" w:type="dxa"/>
            <w:vAlign w:val="center"/>
            <w:hideMark/>
          </w:tcPr>
          <w:p w:rsidR="005019EE" w:rsidRDefault="005019EE">
            <w:pPr>
              <w:spacing w:line="256" w:lineRule="auto"/>
              <w:rPr>
                <w:color w:val="000000"/>
                <w:sz w:val="18"/>
                <w:szCs w:val="18"/>
                <w:lang w:val="es-AR" w:eastAsia="es-AR"/>
              </w:rPr>
            </w:pPr>
            <w:r>
              <w:rPr>
                <w:color w:val="000000"/>
                <w:sz w:val="18"/>
                <w:szCs w:val="18"/>
                <w:lang w:val="es-AR" w:eastAsia="es-AR"/>
              </w:rPr>
              <w:t>0,103</w:t>
            </w:r>
          </w:p>
        </w:tc>
      </w:tr>
      <w:tr w:rsidR="005019EE" w:rsidTr="00E35CDC">
        <w:trPr>
          <w:trHeight w:val="300"/>
          <w:jc w:val="center"/>
        </w:trPr>
        <w:tc>
          <w:tcPr>
            <w:tcW w:w="2516" w:type="dxa"/>
            <w:vAlign w:val="center"/>
            <w:hideMark/>
          </w:tcPr>
          <w:p w:rsidR="005019EE" w:rsidRDefault="005019EE">
            <w:pPr>
              <w:spacing w:line="256" w:lineRule="auto"/>
              <w:jc w:val="left"/>
              <w:rPr>
                <w:b/>
                <w:bCs/>
                <w:color w:val="000000"/>
                <w:sz w:val="20"/>
                <w:szCs w:val="20"/>
                <w:lang w:val="es-AR" w:eastAsia="es-AR"/>
              </w:rPr>
            </w:pPr>
            <w:r>
              <w:rPr>
                <w:b/>
                <w:bCs/>
                <w:color w:val="000000"/>
                <w:sz w:val="20"/>
                <w:szCs w:val="20"/>
                <w:lang w:val="es-AR" w:eastAsia="es-AR"/>
              </w:rPr>
              <w:t>ROE del período</w:t>
            </w:r>
          </w:p>
        </w:tc>
        <w:tc>
          <w:tcPr>
            <w:tcW w:w="1275" w:type="dxa"/>
            <w:vAlign w:val="center"/>
            <w:hideMark/>
          </w:tcPr>
          <w:p w:rsidR="005019EE" w:rsidRDefault="005019EE">
            <w:pPr>
              <w:spacing w:line="256" w:lineRule="auto"/>
              <w:rPr>
                <w:color w:val="000000"/>
                <w:sz w:val="18"/>
                <w:szCs w:val="18"/>
                <w:lang w:val="es-AR" w:eastAsia="es-AR"/>
              </w:rPr>
            </w:pPr>
            <w:r>
              <w:rPr>
                <w:color w:val="000000"/>
                <w:sz w:val="18"/>
                <w:szCs w:val="18"/>
                <w:lang w:val="es-AR" w:eastAsia="es-AR"/>
              </w:rPr>
              <w:t>7,32%</w:t>
            </w:r>
          </w:p>
        </w:tc>
        <w:tc>
          <w:tcPr>
            <w:tcW w:w="1418" w:type="dxa"/>
            <w:vAlign w:val="center"/>
            <w:hideMark/>
          </w:tcPr>
          <w:p w:rsidR="005019EE" w:rsidRDefault="005019EE">
            <w:pPr>
              <w:spacing w:line="256" w:lineRule="auto"/>
              <w:rPr>
                <w:color w:val="000000"/>
                <w:sz w:val="18"/>
                <w:szCs w:val="18"/>
                <w:lang w:val="es-AR" w:eastAsia="es-AR"/>
              </w:rPr>
            </w:pPr>
            <w:r>
              <w:rPr>
                <w:color w:val="000000"/>
                <w:sz w:val="18"/>
                <w:szCs w:val="18"/>
                <w:lang w:val="es-AR" w:eastAsia="es-AR"/>
              </w:rPr>
              <w:t>0,62%</w:t>
            </w:r>
          </w:p>
        </w:tc>
      </w:tr>
      <w:tr w:rsidR="005019EE" w:rsidTr="00E35CDC">
        <w:trPr>
          <w:trHeight w:val="300"/>
          <w:jc w:val="center"/>
        </w:trPr>
        <w:tc>
          <w:tcPr>
            <w:tcW w:w="2516" w:type="dxa"/>
            <w:vAlign w:val="center"/>
            <w:hideMark/>
          </w:tcPr>
          <w:p w:rsidR="005019EE" w:rsidRDefault="005019EE">
            <w:pPr>
              <w:spacing w:line="256" w:lineRule="auto"/>
              <w:jc w:val="left"/>
              <w:rPr>
                <w:b/>
                <w:bCs/>
                <w:color w:val="000000"/>
                <w:sz w:val="20"/>
                <w:szCs w:val="20"/>
                <w:lang w:val="es-AR" w:eastAsia="es-AR"/>
              </w:rPr>
            </w:pPr>
            <w:r>
              <w:rPr>
                <w:b/>
                <w:bCs/>
                <w:color w:val="000000"/>
                <w:sz w:val="20"/>
                <w:szCs w:val="20"/>
                <w:lang w:val="es-AR" w:eastAsia="es-AR"/>
              </w:rPr>
              <w:t>ROA del período</w:t>
            </w:r>
          </w:p>
        </w:tc>
        <w:tc>
          <w:tcPr>
            <w:tcW w:w="1275" w:type="dxa"/>
            <w:vAlign w:val="center"/>
            <w:hideMark/>
          </w:tcPr>
          <w:p w:rsidR="005019EE" w:rsidRDefault="005019EE">
            <w:pPr>
              <w:spacing w:line="256" w:lineRule="auto"/>
              <w:rPr>
                <w:color w:val="000000"/>
                <w:sz w:val="18"/>
                <w:szCs w:val="18"/>
                <w:lang w:val="es-AR" w:eastAsia="es-AR"/>
              </w:rPr>
            </w:pPr>
            <w:r>
              <w:rPr>
                <w:color w:val="000000"/>
                <w:sz w:val="18"/>
                <w:szCs w:val="18"/>
                <w:lang w:val="es-AR" w:eastAsia="es-AR"/>
              </w:rPr>
              <w:t>1,87%</w:t>
            </w:r>
          </w:p>
        </w:tc>
        <w:tc>
          <w:tcPr>
            <w:tcW w:w="1418" w:type="dxa"/>
            <w:vAlign w:val="center"/>
            <w:hideMark/>
          </w:tcPr>
          <w:p w:rsidR="005019EE" w:rsidRDefault="005019EE">
            <w:pPr>
              <w:spacing w:line="256" w:lineRule="auto"/>
              <w:rPr>
                <w:color w:val="000000"/>
                <w:sz w:val="18"/>
                <w:szCs w:val="18"/>
                <w:lang w:val="es-AR" w:eastAsia="es-AR"/>
              </w:rPr>
            </w:pPr>
            <w:r>
              <w:rPr>
                <w:color w:val="000000"/>
                <w:sz w:val="18"/>
                <w:szCs w:val="18"/>
                <w:lang w:val="es-AR" w:eastAsia="es-AR"/>
              </w:rPr>
              <w:t>0,12%</w:t>
            </w:r>
          </w:p>
        </w:tc>
      </w:tr>
    </w:tbl>
    <w:p w:rsidR="005019EE" w:rsidRDefault="005019EE" w:rsidP="005019EE">
      <w:pPr>
        <w:jc w:val="both"/>
        <w:rPr>
          <w:sz w:val="20"/>
          <w:szCs w:val="20"/>
          <w:lang w:val="es-AR"/>
        </w:rPr>
      </w:pPr>
    </w:p>
    <w:p w:rsidR="005019EE" w:rsidRDefault="005019EE" w:rsidP="005019EE">
      <w:pPr>
        <w:jc w:val="left"/>
        <w:rPr>
          <w:b/>
          <w:sz w:val="20"/>
          <w:szCs w:val="20"/>
          <w:lang w:val="es-MX"/>
        </w:rPr>
      </w:pPr>
      <w:r>
        <w:rPr>
          <w:b/>
          <w:sz w:val="20"/>
          <w:szCs w:val="20"/>
          <w:lang w:val="es-MX"/>
        </w:rPr>
        <w:t>c) Endeudamiento y Capitalización</w:t>
      </w:r>
    </w:p>
    <w:p w:rsidR="005019EE" w:rsidRDefault="005019EE" w:rsidP="005019EE">
      <w:pPr>
        <w:jc w:val="left"/>
        <w:rPr>
          <w:b/>
          <w:sz w:val="20"/>
          <w:szCs w:val="20"/>
          <w:lang w:val="es-MX"/>
        </w:rPr>
      </w:pPr>
    </w:p>
    <w:p w:rsidR="005019EE" w:rsidRDefault="005019EE" w:rsidP="005019EE">
      <w:pPr>
        <w:widowControl w:val="0"/>
        <w:jc w:val="both"/>
        <w:rPr>
          <w:bCs/>
          <w:sz w:val="20"/>
          <w:szCs w:val="20"/>
          <w:lang w:val="es-AR"/>
        </w:rPr>
      </w:pPr>
      <w:r>
        <w:rPr>
          <w:bCs/>
          <w:sz w:val="20"/>
          <w:szCs w:val="20"/>
          <w:lang w:val="es-AR"/>
        </w:rPr>
        <w:t>El siguiente cuadro establece el detalle de endeudamiento y capitalización del Emisor,</w:t>
      </w:r>
      <w:r w:rsidRPr="005019EE">
        <w:rPr>
          <w:sz w:val="20"/>
          <w:szCs w:val="20"/>
          <w:lang w:val="es-AR"/>
        </w:rPr>
        <w:t xml:space="preserve"> </w:t>
      </w:r>
      <w:r>
        <w:rPr>
          <w:sz w:val="20"/>
          <w:szCs w:val="20"/>
          <w:lang w:val="es-AR"/>
        </w:rPr>
        <w:t xml:space="preserve">para los períodos de tres meses finalizados el 31 de </w:t>
      </w:r>
      <w:r>
        <w:rPr>
          <w:sz w:val="20"/>
          <w:szCs w:val="20"/>
          <w:lang w:val="es-AR" w:eastAsia="es-ES"/>
        </w:rPr>
        <w:t xml:space="preserve">marzo </w:t>
      </w:r>
      <w:r>
        <w:rPr>
          <w:sz w:val="20"/>
          <w:szCs w:val="20"/>
          <w:lang w:val="es-AR"/>
        </w:rPr>
        <w:t>de 2020 y 2019</w:t>
      </w:r>
      <w:r>
        <w:rPr>
          <w:bCs/>
          <w:sz w:val="20"/>
          <w:szCs w:val="20"/>
          <w:lang w:val="es-AR"/>
        </w:rPr>
        <w:t>:</w:t>
      </w:r>
    </w:p>
    <w:p w:rsidR="005019EE" w:rsidRDefault="005019EE" w:rsidP="005019EE">
      <w:pPr>
        <w:widowControl w:val="0"/>
        <w:jc w:val="both"/>
        <w:rPr>
          <w:bCs/>
          <w:sz w:val="20"/>
          <w:szCs w:val="20"/>
          <w:lang w:val="es-AR"/>
        </w:rPr>
      </w:pPr>
    </w:p>
    <w:tbl>
      <w:tblPr>
        <w:tblW w:w="8222" w:type="dxa"/>
        <w:jc w:val="center"/>
        <w:tblCellMar>
          <w:left w:w="70" w:type="dxa"/>
          <w:right w:w="70" w:type="dxa"/>
        </w:tblCellMar>
        <w:tblLook w:val="04A0" w:firstRow="1" w:lastRow="0" w:firstColumn="1" w:lastColumn="0" w:noHBand="0" w:noVBand="1"/>
      </w:tblPr>
      <w:tblGrid>
        <w:gridCol w:w="5198"/>
        <w:gridCol w:w="1280"/>
        <w:gridCol w:w="1744"/>
      </w:tblGrid>
      <w:tr w:rsidR="005019EE" w:rsidTr="00E35CDC">
        <w:trPr>
          <w:trHeight w:val="510"/>
          <w:jc w:val="center"/>
        </w:trPr>
        <w:tc>
          <w:tcPr>
            <w:tcW w:w="5198" w:type="dxa"/>
            <w:tcBorders>
              <w:top w:val="nil"/>
              <w:left w:val="nil"/>
              <w:bottom w:val="single" w:sz="8" w:space="0" w:color="auto"/>
              <w:right w:val="nil"/>
            </w:tcBorders>
            <w:vAlign w:val="center"/>
            <w:hideMark/>
          </w:tcPr>
          <w:p w:rsidR="005019EE" w:rsidRDefault="005019EE">
            <w:pPr>
              <w:spacing w:line="256" w:lineRule="auto"/>
              <w:jc w:val="left"/>
              <w:rPr>
                <w:b/>
                <w:bCs/>
                <w:color w:val="000000"/>
                <w:sz w:val="20"/>
                <w:szCs w:val="20"/>
                <w:lang w:val="es-AR" w:eastAsia="es-AR"/>
              </w:rPr>
            </w:pPr>
            <w:r>
              <w:rPr>
                <w:b/>
                <w:bCs/>
                <w:color w:val="000000"/>
                <w:sz w:val="20"/>
                <w:szCs w:val="20"/>
                <w:lang w:val="es-AR" w:eastAsia="es-AR"/>
              </w:rPr>
              <w:t> </w:t>
            </w:r>
          </w:p>
        </w:tc>
        <w:tc>
          <w:tcPr>
            <w:tcW w:w="3024" w:type="dxa"/>
            <w:gridSpan w:val="2"/>
            <w:tcBorders>
              <w:top w:val="nil"/>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 xml:space="preserve">     Período finalizado el </w:t>
            </w:r>
          </w:p>
        </w:tc>
      </w:tr>
      <w:tr w:rsidR="005019EE" w:rsidTr="00E35CDC">
        <w:trPr>
          <w:trHeight w:val="315"/>
          <w:jc w:val="center"/>
        </w:trPr>
        <w:tc>
          <w:tcPr>
            <w:tcW w:w="5198" w:type="dxa"/>
            <w:tcBorders>
              <w:top w:val="nil"/>
              <w:left w:val="nil"/>
              <w:bottom w:val="single" w:sz="8" w:space="0" w:color="auto"/>
              <w:right w:val="nil"/>
            </w:tcBorders>
            <w:vAlign w:val="center"/>
            <w:hideMark/>
          </w:tcPr>
          <w:p w:rsidR="005019EE" w:rsidRDefault="005019EE">
            <w:pPr>
              <w:spacing w:line="256" w:lineRule="auto"/>
              <w:jc w:val="left"/>
              <w:rPr>
                <w:color w:val="000000"/>
                <w:sz w:val="20"/>
                <w:szCs w:val="20"/>
                <w:lang w:val="es-AR" w:eastAsia="es-AR"/>
              </w:rPr>
            </w:pPr>
            <w:r>
              <w:rPr>
                <w:color w:val="000000"/>
                <w:sz w:val="20"/>
                <w:szCs w:val="20"/>
                <w:lang w:val="es-AR" w:eastAsia="es-AR"/>
              </w:rPr>
              <w:t>(Datos en miles de pesos)</w:t>
            </w:r>
          </w:p>
        </w:tc>
        <w:tc>
          <w:tcPr>
            <w:tcW w:w="1280" w:type="dxa"/>
            <w:tcBorders>
              <w:top w:val="nil"/>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 xml:space="preserve">31.03.2020 </w:t>
            </w:r>
            <w:r>
              <w:rPr>
                <w:b/>
                <w:bCs/>
                <w:color w:val="000000"/>
                <w:sz w:val="16"/>
                <w:szCs w:val="16"/>
                <w:lang w:val="es-AR" w:eastAsia="es-AR"/>
              </w:rPr>
              <w:t>(*)</w:t>
            </w:r>
          </w:p>
        </w:tc>
        <w:tc>
          <w:tcPr>
            <w:tcW w:w="1744" w:type="dxa"/>
            <w:tcBorders>
              <w:top w:val="nil"/>
              <w:left w:val="nil"/>
              <w:bottom w:val="single" w:sz="8" w:space="0" w:color="auto"/>
              <w:right w:val="nil"/>
            </w:tcBorders>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 xml:space="preserve">31.12.2019 </w:t>
            </w:r>
            <w:r>
              <w:rPr>
                <w:b/>
                <w:bCs/>
                <w:color w:val="000000"/>
                <w:sz w:val="16"/>
                <w:szCs w:val="16"/>
                <w:lang w:val="es-AR" w:eastAsia="es-AR"/>
              </w:rPr>
              <w:t>(*)</w:t>
            </w:r>
          </w:p>
        </w:tc>
      </w:tr>
      <w:tr w:rsidR="005019EE" w:rsidRPr="001633B5" w:rsidTr="00E35CDC">
        <w:trPr>
          <w:trHeight w:val="300"/>
          <w:jc w:val="center"/>
        </w:trPr>
        <w:tc>
          <w:tcPr>
            <w:tcW w:w="5198" w:type="dxa"/>
            <w:vAlign w:val="center"/>
            <w:hideMark/>
          </w:tcPr>
          <w:p w:rsidR="005019EE" w:rsidRDefault="005019EE" w:rsidP="008F2C84">
            <w:pPr>
              <w:spacing w:line="256" w:lineRule="auto"/>
              <w:jc w:val="left"/>
              <w:rPr>
                <w:b/>
                <w:bCs/>
                <w:color w:val="000000"/>
                <w:sz w:val="20"/>
                <w:szCs w:val="20"/>
                <w:u w:val="single"/>
                <w:lang w:val="es-AR" w:eastAsia="es-AR"/>
              </w:rPr>
            </w:pPr>
            <w:r>
              <w:rPr>
                <w:b/>
                <w:bCs/>
                <w:color w:val="000000"/>
                <w:sz w:val="20"/>
                <w:szCs w:val="20"/>
                <w:u w:val="single"/>
                <w:lang w:val="es-AR" w:eastAsia="es-AR"/>
              </w:rPr>
              <w:t>Estado de Endeudamiento del Emisor</w:t>
            </w:r>
          </w:p>
        </w:tc>
        <w:tc>
          <w:tcPr>
            <w:tcW w:w="1280" w:type="dxa"/>
            <w:vAlign w:val="center"/>
            <w:hideMark/>
          </w:tcPr>
          <w:p w:rsidR="005019EE" w:rsidRDefault="005019EE">
            <w:pPr>
              <w:rPr>
                <w:b/>
                <w:bCs/>
                <w:color w:val="000000"/>
                <w:sz w:val="20"/>
                <w:szCs w:val="20"/>
                <w:u w:val="single"/>
                <w:lang w:val="es-AR" w:eastAsia="es-AR"/>
              </w:rPr>
            </w:pPr>
          </w:p>
        </w:tc>
        <w:tc>
          <w:tcPr>
            <w:tcW w:w="1744" w:type="dxa"/>
            <w:vAlign w:val="center"/>
            <w:hideMark/>
          </w:tcPr>
          <w:p w:rsidR="005019EE" w:rsidRDefault="005019EE">
            <w:pPr>
              <w:spacing w:line="256" w:lineRule="auto"/>
              <w:jc w:val="left"/>
              <w:rPr>
                <w:rFonts w:asciiTheme="minorHAnsi" w:eastAsiaTheme="minorHAnsi" w:hAnsiTheme="minorHAnsi" w:cstheme="minorBidi"/>
                <w:sz w:val="20"/>
                <w:szCs w:val="20"/>
                <w:lang w:val="es-AR" w:eastAsia="es-AR"/>
              </w:rPr>
            </w:pPr>
          </w:p>
        </w:tc>
      </w:tr>
      <w:tr w:rsidR="005019EE" w:rsidTr="00E35CDC">
        <w:trPr>
          <w:trHeight w:val="300"/>
          <w:jc w:val="center"/>
        </w:trPr>
        <w:tc>
          <w:tcPr>
            <w:tcW w:w="5198" w:type="dxa"/>
            <w:vAlign w:val="center"/>
            <w:hideMark/>
          </w:tcPr>
          <w:p w:rsidR="005019EE" w:rsidRDefault="005019EE" w:rsidP="009B26F9">
            <w:pPr>
              <w:spacing w:line="256" w:lineRule="auto"/>
              <w:jc w:val="left"/>
              <w:rPr>
                <w:color w:val="000000"/>
                <w:sz w:val="20"/>
                <w:szCs w:val="20"/>
                <w:lang w:val="es-AR" w:eastAsia="es-AR"/>
              </w:rPr>
            </w:pPr>
            <w:r>
              <w:rPr>
                <w:color w:val="000000"/>
                <w:sz w:val="20"/>
                <w:szCs w:val="20"/>
                <w:lang w:val="es-AR" w:eastAsia="es-AR"/>
              </w:rPr>
              <w:t>Deudas comerciales a corto plazo</w:t>
            </w:r>
          </w:p>
        </w:tc>
        <w:tc>
          <w:tcPr>
            <w:tcW w:w="1280" w:type="dxa"/>
            <w:shd w:val="clear" w:color="auto" w:fill="FFFFFF"/>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30.365.880</w:t>
            </w:r>
          </w:p>
        </w:tc>
        <w:tc>
          <w:tcPr>
            <w:tcW w:w="1744" w:type="dxa"/>
            <w:shd w:val="clear" w:color="auto" w:fill="FFFFFF"/>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34.008.668</w:t>
            </w:r>
          </w:p>
        </w:tc>
      </w:tr>
      <w:tr w:rsidR="005019EE" w:rsidTr="00E35CDC">
        <w:trPr>
          <w:trHeight w:val="510"/>
          <w:jc w:val="center"/>
        </w:trPr>
        <w:tc>
          <w:tcPr>
            <w:tcW w:w="5198" w:type="dxa"/>
            <w:vAlign w:val="center"/>
            <w:hideMark/>
          </w:tcPr>
          <w:p w:rsidR="005019EE" w:rsidRDefault="005019EE" w:rsidP="009B26F9">
            <w:pPr>
              <w:spacing w:line="256" w:lineRule="auto"/>
              <w:jc w:val="left"/>
              <w:rPr>
                <w:color w:val="000000"/>
                <w:sz w:val="20"/>
                <w:szCs w:val="20"/>
                <w:lang w:val="es-AR" w:eastAsia="es-AR"/>
              </w:rPr>
            </w:pPr>
            <w:r>
              <w:rPr>
                <w:color w:val="000000"/>
                <w:sz w:val="20"/>
                <w:szCs w:val="20"/>
                <w:lang w:val="es-AR" w:eastAsia="es-AR"/>
              </w:rPr>
              <w:t>Deudas bancarias y financieras a corto plazo no garantizadas</w:t>
            </w:r>
          </w:p>
        </w:tc>
        <w:tc>
          <w:tcPr>
            <w:tcW w:w="1280" w:type="dxa"/>
            <w:shd w:val="clear" w:color="auto" w:fill="FFFFFF"/>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12.755.140</w:t>
            </w:r>
          </w:p>
        </w:tc>
        <w:tc>
          <w:tcPr>
            <w:tcW w:w="1744" w:type="dxa"/>
            <w:shd w:val="clear" w:color="auto" w:fill="FFFFFF"/>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10.905.507</w:t>
            </w:r>
          </w:p>
        </w:tc>
      </w:tr>
      <w:tr w:rsidR="005019EE" w:rsidTr="00E35CDC">
        <w:trPr>
          <w:trHeight w:val="300"/>
          <w:jc w:val="center"/>
        </w:trPr>
        <w:tc>
          <w:tcPr>
            <w:tcW w:w="5198" w:type="dxa"/>
            <w:vAlign w:val="center"/>
            <w:hideMark/>
          </w:tcPr>
          <w:p w:rsidR="005019EE" w:rsidRDefault="005019EE" w:rsidP="009B26F9">
            <w:pPr>
              <w:spacing w:line="256" w:lineRule="auto"/>
              <w:jc w:val="left"/>
              <w:rPr>
                <w:color w:val="000000"/>
                <w:sz w:val="20"/>
                <w:szCs w:val="20"/>
                <w:lang w:val="es-AR" w:eastAsia="es-AR"/>
              </w:rPr>
            </w:pPr>
            <w:r>
              <w:rPr>
                <w:color w:val="000000"/>
                <w:sz w:val="20"/>
                <w:szCs w:val="20"/>
                <w:lang w:val="es-AR" w:eastAsia="es-AR"/>
              </w:rPr>
              <w:t>Otras Obligaciones a Corto plazo</w:t>
            </w:r>
          </w:p>
        </w:tc>
        <w:tc>
          <w:tcPr>
            <w:tcW w:w="1280" w:type="dxa"/>
            <w:shd w:val="clear" w:color="auto" w:fill="FFFFFF"/>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3.028.217</w:t>
            </w:r>
          </w:p>
        </w:tc>
        <w:tc>
          <w:tcPr>
            <w:tcW w:w="1744" w:type="dxa"/>
            <w:shd w:val="clear" w:color="auto" w:fill="FFFFFF"/>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3.195.737</w:t>
            </w:r>
          </w:p>
        </w:tc>
      </w:tr>
      <w:tr w:rsidR="005019EE" w:rsidTr="00E35CDC">
        <w:trPr>
          <w:trHeight w:val="510"/>
          <w:jc w:val="center"/>
        </w:trPr>
        <w:tc>
          <w:tcPr>
            <w:tcW w:w="5198" w:type="dxa"/>
            <w:vAlign w:val="center"/>
            <w:hideMark/>
          </w:tcPr>
          <w:p w:rsidR="005019EE" w:rsidRDefault="005019EE" w:rsidP="009B26F9">
            <w:pPr>
              <w:spacing w:line="256" w:lineRule="auto"/>
              <w:jc w:val="left"/>
              <w:rPr>
                <w:b/>
                <w:bCs/>
                <w:color w:val="000000"/>
                <w:sz w:val="20"/>
                <w:szCs w:val="20"/>
                <w:lang w:val="es-AR" w:eastAsia="es-AR"/>
              </w:rPr>
            </w:pPr>
            <w:r>
              <w:rPr>
                <w:b/>
                <w:bCs/>
                <w:color w:val="000000"/>
                <w:sz w:val="20"/>
                <w:szCs w:val="20"/>
                <w:lang w:val="es-AR" w:eastAsia="es-AR"/>
              </w:rPr>
              <w:t>Total de la Deuda a Corto Plazo no garantizada</w:t>
            </w:r>
          </w:p>
        </w:tc>
        <w:tc>
          <w:tcPr>
            <w:tcW w:w="1280" w:type="dxa"/>
            <w:shd w:val="clear" w:color="auto" w:fill="FFFFFF"/>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46.149.237</w:t>
            </w:r>
          </w:p>
        </w:tc>
        <w:tc>
          <w:tcPr>
            <w:tcW w:w="1744" w:type="dxa"/>
            <w:shd w:val="clear" w:color="auto" w:fill="FFFFFF"/>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48.109.912</w:t>
            </w:r>
          </w:p>
        </w:tc>
      </w:tr>
      <w:tr w:rsidR="005019EE" w:rsidTr="00E35CDC">
        <w:trPr>
          <w:trHeight w:val="510"/>
          <w:jc w:val="center"/>
        </w:trPr>
        <w:tc>
          <w:tcPr>
            <w:tcW w:w="5198" w:type="dxa"/>
            <w:vAlign w:val="center"/>
            <w:hideMark/>
          </w:tcPr>
          <w:p w:rsidR="005019EE" w:rsidRDefault="005019EE" w:rsidP="009B26F9">
            <w:pPr>
              <w:spacing w:line="256" w:lineRule="auto"/>
              <w:jc w:val="left"/>
              <w:rPr>
                <w:color w:val="000000"/>
                <w:sz w:val="20"/>
                <w:szCs w:val="20"/>
                <w:lang w:val="es-AR" w:eastAsia="es-AR"/>
              </w:rPr>
            </w:pPr>
            <w:r>
              <w:rPr>
                <w:color w:val="000000"/>
                <w:sz w:val="20"/>
                <w:szCs w:val="20"/>
                <w:lang w:val="es-AR" w:eastAsia="es-AR"/>
              </w:rPr>
              <w:t>Deudas bancarias y financieras a corto plazo garantizadas</w:t>
            </w:r>
          </w:p>
        </w:tc>
        <w:tc>
          <w:tcPr>
            <w:tcW w:w="1280" w:type="dxa"/>
            <w:vAlign w:val="center"/>
            <w:hideMark/>
          </w:tcPr>
          <w:p w:rsidR="005019EE" w:rsidRDefault="005019EE">
            <w:pPr>
              <w:spacing w:line="256" w:lineRule="auto"/>
              <w:rPr>
                <w:b/>
                <w:bCs/>
                <w:color w:val="000000"/>
                <w:lang w:val="es-AR" w:eastAsia="es-AR"/>
              </w:rPr>
            </w:pPr>
            <w:r>
              <w:rPr>
                <w:b/>
                <w:bCs/>
                <w:color w:val="000000"/>
                <w:lang w:val="es-AR" w:eastAsia="es-AR"/>
              </w:rPr>
              <w:t>-</w:t>
            </w:r>
          </w:p>
        </w:tc>
        <w:tc>
          <w:tcPr>
            <w:tcW w:w="1744" w:type="dxa"/>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w:t>
            </w:r>
          </w:p>
        </w:tc>
      </w:tr>
      <w:tr w:rsidR="005019EE" w:rsidTr="00E35CDC">
        <w:trPr>
          <w:trHeight w:val="510"/>
          <w:jc w:val="center"/>
        </w:trPr>
        <w:tc>
          <w:tcPr>
            <w:tcW w:w="5198" w:type="dxa"/>
            <w:vAlign w:val="center"/>
            <w:hideMark/>
          </w:tcPr>
          <w:p w:rsidR="005019EE" w:rsidRDefault="005019EE" w:rsidP="009B26F9">
            <w:pPr>
              <w:spacing w:line="256" w:lineRule="auto"/>
              <w:jc w:val="left"/>
              <w:rPr>
                <w:b/>
                <w:bCs/>
                <w:color w:val="000000"/>
                <w:sz w:val="20"/>
                <w:szCs w:val="20"/>
                <w:lang w:val="es-AR" w:eastAsia="es-AR"/>
              </w:rPr>
            </w:pPr>
            <w:r>
              <w:rPr>
                <w:b/>
                <w:bCs/>
                <w:color w:val="000000"/>
                <w:sz w:val="20"/>
                <w:szCs w:val="20"/>
                <w:lang w:val="es-AR" w:eastAsia="es-AR"/>
              </w:rPr>
              <w:t>Total de la Deuda a Corto Plazo garantizada</w:t>
            </w:r>
          </w:p>
        </w:tc>
        <w:tc>
          <w:tcPr>
            <w:tcW w:w="1280" w:type="dxa"/>
            <w:vAlign w:val="center"/>
            <w:hideMark/>
          </w:tcPr>
          <w:p w:rsidR="005019EE" w:rsidRDefault="005019EE">
            <w:pPr>
              <w:spacing w:line="256" w:lineRule="auto"/>
              <w:rPr>
                <w:b/>
                <w:bCs/>
                <w:color w:val="000000"/>
                <w:lang w:val="es-AR" w:eastAsia="es-AR"/>
              </w:rPr>
            </w:pPr>
            <w:r>
              <w:rPr>
                <w:b/>
                <w:bCs/>
                <w:color w:val="000000"/>
                <w:lang w:val="es-AR" w:eastAsia="es-AR"/>
              </w:rPr>
              <w:t>-</w:t>
            </w:r>
          </w:p>
        </w:tc>
        <w:tc>
          <w:tcPr>
            <w:tcW w:w="1744" w:type="dxa"/>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w:t>
            </w:r>
          </w:p>
        </w:tc>
      </w:tr>
      <w:tr w:rsidR="005019EE" w:rsidTr="00E35CDC">
        <w:trPr>
          <w:trHeight w:val="300"/>
          <w:jc w:val="center"/>
        </w:trPr>
        <w:tc>
          <w:tcPr>
            <w:tcW w:w="5198" w:type="dxa"/>
            <w:vAlign w:val="center"/>
            <w:hideMark/>
          </w:tcPr>
          <w:p w:rsidR="005019EE" w:rsidRDefault="005019EE" w:rsidP="009B26F9">
            <w:pPr>
              <w:spacing w:line="256" w:lineRule="auto"/>
              <w:jc w:val="left"/>
              <w:rPr>
                <w:b/>
                <w:bCs/>
                <w:color w:val="000000"/>
                <w:sz w:val="20"/>
                <w:szCs w:val="20"/>
                <w:lang w:val="es-AR" w:eastAsia="es-AR"/>
              </w:rPr>
            </w:pPr>
            <w:r>
              <w:rPr>
                <w:b/>
                <w:bCs/>
                <w:color w:val="000000"/>
                <w:sz w:val="20"/>
                <w:szCs w:val="20"/>
                <w:lang w:val="es-AR" w:eastAsia="es-AR"/>
              </w:rPr>
              <w:t>Total de la Deuda a Corto Plazo</w:t>
            </w:r>
          </w:p>
        </w:tc>
        <w:tc>
          <w:tcPr>
            <w:tcW w:w="1280" w:type="dxa"/>
            <w:shd w:val="clear" w:color="auto" w:fill="FFFFFF"/>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46.149.237</w:t>
            </w:r>
          </w:p>
        </w:tc>
        <w:tc>
          <w:tcPr>
            <w:tcW w:w="1744" w:type="dxa"/>
            <w:shd w:val="clear" w:color="auto" w:fill="FFFFFF"/>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48.109.912</w:t>
            </w:r>
          </w:p>
        </w:tc>
      </w:tr>
      <w:tr w:rsidR="005019EE" w:rsidTr="00E35CDC">
        <w:trPr>
          <w:trHeight w:val="510"/>
          <w:jc w:val="center"/>
        </w:trPr>
        <w:tc>
          <w:tcPr>
            <w:tcW w:w="5198" w:type="dxa"/>
            <w:vAlign w:val="center"/>
            <w:hideMark/>
          </w:tcPr>
          <w:p w:rsidR="005019EE" w:rsidRDefault="005019EE" w:rsidP="009B26F9">
            <w:pPr>
              <w:spacing w:line="256" w:lineRule="auto"/>
              <w:jc w:val="left"/>
              <w:rPr>
                <w:color w:val="000000"/>
                <w:sz w:val="20"/>
                <w:szCs w:val="20"/>
                <w:lang w:val="es-AR" w:eastAsia="es-AR"/>
              </w:rPr>
            </w:pPr>
            <w:r>
              <w:rPr>
                <w:color w:val="000000"/>
                <w:sz w:val="20"/>
                <w:szCs w:val="20"/>
                <w:lang w:val="es-AR" w:eastAsia="es-AR"/>
              </w:rPr>
              <w:t>Deudas bancarias y financieras a largo plazo no garantizadas</w:t>
            </w:r>
          </w:p>
        </w:tc>
        <w:tc>
          <w:tcPr>
            <w:tcW w:w="1280" w:type="dxa"/>
            <w:shd w:val="clear" w:color="auto" w:fill="FFFFFF"/>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3.317.641</w:t>
            </w:r>
          </w:p>
        </w:tc>
        <w:tc>
          <w:tcPr>
            <w:tcW w:w="1744" w:type="dxa"/>
            <w:shd w:val="clear" w:color="auto" w:fill="FFFFFF"/>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3.655.444</w:t>
            </w:r>
          </w:p>
        </w:tc>
      </w:tr>
      <w:tr w:rsidR="005019EE" w:rsidTr="00E35CDC">
        <w:trPr>
          <w:trHeight w:val="300"/>
          <w:jc w:val="center"/>
        </w:trPr>
        <w:tc>
          <w:tcPr>
            <w:tcW w:w="5198" w:type="dxa"/>
            <w:vAlign w:val="center"/>
            <w:hideMark/>
          </w:tcPr>
          <w:p w:rsidR="005019EE" w:rsidRDefault="005019EE" w:rsidP="009B26F9">
            <w:pPr>
              <w:spacing w:line="256" w:lineRule="auto"/>
              <w:jc w:val="left"/>
              <w:rPr>
                <w:color w:val="000000"/>
                <w:sz w:val="20"/>
                <w:szCs w:val="20"/>
                <w:lang w:val="es-AR" w:eastAsia="es-AR"/>
              </w:rPr>
            </w:pPr>
            <w:r>
              <w:rPr>
                <w:color w:val="000000"/>
                <w:sz w:val="20"/>
                <w:szCs w:val="20"/>
                <w:lang w:val="es-AR" w:eastAsia="es-AR"/>
              </w:rPr>
              <w:t>Otras Obligaciones a Largo Plazo</w:t>
            </w:r>
          </w:p>
        </w:tc>
        <w:tc>
          <w:tcPr>
            <w:tcW w:w="1280" w:type="dxa"/>
            <w:shd w:val="clear" w:color="auto" w:fill="FFFFFF"/>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969.898</w:t>
            </w:r>
          </w:p>
        </w:tc>
        <w:tc>
          <w:tcPr>
            <w:tcW w:w="1744" w:type="dxa"/>
            <w:shd w:val="clear" w:color="auto" w:fill="FFFFFF"/>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124.733</w:t>
            </w:r>
          </w:p>
        </w:tc>
      </w:tr>
      <w:tr w:rsidR="005019EE" w:rsidTr="00E35CDC">
        <w:trPr>
          <w:trHeight w:val="510"/>
          <w:jc w:val="center"/>
        </w:trPr>
        <w:tc>
          <w:tcPr>
            <w:tcW w:w="5198" w:type="dxa"/>
            <w:vAlign w:val="center"/>
            <w:hideMark/>
          </w:tcPr>
          <w:p w:rsidR="005019EE" w:rsidRDefault="005019EE" w:rsidP="009B26F9">
            <w:pPr>
              <w:spacing w:line="256" w:lineRule="auto"/>
              <w:jc w:val="left"/>
              <w:rPr>
                <w:b/>
                <w:bCs/>
                <w:color w:val="000000"/>
                <w:sz w:val="20"/>
                <w:szCs w:val="20"/>
                <w:lang w:val="es-AR" w:eastAsia="es-AR"/>
              </w:rPr>
            </w:pPr>
            <w:r>
              <w:rPr>
                <w:b/>
                <w:bCs/>
                <w:color w:val="000000"/>
                <w:sz w:val="20"/>
                <w:szCs w:val="20"/>
                <w:lang w:val="es-AR" w:eastAsia="es-AR"/>
              </w:rPr>
              <w:t>Total de la Deuda a Largo Plazo no garantizada</w:t>
            </w:r>
          </w:p>
        </w:tc>
        <w:tc>
          <w:tcPr>
            <w:tcW w:w="1280" w:type="dxa"/>
            <w:shd w:val="clear" w:color="auto" w:fill="FFFFFF"/>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4.287.539</w:t>
            </w:r>
          </w:p>
        </w:tc>
        <w:tc>
          <w:tcPr>
            <w:tcW w:w="1744" w:type="dxa"/>
            <w:shd w:val="clear" w:color="auto" w:fill="FFFFFF"/>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3.780.177</w:t>
            </w:r>
          </w:p>
        </w:tc>
      </w:tr>
      <w:tr w:rsidR="005019EE" w:rsidTr="00E35CDC">
        <w:trPr>
          <w:trHeight w:val="510"/>
          <w:jc w:val="center"/>
        </w:trPr>
        <w:tc>
          <w:tcPr>
            <w:tcW w:w="5198" w:type="dxa"/>
            <w:vAlign w:val="center"/>
            <w:hideMark/>
          </w:tcPr>
          <w:p w:rsidR="005019EE" w:rsidRDefault="005019EE" w:rsidP="009B26F9">
            <w:pPr>
              <w:spacing w:line="256" w:lineRule="auto"/>
              <w:jc w:val="left"/>
              <w:rPr>
                <w:color w:val="000000"/>
                <w:sz w:val="20"/>
                <w:szCs w:val="20"/>
                <w:lang w:val="es-AR" w:eastAsia="es-AR"/>
              </w:rPr>
            </w:pPr>
            <w:r>
              <w:rPr>
                <w:color w:val="000000"/>
                <w:sz w:val="20"/>
                <w:szCs w:val="20"/>
                <w:lang w:val="es-AR" w:eastAsia="es-AR"/>
              </w:rPr>
              <w:t>Deudas bancarias y financieras a largo plazo garantizadas</w:t>
            </w:r>
          </w:p>
        </w:tc>
        <w:tc>
          <w:tcPr>
            <w:tcW w:w="1280" w:type="dxa"/>
            <w:vAlign w:val="center"/>
            <w:hideMark/>
          </w:tcPr>
          <w:p w:rsidR="005019EE" w:rsidRDefault="005019EE">
            <w:pPr>
              <w:spacing w:line="256" w:lineRule="auto"/>
              <w:rPr>
                <w:b/>
                <w:bCs/>
                <w:color w:val="000000"/>
                <w:lang w:val="es-AR" w:eastAsia="es-AR"/>
              </w:rPr>
            </w:pPr>
            <w:r>
              <w:rPr>
                <w:b/>
                <w:bCs/>
                <w:color w:val="000000"/>
                <w:lang w:val="es-AR" w:eastAsia="es-AR"/>
              </w:rPr>
              <w:t>-</w:t>
            </w:r>
          </w:p>
        </w:tc>
        <w:tc>
          <w:tcPr>
            <w:tcW w:w="1744" w:type="dxa"/>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w:t>
            </w:r>
          </w:p>
        </w:tc>
      </w:tr>
      <w:tr w:rsidR="005019EE" w:rsidTr="00E35CDC">
        <w:trPr>
          <w:trHeight w:val="80"/>
          <w:jc w:val="center"/>
        </w:trPr>
        <w:tc>
          <w:tcPr>
            <w:tcW w:w="5198" w:type="dxa"/>
            <w:vAlign w:val="center"/>
            <w:hideMark/>
          </w:tcPr>
          <w:p w:rsidR="005019EE" w:rsidRDefault="005019EE" w:rsidP="009B26F9">
            <w:pPr>
              <w:spacing w:line="256" w:lineRule="auto"/>
              <w:jc w:val="left"/>
              <w:rPr>
                <w:b/>
                <w:bCs/>
                <w:color w:val="000000"/>
                <w:sz w:val="20"/>
                <w:szCs w:val="20"/>
                <w:lang w:val="es-AR" w:eastAsia="es-AR"/>
              </w:rPr>
            </w:pPr>
            <w:r>
              <w:rPr>
                <w:b/>
                <w:bCs/>
                <w:color w:val="000000"/>
                <w:sz w:val="20"/>
                <w:szCs w:val="20"/>
                <w:lang w:val="es-AR" w:eastAsia="es-AR"/>
              </w:rPr>
              <w:t>Total de la Deuda a Largo Plazo Garantizada</w:t>
            </w:r>
          </w:p>
        </w:tc>
        <w:tc>
          <w:tcPr>
            <w:tcW w:w="1280" w:type="dxa"/>
            <w:vAlign w:val="center"/>
            <w:hideMark/>
          </w:tcPr>
          <w:p w:rsidR="005019EE" w:rsidRDefault="005019EE">
            <w:pPr>
              <w:spacing w:line="256" w:lineRule="auto"/>
              <w:rPr>
                <w:b/>
                <w:bCs/>
                <w:color w:val="000000"/>
                <w:lang w:val="es-AR" w:eastAsia="es-AR"/>
              </w:rPr>
            </w:pPr>
            <w:r>
              <w:rPr>
                <w:b/>
                <w:bCs/>
                <w:color w:val="000000"/>
                <w:lang w:val="es-AR" w:eastAsia="es-AR"/>
              </w:rPr>
              <w:t>-</w:t>
            </w:r>
          </w:p>
        </w:tc>
        <w:tc>
          <w:tcPr>
            <w:tcW w:w="1744" w:type="dxa"/>
            <w:vAlign w:val="center"/>
            <w:hideMark/>
          </w:tcPr>
          <w:p w:rsidR="005019EE" w:rsidRDefault="005019EE">
            <w:pPr>
              <w:spacing w:line="256" w:lineRule="auto"/>
              <w:rPr>
                <w:color w:val="000000"/>
                <w:sz w:val="20"/>
                <w:szCs w:val="20"/>
                <w:lang w:val="es-AR" w:eastAsia="es-AR"/>
              </w:rPr>
            </w:pPr>
            <w:r>
              <w:rPr>
                <w:color w:val="000000"/>
                <w:sz w:val="20"/>
                <w:szCs w:val="20"/>
                <w:lang w:val="es-AR" w:eastAsia="es-AR"/>
              </w:rPr>
              <w:t>-</w:t>
            </w:r>
          </w:p>
        </w:tc>
      </w:tr>
      <w:tr w:rsidR="005019EE" w:rsidTr="00E35CDC">
        <w:trPr>
          <w:trHeight w:val="300"/>
          <w:jc w:val="center"/>
        </w:trPr>
        <w:tc>
          <w:tcPr>
            <w:tcW w:w="5198" w:type="dxa"/>
            <w:vAlign w:val="center"/>
            <w:hideMark/>
          </w:tcPr>
          <w:p w:rsidR="005019EE" w:rsidRDefault="005019EE" w:rsidP="008F2C84">
            <w:pPr>
              <w:spacing w:line="256" w:lineRule="auto"/>
              <w:jc w:val="left"/>
              <w:rPr>
                <w:b/>
                <w:bCs/>
                <w:color w:val="000000"/>
                <w:sz w:val="20"/>
                <w:szCs w:val="20"/>
                <w:lang w:val="es-AR" w:eastAsia="es-AR"/>
              </w:rPr>
            </w:pPr>
            <w:r>
              <w:rPr>
                <w:b/>
                <w:bCs/>
                <w:color w:val="000000"/>
                <w:sz w:val="20"/>
                <w:szCs w:val="20"/>
                <w:lang w:val="es-AR" w:eastAsia="es-AR"/>
              </w:rPr>
              <w:t>Total de Deuda a Largo Plazo</w:t>
            </w:r>
          </w:p>
        </w:tc>
        <w:tc>
          <w:tcPr>
            <w:tcW w:w="1280" w:type="dxa"/>
            <w:shd w:val="clear" w:color="auto" w:fill="FFFFFF"/>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4.287.539</w:t>
            </w:r>
          </w:p>
        </w:tc>
        <w:tc>
          <w:tcPr>
            <w:tcW w:w="1744" w:type="dxa"/>
            <w:shd w:val="clear" w:color="auto" w:fill="FFFFFF"/>
            <w:vAlign w:val="center"/>
            <w:hideMark/>
          </w:tcPr>
          <w:p w:rsidR="005019EE" w:rsidRDefault="005019EE">
            <w:pPr>
              <w:spacing w:line="256" w:lineRule="auto"/>
              <w:rPr>
                <w:b/>
                <w:bCs/>
                <w:color w:val="000000"/>
                <w:sz w:val="20"/>
                <w:szCs w:val="20"/>
                <w:lang w:val="es-AR" w:eastAsia="es-AR"/>
              </w:rPr>
            </w:pPr>
            <w:r>
              <w:rPr>
                <w:b/>
                <w:bCs/>
                <w:color w:val="000000"/>
                <w:sz w:val="20"/>
                <w:szCs w:val="20"/>
                <w:lang w:val="es-AR" w:eastAsia="es-AR"/>
              </w:rPr>
              <w:t>3.780.177</w:t>
            </w:r>
          </w:p>
        </w:tc>
      </w:tr>
    </w:tbl>
    <w:p w:rsidR="005019EE" w:rsidRDefault="005019EE" w:rsidP="005019EE">
      <w:pPr>
        <w:widowControl w:val="0"/>
        <w:jc w:val="both"/>
        <w:rPr>
          <w:bCs/>
          <w:sz w:val="20"/>
          <w:szCs w:val="20"/>
          <w:lang w:val="es-AR"/>
        </w:rPr>
      </w:pPr>
    </w:p>
    <w:p w:rsidR="005019EE" w:rsidRDefault="005019EE" w:rsidP="005019EE">
      <w:pPr>
        <w:pStyle w:val="Prrafodelista"/>
        <w:ind w:left="420"/>
        <w:jc w:val="left"/>
        <w:rPr>
          <w:i/>
          <w:sz w:val="20"/>
          <w:szCs w:val="20"/>
          <w:lang w:val="es-AR"/>
        </w:rPr>
      </w:pPr>
      <w:r>
        <w:rPr>
          <w:i/>
          <w:sz w:val="20"/>
          <w:szCs w:val="20"/>
          <w:lang w:val="es-AR"/>
        </w:rPr>
        <w:t>(*) Cifras expresadas en</w:t>
      </w:r>
      <w:r w:rsidR="003D6E1B">
        <w:rPr>
          <w:i/>
          <w:sz w:val="20"/>
          <w:szCs w:val="20"/>
          <w:lang w:val="es-AR"/>
        </w:rPr>
        <w:t xml:space="preserve"> miles de Pesos en</w:t>
      </w:r>
      <w:r>
        <w:rPr>
          <w:i/>
          <w:sz w:val="20"/>
          <w:szCs w:val="20"/>
          <w:lang w:val="es-AR"/>
        </w:rPr>
        <w:t xml:space="preserve"> moneda homogénea </w:t>
      </w:r>
      <w:r w:rsidR="00E95844">
        <w:rPr>
          <w:i/>
          <w:sz w:val="20"/>
          <w:szCs w:val="20"/>
          <w:lang w:val="es-AR"/>
        </w:rPr>
        <w:t>a</w:t>
      </w:r>
      <w:r>
        <w:rPr>
          <w:i/>
          <w:sz w:val="20"/>
          <w:szCs w:val="20"/>
          <w:lang w:val="es-AR"/>
        </w:rPr>
        <w:t>l 31 de marzo de 2020</w:t>
      </w:r>
    </w:p>
    <w:p w:rsidR="005019EE" w:rsidRDefault="005019EE" w:rsidP="005019EE">
      <w:pPr>
        <w:widowControl w:val="0"/>
        <w:jc w:val="both"/>
        <w:rPr>
          <w:bCs/>
          <w:sz w:val="20"/>
          <w:szCs w:val="20"/>
          <w:lang w:val="es-AR"/>
        </w:rPr>
      </w:pPr>
    </w:p>
    <w:tbl>
      <w:tblPr>
        <w:tblW w:w="6946" w:type="dxa"/>
        <w:jc w:val="center"/>
        <w:tblCellMar>
          <w:left w:w="70" w:type="dxa"/>
          <w:right w:w="70" w:type="dxa"/>
        </w:tblCellMar>
        <w:tblLook w:val="04A0" w:firstRow="1" w:lastRow="0" w:firstColumn="1" w:lastColumn="0" w:noHBand="0" w:noVBand="1"/>
      </w:tblPr>
      <w:tblGrid>
        <w:gridCol w:w="3380"/>
        <w:gridCol w:w="2007"/>
        <w:gridCol w:w="1559"/>
      </w:tblGrid>
      <w:tr w:rsidR="005019EE" w:rsidRPr="008E6B81" w:rsidTr="009B26F9">
        <w:trPr>
          <w:trHeight w:val="315"/>
          <w:jc w:val="center"/>
        </w:trPr>
        <w:tc>
          <w:tcPr>
            <w:tcW w:w="3380" w:type="dxa"/>
            <w:tcBorders>
              <w:top w:val="nil"/>
              <w:left w:val="nil"/>
              <w:bottom w:val="single" w:sz="8" w:space="0" w:color="auto"/>
              <w:right w:val="nil"/>
            </w:tcBorders>
            <w:vAlign w:val="center"/>
            <w:hideMark/>
          </w:tcPr>
          <w:p w:rsidR="005019EE" w:rsidRPr="008E6B81" w:rsidRDefault="005019EE">
            <w:pPr>
              <w:spacing w:line="256" w:lineRule="auto"/>
              <w:jc w:val="both"/>
              <w:rPr>
                <w:b/>
                <w:bCs/>
                <w:color w:val="000000"/>
                <w:sz w:val="20"/>
                <w:szCs w:val="20"/>
                <w:lang w:val="es-AR" w:eastAsia="es-AR"/>
              </w:rPr>
            </w:pPr>
            <w:r w:rsidRPr="008E6B81">
              <w:rPr>
                <w:b/>
                <w:bCs/>
                <w:color w:val="000000"/>
                <w:sz w:val="20"/>
                <w:szCs w:val="20"/>
                <w:lang w:val="es-AR" w:eastAsia="es-AR"/>
              </w:rPr>
              <w:t> </w:t>
            </w:r>
          </w:p>
        </w:tc>
        <w:tc>
          <w:tcPr>
            <w:tcW w:w="3566" w:type="dxa"/>
            <w:gridSpan w:val="2"/>
            <w:tcBorders>
              <w:top w:val="nil"/>
              <w:left w:val="nil"/>
              <w:bottom w:val="single" w:sz="8" w:space="0" w:color="auto"/>
              <w:right w:val="nil"/>
            </w:tcBorders>
            <w:vAlign w:val="center"/>
            <w:hideMark/>
          </w:tcPr>
          <w:p w:rsidR="005019EE" w:rsidRPr="008E6B81" w:rsidRDefault="005019EE">
            <w:pPr>
              <w:spacing w:line="256" w:lineRule="auto"/>
              <w:jc w:val="right"/>
              <w:rPr>
                <w:b/>
                <w:bCs/>
                <w:color w:val="000000"/>
                <w:sz w:val="20"/>
                <w:szCs w:val="20"/>
                <w:lang w:val="es-AR" w:eastAsia="es-AR"/>
              </w:rPr>
            </w:pPr>
            <w:r w:rsidRPr="008E6B81">
              <w:rPr>
                <w:b/>
                <w:bCs/>
                <w:color w:val="000000"/>
                <w:sz w:val="20"/>
                <w:szCs w:val="20"/>
                <w:lang w:val="es-AR" w:eastAsia="es-AR"/>
              </w:rPr>
              <w:t xml:space="preserve">Período finalizado el </w:t>
            </w:r>
          </w:p>
        </w:tc>
      </w:tr>
      <w:tr w:rsidR="005019EE" w:rsidRPr="008E6B81" w:rsidTr="009B26F9">
        <w:trPr>
          <w:trHeight w:val="315"/>
          <w:jc w:val="center"/>
        </w:trPr>
        <w:tc>
          <w:tcPr>
            <w:tcW w:w="3380" w:type="dxa"/>
            <w:tcBorders>
              <w:top w:val="nil"/>
              <w:left w:val="nil"/>
              <w:bottom w:val="single" w:sz="8" w:space="0" w:color="auto"/>
              <w:right w:val="nil"/>
            </w:tcBorders>
            <w:vAlign w:val="center"/>
            <w:hideMark/>
          </w:tcPr>
          <w:p w:rsidR="005019EE" w:rsidRPr="008E6B81" w:rsidRDefault="005019EE">
            <w:pPr>
              <w:spacing w:line="256" w:lineRule="auto"/>
              <w:jc w:val="left"/>
              <w:rPr>
                <w:color w:val="000000"/>
                <w:sz w:val="20"/>
                <w:szCs w:val="20"/>
                <w:lang w:val="es-AR" w:eastAsia="es-AR"/>
              </w:rPr>
            </w:pPr>
            <w:r w:rsidRPr="008E6B81">
              <w:rPr>
                <w:color w:val="000000"/>
                <w:sz w:val="20"/>
                <w:szCs w:val="20"/>
                <w:lang w:val="es-AR" w:eastAsia="es-AR"/>
              </w:rPr>
              <w:t>(Datos en miles de pesos)</w:t>
            </w:r>
          </w:p>
        </w:tc>
        <w:tc>
          <w:tcPr>
            <w:tcW w:w="2007" w:type="dxa"/>
            <w:tcBorders>
              <w:top w:val="nil"/>
              <w:left w:val="nil"/>
              <w:bottom w:val="single" w:sz="8" w:space="0" w:color="auto"/>
              <w:right w:val="nil"/>
            </w:tcBorders>
            <w:vAlign w:val="center"/>
            <w:hideMark/>
          </w:tcPr>
          <w:p w:rsidR="005019EE" w:rsidRPr="008E6B81" w:rsidRDefault="005019EE">
            <w:pPr>
              <w:spacing w:line="256" w:lineRule="auto"/>
              <w:rPr>
                <w:b/>
                <w:bCs/>
                <w:color w:val="000000"/>
                <w:sz w:val="20"/>
                <w:szCs w:val="20"/>
                <w:lang w:val="es-AR" w:eastAsia="es-AR"/>
              </w:rPr>
            </w:pPr>
            <w:r w:rsidRPr="008E6B81">
              <w:rPr>
                <w:b/>
                <w:bCs/>
                <w:color w:val="000000"/>
                <w:sz w:val="20"/>
                <w:szCs w:val="20"/>
                <w:lang w:val="es-AR" w:eastAsia="es-AR"/>
              </w:rPr>
              <w:t xml:space="preserve">31.03.2020 </w:t>
            </w:r>
            <w:r w:rsidRPr="00E35CDC">
              <w:rPr>
                <w:b/>
                <w:bCs/>
                <w:color w:val="000000"/>
                <w:sz w:val="20"/>
                <w:szCs w:val="20"/>
                <w:lang w:val="es-AR" w:eastAsia="es-AR"/>
              </w:rPr>
              <w:t>(</w:t>
            </w:r>
            <w:r w:rsidR="00E95844" w:rsidRPr="00E35CDC">
              <w:rPr>
                <w:b/>
                <w:bCs/>
                <w:color w:val="000000"/>
                <w:sz w:val="20"/>
                <w:szCs w:val="20"/>
                <w:lang w:val="es-AR" w:eastAsia="es-AR"/>
              </w:rPr>
              <w:t>*</w:t>
            </w:r>
            <w:r w:rsidRPr="00E35CDC">
              <w:rPr>
                <w:b/>
                <w:bCs/>
                <w:color w:val="000000"/>
                <w:sz w:val="20"/>
                <w:szCs w:val="20"/>
                <w:lang w:val="es-AR" w:eastAsia="es-AR"/>
              </w:rPr>
              <w:t>*)</w:t>
            </w:r>
          </w:p>
        </w:tc>
        <w:tc>
          <w:tcPr>
            <w:tcW w:w="1559" w:type="dxa"/>
            <w:tcBorders>
              <w:top w:val="nil"/>
              <w:left w:val="nil"/>
              <w:bottom w:val="single" w:sz="8" w:space="0" w:color="auto"/>
              <w:right w:val="nil"/>
            </w:tcBorders>
            <w:vAlign w:val="center"/>
            <w:hideMark/>
          </w:tcPr>
          <w:p w:rsidR="005019EE" w:rsidRPr="008E6B81" w:rsidRDefault="005019EE">
            <w:pPr>
              <w:spacing w:line="256" w:lineRule="auto"/>
              <w:rPr>
                <w:b/>
                <w:bCs/>
                <w:color w:val="000000"/>
                <w:sz w:val="20"/>
                <w:szCs w:val="20"/>
                <w:lang w:val="es-AR" w:eastAsia="es-AR"/>
              </w:rPr>
            </w:pPr>
            <w:r w:rsidRPr="008E6B81">
              <w:rPr>
                <w:b/>
                <w:bCs/>
                <w:color w:val="000000"/>
                <w:sz w:val="20"/>
                <w:szCs w:val="20"/>
                <w:lang w:val="es-AR" w:eastAsia="es-AR"/>
              </w:rPr>
              <w:t xml:space="preserve">31.03.2019 </w:t>
            </w:r>
            <w:r w:rsidRPr="00E35CDC">
              <w:rPr>
                <w:b/>
                <w:bCs/>
                <w:color w:val="000000"/>
                <w:sz w:val="20"/>
                <w:szCs w:val="20"/>
                <w:lang w:val="es-AR" w:eastAsia="es-AR"/>
              </w:rPr>
              <w:t>(*)</w:t>
            </w:r>
          </w:p>
        </w:tc>
      </w:tr>
      <w:tr w:rsidR="005019EE" w:rsidRPr="001633B5" w:rsidTr="009B26F9">
        <w:trPr>
          <w:trHeight w:val="765"/>
          <w:jc w:val="center"/>
        </w:trPr>
        <w:tc>
          <w:tcPr>
            <w:tcW w:w="3380" w:type="dxa"/>
            <w:vAlign w:val="center"/>
            <w:hideMark/>
          </w:tcPr>
          <w:p w:rsidR="005019EE" w:rsidRPr="008E6B81" w:rsidRDefault="005019EE">
            <w:pPr>
              <w:spacing w:line="256" w:lineRule="auto"/>
              <w:jc w:val="both"/>
              <w:rPr>
                <w:b/>
                <w:bCs/>
                <w:color w:val="000000"/>
                <w:sz w:val="20"/>
                <w:szCs w:val="20"/>
                <w:u w:val="single"/>
                <w:lang w:val="es-AR" w:eastAsia="es-AR"/>
              </w:rPr>
            </w:pPr>
            <w:r w:rsidRPr="008E6B81">
              <w:rPr>
                <w:b/>
                <w:bCs/>
                <w:color w:val="000000"/>
                <w:sz w:val="20"/>
                <w:szCs w:val="20"/>
                <w:u w:val="single"/>
                <w:lang w:val="es-AR" w:eastAsia="es-AR"/>
              </w:rPr>
              <w:t>Estado de Capitalización del Emisor</w:t>
            </w:r>
          </w:p>
        </w:tc>
        <w:tc>
          <w:tcPr>
            <w:tcW w:w="2007" w:type="dxa"/>
            <w:vAlign w:val="center"/>
            <w:hideMark/>
          </w:tcPr>
          <w:p w:rsidR="005019EE" w:rsidRPr="008E6B81" w:rsidRDefault="005019EE">
            <w:pPr>
              <w:rPr>
                <w:b/>
                <w:bCs/>
                <w:color w:val="000000"/>
                <w:sz w:val="20"/>
                <w:szCs w:val="20"/>
                <w:u w:val="single"/>
                <w:lang w:val="es-AR" w:eastAsia="es-AR"/>
              </w:rPr>
            </w:pPr>
          </w:p>
        </w:tc>
        <w:tc>
          <w:tcPr>
            <w:tcW w:w="1559" w:type="dxa"/>
            <w:vAlign w:val="center"/>
            <w:hideMark/>
          </w:tcPr>
          <w:p w:rsidR="005019EE" w:rsidRPr="008E6B81" w:rsidRDefault="005019EE">
            <w:pPr>
              <w:spacing w:line="256" w:lineRule="auto"/>
              <w:jc w:val="left"/>
              <w:rPr>
                <w:rFonts w:asciiTheme="minorHAnsi" w:eastAsiaTheme="minorHAnsi" w:hAnsiTheme="minorHAnsi" w:cstheme="minorBidi"/>
                <w:sz w:val="20"/>
                <w:szCs w:val="20"/>
                <w:lang w:val="es-AR" w:eastAsia="es-AR"/>
              </w:rPr>
            </w:pPr>
          </w:p>
        </w:tc>
      </w:tr>
      <w:tr w:rsidR="005019EE" w:rsidRPr="008E6B81" w:rsidTr="009B26F9">
        <w:trPr>
          <w:trHeight w:val="300"/>
          <w:jc w:val="center"/>
        </w:trPr>
        <w:tc>
          <w:tcPr>
            <w:tcW w:w="3380" w:type="dxa"/>
            <w:vAlign w:val="center"/>
            <w:hideMark/>
          </w:tcPr>
          <w:p w:rsidR="005019EE" w:rsidRPr="008E6B81" w:rsidRDefault="005019EE">
            <w:pPr>
              <w:spacing w:line="256" w:lineRule="auto"/>
              <w:jc w:val="both"/>
              <w:rPr>
                <w:color w:val="000000"/>
                <w:sz w:val="20"/>
                <w:szCs w:val="20"/>
                <w:lang w:val="es-AR" w:eastAsia="es-AR"/>
              </w:rPr>
            </w:pPr>
            <w:r w:rsidRPr="008E6B81">
              <w:rPr>
                <w:color w:val="000000"/>
                <w:sz w:val="20"/>
                <w:szCs w:val="20"/>
                <w:lang w:val="es-AR" w:eastAsia="es-AR"/>
              </w:rPr>
              <w:t>Capital Social</w:t>
            </w:r>
          </w:p>
        </w:tc>
        <w:tc>
          <w:tcPr>
            <w:tcW w:w="2007" w:type="dxa"/>
            <w:vAlign w:val="center"/>
            <w:hideMark/>
          </w:tcPr>
          <w:p w:rsidR="005019EE" w:rsidRPr="008E6B81" w:rsidRDefault="005019EE">
            <w:pPr>
              <w:spacing w:line="256" w:lineRule="auto"/>
              <w:rPr>
                <w:color w:val="000000"/>
                <w:sz w:val="20"/>
                <w:szCs w:val="20"/>
                <w:lang w:val="es-AR" w:eastAsia="es-AR"/>
              </w:rPr>
            </w:pPr>
            <w:r w:rsidRPr="008E6B81">
              <w:rPr>
                <w:color w:val="000000"/>
                <w:sz w:val="20"/>
                <w:szCs w:val="20"/>
                <w:lang w:val="es-AR" w:eastAsia="es-AR"/>
              </w:rPr>
              <w:t>28.240</w:t>
            </w:r>
          </w:p>
        </w:tc>
        <w:tc>
          <w:tcPr>
            <w:tcW w:w="1559" w:type="dxa"/>
            <w:vAlign w:val="center"/>
            <w:hideMark/>
          </w:tcPr>
          <w:p w:rsidR="005019EE" w:rsidRPr="008E6B81" w:rsidRDefault="005019EE">
            <w:pPr>
              <w:spacing w:line="256" w:lineRule="auto"/>
              <w:rPr>
                <w:color w:val="000000"/>
                <w:sz w:val="20"/>
                <w:szCs w:val="20"/>
                <w:lang w:val="es-AR" w:eastAsia="es-AR"/>
              </w:rPr>
            </w:pPr>
            <w:r w:rsidRPr="008E6B81">
              <w:rPr>
                <w:color w:val="000000"/>
                <w:sz w:val="20"/>
                <w:szCs w:val="20"/>
                <w:lang w:val="es-AR" w:eastAsia="es-AR"/>
              </w:rPr>
              <w:t>28.240</w:t>
            </w:r>
          </w:p>
        </w:tc>
      </w:tr>
      <w:tr w:rsidR="005019EE" w:rsidRPr="008E6B81" w:rsidTr="009B26F9">
        <w:trPr>
          <w:trHeight w:val="300"/>
          <w:jc w:val="center"/>
        </w:trPr>
        <w:tc>
          <w:tcPr>
            <w:tcW w:w="3380" w:type="dxa"/>
            <w:vAlign w:val="center"/>
            <w:hideMark/>
          </w:tcPr>
          <w:p w:rsidR="005019EE" w:rsidRPr="008E6B81" w:rsidRDefault="005019EE">
            <w:pPr>
              <w:spacing w:line="256" w:lineRule="auto"/>
              <w:jc w:val="both"/>
              <w:rPr>
                <w:color w:val="000000"/>
                <w:sz w:val="20"/>
                <w:szCs w:val="20"/>
                <w:lang w:val="es-AR" w:eastAsia="es-AR"/>
              </w:rPr>
            </w:pPr>
            <w:r w:rsidRPr="008E6B81">
              <w:rPr>
                <w:color w:val="000000"/>
                <w:sz w:val="20"/>
                <w:szCs w:val="20"/>
                <w:lang w:val="es-AR" w:eastAsia="es-AR"/>
              </w:rPr>
              <w:t>Ajuste Integral del Capital Social</w:t>
            </w:r>
          </w:p>
        </w:tc>
        <w:tc>
          <w:tcPr>
            <w:tcW w:w="2007" w:type="dxa"/>
            <w:vAlign w:val="center"/>
            <w:hideMark/>
          </w:tcPr>
          <w:p w:rsidR="005019EE" w:rsidRPr="008E6B81" w:rsidRDefault="005019EE">
            <w:pPr>
              <w:spacing w:line="256" w:lineRule="auto"/>
              <w:rPr>
                <w:color w:val="000000"/>
                <w:sz w:val="20"/>
                <w:szCs w:val="20"/>
                <w:lang w:val="es-AR" w:eastAsia="es-AR"/>
              </w:rPr>
            </w:pPr>
            <w:r w:rsidRPr="008E6B81">
              <w:rPr>
                <w:color w:val="000000"/>
                <w:sz w:val="20"/>
                <w:szCs w:val="20"/>
                <w:lang w:val="es-AR" w:eastAsia="es-AR"/>
              </w:rPr>
              <w:t>921.495</w:t>
            </w:r>
          </w:p>
        </w:tc>
        <w:tc>
          <w:tcPr>
            <w:tcW w:w="1559" w:type="dxa"/>
            <w:vAlign w:val="center"/>
            <w:hideMark/>
          </w:tcPr>
          <w:p w:rsidR="005019EE" w:rsidRPr="008E6B81" w:rsidRDefault="005019EE">
            <w:pPr>
              <w:spacing w:line="256" w:lineRule="auto"/>
              <w:rPr>
                <w:color w:val="000000"/>
                <w:sz w:val="20"/>
                <w:szCs w:val="20"/>
                <w:lang w:val="es-AR" w:eastAsia="es-AR"/>
              </w:rPr>
            </w:pPr>
            <w:r w:rsidRPr="008E6B81">
              <w:rPr>
                <w:color w:val="000000"/>
                <w:sz w:val="20"/>
                <w:szCs w:val="20"/>
                <w:lang w:val="es-AR" w:eastAsia="es-AR"/>
              </w:rPr>
              <w:t>921.495</w:t>
            </w:r>
          </w:p>
        </w:tc>
      </w:tr>
      <w:tr w:rsidR="005019EE" w:rsidRPr="008E6B81" w:rsidTr="009B26F9">
        <w:trPr>
          <w:trHeight w:val="300"/>
          <w:jc w:val="center"/>
        </w:trPr>
        <w:tc>
          <w:tcPr>
            <w:tcW w:w="3380" w:type="dxa"/>
            <w:vAlign w:val="center"/>
            <w:hideMark/>
          </w:tcPr>
          <w:p w:rsidR="005019EE" w:rsidRPr="008E6B81" w:rsidRDefault="005019EE">
            <w:pPr>
              <w:spacing w:line="256" w:lineRule="auto"/>
              <w:jc w:val="both"/>
              <w:rPr>
                <w:color w:val="000000"/>
                <w:sz w:val="20"/>
                <w:szCs w:val="20"/>
                <w:lang w:val="es-AR" w:eastAsia="es-AR"/>
              </w:rPr>
            </w:pPr>
            <w:r w:rsidRPr="008E6B81">
              <w:rPr>
                <w:color w:val="000000"/>
                <w:sz w:val="20"/>
                <w:szCs w:val="20"/>
                <w:lang w:val="es-AR" w:eastAsia="es-AR"/>
              </w:rPr>
              <w:t>Prima de Emisión por fusión</w:t>
            </w:r>
          </w:p>
        </w:tc>
        <w:tc>
          <w:tcPr>
            <w:tcW w:w="2007" w:type="dxa"/>
            <w:vAlign w:val="center"/>
            <w:hideMark/>
          </w:tcPr>
          <w:p w:rsidR="005019EE" w:rsidRPr="008E6B81" w:rsidRDefault="005019EE">
            <w:pPr>
              <w:spacing w:line="256" w:lineRule="auto"/>
              <w:rPr>
                <w:color w:val="000000"/>
                <w:sz w:val="20"/>
                <w:szCs w:val="20"/>
                <w:lang w:val="es-AR" w:eastAsia="es-AR"/>
              </w:rPr>
            </w:pPr>
            <w:r w:rsidRPr="008E6B81">
              <w:rPr>
                <w:color w:val="000000"/>
                <w:sz w:val="20"/>
                <w:szCs w:val="20"/>
                <w:lang w:val="es-AR" w:eastAsia="es-AR"/>
              </w:rPr>
              <w:t>70.503</w:t>
            </w:r>
          </w:p>
        </w:tc>
        <w:tc>
          <w:tcPr>
            <w:tcW w:w="1559" w:type="dxa"/>
            <w:vAlign w:val="center"/>
            <w:hideMark/>
          </w:tcPr>
          <w:p w:rsidR="005019EE" w:rsidRPr="008E6B81" w:rsidRDefault="005019EE">
            <w:pPr>
              <w:spacing w:line="256" w:lineRule="auto"/>
              <w:rPr>
                <w:color w:val="000000"/>
                <w:sz w:val="20"/>
                <w:szCs w:val="20"/>
                <w:lang w:val="es-AR" w:eastAsia="es-AR"/>
              </w:rPr>
            </w:pPr>
            <w:r w:rsidRPr="008E6B81">
              <w:rPr>
                <w:color w:val="000000"/>
                <w:sz w:val="20"/>
                <w:szCs w:val="20"/>
                <w:lang w:val="es-AR" w:eastAsia="es-AR"/>
              </w:rPr>
              <w:t>70.503</w:t>
            </w:r>
          </w:p>
        </w:tc>
      </w:tr>
      <w:tr w:rsidR="005019EE" w:rsidRPr="008E6B81" w:rsidTr="009B26F9">
        <w:trPr>
          <w:trHeight w:val="300"/>
          <w:jc w:val="center"/>
        </w:trPr>
        <w:tc>
          <w:tcPr>
            <w:tcW w:w="3380" w:type="dxa"/>
            <w:vAlign w:val="center"/>
            <w:hideMark/>
          </w:tcPr>
          <w:p w:rsidR="005019EE" w:rsidRPr="008E6B81" w:rsidRDefault="005019EE">
            <w:pPr>
              <w:spacing w:line="256" w:lineRule="auto"/>
              <w:jc w:val="both"/>
              <w:rPr>
                <w:color w:val="000000"/>
                <w:sz w:val="20"/>
                <w:szCs w:val="20"/>
                <w:lang w:val="es-AR" w:eastAsia="es-AR"/>
              </w:rPr>
            </w:pPr>
            <w:r w:rsidRPr="008E6B81">
              <w:rPr>
                <w:color w:val="000000"/>
                <w:sz w:val="20"/>
                <w:szCs w:val="20"/>
                <w:lang w:val="es-AR" w:eastAsia="es-AR"/>
              </w:rPr>
              <w:t>Reserva Legal</w:t>
            </w:r>
          </w:p>
        </w:tc>
        <w:tc>
          <w:tcPr>
            <w:tcW w:w="2007" w:type="dxa"/>
            <w:vAlign w:val="center"/>
            <w:hideMark/>
          </w:tcPr>
          <w:p w:rsidR="005019EE" w:rsidRPr="008E6B81" w:rsidRDefault="005019EE">
            <w:pPr>
              <w:spacing w:line="256" w:lineRule="auto"/>
              <w:rPr>
                <w:color w:val="000000"/>
                <w:sz w:val="20"/>
                <w:szCs w:val="20"/>
                <w:lang w:val="es-AR" w:eastAsia="es-AR"/>
              </w:rPr>
            </w:pPr>
            <w:r w:rsidRPr="008E6B81">
              <w:rPr>
                <w:color w:val="000000"/>
                <w:sz w:val="20"/>
                <w:szCs w:val="20"/>
                <w:lang w:val="es-AR" w:eastAsia="es-AR"/>
              </w:rPr>
              <w:t>47.076</w:t>
            </w:r>
          </w:p>
        </w:tc>
        <w:tc>
          <w:tcPr>
            <w:tcW w:w="1559" w:type="dxa"/>
            <w:vAlign w:val="center"/>
            <w:hideMark/>
          </w:tcPr>
          <w:p w:rsidR="005019EE" w:rsidRPr="008E6B81" w:rsidRDefault="005019EE">
            <w:pPr>
              <w:spacing w:line="256" w:lineRule="auto"/>
              <w:rPr>
                <w:color w:val="000000"/>
                <w:sz w:val="20"/>
                <w:szCs w:val="20"/>
                <w:lang w:val="es-AR" w:eastAsia="es-AR"/>
              </w:rPr>
            </w:pPr>
            <w:r w:rsidRPr="008E6B81">
              <w:rPr>
                <w:color w:val="000000"/>
                <w:sz w:val="20"/>
                <w:szCs w:val="20"/>
                <w:lang w:val="es-AR" w:eastAsia="es-AR"/>
              </w:rPr>
              <w:t>47.076</w:t>
            </w:r>
          </w:p>
        </w:tc>
      </w:tr>
      <w:tr w:rsidR="005019EE" w:rsidRPr="008E6B81" w:rsidTr="009B26F9">
        <w:trPr>
          <w:trHeight w:val="300"/>
          <w:jc w:val="center"/>
        </w:trPr>
        <w:tc>
          <w:tcPr>
            <w:tcW w:w="3380" w:type="dxa"/>
            <w:vAlign w:val="center"/>
            <w:hideMark/>
          </w:tcPr>
          <w:p w:rsidR="005019EE" w:rsidRPr="008E6B81" w:rsidRDefault="005019EE">
            <w:pPr>
              <w:spacing w:line="256" w:lineRule="auto"/>
              <w:jc w:val="both"/>
              <w:rPr>
                <w:color w:val="000000"/>
                <w:sz w:val="20"/>
                <w:szCs w:val="20"/>
                <w:lang w:val="es-AR" w:eastAsia="es-AR"/>
              </w:rPr>
            </w:pPr>
            <w:r w:rsidRPr="008E6B81">
              <w:rPr>
                <w:color w:val="000000"/>
                <w:sz w:val="20"/>
                <w:szCs w:val="20"/>
                <w:lang w:val="es-AR" w:eastAsia="es-AR"/>
              </w:rPr>
              <w:t>Reserva Facultativa</w:t>
            </w:r>
          </w:p>
        </w:tc>
        <w:tc>
          <w:tcPr>
            <w:tcW w:w="2007" w:type="dxa"/>
            <w:vAlign w:val="center"/>
            <w:hideMark/>
          </w:tcPr>
          <w:p w:rsidR="005019EE" w:rsidRPr="008E6B81" w:rsidRDefault="005019EE">
            <w:pPr>
              <w:spacing w:line="256" w:lineRule="auto"/>
              <w:rPr>
                <w:color w:val="000000"/>
                <w:sz w:val="20"/>
                <w:szCs w:val="20"/>
                <w:lang w:val="es-AR" w:eastAsia="es-AR"/>
              </w:rPr>
            </w:pPr>
            <w:r w:rsidRPr="008E6B81">
              <w:rPr>
                <w:color w:val="000000"/>
                <w:sz w:val="20"/>
                <w:szCs w:val="20"/>
                <w:lang w:val="es-AR" w:eastAsia="es-AR"/>
              </w:rPr>
              <w:t xml:space="preserve">-   </w:t>
            </w:r>
          </w:p>
        </w:tc>
        <w:tc>
          <w:tcPr>
            <w:tcW w:w="1559" w:type="dxa"/>
            <w:vAlign w:val="center"/>
            <w:hideMark/>
          </w:tcPr>
          <w:p w:rsidR="005019EE" w:rsidRPr="008E6B81" w:rsidRDefault="005019EE">
            <w:pPr>
              <w:spacing w:line="256" w:lineRule="auto"/>
              <w:rPr>
                <w:color w:val="000000"/>
                <w:sz w:val="20"/>
                <w:szCs w:val="20"/>
                <w:lang w:val="es-AR" w:eastAsia="es-AR"/>
              </w:rPr>
            </w:pPr>
            <w:r w:rsidRPr="008E6B81">
              <w:rPr>
                <w:color w:val="000000"/>
                <w:sz w:val="20"/>
                <w:szCs w:val="20"/>
                <w:lang w:val="es-AR" w:eastAsia="es-AR"/>
              </w:rPr>
              <w:t>-</w:t>
            </w:r>
          </w:p>
        </w:tc>
      </w:tr>
      <w:tr w:rsidR="005019EE" w:rsidRPr="008E6B81" w:rsidTr="009B26F9">
        <w:trPr>
          <w:trHeight w:val="510"/>
          <w:jc w:val="center"/>
        </w:trPr>
        <w:tc>
          <w:tcPr>
            <w:tcW w:w="3380" w:type="dxa"/>
            <w:vAlign w:val="center"/>
            <w:hideMark/>
          </w:tcPr>
          <w:p w:rsidR="005019EE" w:rsidRPr="008E6B81" w:rsidRDefault="005019EE">
            <w:pPr>
              <w:spacing w:line="256" w:lineRule="auto"/>
              <w:jc w:val="left"/>
              <w:rPr>
                <w:color w:val="000000"/>
                <w:sz w:val="20"/>
                <w:szCs w:val="20"/>
                <w:lang w:val="es-AR" w:eastAsia="es-AR"/>
              </w:rPr>
            </w:pPr>
            <w:r w:rsidRPr="008E6B81">
              <w:rPr>
                <w:color w:val="000000"/>
                <w:sz w:val="20"/>
                <w:szCs w:val="20"/>
                <w:lang w:val="es-AR" w:eastAsia="es-AR"/>
              </w:rPr>
              <w:t>Reserva para desarrollo de nuevos negocios</w:t>
            </w:r>
          </w:p>
        </w:tc>
        <w:tc>
          <w:tcPr>
            <w:tcW w:w="2007" w:type="dxa"/>
            <w:vAlign w:val="center"/>
            <w:hideMark/>
          </w:tcPr>
          <w:p w:rsidR="005019EE" w:rsidRPr="008E6B81" w:rsidRDefault="005019EE">
            <w:pPr>
              <w:spacing w:line="256" w:lineRule="auto"/>
              <w:rPr>
                <w:color w:val="000000"/>
                <w:sz w:val="20"/>
                <w:szCs w:val="20"/>
                <w:lang w:val="es-AR" w:eastAsia="es-AR"/>
              </w:rPr>
            </w:pPr>
            <w:r w:rsidRPr="008E6B81">
              <w:rPr>
                <w:color w:val="000000"/>
                <w:sz w:val="20"/>
                <w:szCs w:val="20"/>
                <w:lang w:val="es-AR" w:eastAsia="es-AR"/>
              </w:rPr>
              <w:t>15.858.270</w:t>
            </w:r>
          </w:p>
        </w:tc>
        <w:tc>
          <w:tcPr>
            <w:tcW w:w="1559" w:type="dxa"/>
            <w:vAlign w:val="center"/>
            <w:hideMark/>
          </w:tcPr>
          <w:p w:rsidR="005019EE" w:rsidRPr="008E6B81" w:rsidRDefault="005019EE">
            <w:pPr>
              <w:spacing w:line="256" w:lineRule="auto"/>
              <w:rPr>
                <w:color w:val="000000"/>
                <w:sz w:val="20"/>
                <w:szCs w:val="20"/>
                <w:lang w:val="es-AR" w:eastAsia="es-AR"/>
              </w:rPr>
            </w:pPr>
            <w:r w:rsidRPr="008E6B81">
              <w:rPr>
                <w:color w:val="000000"/>
                <w:sz w:val="20"/>
                <w:szCs w:val="20"/>
                <w:lang w:val="es-AR" w:eastAsia="es-AR"/>
              </w:rPr>
              <w:t>21.902.841</w:t>
            </w:r>
          </w:p>
        </w:tc>
      </w:tr>
      <w:tr w:rsidR="005019EE" w:rsidRPr="008E6B81" w:rsidTr="009B26F9">
        <w:trPr>
          <w:trHeight w:val="300"/>
          <w:jc w:val="center"/>
        </w:trPr>
        <w:tc>
          <w:tcPr>
            <w:tcW w:w="3380" w:type="dxa"/>
            <w:vAlign w:val="center"/>
            <w:hideMark/>
          </w:tcPr>
          <w:p w:rsidR="005019EE" w:rsidRPr="008E6B81" w:rsidRDefault="005019EE">
            <w:pPr>
              <w:spacing w:line="256" w:lineRule="auto"/>
              <w:jc w:val="both"/>
              <w:rPr>
                <w:color w:val="000000"/>
                <w:sz w:val="20"/>
                <w:szCs w:val="20"/>
                <w:lang w:val="es-AR" w:eastAsia="es-AR"/>
              </w:rPr>
            </w:pPr>
            <w:r w:rsidRPr="008E6B81">
              <w:rPr>
                <w:color w:val="000000"/>
                <w:sz w:val="20"/>
                <w:szCs w:val="20"/>
                <w:lang w:val="es-AR" w:eastAsia="es-AR"/>
              </w:rPr>
              <w:t>Resultados No Asignados</w:t>
            </w:r>
          </w:p>
        </w:tc>
        <w:tc>
          <w:tcPr>
            <w:tcW w:w="2007" w:type="dxa"/>
            <w:vAlign w:val="center"/>
            <w:hideMark/>
          </w:tcPr>
          <w:p w:rsidR="005019EE" w:rsidRPr="008E6B81" w:rsidRDefault="005019EE">
            <w:pPr>
              <w:spacing w:line="256" w:lineRule="auto"/>
              <w:rPr>
                <w:color w:val="000000"/>
                <w:sz w:val="20"/>
                <w:szCs w:val="20"/>
                <w:lang w:val="es-AR" w:eastAsia="es-AR"/>
              </w:rPr>
            </w:pPr>
            <w:r w:rsidRPr="008E6B81">
              <w:rPr>
                <w:color w:val="000000"/>
                <w:sz w:val="20"/>
                <w:szCs w:val="20"/>
                <w:lang w:val="es-AR" w:eastAsia="es-AR"/>
              </w:rPr>
              <w:t>1.291.980</w:t>
            </w:r>
          </w:p>
        </w:tc>
        <w:tc>
          <w:tcPr>
            <w:tcW w:w="1559" w:type="dxa"/>
            <w:vAlign w:val="center"/>
            <w:hideMark/>
          </w:tcPr>
          <w:p w:rsidR="005019EE" w:rsidRPr="008E6B81" w:rsidRDefault="005019EE">
            <w:pPr>
              <w:spacing w:line="256" w:lineRule="auto"/>
              <w:rPr>
                <w:color w:val="000000"/>
                <w:sz w:val="20"/>
                <w:szCs w:val="20"/>
                <w:lang w:val="es-AR" w:eastAsia="es-AR"/>
              </w:rPr>
            </w:pPr>
            <w:r w:rsidRPr="008E6B81">
              <w:rPr>
                <w:color w:val="000000"/>
                <w:sz w:val="20"/>
                <w:szCs w:val="20"/>
                <w:lang w:val="es-AR" w:eastAsia="es-AR"/>
              </w:rPr>
              <w:t>(7.409.857)</w:t>
            </w:r>
          </w:p>
        </w:tc>
      </w:tr>
      <w:tr w:rsidR="005019EE" w:rsidRPr="008E6B81" w:rsidTr="009B26F9">
        <w:trPr>
          <w:trHeight w:val="300"/>
          <w:jc w:val="center"/>
        </w:trPr>
        <w:tc>
          <w:tcPr>
            <w:tcW w:w="3380" w:type="dxa"/>
            <w:vAlign w:val="center"/>
            <w:hideMark/>
          </w:tcPr>
          <w:p w:rsidR="005019EE" w:rsidRPr="008E6B81" w:rsidRDefault="005019EE">
            <w:pPr>
              <w:spacing w:line="256" w:lineRule="auto"/>
              <w:jc w:val="both"/>
              <w:rPr>
                <w:b/>
                <w:bCs/>
                <w:color w:val="000000"/>
                <w:sz w:val="20"/>
                <w:szCs w:val="20"/>
                <w:lang w:val="es-AR" w:eastAsia="es-AR"/>
              </w:rPr>
            </w:pPr>
            <w:r w:rsidRPr="008E6B81">
              <w:rPr>
                <w:b/>
                <w:bCs/>
                <w:color w:val="000000"/>
                <w:sz w:val="20"/>
                <w:szCs w:val="20"/>
                <w:lang w:val="es-AR" w:eastAsia="es-AR"/>
              </w:rPr>
              <w:t xml:space="preserve">Total del Patrimonio </w:t>
            </w:r>
          </w:p>
        </w:tc>
        <w:tc>
          <w:tcPr>
            <w:tcW w:w="2007" w:type="dxa"/>
            <w:vAlign w:val="center"/>
            <w:hideMark/>
          </w:tcPr>
          <w:p w:rsidR="005019EE" w:rsidRPr="008E6B81" w:rsidRDefault="005019EE">
            <w:pPr>
              <w:spacing w:line="256" w:lineRule="auto"/>
              <w:rPr>
                <w:b/>
                <w:bCs/>
                <w:color w:val="000000"/>
                <w:sz w:val="20"/>
                <w:szCs w:val="20"/>
                <w:lang w:val="es-AR" w:eastAsia="es-AR"/>
              </w:rPr>
            </w:pPr>
            <w:r w:rsidRPr="008E6B81">
              <w:rPr>
                <w:b/>
                <w:bCs/>
                <w:color w:val="000000"/>
                <w:sz w:val="20"/>
                <w:szCs w:val="20"/>
                <w:lang w:val="es-AR" w:eastAsia="es-AR"/>
              </w:rPr>
              <w:t>18.217.564</w:t>
            </w:r>
          </w:p>
        </w:tc>
        <w:tc>
          <w:tcPr>
            <w:tcW w:w="1559" w:type="dxa"/>
            <w:vAlign w:val="center"/>
            <w:hideMark/>
          </w:tcPr>
          <w:p w:rsidR="005019EE" w:rsidRPr="008E6B81" w:rsidRDefault="005019EE">
            <w:pPr>
              <w:spacing w:line="256" w:lineRule="auto"/>
              <w:rPr>
                <w:b/>
                <w:bCs/>
                <w:color w:val="000000"/>
                <w:sz w:val="20"/>
                <w:szCs w:val="20"/>
                <w:lang w:val="es-AR" w:eastAsia="es-AR"/>
              </w:rPr>
            </w:pPr>
            <w:r w:rsidRPr="008E6B81">
              <w:rPr>
                <w:b/>
                <w:bCs/>
                <w:color w:val="000000"/>
                <w:sz w:val="20"/>
                <w:szCs w:val="20"/>
                <w:lang w:val="es-AR" w:eastAsia="es-AR"/>
              </w:rPr>
              <w:t>15.560.298</w:t>
            </w:r>
          </w:p>
        </w:tc>
      </w:tr>
    </w:tbl>
    <w:p w:rsidR="005019EE" w:rsidRDefault="005019EE" w:rsidP="005019EE">
      <w:pPr>
        <w:pStyle w:val="Prrafodelista"/>
        <w:ind w:left="420"/>
        <w:jc w:val="left"/>
        <w:rPr>
          <w:i/>
          <w:sz w:val="20"/>
          <w:szCs w:val="20"/>
          <w:lang w:val="es-AR"/>
        </w:rPr>
      </w:pPr>
    </w:p>
    <w:p w:rsidR="005019EE" w:rsidRDefault="005019EE" w:rsidP="005019EE">
      <w:pPr>
        <w:pStyle w:val="Prrafodelista"/>
        <w:ind w:left="420"/>
        <w:jc w:val="left"/>
        <w:rPr>
          <w:i/>
          <w:sz w:val="20"/>
          <w:szCs w:val="20"/>
          <w:lang w:val="es-AR"/>
        </w:rPr>
      </w:pPr>
      <w:r>
        <w:rPr>
          <w:i/>
          <w:sz w:val="20"/>
          <w:szCs w:val="20"/>
          <w:lang w:val="es-AR"/>
        </w:rPr>
        <w:t xml:space="preserve">(*) Cifras expresadas en </w:t>
      </w:r>
      <w:r w:rsidR="003D6E1B">
        <w:rPr>
          <w:i/>
          <w:sz w:val="20"/>
          <w:szCs w:val="20"/>
          <w:lang w:val="es-AR"/>
        </w:rPr>
        <w:t xml:space="preserve">miles de Pesos en </w:t>
      </w:r>
      <w:r>
        <w:rPr>
          <w:i/>
          <w:sz w:val="20"/>
          <w:szCs w:val="20"/>
          <w:lang w:val="es-AR"/>
        </w:rPr>
        <w:t xml:space="preserve">moneda homogénea </w:t>
      </w:r>
      <w:r w:rsidR="00E95844">
        <w:rPr>
          <w:i/>
          <w:sz w:val="20"/>
          <w:szCs w:val="20"/>
          <w:lang w:val="es-AR"/>
        </w:rPr>
        <w:t>a</w:t>
      </w:r>
      <w:r>
        <w:rPr>
          <w:i/>
          <w:sz w:val="20"/>
          <w:szCs w:val="20"/>
          <w:lang w:val="es-AR"/>
        </w:rPr>
        <w:t>l 31 de marzo de 2020</w:t>
      </w:r>
    </w:p>
    <w:p w:rsidR="00E95844" w:rsidRDefault="00E95844" w:rsidP="005019EE">
      <w:pPr>
        <w:pStyle w:val="Prrafodelista"/>
        <w:ind w:left="420"/>
        <w:jc w:val="left"/>
        <w:rPr>
          <w:i/>
          <w:sz w:val="20"/>
          <w:szCs w:val="20"/>
          <w:lang w:val="es-AR"/>
        </w:rPr>
      </w:pPr>
    </w:p>
    <w:p w:rsidR="005019EE" w:rsidRDefault="005019EE" w:rsidP="009B26F9">
      <w:pPr>
        <w:pStyle w:val="Textoindependiente"/>
        <w:widowControl w:val="0"/>
        <w:tabs>
          <w:tab w:val="clear" w:pos="397"/>
          <w:tab w:val="left" w:pos="708"/>
        </w:tabs>
        <w:ind w:left="420"/>
        <w:rPr>
          <w:i/>
          <w:lang w:val="es-AR"/>
        </w:rPr>
      </w:pPr>
      <w:r>
        <w:rPr>
          <w:i/>
          <w:vertAlign w:val="superscript"/>
          <w:lang w:val="es-AR"/>
        </w:rPr>
        <w:t>(</w:t>
      </w:r>
      <w:r w:rsidR="00E95844">
        <w:rPr>
          <w:i/>
          <w:vertAlign w:val="superscript"/>
          <w:lang w:val="es-AR"/>
        </w:rPr>
        <w:t>*</w:t>
      </w:r>
      <w:r>
        <w:rPr>
          <w:i/>
          <w:vertAlign w:val="superscript"/>
          <w:lang w:val="es-AR"/>
        </w:rPr>
        <w:t>*)</w:t>
      </w:r>
      <w:r>
        <w:rPr>
          <w:i/>
          <w:lang w:val="es-AR"/>
        </w:rPr>
        <w:t xml:space="preserve"> Al 31 de marzo de 2020  existen</w:t>
      </w:r>
      <w:r>
        <w:rPr>
          <w:i/>
          <w:color w:val="000000"/>
          <w:lang w:val="es-AR" w:eastAsia="es-AR"/>
        </w:rPr>
        <w:t xml:space="preserve"> 2.824</w:t>
      </w:r>
      <w:r>
        <w:rPr>
          <w:i/>
          <w:lang w:val="es-AR"/>
        </w:rPr>
        <w:t xml:space="preserve"> acciones ordinarias de valor nominal $10.000 y con derecho a 1 voto cada una. Todas están debidamente autorizadas, válidamente emitidas, suscriptas e integradas en su totalidad.</w:t>
      </w:r>
    </w:p>
    <w:p w:rsidR="00E95844" w:rsidRDefault="00E95844" w:rsidP="005019EE">
      <w:pPr>
        <w:pStyle w:val="Textoindependiente"/>
        <w:widowControl w:val="0"/>
        <w:tabs>
          <w:tab w:val="clear" w:pos="397"/>
          <w:tab w:val="left" w:pos="708"/>
        </w:tabs>
        <w:rPr>
          <w:i/>
          <w:lang w:val="es-AR"/>
        </w:rPr>
      </w:pPr>
    </w:p>
    <w:p w:rsidR="005958A9" w:rsidRPr="00251FDB" w:rsidRDefault="00D26439" w:rsidP="003079F0">
      <w:pPr>
        <w:rPr>
          <w:sz w:val="20"/>
          <w:szCs w:val="20"/>
          <w:highlight w:val="yellow"/>
          <w:lang w:val="es-AR"/>
        </w:rPr>
      </w:pPr>
      <w:r w:rsidRPr="00251FDB">
        <w:rPr>
          <w:sz w:val="20"/>
          <w:szCs w:val="20"/>
          <w:highlight w:val="yellow"/>
          <w:lang w:val="es-AR"/>
        </w:rPr>
        <w:br w:type="page"/>
      </w:r>
    </w:p>
    <w:p w:rsidR="00D26439" w:rsidRPr="00251FDB" w:rsidRDefault="000D2B4D" w:rsidP="009B26F9">
      <w:pPr>
        <w:ind w:firstLine="3"/>
        <w:rPr>
          <w:b/>
          <w:smallCaps/>
          <w:sz w:val="20"/>
          <w:szCs w:val="20"/>
          <w:lang w:val="es-AR"/>
        </w:rPr>
      </w:pPr>
      <w:r w:rsidRPr="008F2C84">
        <w:rPr>
          <w:b/>
          <w:smallCaps/>
          <w:sz w:val="20"/>
          <w:szCs w:val="20"/>
          <w:lang w:val="es-AR"/>
        </w:rPr>
        <w:t xml:space="preserve">VI. </w:t>
      </w:r>
      <w:r w:rsidR="00D26439" w:rsidRPr="009B26F9">
        <w:rPr>
          <w:b/>
          <w:smallCaps/>
          <w:sz w:val="20"/>
          <w:szCs w:val="20"/>
          <w:lang w:val="es-AR"/>
        </w:rPr>
        <w:t>Destino de los Fondos</w:t>
      </w:r>
    </w:p>
    <w:p w:rsidR="00D26439" w:rsidRPr="00251FDB" w:rsidRDefault="00D26439" w:rsidP="00D26439">
      <w:pPr>
        <w:pStyle w:val="Prrafodelista"/>
        <w:autoSpaceDE w:val="0"/>
        <w:autoSpaceDN w:val="0"/>
        <w:adjustRightInd w:val="0"/>
        <w:ind w:left="0"/>
        <w:jc w:val="both"/>
        <w:rPr>
          <w:rFonts w:eastAsia="Calibri"/>
          <w:color w:val="000000"/>
          <w:sz w:val="20"/>
          <w:szCs w:val="20"/>
          <w:lang w:val="es-ES"/>
        </w:rPr>
      </w:pPr>
    </w:p>
    <w:p w:rsidR="00E95844" w:rsidRDefault="00E95844" w:rsidP="00E95844">
      <w:pPr>
        <w:widowControl w:val="0"/>
        <w:jc w:val="both"/>
        <w:rPr>
          <w:sz w:val="20"/>
          <w:szCs w:val="20"/>
          <w:lang w:val="es-AR"/>
        </w:rPr>
      </w:pPr>
      <w:r>
        <w:rPr>
          <w:sz w:val="20"/>
          <w:szCs w:val="20"/>
          <w:lang w:val="es-AR"/>
        </w:rPr>
        <w:t>Los fondos netos provenientes de la colocación de las Obligaciones Negociables (los “</w:t>
      </w:r>
      <w:r>
        <w:rPr>
          <w:sz w:val="20"/>
          <w:szCs w:val="20"/>
          <w:u w:val="single"/>
          <w:lang w:val="es-AR"/>
        </w:rPr>
        <w:t>Fondos Netos</w:t>
      </w:r>
      <w:r>
        <w:rPr>
          <w:sz w:val="20"/>
          <w:szCs w:val="20"/>
          <w:lang w:val="es-AR"/>
        </w:rPr>
        <w:t xml:space="preserve">”) serán utilizados, en cumplimiento con el artículo 36 de la Ley de Obligaciones Negociables, para capital de trabajo en Argentina y/o refinanciación de pasivos, priorizando una mejor administración de los fondos y a fin de maximizar los beneficios provenientes de la emisión. El concepto de capital de trabajo en la República Argentina incluye, entre otros: financiación de cartera de clientes (incluyendo otorgamiento de préstamos), y/o pago a comercios, y/o pago a proveedores, y/o pago de tributos (Anticipo de Ganancias, Ingresos Brutos, Impuestos Municipales, entre otros), y/o pago de haberes, registrados como activos y pasivos corrientes. </w:t>
      </w:r>
    </w:p>
    <w:p w:rsidR="00E95844" w:rsidRDefault="00E95844" w:rsidP="00E95844">
      <w:pPr>
        <w:widowControl w:val="0"/>
        <w:jc w:val="both"/>
        <w:rPr>
          <w:sz w:val="20"/>
          <w:szCs w:val="20"/>
          <w:lang w:val="es-AR"/>
        </w:rPr>
      </w:pPr>
    </w:p>
    <w:p w:rsidR="00E95844" w:rsidRDefault="002A2A7F" w:rsidP="00E95844">
      <w:pPr>
        <w:widowControl w:val="0"/>
        <w:jc w:val="both"/>
        <w:rPr>
          <w:sz w:val="20"/>
          <w:szCs w:val="20"/>
          <w:lang w:val="es-AR"/>
        </w:rPr>
      </w:pPr>
      <w:r>
        <w:rPr>
          <w:sz w:val="20"/>
          <w:szCs w:val="20"/>
          <w:lang w:val="es-AR"/>
        </w:rPr>
        <w:t>La refinanciación</w:t>
      </w:r>
      <w:r w:rsidR="00E95844">
        <w:rPr>
          <w:sz w:val="20"/>
          <w:szCs w:val="20"/>
          <w:lang w:val="es-AR"/>
        </w:rPr>
        <w:t xml:space="preserve"> de pasivos incluirá uno o varios de los siguientes conceptos:</w:t>
      </w:r>
    </w:p>
    <w:p w:rsidR="00E95844" w:rsidRDefault="00E95844" w:rsidP="00E95844">
      <w:pPr>
        <w:autoSpaceDE w:val="0"/>
        <w:autoSpaceDN w:val="0"/>
        <w:adjustRightInd w:val="0"/>
        <w:jc w:val="left"/>
        <w:rPr>
          <w:rFonts w:eastAsiaTheme="minorHAnsi"/>
          <w:color w:val="000000"/>
          <w:lang w:val="es-AR"/>
        </w:rPr>
      </w:pPr>
    </w:p>
    <w:p w:rsidR="00E95844" w:rsidRDefault="00E95844" w:rsidP="00E95844">
      <w:pPr>
        <w:pStyle w:val="Prrafodelista"/>
        <w:numPr>
          <w:ilvl w:val="0"/>
          <w:numId w:val="17"/>
        </w:numPr>
        <w:autoSpaceDE w:val="0"/>
        <w:autoSpaceDN w:val="0"/>
        <w:adjustRightInd w:val="0"/>
        <w:jc w:val="both"/>
        <w:rPr>
          <w:rFonts w:eastAsiaTheme="minorHAnsi"/>
          <w:color w:val="000000"/>
          <w:sz w:val="20"/>
          <w:szCs w:val="20"/>
          <w:lang w:val="es-AR"/>
        </w:rPr>
      </w:pPr>
      <w:r>
        <w:rPr>
          <w:rFonts w:eastAsiaTheme="minorHAnsi"/>
          <w:color w:val="000000"/>
          <w:sz w:val="20"/>
          <w:szCs w:val="20"/>
          <w:lang w:val="es-AR"/>
        </w:rPr>
        <w:t>Cancelación de intereses trimestrales con vencimiento 10 de julio de 2020 (o día hábil siguiente), correspondientes a las Obligaciones Negociables Clase XL Serie II (Tarjeta Naranja S.A.) emitidas el 10 de abril de 2018, por un monto pendiente de capital a la fecha del presente de $1.402.500.000. La tasa de interés aplicable es la tasa BADLAR más un spread de 3,69% nominal anual.</w:t>
      </w:r>
    </w:p>
    <w:p w:rsidR="00E95844" w:rsidRDefault="00E95844" w:rsidP="00E95844">
      <w:pPr>
        <w:pStyle w:val="Prrafodelista"/>
        <w:autoSpaceDE w:val="0"/>
        <w:autoSpaceDN w:val="0"/>
        <w:adjustRightInd w:val="0"/>
        <w:jc w:val="both"/>
        <w:rPr>
          <w:rFonts w:eastAsiaTheme="minorHAnsi"/>
          <w:color w:val="000000"/>
          <w:sz w:val="20"/>
          <w:szCs w:val="20"/>
          <w:lang w:val="es-AR"/>
        </w:rPr>
      </w:pPr>
    </w:p>
    <w:p w:rsidR="00E95844" w:rsidRDefault="00E95844" w:rsidP="00E95844">
      <w:pPr>
        <w:pStyle w:val="Prrafodelista"/>
        <w:numPr>
          <w:ilvl w:val="0"/>
          <w:numId w:val="17"/>
        </w:numPr>
        <w:autoSpaceDE w:val="0"/>
        <w:autoSpaceDN w:val="0"/>
        <w:adjustRightInd w:val="0"/>
        <w:jc w:val="both"/>
        <w:rPr>
          <w:rFonts w:eastAsiaTheme="minorHAnsi"/>
          <w:color w:val="000000"/>
          <w:sz w:val="20"/>
          <w:szCs w:val="20"/>
          <w:lang w:val="es-AR"/>
        </w:rPr>
      </w:pPr>
      <w:r>
        <w:rPr>
          <w:rFonts w:eastAsiaTheme="minorHAnsi"/>
          <w:color w:val="000000"/>
          <w:sz w:val="20"/>
          <w:szCs w:val="20"/>
          <w:lang w:val="es-AR"/>
        </w:rPr>
        <w:t>Cancelación de intereses trimestrales con vencimiento 11 de julio de 2020 (o día hábil siguiente), correspondientes a las Obligaciones Negociables Clase XXXVII (Tarjeta Naranja S.A.) emitidas el 11 de abril de 2017, por un monto pendiente de capital a la fecha del presente de $2.563.800.000. La tasa de interés aplicable es la tasa BADLAR más un spread de 3,50% nominal anual.</w:t>
      </w:r>
    </w:p>
    <w:p w:rsidR="00E95844" w:rsidRDefault="00E95844" w:rsidP="00E95844">
      <w:pPr>
        <w:pStyle w:val="Prrafodelista"/>
        <w:rPr>
          <w:rFonts w:eastAsiaTheme="minorHAnsi"/>
          <w:color w:val="000000"/>
          <w:sz w:val="20"/>
          <w:szCs w:val="20"/>
          <w:lang w:val="es-AR"/>
        </w:rPr>
      </w:pPr>
    </w:p>
    <w:p w:rsidR="00E95844" w:rsidRDefault="00E95844" w:rsidP="00E95844">
      <w:pPr>
        <w:pStyle w:val="Prrafodelista"/>
        <w:numPr>
          <w:ilvl w:val="0"/>
          <w:numId w:val="17"/>
        </w:numPr>
        <w:autoSpaceDE w:val="0"/>
        <w:autoSpaceDN w:val="0"/>
        <w:adjustRightInd w:val="0"/>
        <w:jc w:val="both"/>
        <w:rPr>
          <w:rFonts w:eastAsiaTheme="minorHAnsi"/>
          <w:color w:val="000000"/>
          <w:sz w:val="20"/>
          <w:szCs w:val="20"/>
          <w:lang w:val="es-AR"/>
        </w:rPr>
      </w:pPr>
      <w:r>
        <w:rPr>
          <w:rFonts w:eastAsiaTheme="minorHAnsi"/>
          <w:color w:val="000000"/>
          <w:sz w:val="20"/>
          <w:szCs w:val="20"/>
          <w:lang w:val="es-AR"/>
        </w:rPr>
        <w:t>Cancelación de intereses trimestrales con vencimiento 24 de julio de 2020 (o día hábil siguiente), correspondientes a las Obligaciones Negociables Clase XXVI Serie II (Tarjetas Cuyanas S.A.) emitidas el 24 de octubre de 2016, por un monto pendiente de capital a la fecha del presente de $350.236.667. La tasa de interés aplicable es la tasa BADLAR más un spread de 4,00% nominal anual.</w:t>
      </w:r>
    </w:p>
    <w:p w:rsidR="00E95844" w:rsidRDefault="00E95844" w:rsidP="00E95844">
      <w:pPr>
        <w:pStyle w:val="Prrafodelista"/>
        <w:rPr>
          <w:rFonts w:eastAsiaTheme="minorHAnsi"/>
          <w:color w:val="000000"/>
          <w:sz w:val="20"/>
          <w:szCs w:val="20"/>
          <w:lang w:val="es-AR"/>
        </w:rPr>
      </w:pPr>
    </w:p>
    <w:p w:rsidR="00E95844" w:rsidRDefault="00E95844" w:rsidP="00E95844">
      <w:pPr>
        <w:pStyle w:val="Prrafodelista"/>
        <w:numPr>
          <w:ilvl w:val="0"/>
          <w:numId w:val="17"/>
        </w:numPr>
        <w:autoSpaceDE w:val="0"/>
        <w:autoSpaceDN w:val="0"/>
        <w:adjustRightInd w:val="0"/>
        <w:jc w:val="both"/>
        <w:rPr>
          <w:rFonts w:eastAsiaTheme="minorHAnsi"/>
          <w:color w:val="000000"/>
          <w:sz w:val="20"/>
          <w:szCs w:val="20"/>
          <w:lang w:val="es-AR"/>
        </w:rPr>
      </w:pPr>
      <w:r>
        <w:rPr>
          <w:rFonts w:eastAsiaTheme="minorHAnsi"/>
          <w:color w:val="000000"/>
          <w:sz w:val="20"/>
          <w:szCs w:val="20"/>
          <w:lang w:val="es-AR"/>
        </w:rPr>
        <w:t>Amortización de capital y cancelación de intereses trimestrales con vencimiento 26 de julio de 2020 (o día hábil siguiente), correspondientes a las Obligaciones Negociables Clase XXV Serie II (Tarjetas Cuyanas S.A.) emitidas el 26 de julio de 2016, por un monto pendiente de capital a la fecha del presente de $400.000.000. La tasa de interés aplicable es la tasa BADLAR más un spread de 3,94% nominal anual.</w:t>
      </w:r>
    </w:p>
    <w:p w:rsidR="00E95844" w:rsidRDefault="00E95844" w:rsidP="00E95844">
      <w:pPr>
        <w:pStyle w:val="Prrafodelista"/>
        <w:rPr>
          <w:rFonts w:eastAsiaTheme="minorHAnsi"/>
          <w:color w:val="000000"/>
          <w:sz w:val="20"/>
          <w:szCs w:val="20"/>
          <w:lang w:val="es-AR"/>
        </w:rPr>
      </w:pPr>
    </w:p>
    <w:p w:rsidR="00E95844" w:rsidRDefault="00E95844" w:rsidP="00E95844">
      <w:pPr>
        <w:pStyle w:val="Prrafodelista"/>
        <w:numPr>
          <w:ilvl w:val="0"/>
          <w:numId w:val="17"/>
        </w:numPr>
        <w:autoSpaceDE w:val="0"/>
        <w:autoSpaceDN w:val="0"/>
        <w:adjustRightInd w:val="0"/>
        <w:jc w:val="both"/>
        <w:rPr>
          <w:rFonts w:eastAsiaTheme="minorHAnsi"/>
          <w:color w:val="000000"/>
          <w:sz w:val="20"/>
          <w:szCs w:val="20"/>
          <w:lang w:val="es-AR"/>
        </w:rPr>
      </w:pPr>
      <w:r>
        <w:rPr>
          <w:rFonts w:eastAsiaTheme="minorHAnsi"/>
          <w:color w:val="000000"/>
          <w:sz w:val="20"/>
          <w:szCs w:val="20"/>
          <w:lang w:val="es-AR"/>
        </w:rPr>
        <w:t>Amortización de capital y cancelación de intereses trimestrales con vencimiento 19 de agosto de 2020 (o día hábil siguiente), correspondientes a las Obligaciones Negociables Clase XLIII (Tarjeta Naranja S.A.) emitidas el 19 de febrero de 2019, por un monto pendiente de capital a la fecha del presente de $1.583.894.804. La tasa de interés aplicable es la tasa BADLAR más un spread de 7,00% nominal anual.</w:t>
      </w:r>
    </w:p>
    <w:p w:rsidR="00E95844" w:rsidRDefault="00E95844" w:rsidP="00E95844">
      <w:pPr>
        <w:pStyle w:val="Prrafodelista"/>
        <w:rPr>
          <w:rFonts w:eastAsiaTheme="minorHAnsi"/>
          <w:color w:val="000000"/>
          <w:sz w:val="20"/>
          <w:szCs w:val="20"/>
          <w:lang w:val="es-AR"/>
        </w:rPr>
      </w:pPr>
    </w:p>
    <w:p w:rsidR="00E95844" w:rsidRDefault="00E95844" w:rsidP="00E95844">
      <w:pPr>
        <w:pStyle w:val="Prrafodelista"/>
        <w:numPr>
          <w:ilvl w:val="0"/>
          <w:numId w:val="17"/>
        </w:numPr>
        <w:autoSpaceDE w:val="0"/>
        <w:autoSpaceDN w:val="0"/>
        <w:adjustRightInd w:val="0"/>
        <w:jc w:val="both"/>
        <w:rPr>
          <w:rFonts w:eastAsiaTheme="minorHAnsi"/>
          <w:color w:val="000000"/>
          <w:sz w:val="20"/>
          <w:szCs w:val="20"/>
          <w:lang w:val="es-AR"/>
        </w:rPr>
      </w:pPr>
      <w:r>
        <w:rPr>
          <w:rFonts w:eastAsiaTheme="minorHAnsi"/>
          <w:color w:val="000000"/>
          <w:sz w:val="20"/>
          <w:szCs w:val="20"/>
          <w:lang w:val="es-AR"/>
        </w:rPr>
        <w:t>Cancelación de intereses trimestrales con vencimiento 09 de septiembre de 2020 (o día hábil siguiente), correspondientes a las Obligaciones Negociables Clase XXVIII Serie II (Tarjetas Cuyanas S.A.) emitidas el 09 de junio de 2017, por un monto pendiente de capital a la fecha del presente de $371.825.000. La tasa de interés aplicable es la tasa BADLAR más un spread de 3,70% nominal anual.</w:t>
      </w:r>
    </w:p>
    <w:p w:rsidR="00E95844" w:rsidRDefault="00E95844" w:rsidP="00E95844">
      <w:pPr>
        <w:pStyle w:val="Prrafodelista"/>
        <w:rPr>
          <w:rFonts w:eastAsiaTheme="minorHAnsi"/>
          <w:color w:val="000000"/>
          <w:sz w:val="20"/>
          <w:szCs w:val="20"/>
          <w:lang w:val="es-AR"/>
        </w:rPr>
      </w:pPr>
    </w:p>
    <w:p w:rsidR="00E95844" w:rsidRDefault="00E95844" w:rsidP="00E95844">
      <w:pPr>
        <w:pStyle w:val="Prrafodelista"/>
        <w:numPr>
          <w:ilvl w:val="0"/>
          <w:numId w:val="17"/>
        </w:numPr>
        <w:autoSpaceDE w:val="0"/>
        <w:autoSpaceDN w:val="0"/>
        <w:adjustRightInd w:val="0"/>
        <w:jc w:val="both"/>
        <w:rPr>
          <w:rFonts w:eastAsiaTheme="minorHAnsi"/>
          <w:color w:val="000000"/>
          <w:sz w:val="20"/>
          <w:szCs w:val="20"/>
          <w:lang w:val="es-AR"/>
        </w:rPr>
      </w:pPr>
      <w:r>
        <w:rPr>
          <w:rFonts w:eastAsiaTheme="minorHAnsi"/>
          <w:color w:val="000000"/>
          <w:sz w:val="20"/>
          <w:szCs w:val="20"/>
          <w:lang w:val="es-AR"/>
        </w:rPr>
        <w:t xml:space="preserve">Cancelación de intereses </w:t>
      </w:r>
      <w:proofErr w:type="spellStart"/>
      <w:r>
        <w:rPr>
          <w:rFonts w:eastAsiaTheme="minorHAnsi"/>
          <w:color w:val="000000"/>
          <w:sz w:val="20"/>
          <w:szCs w:val="20"/>
          <w:lang w:val="es-AR"/>
        </w:rPr>
        <w:t>bullet</w:t>
      </w:r>
      <w:proofErr w:type="spellEnd"/>
      <w:r>
        <w:rPr>
          <w:rFonts w:eastAsiaTheme="minorHAnsi"/>
          <w:color w:val="000000"/>
          <w:sz w:val="20"/>
          <w:szCs w:val="20"/>
          <w:lang w:val="es-AR"/>
        </w:rPr>
        <w:t xml:space="preserve"> y amortización al vencimiento de un préstamo bancario obtenido con Banco </w:t>
      </w:r>
      <w:proofErr w:type="spellStart"/>
      <w:r>
        <w:rPr>
          <w:rFonts w:eastAsiaTheme="minorHAnsi"/>
          <w:color w:val="000000"/>
          <w:sz w:val="20"/>
          <w:szCs w:val="20"/>
          <w:lang w:val="es-AR"/>
        </w:rPr>
        <w:t>Comafi</w:t>
      </w:r>
      <w:proofErr w:type="spellEnd"/>
      <w:r>
        <w:rPr>
          <w:rFonts w:eastAsiaTheme="minorHAnsi"/>
          <w:color w:val="000000"/>
          <w:sz w:val="20"/>
          <w:szCs w:val="20"/>
          <w:lang w:val="es-AR"/>
        </w:rPr>
        <w:t xml:space="preserve"> S.A. el 26 de marzo de 2020 por un monto pendiente de capital de $150.000.000, con vencimiento el 21 de septiembre de 2020.</w:t>
      </w:r>
    </w:p>
    <w:p w:rsidR="00E95844" w:rsidRDefault="00E95844" w:rsidP="00E95844">
      <w:pPr>
        <w:pStyle w:val="Prrafodelista"/>
        <w:rPr>
          <w:rFonts w:eastAsiaTheme="minorHAnsi"/>
          <w:color w:val="000000"/>
          <w:sz w:val="20"/>
          <w:szCs w:val="20"/>
          <w:lang w:val="es-AR"/>
        </w:rPr>
      </w:pPr>
    </w:p>
    <w:p w:rsidR="00E95844" w:rsidRDefault="00E95844" w:rsidP="00E95844">
      <w:pPr>
        <w:pStyle w:val="Prrafodelista"/>
        <w:numPr>
          <w:ilvl w:val="0"/>
          <w:numId w:val="17"/>
        </w:numPr>
        <w:autoSpaceDE w:val="0"/>
        <w:autoSpaceDN w:val="0"/>
        <w:adjustRightInd w:val="0"/>
        <w:jc w:val="both"/>
        <w:rPr>
          <w:rFonts w:eastAsiaTheme="minorHAnsi"/>
          <w:color w:val="000000"/>
          <w:sz w:val="20"/>
          <w:szCs w:val="20"/>
          <w:lang w:val="es-AR"/>
        </w:rPr>
      </w:pPr>
      <w:r>
        <w:rPr>
          <w:rFonts w:eastAsiaTheme="minorHAnsi"/>
          <w:color w:val="000000"/>
          <w:sz w:val="20"/>
          <w:szCs w:val="20"/>
          <w:lang w:val="es-AR"/>
        </w:rPr>
        <w:t xml:space="preserve">Cancelación de intereses </w:t>
      </w:r>
      <w:proofErr w:type="spellStart"/>
      <w:r>
        <w:rPr>
          <w:rFonts w:eastAsiaTheme="minorHAnsi"/>
          <w:color w:val="000000"/>
          <w:sz w:val="20"/>
          <w:szCs w:val="20"/>
          <w:lang w:val="es-AR"/>
        </w:rPr>
        <w:t>bullet</w:t>
      </w:r>
      <w:proofErr w:type="spellEnd"/>
      <w:r>
        <w:rPr>
          <w:rFonts w:eastAsiaTheme="minorHAnsi"/>
          <w:color w:val="000000"/>
          <w:sz w:val="20"/>
          <w:szCs w:val="20"/>
          <w:lang w:val="es-AR"/>
        </w:rPr>
        <w:t xml:space="preserve"> y amortización al vencimiento de un préstamo bancario obtenido con Banco </w:t>
      </w:r>
      <w:proofErr w:type="spellStart"/>
      <w:r>
        <w:rPr>
          <w:rFonts w:eastAsiaTheme="minorHAnsi"/>
          <w:color w:val="000000"/>
          <w:sz w:val="20"/>
          <w:szCs w:val="20"/>
          <w:lang w:val="es-AR"/>
        </w:rPr>
        <w:t>Comafi</w:t>
      </w:r>
      <w:proofErr w:type="spellEnd"/>
      <w:r>
        <w:rPr>
          <w:rFonts w:eastAsiaTheme="minorHAnsi"/>
          <w:color w:val="000000"/>
          <w:sz w:val="20"/>
          <w:szCs w:val="20"/>
          <w:lang w:val="es-AR"/>
        </w:rPr>
        <w:t xml:space="preserve"> S.A. el 27 de marzo de 2020 por un monto pendiente de capital de $90.000.000, con vencimiento el 21 de septiembre de 2020.</w:t>
      </w:r>
    </w:p>
    <w:p w:rsidR="00E95844" w:rsidRDefault="00E95844" w:rsidP="00E95844">
      <w:pPr>
        <w:pStyle w:val="Prrafodelista"/>
        <w:rPr>
          <w:rFonts w:eastAsiaTheme="minorHAnsi"/>
          <w:color w:val="000000"/>
          <w:sz w:val="20"/>
          <w:szCs w:val="20"/>
          <w:lang w:val="es-AR"/>
        </w:rPr>
      </w:pPr>
    </w:p>
    <w:p w:rsidR="00E95844" w:rsidRDefault="00E95844" w:rsidP="00E95844">
      <w:pPr>
        <w:pStyle w:val="Prrafodelista"/>
        <w:numPr>
          <w:ilvl w:val="0"/>
          <w:numId w:val="17"/>
        </w:numPr>
        <w:autoSpaceDE w:val="0"/>
        <w:autoSpaceDN w:val="0"/>
        <w:adjustRightInd w:val="0"/>
        <w:jc w:val="both"/>
        <w:rPr>
          <w:rFonts w:eastAsiaTheme="minorHAnsi"/>
          <w:color w:val="000000"/>
          <w:sz w:val="20"/>
          <w:szCs w:val="20"/>
          <w:lang w:val="es-AR"/>
        </w:rPr>
      </w:pPr>
      <w:r>
        <w:rPr>
          <w:rFonts w:eastAsiaTheme="minorHAnsi"/>
          <w:color w:val="000000"/>
          <w:sz w:val="20"/>
          <w:szCs w:val="20"/>
          <w:lang w:val="es-AR"/>
        </w:rPr>
        <w:t>Amortización de capital y cancelación de intereses trimestrales con vencimiento 27 de septiembre de 2020 (o día hábil siguiente), correspondientes a las Obligaciones Negociables Clase XXXV Serie II (Tarjeta Naranja S.A.) emitidas el 27 de septiembre de 2016, por un monto pendiente de capital a la fecha del presente de $774.388.889. La tasa de interés aplicable es la tasa BADLAR más un spread de 3,99% nominal anual.</w:t>
      </w:r>
    </w:p>
    <w:p w:rsidR="00E95844" w:rsidRDefault="00E95844" w:rsidP="00E95844">
      <w:pPr>
        <w:pStyle w:val="Prrafodelista"/>
        <w:autoSpaceDE w:val="0"/>
        <w:autoSpaceDN w:val="0"/>
        <w:adjustRightInd w:val="0"/>
        <w:jc w:val="both"/>
        <w:rPr>
          <w:rFonts w:eastAsiaTheme="minorHAnsi"/>
          <w:color w:val="000000"/>
          <w:sz w:val="20"/>
          <w:szCs w:val="20"/>
          <w:lang w:val="es-AR"/>
        </w:rPr>
      </w:pPr>
    </w:p>
    <w:p w:rsidR="00E95844" w:rsidRDefault="00E95844" w:rsidP="00E95844">
      <w:pPr>
        <w:pStyle w:val="Prrafodelista"/>
        <w:numPr>
          <w:ilvl w:val="0"/>
          <w:numId w:val="17"/>
        </w:numPr>
        <w:autoSpaceDE w:val="0"/>
        <w:autoSpaceDN w:val="0"/>
        <w:adjustRightInd w:val="0"/>
        <w:jc w:val="both"/>
        <w:rPr>
          <w:rFonts w:eastAsiaTheme="minorHAnsi"/>
          <w:color w:val="000000"/>
          <w:sz w:val="20"/>
          <w:szCs w:val="20"/>
          <w:lang w:val="es-AR"/>
        </w:rPr>
      </w:pPr>
      <w:r>
        <w:rPr>
          <w:rFonts w:eastAsiaTheme="minorHAnsi"/>
          <w:color w:val="000000"/>
          <w:sz w:val="20"/>
          <w:szCs w:val="20"/>
          <w:lang w:val="es-AR"/>
        </w:rPr>
        <w:t>Descubiertos bancarios transitorios que puedan generarse por capital de trabajo.</w:t>
      </w:r>
    </w:p>
    <w:p w:rsidR="00E95844" w:rsidRDefault="00E95844" w:rsidP="00E95844">
      <w:pPr>
        <w:pStyle w:val="Prrafodelista"/>
        <w:rPr>
          <w:rFonts w:eastAsiaTheme="minorHAnsi"/>
          <w:color w:val="000000"/>
          <w:sz w:val="20"/>
          <w:szCs w:val="20"/>
          <w:lang w:val="es-AR"/>
        </w:rPr>
      </w:pPr>
    </w:p>
    <w:p w:rsidR="00E95844" w:rsidRDefault="00E95844" w:rsidP="00E95844">
      <w:pPr>
        <w:pStyle w:val="Default"/>
        <w:jc w:val="both"/>
        <w:rPr>
          <w:sz w:val="20"/>
          <w:szCs w:val="20"/>
        </w:rPr>
      </w:pPr>
      <w:r>
        <w:rPr>
          <w:sz w:val="20"/>
          <w:szCs w:val="20"/>
          <w:lang w:val="es-AR"/>
        </w:rPr>
        <w:t>El remanente podrá ser destinado a capital de trabajo.</w:t>
      </w:r>
    </w:p>
    <w:p w:rsidR="00E95844" w:rsidRDefault="00E95844" w:rsidP="00E95844">
      <w:pPr>
        <w:jc w:val="both"/>
        <w:rPr>
          <w:rFonts w:eastAsia="Calibri"/>
          <w:color w:val="000000"/>
          <w:sz w:val="20"/>
          <w:szCs w:val="20"/>
          <w:lang w:val="es-ES"/>
        </w:rPr>
      </w:pPr>
    </w:p>
    <w:p w:rsidR="00E95844" w:rsidRDefault="00E95844" w:rsidP="00E95844">
      <w:pPr>
        <w:pStyle w:val="Default"/>
        <w:jc w:val="both"/>
        <w:rPr>
          <w:color w:val="auto"/>
          <w:sz w:val="20"/>
          <w:szCs w:val="20"/>
        </w:rPr>
      </w:pPr>
      <w:r>
        <w:rPr>
          <w:color w:val="auto"/>
          <w:sz w:val="20"/>
          <w:szCs w:val="20"/>
        </w:rPr>
        <w:t>Se estima que los Fondos Netos serán de aproximadamente $3.955.908.453 teniendo en cuenta el Valor Nominal Máximo de $4.000.000.000.</w:t>
      </w:r>
    </w:p>
    <w:p w:rsidR="0017020E" w:rsidRDefault="00E95844" w:rsidP="00D26439">
      <w:pPr>
        <w:pStyle w:val="Default"/>
        <w:jc w:val="both"/>
        <w:rPr>
          <w:color w:val="auto"/>
          <w:sz w:val="20"/>
          <w:szCs w:val="20"/>
        </w:rPr>
      </w:pPr>
      <w:r w:rsidRPr="00251FDB" w:rsidDel="00E95844">
        <w:rPr>
          <w:sz w:val="20"/>
          <w:szCs w:val="20"/>
          <w:lang w:val="es-AR"/>
        </w:rPr>
        <w:t xml:space="preserve"> </w:t>
      </w:r>
    </w:p>
    <w:p w:rsidR="0017020E" w:rsidRPr="00507C47" w:rsidRDefault="0017020E" w:rsidP="0017020E">
      <w:pPr>
        <w:spacing w:line="240" w:lineRule="atLeast"/>
        <w:jc w:val="both"/>
        <w:rPr>
          <w:sz w:val="20"/>
          <w:szCs w:val="20"/>
          <w:lang w:val="es-AR"/>
        </w:rPr>
      </w:pPr>
      <w:bookmarkStart w:id="104" w:name="_Hlk43907708"/>
      <w:r w:rsidRPr="00BE275E">
        <w:rPr>
          <w:sz w:val="20"/>
          <w:szCs w:val="20"/>
          <w:lang w:val="es-AR"/>
        </w:rPr>
        <w:t xml:space="preserve">Pendiente la aplicación de los fondos de acuerdo con el correspondiente plan, los mismos podrán ser invertidos transitoriamente </w:t>
      </w:r>
      <w:bookmarkStart w:id="105" w:name="_Hlk24459623"/>
      <w:r w:rsidRPr="00BE275E">
        <w:rPr>
          <w:sz w:val="20"/>
          <w:szCs w:val="20"/>
          <w:lang w:val="es-AR"/>
        </w:rPr>
        <w:t>en cuotapartes de fondos comunes de inversión abiertos de renta fija que cuenten con calificación igual o superior a “BBB” en la escala local, títulos públicos, incluyendo Letras y Notas del BCRA y/o del Tesoro Nacional y/o cualquier otro valor negociable público</w:t>
      </w:r>
      <w:bookmarkEnd w:id="104"/>
      <w:bookmarkEnd w:id="105"/>
      <w:r w:rsidRPr="00507C47">
        <w:rPr>
          <w:sz w:val="20"/>
          <w:szCs w:val="20"/>
          <w:lang w:val="es-AR"/>
        </w:rPr>
        <w:t xml:space="preserve">. </w:t>
      </w:r>
    </w:p>
    <w:p w:rsidR="0017020E" w:rsidRPr="00EA1080" w:rsidRDefault="0017020E" w:rsidP="0017020E">
      <w:pPr>
        <w:spacing w:line="240" w:lineRule="atLeast"/>
        <w:jc w:val="both"/>
        <w:rPr>
          <w:noProof/>
          <w:sz w:val="20"/>
          <w:szCs w:val="20"/>
          <w:highlight w:val="yellow"/>
          <w:lang w:val="es-AR"/>
        </w:rPr>
      </w:pPr>
    </w:p>
    <w:p w:rsidR="0017020E" w:rsidRPr="00EA1080" w:rsidRDefault="0017020E" w:rsidP="0017020E">
      <w:pPr>
        <w:spacing w:line="240" w:lineRule="atLeast"/>
        <w:jc w:val="both"/>
        <w:rPr>
          <w:noProof/>
          <w:sz w:val="20"/>
          <w:szCs w:val="20"/>
          <w:lang w:val="es-AR"/>
        </w:rPr>
      </w:pPr>
      <w:bookmarkStart w:id="106" w:name="_DV_M95"/>
      <w:bookmarkStart w:id="107" w:name="_DV_M96"/>
      <w:bookmarkStart w:id="108" w:name="_DV_M97"/>
      <w:bookmarkStart w:id="109" w:name="_Hlk511749781"/>
      <w:bookmarkEnd w:id="106"/>
      <w:bookmarkEnd w:id="107"/>
      <w:bookmarkEnd w:id="108"/>
      <w:r w:rsidRPr="00EA1080">
        <w:rPr>
          <w:noProof/>
          <w:sz w:val="20"/>
          <w:szCs w:val="20"/>
          <w:lang w:val="es-AR"/>
        </w:rPr>
        <w:t>La efectiva aplicación de los fondos será oportunamente informada y certificada ante la CNV de conformidad con las Normas de la CNV.</w:t>
      </w:r>
    </w:p>
    <w:bookmarkEnd w:id="109"/>
    <w:p w:rsidR="0017020E" w:rsidRPr="00EA1080" w:rsidRDefault="0017020E" w:rsidP="00D26439">
      <w:pPr>
        <w:pStyle w:val="Default"/>
        <w:jc w:val="both"/>
        <w:rPr>
          <w:color w:val="auto"/>
          <w:sz w:val="20"/>
          <w:szCs w:val="20"/>
          <w:lang w:val="es-AR"/>
        </w:rPr>
      </w:pPr>
    </w:p>
    <w:p w:rsidR="0017020E" w:rsidRPr="00251FDB" w:rsidRDefault="0017020E" w:rsidP="00D26439">
      <w:pPr>
        <w:pStyle w:val="Default"/>
        <w:jc w:val="both"/>
        <w:rPr>
          <w:color w:val="auto"/>
          <w:sz w:val="20"/>
          <w:szCs w:val="20"/>
        </w:rPr>
      </w:pPr>
    </w:p>
    <w:p w:rsidR="00567A4C" w:rsidRPr="00251FDB" w:rsidRDefault="00567A4C" w:rsidP="00D26439">
      <w:pPr>
        <w:jc w:val="both"/>
        <w:rPr>
          <w:sz w:val="20"/>
          <w:szCs w:val="20"/>
          <w:lang w:val="es-AR"/>
        </w:rPr>
      </w:pPr>
      <w:r w:rsidRPr="00251FDB">
        <w:rPr>
          <w:sz w:val="20"/>
          <w:szCs w:val="20"/>
          <w:lang w:val="es-AR"/>
        </w:rPr>
        <w:br w:type="page"/>
      </w:r>
    </w:p>
    <w:p w:rsidR="00D26439" w:rsidRPr="00251FDB" w:rsidRDefault="00AB661E" w:rsidP="003079F0">
      <w:pPr>
        <w:rPr>
          <w:b/>
          <w:smallCaps/>
          <w:sz w:val="20"/>
          <w:szCs w:val="20"/>
          <w:lang w:val="es-AR"/>
        </w:rPr>
      </w:pPr>
      <w:r w:rsidRPr="008F2C84">
        <w:rPr>
          <w:b/>
          <w:smallCaps/>
          <w:sz w:val="20"/>
          <w:szCs w:val="20"/>
          <w:lang w:val="es-AR"/>
        </w:rPr>
        <w:t>V</w:t>
      </w:r>
      <w:r w:rsidR="000D2B4D" w:rsidRPr="008F2C84">
        <w:rPr>
          <w:b/>
          <w:smallCaps/>
          <w:sz w:val="20"/>
          <w:szCs w:val="20"/>
          <w:lang w:val="es-AR"/>
        </w:rPr>
        <w:t>I</w:t>
      </w:r>
      <w:r w:rsidRPr="008F2C84">
        <w:rPr>
          <w:b/>
          <w:smallCaps/>
          <w:sz w:val="20"/>
          <w:szCs w:val="20"/>
          <w:lang w:val="es-AR"/>
        </w:rPr>
        <w:t xml:space="preserve">I. </w:t>
      </w:r>
      <w:r w:rsidR="00D26439" w:rsidRPr="009B26F9">
        <w:rPr>
          <w:b/>
          <w:smallCaps/>
          <w:sz w:val="20"/>
          <w:szCs w:val="20"/>
          <w:lang w:val="es-AR"/>
        </w:rPr>
        <w:t>Gastos de Emisión</w:t>
      </w:r>
    </w:p>
    <w:p w:rsidR="00D26439" w:rsidRDefault="00D26439" w:rsidP="00D26439">
      <w:pPr>
        <w:widowControl w:val="0"/>
        <w:jc w:val="both"/>
        <w:rPr>
          <w:bCs/>
          <w:sz w:val="20"/>
          <w:szCs w:val="20"/>
          <w:highlight w:val="yellow"/>
          <w:lang w:val="es-AR"/>
        </w:rPr>
      </w:pPr>
    </w:p>
    <w:p w:rsidR="00E95844" w:rsidRDefault="00E95844" w:rsidP="00E95844">
      <w:pPr>
        <w:pStyle w:val="Default"/>
        <w:jc w:val="both"/>
        <w:rPr>
          <w:sz w:val="20"/>
          <w:szCs w:val="20"/>
        </w:rPr>
      </w:pPr>
      <w:r>
        <w:rPr>
          <w:sz w:val="20"/>
          <w:szCs w:val="20"/>
        </w:rPr>
        <w:t xml:space="preserve">La comisión a ser pagada a los Colocadores será de aproximadamente </w:t>
      </w:r>
      <w:r>
        <w:rPr>
          <w:sz w:val="20"/>
          <w:szCs w:val="20"/>
          <w:lang w:val="es-AR"/>
        </w:rPr>
        <w:t>$ 24.000.000</w:t>
      </w:r>
      <w:r>
        <w:rPr>
          <w:sz w:val="20"/>
          <w:szCs w:val="20"/>
        </w:rPr>
        <w:t xml:space="preserve"> lo cual representa el 0,6% del Valor Nominal Máximo de emisión de $ 4.000.000.000.</w:t>
      </w:r>
    </w:p>
    <w:p w:rsidR="00E95844" w:rsidRDefault="00E95844" w:rsidP="00E95844">
      <w:pPr>
        <w:widowControl w:val="0"/>
        <w:jc w:val="both"/>
        <w:rPr>
          <w:bCs/>
          <w:sz w:val="20"/>
          <w:szCs w:val="20"/>
          <w:lang w:val="es-ES"/>
        </w:rPr>
      </w:pPr>
    </w:p>
    <w:p w:rsidR="00E95844" w:rsidRDefault="00E95844" w:rsidP="00E95844">
      <w:pPr>
        <w:jc w:val="both"/>
        <w:rPr>
          <w:bCs/>
          <w:sz w:val="20"/>
          <w:lang w:val="es-AR"/>
        </w:rPr>
      </w:pPr>
      <w:r>
        <w:rPr>
          <w:bCs/>
          <w:sz w:val="20"/>
          <w:lang w:val="es-AR"/>
        </w:rPr>
        <w:t>A dicho monto se deberá sumar lo devengado por asesores contables y legales, arancel de CNV, gastos de publicaciones, gastos de los agentes de calificación de riesgo. Ninguno de los gastos mencionados será soportado por los suscriptores de las Obligaciones Negociables.</w:t>
      </w:r>
    </w:p>
    <w:p w:rsidR="00E95844" w:rsidRDefault="00E95844" w:rsidP="00E95844">
      <w:pPr>
        <w:widowControl w:val="0"/>
        <w:jc w:val="both"/>
        <w:rPr>
          <w:bCs/>
          <w:sz w:val="20"/>
          <w:szCs w:val="20"/>
          <w:lang w:val="es-AR"/>
        </w:rPr>
      </w:pPr>
    </w:p>
    <w:p w:rsidR="00E95844" w:rsidRDefault="00E95844" w:rsidP="00E95844">
      <w:pPr>
        <w:widowControl w:val="0"/>
        <w:jc w:val="both"/>
        <w:rPr>
          <w:bCs/>
          <w:sz w:val="20"/>
          <w:szCs w:val="20"/>
          <w:lang w:val="es-AR"/>
        </w:rPr>
      </w:pPr>
      <w:r>
        <w:rPr>
          <w:bCs/>
          <w:sz w:val="20"/>
          <w:szCs w:val="20"/>
          <w:lang w:val="es-AR"/>
        </w:rPr>
        <w:t>Ni el Emisor ni los Colocadores pagarán comisión y/o reembolsarán gasto alguno a los Agentes del MAE, sin perjuicio de lo cual, dichos Agentes del MAE podrán cobrar comisiones y/o gastos directamente a los Inversores que hubieran cursado Ofertas a través suyo.</w:t>
      </w:r>
    </w:p>
    <w:p w:rsidR="00E95844" w:rsidRDefault="00E95844" w:rsidP="00E95844">
      <w:pPr>
        <w:pStyle w:val="Default"/>
        <w:jc w:val="both"/>
        <w:rPr>
          <w:sz w:val="20"/>
          <w:szCs w:val="20"/>
        </w:rPr>
      </w:pPr>
    </w:p>
    <w:p w:rsidR="00E95844" w:rsidRDefault="00E95844" w:rsidP="00E95844">
      <w:pPr>
        <w:pStyle w:val="Default"/>
        <w:jc w:val="both"/>
        <w:rPr>
          <w:sz w:val="20"/>
          <w:szCs w:val="20"/>
        </w:rPr>
      </w:pPr>
      <w:r>
        <w:rPr>
          <w:sz w:val="20"/>
          <w:szCs w:val="20"/>
        </w:rPr>
        <w:t xml:space="preserve">Los gastos de emisión serán de aproximadamente $ 20.091.547 los cuales representan el 0,50 % del Valor Nominal Máximo de emisión de $ 4.000.000.000, de acuerdo con el siguiente detalle (los montos son aproximados y algunos porcentajes han sido redondeados por razones de exposición): </w:t>
      </w:r>
    </w:p>
    <w:p w:rsidR="00E95844" w:rsidRDefault="00E95844" w:rsidP="00E95844">
      <w:pPr>
        <w:pStyle w:val="Default"/>
        <w:jc w:val="both"/>
        <w:rPr>
          <w:sz w:val="20"/>
          <w:szCs w:val="20"/>
        </w:rPr>
      </w:pPr>
    </w:p>
    <w:p w:rsidR="00E95844" w:rsidRDefault="00E95844" w:rsidP="00E95844">
      <w:pPr>
        <w:pStyle w:val="Default"/>
        <w:numPr>
          <w:ilvl w:val="0"/>
          <w:numId w:val="18"/>
        </w:numPr>
        <w:spacing w:after="19"/>
        <w:jc w:val="both"/>
        <w:rPr>
          <w:sz w:val="20"/>
          <w:szCs w:val="20"/>
        </w:rPr>
      </w:pPr>
      <w:r>
        <w:rPr>
          <w:sz w:val="20"/>
          <w:szCs w:val="20"/>
        </w:rPr>
        <w:t xml:space="preserve">honorarios de asesores contables y legales: $ 309.882 lo cual representa el 0,008% del total de la emisión; </w:t>
      </w:r>
    </w:p>
    <w:p w:rsidR="00E95844" w:rsidRDefault="00E95844" w:rsidP="00E95844">
      <w:pPr>
        <w:pStyle w:val="Default"/>
        <w:numPr>
          <w:ilvl w:val="0"/>
          <w:numId w:val="18"/>
        </w:numPr>
        <w:spacing w:after="19"/>
        <w:jc w:val="both"/>
        <w:rPr>
          <w:sz w:val="20"/>
          <w:szCs w:val="20"/>
        </w:rPr>
      </w:pPr>
      <w:r>
        <w:rPr>
          <w:sz w:val="20"/>
          <w:szCs w:val="20"/>
        </w:rPr>
        <w:t xml:space="preserve">arancel de la CNV y otros organismos reguladores: $2.626.033 lo cual representa el 0,066% del total de la emisión; </w:t>
      </w:r>
    </w:p>
    <w:p w:rsidR="00E95844" w:rsidRDefault="00E95844" w:rsidP="00E95844">
      <w:pPr>
        <w:pStyle w:val="Default"/>
        <w:numPr>
          <w:ilvl w:val="0"/>
          <w:numId w:val="18"/>
        </w:numPr>
        <w:spacing w:after="19"/>
        <w:jc w:val="both"/>
        <w:rPr>
          <w:sz w:val="20"/>
          <w:szCs w:val="20"/>
        </w:rPr>
      </w:pPr>
      <w:r>
        <w:rPr>
          <w:sz w:val="20"/>
          <w:szCs w:val="20"/>
        </w:rPr>
        <w:t xml:space="preserve">honorarios del agente de calificación de riesgo: $1.000.000 lo cual representa el 0,025% del total de la emisión; </w:t>
      </w:r>
    </w:p>
    <w:p w:rsidR="00E95844" w:rsidRDefault="00E95844" w:rsidP="00E95844">
      <w:pPr>
        <w:pStyle w:val="Default"/>
        <w:numPr>
          <w:ilvl w:val="0"/>
          <w:numId w:val="18"/>
        </w:numPr>
        <w:spacing w:after="19"/>
        <w:jc w:val="both"/>
        <w:rPr>
          <w:sz w:val="20"/>
          <w:szCs w:val="20"/>
          <w:lang w:val="es-AR"/>
        </w:rPr>
      </w:pPr>
      <w:r>
        <w:rPr>
          <w:sz w:val="20"/>
          <w:szCs w:val="20"/>
        </w:rPr>
        <w:t xml:space="preserve">gastos de publicaciones: $155.664 lo cual representa el 0,004% del total de la emisión; </w:t>
      </w:r>
      <w:r>
        <w:rPr>
          <w:sz w:val="20"/>
          <w:szCs w:val="20"/>
          <w:lang w:val="es-AR"/>
        </w:rPr>
        <w:t>impuestos y otros gastos (incluye 0,67% del impuesto a los créditos e impuesto a los débitos sobre los gastos): $15.999.968 lo cual representa el 0,4% del total de la emisión.</w:t>
      </w:r>
    </w:p>
    <w:p w:rsidR="00D26439" w:rsidRPr="00251FDB" w:rsidRDefault="00D26439" w:rsidP="00D26439">
      <w:pPr>
        <w:jc w:val="both"/>
        <w:rPr>
          <w:b/>
          <w:smallCaps/>
          <w:sz w:val="20"/>
          <w:szCs w:val="20"/>
          <w:lang w:val="es-AR"/>
        </w:rPr>
      </w:pPr>
    </w:p>
    <w:p w:rsidR="00D26439" w:rsidRPr="00251FDB" w:rsidRDefault="00D26439" w:rsidP="00C53983">
      <w:pPr>
        <w:jc w:val="both"/>
        <w:rPr>
          <w:rFonts w:eastAsia="MS Mincho"/>
          <w:sz w:val="20"/>
          <w:szCs w:val="20"/>
          <w:lang w:val="es-AR" w:eastAsia="zh-CN"/>
        </w:rPr>
      </w:pPr>
    </w:p>
    <w:p w:rsidR="004A64D7" w:rsidRPr="00251FDB" w:rsidRDefault="004A64D7" w:rsidP="00C53983">
      <w:pPr>
        <w:jc w:val="both"/>
        <w:rPr>
          <w:rFonts w:eastAsia="MS Mincho"/>
          <w:sz w:val="20"/>
          <w:szCs w:val="20"/>
          <w:lang w:val="es-AR" w:eastAsia="zh-CN"/>
        </w:rPr>
      </w:pPr>
    </w:p>
    <w:p w:rsidR="004A64D7" w:rsidRPr="00251FDB" w:rsidRDefault="004A64D7" w:rsidP="00C53983">
      <w:pPr>
        <w:jc w:val="both"/>
        <w:rPr>
          <w:rFonts w:eastAsia="MS Mincho"/>
          <w:sz w:val="20"/>
          <w:szCs w:val="20"/>
          <w:lang w:val="es-AR" w:eastAsia="zh-CN"/>
        </w:rPr>
      </w:pPr>
    </w:p>
    <w:p w:rsidR="004A64D7" w:rsidRPr="00251FDB" w:rsidRDefault="004A64D7" w:rsidP="00C53983">
      <w:pPr>
        <w:jc w:val="both"/>
        <w:rPr>
          <w:rFonts w:eastAsia="MS Mincho"/>
          <w:sz w:val="20"/>
          <w:szCs w:val="20"/>
          <w:lang w:val="es-AR" w:eastAsia="zh-CN"/>
        </w:rPr>
      </w:pPr>
    </w:p>
    <w:p w:rsidR="007C566C" w:rsidRPr="00251FDB" w:rsidRDefault="00C53983" w:rsidP="002F1D2A">
      <w:pPr>
        <w:jc w:val="both"/>
        <w:rPr>
          <w:rFonts w:eastAsia="MS Mincho"/>
          <w:sz w:val="20"/>
          <w:szCs w:val="20"/>
          <w:lang w:val="es-AR" w:eastAsia="zh-CN"/>
        </w:rPr>
      </w:pPr>
      <w:r w:rsidRPr="00251FDB">
        <w:rPr>
          <w:rFonts w:eastAsia="MS Mincho"/>
          <w:sz w:val="20"/>
          <w:szCs w:val="20"/>
          <w:lang w:val="es-AR" w:eastAsia="zh-CN"/>
        </w:rPr>
        <w:t> </w:t>
      </w:r>
      <w:r w:rsidR="003E1A47" w:rsidRPr="00251FDB">
        <w:rPr>
          <w:rFonts w:eastAsia="MS Mincho"/>
          <w:sz w:val="20"/>
          <w:szCs w:val="20"/>
          <w:lang w:val="es-AR" w:eastAsia="zh-CN"/>
        </w:rPr>
        <w:br w:type="page"/>
      </w:r>
    </w:p>
    <w:p w:rsidR="003233F9" w:rsidRPr="00251FDB" w:rsidRDefault="00AB661E" w:rsidP="003079F0">
      <w:pPr>
        <w:widowControl w:val="0"/>
        <w:outlineLvl w:val="0"/>
        <w:rPr>
          <w:b/>
          <w:smallCaps/>
          <w:sz w:val="20"/>
          <w:szCs w:val="20"/>
          <w:lang w:val="es-AR"/>
        </w:rPr>
      </w:pPr>
      <w:r>
        <w:rPr>
          <w:b/>
          <w:smallCaps/>
          <w:sz w:val="20"/>
          <w:szCs w:val="20"/>
          <w:lang w:val="es-AR"/>
        </w:rPr>
        <w:t>VI</w:t>
      </w:r>
      <w:r w:rsidR="000D2B4D">
        <w:rPr>
          <w:b/>
          <w:smallCaps/>
          <w:sz w:val="20"/>
          <w:szCs w:val="20"/>
          <w:lang w:val="es-AR"/>
        </w:rPr>
        <w:t>I</w:t>
      </w:r>
      <w:r>
        <w:rPr>
          <w:b/>
          <w:smallCaps/>
          <w:sz w:val="20"/>
          <w:szCs w:val="20"/>
          <w:lang w:val="es-AR"/>
        </w:rPr>
        <w:t xml:space="preserve">I. </w:t>
      </w:r>
      <w:r w:rsidR="003233F9" w:rsidRPr="00251FDB">
        <w:rPr>
          <w:b/>
          <w:smallCaps/>
          <w:sz w:val="20"/>
          <w:szCs w:val="20"/>
          <w:lang w:val="es-AR"/>
        </w:rPr>
        <w:t>Hechos Posteriores al Cierre</w:t>
      </w:r>
    </w:p>
    <w:p w:rsidR="00251FDB" w:rsidRPr="00251FDB" w:rsidRDefault="00251FDB" w:rsidP="00251FDB">
      <w:pPr>
        <w:spacing w:line="240" w:lineRule="atLeast"/>
        <w:rPr>
          <w:sz w:val="20"/>
          <w:szCs w:val="20"/>
          <w:lang w:val="es-AR"/>
        </w:rPr>
      </w:pPr>
    </w:p>
    <w:p w:rsidR="00251FDB" w:rsidRPr="00251FDB" w:rsidRDefault="00251FDB" w:rsidP="00251FDB">
      <w:pPr>
        <w:spacing w:line="240" w:lineRule="atLeast"/>
        <w:jc w:val="both"/>
        <w:rPr>
          <w:i/>
          <w:sz w:val="20"/>
          <w:szCs w:val="20"/>
          <w:lang w:val="es-AR"/>
        </w:rPr>
      </w:pPr>
      <w:r w:rsidRPr="00251FDB">
        <w:rPr>
          <w:i/>
          <w:sz w:val="20"/>
          <w:szCs w:val="20"/>
          <w:lang w:val="es-AR"/>
        </w:rPr>
        <w:t>La presente sección actualiza y complementa la información incluida en el Prospecto. Se recomienda a los potenciales inversores la lectura de la información descripta en el presente Capítulo en forma conjunta con aquella detallada en el Prospecto.</w:t>
      </w:r>
    </w:p>
    <w:p w:rsidR="00251FDB" w:rsidRPr="00251FDB" w:rsidRDefault="00251FDB" w:rsidP="00251FDB">
      <w:pPr>
        <w:spacing w:line="240" w:lineRule="atLeast"/>
        <w:jc w:val="both"/>
        <w:rPr>
          <w:sz w:val="20"/>
          <w:szCs w:val="20"/>
          <w:lang w:val="es-AR"/>
        </w:rPr>
      </w:pPr>
    </w:p>
    <w:p w:rsidR="00251FDB" w:rsidRPr="00251FDB" w:rsidRDefault="00251FDB" w:rsidP="00251FDB">
      <w:pPr>
        <w:spacing w:line="240" w:lineRule="atLeast"/>
        <w:jc w:val="both"/>
        <w:rPr>
          <w:b/>
          <w:sz w:val="20"/>
          <w:szCs w:val="20"/>
          <w:lang w:val="es-AR"/>
        </w:rPr>
      </w:pPr>
      <w:r w:rsidRPr="00251FDB">
        <w:rPr>
          <w:b/>
          <w:sz w:val="20"/>
          <w:szCs w:val="20"/>
          <w:lang w:val="es-AR"/>
        </w:rPr>
        <w:t>Acontecimientos recientes</w:t>
      </w:r>
    </w:p>
    <w:p w:rsidR="00251FDB" w:rsidRPr="00251FDB" w:rsidRDefault="00251FDB" w:rsidP="00251FDB">
      <w:pPr>
        <w:spacing w:line="240" w:lineRule="atLeast"/>
        <w:jc w:val="both"/>
        <w:rPr>
          <w:sz w:val="20"/>
          <w:szCs w:val="20"/>
          <w:lang w:val="es-AR"/>
        </w:rPr>
      </w:pPr>
    </w:p>
    <w:p w:rsidR="00251FDB" w:rsidRPr="00251FDB" w:rsidRDefault="00251FDB" w:rsidP="00251FDB">
      <w:pPr>
        <w:spacing w:line="240" w:lineRule="atLeast"/>
        <w:jc w:val="both"/>
        <w:rPr>
          <w:b/>
          <w:sz w:val="20"/>
          <w:szCs w:val="20"/>
          <w:lang w:val="es-AR"/>
        </w:rPr>
      </w:pPr>
      <w:r w:rsidRPr="00251FDB">
        <w:rPr>
          <w:b/>
          <w:i/>
          <w:sz w:val="20"/>
          <w:szCs w:val="20"/>
          <w:lang w:val="es-AR"/>
        </w:rPr>
        <w:t>a) Asamblea General Ordinaria y Extraordinaria de Accionistas</w:t>
      </w:r>
    </w:p>
    <w:p w:rsidR="00251FDB" w:rsidRPr="00251FDB" w:rsidRDefault="00251FDB" w:rsidP="00251FDB">
      <w:pPr>
        <w:spacing w:line="240" w:lineRule="atLeast"/>
        <w:jc w:val="both"/>
        <w:rPr>
          <w:sz w:val="20"/>
          <w:szCs w:val="20"/>
          <w:lang w:val="es-AR"/>
        </w:rPr>
      </w:pPr>
    </w:p>
    <w:p w:rsidR="00251FDB" w:rsidRPr="00251FDB" w:rsidRDefault="00251FDB" w:rsidP="00251FDB">
      <w:pPr>
        <w:spacing w:line="240" w:lineRule="atLeast"/>
        <w:jc w:val="both"/>
        <w:rPr>
          <w:sz w:val="20"/>
          <w:szCs w:val="20"/>
          <w:lang w:val="es-AR"/>
        </w:rPr>
      </w:pPr>
      <w:r w:rsidRPr="00251FDB">
        <w:rPr>
          <w:sz w:val="20"/>
          <w:szCs w:val="20"/>
          <w:lang w:val="es-AR"/>
        </w:rPr>
        <w:t>Con fecha 11 de marzo de 2020 el Directorio del Emisor resolvió convocar a una Asamblea General Ordinaria y Extraordinaria de Accionistas la que se llevó a cabo el 16 de abril de 2020 mediante la utilización del sistema de videoconferencia, en cumplimiento con lo dispuesto por la Resolución General N°830/2020 de la CNV, en virtud de que a la fecha de la Asamblea, se mantenían vigentes las restricciones a la libre circulación de las personas en general, con carácter preventivo y/u obligatorio y/o sectorizado como consecuencia del estado de emergencia sanitaria dispuestas por el Decreto de Necesidad y Urgencia N° 297/2020, y sus prorrogas  (la “</w:t>
      </w:r>
      <w:r w:rsidRPr="00251FDB">
        <w:rPr>
          <w:sz w:val="20"/>
          <w:szCs w:val="20"/>
          <w:u w:val="single"/>
          <w:lang w:val="es-AR"/>
        </w:rPr>
        <w:t>Asamblea</w:t>
      </w:r>
      <w:r w:rsidRPr="00251FDB">
        <w:rPr>
          <w:sz w:val="20"/>
          <w:szCs w:val="20"/>
          <w:lang w:val="es-AR"/>
        </w:rPr>
        <w:t xml:space="preserve">”). </w:t>
      </w:r>
    </w:p>
    <w:p w:rsidR="00251FDB" w:rsidRPr="00251FDB" w:rsidRDefault="00251FDB" w:rsidP="00251FDB">
      <w:pPr>
        <w:spacing w:line="240" w:lineRule="atLeast"/>
        <w:jc w:val="both"/>
        <w:rPr>
          <w:sz w:val="20"/>
          <w:szCs w:val="20"/>
          <w:lang w:val="es-AR"/>
        </w:rPr>
      </w:pPr>
    </w:p>
    <w:p w:rsidR="00251FDB" w:rsidRPr="00251FDB" w:rsidRDefault="00251FDB" w:rsidP="00251FDB">
      <w:pPr>
        <w:spacing w:line="240" w:lineRule="atLeast"/>
        <w:jc w:val="both"/>
        <w:rPr>
          <w:sz w:val="20"/>
          <w:szCs w:val="20"/>
          <w:lang w:val="es-AR"/>
        </w:rPr>
      </w:pPr>
      <w:r w:rsidRPr="00251FDB">
        <w:rPr>
          <w:sz w:val="20"/>
          <w:szCs w:val="20"/>
          <w:lang w:val="es-AR"/>
        </w:rPr>
        <w:t xml:space="preserve">En la Asamblea, se resolvieron entre otras cuestiones, las siguientes: </w:t>
      </w:r>
    </w:p>
    <w:p w:rsidR="00251FDB" w:rsidRPr="00251FDB" w:rsidRDefault="00251FDB" w:rsidP="00251FDB">
      <w:pPr>
        <w:spacing w:line="240" w:lineRule="atLeast"/>
        <w:jc w:val="both"/>
        <w:rPr>
          <w:sz w:val="20"/>
          <w:szCs w:val="20"/>
          <w:lang w:val="es-AR"/>
        </w:rPr>
      </w:pPr>
    </w:p>
    <w:p w:rsidR="00251FDB" w:rsidRPr="00251FDB" w:rsidRDefault="00251FDB" w:rsidP="00251FDB">
      <w:pPr>
        <w:spacing w:line="240" w:lineRule="atLeast"/>
        <w:jc w:val="both"/>
        <w:rPr>
          <w:sz w:val="20"/>
          <w:szCs w:val="20"/>
          <w:lang w:val="es-AR"/>
        </w:rPr>
      </w:pPr>
      <w:r w:rsidRPr="00251FDB">
        <w:rPr>
          <w:b/>
          <w:sz w:val="20"/>
          <w:szCs w:val="20"/>
          <w:lang w:val="es-AR"/>
        </w:rPr>
        <w:t>(i)</w:t>
      </w:r>
      <w:r w:rsidRPr="00251FDB">
        <w:rPr>
          <w:sz w:val="20"/>
          <w:szCs w:val="20"/>
          <w:lang w:val="es-AR"/>
        </w:rPr>
        <w:t xml:space="preserve"> Aprobar el inventario, estado de situación financiera, estado de resultado, estado de cambios en el patrimonio y estado de flujo de efectivo y demás documentos previstos en el artículo 234, inciso 1, de la Ley General de Sociedades, memoria, reseña informativa e informe de la Comisión Fiscalizadora, correspondientes al ejercicio finalizado el 31 de diciembre de 2019 de</w:t>
      </w:r>
      <w:r w:rsidR="00271E19">
        <w:rPr>
          <w:sz w:val="20"/>
          <w:szCs w:val="20"/>
          <w:lang w:val="es-AR"/>
        </w:rPr>
        <w:t>l</w:t>
      </w:r>
      <w:r w:rsidRPr="00251FDB">
        <w:rPr>
          <w:sz w:val="20"/>
          <w:szCs w:val="20"/>
          <w:lang w:val="es-AR"/>
        </w:rPr>
        <w:t xml:space="preserve"> Emisor.</w:t>
      </w:r>
    </w:p>
    <w:p w:rsidR="00251FDB" w:rsidRPr="00251FDB" w:rsidRDefault="00251FDB" w:rsidP="00251FDB">
      <w:pPr>
        <w:spacing w:line="240" w:lineRule="atLeast"/>
        <w:jc w:val="both"/>
        <w:rPr>
          <w:sz w:val="20"/>
          <w:szCs w:val="20"/>
          <w:lang w:val="es-AR"/>
        </w:rPr>
      </w:pPr>
    </w:p>
    <w:p w:rsidR="00251FDB" w:rsidRPr="00251FDB" w:rsidRDefault="00251FDB" w:rsidP="00251FDB">
      <w:pPr>
        <w:spacing w:line="240" w:lineRule="atLeast"/>
        <w:jc w:val="both"/>
        <w:rPr>
          <w:sz w:val="20"/>
          <w:szCs w:val="20"/>
          <w:lang w:val="es-AR"/>
        </w:rPr>
      </w:pPr>
      <w:r w:rsidRPr="00251FDB">
        <w:rPr>
          <w:b/>
          <w:sz w:val="20"/>
          <w:szCs w:val="20"/>
          <w:lang w:val="es-AR"/>
        </w:rPr>
        <w:t>(ii)</w:t>
      </w:r>
      <w:r w:rsidRPr="00251FDB">
        <w:rPr>
          <w:sz w:val="20"/>
          <w:szCs w:val="20"/>
          <w:lang w:val="es-AR"/>
        </w:rPr>
        <w:t xml:space="preserve"> </w:t>
      </w:r>
      <w:r w:rsidRPr="00251FDB">
        <w:rPr>
          <w:i/>
          <w:sz w:val="20"/>
          <w:szCs w:val="20"/>
          <w:lang w:val="es-AR"/>
        </w:rPr>
        <w:t>Remuneración:</w:t>
      </w:r>
      <w:r w:rsidRPr="00251FDB">
        <w:rPr>
          <w:sz w:val="20"/>
          <w:szCs w:val="20"/>
          <w:lang w:val="es-AR"/>
        </w:rPr>
        <w:t xml:space="preserve"> Se resolvió por unanimidad (a) aprobar y destinar la suma de $39.187.125 (Pesos treinta y nueve millones ciento ochenta y siete mil ciento veinticinco) para honorarios al Directorio de</w:t>
      </w:r>
      <w:r w:rsidR="00271E19">
        <w:rPr>
          <w:sz w:val="20"/>
          <w:szCs w:val="20"/>
          <w:lang w:val="es-AR"/>
        </w:rPr>
        <w:t>l</w:t>
      </w:r>
      <w:r w:rsidRPr="00251FDB">
        <w:rPr>
          <w:sz w:val="20"/>
          <w:szCs w:val="20"/>
          <w:lang w:val="es-AR"/>
        </w:rPr>
        <w:t xml:space="preserve"> Emisor correspondiente al ejercicio finalizado el 31 de diciembre 2019; (b) aprobar la suma de $16.966.619 (Pesos dieciséis millones novecientos sesenta y seis mil seiscientos diecinueve) en concepto de remuneración percibida por los Directores en relación de dependencia durante el ejercicio iniciado el 1 de enero de 2019 y finalizado el 31 de diciembre del mismo año; y (c) Aprobar la suma de $2.443.924 (Pesos dos millones cuatrocientos cuarenta y tres mil novecientos veinticuatro) en concepto de remuneración para la Comisión Fiscalizadora por las funciones desarrolladas en  durante el ejercicio iniciado el 1 de enero de 2019 y finalizado el 31 de diciembre del mismo año.</w:t>
      </w:r>
    </w:p>
    <w:p w:rsidR="00251FDB" w:rsidRPr="00251FDB" w:rsidRDefault="00251FDB" w:rsidP="00251FDB">
      <w:pPr>
        <w:spacing w:line="240" w:lineRule="atLeast"/>
        <w:jc w:val="both"/>
        <w:rPr>
          <w:sz w:val="20"/>
          <w:szCs w:val="20"/>
          <w:lang w:val="es-AR"/>
        </w:rPr>
      </w:pPr>
    </w:p>
    <w:p w:rsidR="00251FDB" w:rsidRPr="00251FDB" w:rsidRDefault="00251FDB" w:rsidP="00251FDB">
      <w:pPr>
        <w:spacing w:line="240" w:lineRule="atLeast"/>
        <w:jc w:val="both"/>
        <w:rPr>
          <w:sz w:val="20"/>
          <w:szCs w:val="20"/>
          <w:lang w:val="es-AR"/>
        </w:rPr>
      </w:pPr>
      <w:r w:rsidRPr="00251FDB">
        <w:rPr>
          <w:b/>
          <w:sz w:val="20"/>
          <w:szCs w:val="20"/>
          <w:lang w:val="es-AR"/>
        </w:rPr>
        <w:t xml:space="preserve">(iii) </w:t>
      </w:r>
      <w:r w:rsidRPr="00251FDB">
        <w:rPr>
          <w:i/>
          <w:sz w:val="20"/>
          <w:szCs w:val="20"/>
          <w:lang w:val="es-AR"/>
        </w:rPr>
        <w:t>Elección de miembros del Directorio:</w:t>
      </w:r>
      <w:r w:rsidRPr="00251FDB">
        <w:rPr>
          <w:sz w:val="20"/>
          <w:szCs w:val="20"/>
          <w:lang w:val="es-AR"/>
        </w:rPr>
        <w:t xml:space="preserve"> A continuación, se detallan los miembros del Directorio de</w:t>
      </w:r>
      <w:r w:rsidR="00271E19">
        <w:rPr>
          <w:sz w:val="20"/>
          <w:szCs w:val="20"/>
          <w:lang w:val="es-AR"/>
        </w:rPr>
        <w:t>l</w:t>
      </w:r>
      <w:r w:rsidRPr="00251FDB">
        <w:rPr>
          <w:sz w:val="20"/>
          <w:szCs w:val="20"/>
          <w:lang w:val="es-AR"/>
        </w:rPr>
        <w:t xml:space="preserve"> Emisor designados por la Asamblea.</w:t>
      </w:r>
    </w:p>
    <w:p w:rsidR="00251FDB" w:rsidRPr="00251FDB" w:rsidRDefault="00251FDB" w:rsidP="00251FDB">
      <w:pPr>
        <w:spacing w:line="240" w:lineRule="atLeast"/>
        <w:jc w:val="both"/>
        <w:rPr>
          <w:sz w:val="20"/>
          <w:szCs w:val="20"/>
          <w:lang w:val="es-AR"/>
        </w:rPr>
      </w:pPr>
    </w:p>
    <w:tbl>
      <w:tblPr>
        <w:tblW w:w="8789" w:type="dxa"/>
        <w:tblLayout w:type="fixed"/>
        <w:tblCellMar>
          <w:left w:w="70" w:type="dxa"/>
          <w:right w:w="70" w:type="dxa"/>
        </w:tblCellMar>
        <w:tblLook w:val="0000" w:firstRow="0" w:lastRow="0" w:firstColumn="0" w:lastColumn="0" w:noHBand="0" w:noVBand="0"/>
      </w:tblPr>
      <w:tblGrid>
        <w:gridCol w:w="1560"/>
        <w:gridCol w:w="2976"/>
        <w:gridCol w:w="1134"/>
        <w:gridCol w:w="142"/>
        <w:gridCol w:w="1276"/>
        <w:gridCol w:w="1701"/>
      </w:tblGrid>
      <w:tr w:rsidR="00251FDB" w:rsidRPr="00251FDB" w:rsidTr="00E35CDC">
        <w:tc>
          <w:tcPr>
            <w:tcW w:w="1560" w:type="dxa"/>
            <w:tcBorders>
              <w:bottom w:val="single" w:sz="4" w:space="0" w:color="auto"/>
            </w:tcBorders>
            <w:vAlign w:val="bottom"/>
          </w:tcPr>
          <w:p w:rsidR="00251FDB" w:rsidRPr="00251FDB" w:rsidRDefault="00251FDB" w:rsidP="00251FDB">
            <w:pPr>
              <w:spacing w:before="100" w:beforeAutospacing="1" w:after="100" w:afterAutospacing="1"/>
              <w:rPr>
                <w:b/>
                <w:sz w:val="20"/>
                <w:szCs w:val="20"/>
              </w:rPr>
            </w:pPr>
            <w:r w:rsidRPr="00251FDB">
              <w:rPr>
                <w:b/>
                <w:sz w:val="20"/>
                <w:szCs w:val="20"/>
              </w:rPr>
              <w:t>Cargo</w:t>
            </w:r>
          </w:p>
        </w:tc>
        <w:tc>
          <w:tcPr>
            <w:tcW w:w="2976" w:type="dxa"/>
            <w:tcBorders>
              <w:bottom w:val="single" w:sz="4" w:space="0" w:color="auto"/>
            </w:tcBorders>
            <w:vAlign w:val="bottom"/>
          </w:tcPr>
          <w:p w:rsidR="00251FDB" w:rsidRPr="00251FDB" w:rsidRDefault="00251FDB" w:rsidP="00251FDB">
            <w:pPr>
              <w:spacing w:before="100" w:beforeAutospacing="1" w:after="100" w:afterAutospacing="1"/>
              <w:rPr>
                <w:b/>
                <w:sz w:val="20"/>
                <w:szCs w:val="20"/>
              </w:rPr>
            </w:pPr>
            <w:proofErr w:type="spellStart"/>
            <w:r w:rsidRPr="00251FDB">
              <w:rPr>
                <w:b/>
                <w:sz w:val="20"/>
                <w:szCs w:val="20"/>
              </w:rPr>
              <w:t>Nombre</w:t>
            </w:r>
            <w:proofErr w:type="spellEnd"/>
            <w:r w:rsidRPr="00251FDB">
              <w:rPr>
                <w:b/>
                <w:sz w:val="20"/>
                <w:szCs w:val="20"/>
              </w:rPr>
              <w:t xml:space="preserve"> y </w:t>
            </w:r>
            <w:proofErr w:type="spellStart"/>
            <w:r w:rsidRPr="00251FDB">
              <w:rPr>
                <w:b/>
                <w:sz w:val="20"/>
                <w:szCs w:val="20"/>
              </w:rPr>
              <w:t>Apellido</w:t>
            </w:r>
            <w:proofErr w:type="spellEnd"/>
          </w:p>
        </w:tc>
        <w:tc>
          <w:tcPr>
            <w:tcW w:w="1276" w:type="dxa"/>
            <w:gridSpan w:val="2"/>
            <w:tcBorders>
              <w:bottom w:val="single" w:sz="4" w:space="0" w:color="auto"/>
            </w:tcBorders>
            <w:vAlign w:val="bottom"/>
          </w:tcPr>
          <w:p w:rsidR="00251FDB" w:rsidRPr="00251FDB" w:rsidRDefault="00251FDB" w:rsidP="00251FDB">
            <w:pPr>
              <w:spacing w:before="100" w:beforeAutospacing="1" w:after="100" w:afterAutospacing="1"/>
              <w:rPr>
                <w:b/>
                <w:sz w:val="20"/>
                <w:szCs w:val="20"/>
              </w:rPr>
            </w:pPr>
            <w:proofErr w:type="spellStart"/>
            <w:r w:rsidRPr="00251FDB">
              <w:rPr>
                <w:b/>
                <w:sz w:val="20"/>
                <w:szCs w:val="20"/>
              </w:rPr>
              <w:t>Vencimiento</w:t>
            </w:r>
            <w:proofErr w:type="spellEnd"/>
            <w:r w:rsidRPr="00251FDB">
              <w:rPr>
                <w:b/>
                <w:sz w:val="20"/>
                <w:szCs w:val="20"/>
              </w:rPr>
              <w:t xml:space="preserve"> del </w:t>
            </w:r>
            <w:proofErr w:type="spellStart"/>
            <w:r w:rsidRPr="00251FDB">
              <w:rPr>
                <w:b/>
                <w:sz w:val="20"/>
                <w:szCs w:val="20"/>
              </w:rPr>
              <w:t>mandato</w:t>
            </w:r>
            <w:proofErr w:type="spellEnd"/>
          </w:p>
        </w:tc>
        <w:tc>
          <w:tcPr>
            <w:tcW w:w="1276" w:type="dxa"/>
            <w:tcBorders>
              <w:bottom w:val="single" w:sz="4" w:space="0" w:color="auto"/>
            </w:tcBorders>
            <w:vAlign w:val="bottom"/>
          </w:tcPr>
          <w:p w:rsidR="00251FDB" w:rsidRPr="00251FDB" w:rsidRDefault="00251FDB" w:rsidP="00251FDB">
            <w:pPr>
              <w:spacing w:before="100" w:beforeAutospacing="1" w:after="100" w:afterAutospacing="1"/>
              <w:rPr>
                <w:b/>
                <w:sz w:val="20"/>
                <w:szCs w:val="20"/>
              </w:rPr>
            </w:pPr>
            <w:r w:rsidRPr="00251FDB">
              <w:rPr>
                <w:b/>
                <w:sz w:val="20"/>
                <w:szCs w:val="20"/>
              </w:rPr>
              <w:t>CUIL/CUIT</w:t>
            </w:r>
          </w:p>
        </w:tc>
        <w:tc>
          <w:tcPr>
            <w:tcW w:w="1701" w:type="dxa"/>
            <w:tcBorders>
              <w:bottom w:val="single" w:sz="4" w:space="0" w:color="auto"/>
            </w:tcBorders>
            <w:vAlign w:val="bottom"/>
          </w:tcPr>
          <w:p w:rsidR="00251FDB" w:rsidRPr="00251FDB" w:rsidRDefault="00251FDB" w:rsidP="00251FDB">
            <w:pPr>
              <w:spacing w:before="100" w:beforeAutospacing="1" w:after="100" w:afterAutospacing="1"/>
              <w:rPr>
                <w:b/>
                <w:sz w:val="20"/>
                <w:szCs w:val="20"/>
              </w:rPr>
            </w:pPr>
            <w:proofErr w:type="spellStart"/>
            <w:r w:rsidRPr="00251FDB">
              <w:rPr>
                <w:b/>
                <w:sz w:val="20"/>
                <w:szCs w:val="20"/>
              </w:rPr>
              <w:t>Independencia</w:t>
            </w:r>
            <w:proofErr w:type="spellEnd"/>
          </w:p>
        </w:tc>
      </w:tr>
      <w:tr w:rsidR="00251FDB" w:rsidRPr="00251FDB" w:rsidTr="00E35CDC">
        <w:tc>
          <w:tcPr>
            <w:tcW w:w="1560"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Presidente</w:t>
            </w:r>
          </w:p>
        </w:tc>
        <w:tc>
          <w:tcPr>
            <w:tcW w:w="2976"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Alejandro Asrin</w:t>
            </w:r>
          </w:p>
        </w:tc>
        <w:tc>
          <w:tcPr>
            <w:tcW w:w="1134"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31.12.2020</w:t>
            </w:r>
          </w:p>
        </w:tc>
        <w:tc>
          <w:tcPr>
            <w:tcW w:w="1418" w:type="dxa"/>
            <w:gridSpan w:val="2"/>
            <w:tcBorders>
              <w:bottom w:val="single" w:sz="4" w:space="0" w:color="auto"/>
            </w:tcBorders>
            <w:vAlign w:val="bottom"/>
          </w:tcPr>
          <w:p w:rsidR="00251FDB" w:rsidRPr="00251FDB" w:rsidRDefault="00251FDB" w:rsidP="00251FDB">
            <w:pPr>
              <w:spacing w:before="100" w:beforeAutospacing="1" w:after="100" w:afterAutospacing="1"/>
              <w:rPr>
                <w:sz w:val="20"/>
                <w:szCs w:val="20"/>
                <w:highlight w:val="yellow"/>
              </w:rPr>
            </w:pPr>
            <w:r w:rsidRPr="00251FDB">
              <w:rPr>
                <w:sz w:val="20"/>
                <w:szCs w:val="20"/>
              </w:rPr>
              <w:t xml:space="preserve">20-21022583-9 </w:t>
            </w:r>
          </w:p>
        </w:tc>
        <w:tc>
          <w:tcPr>
            <w:tcW w:w="1701"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No Independiente</w:t>
            </w:r>
          </w:p>
        </w:tc>
      </w:tr>
      <w:tr w:rsidR="00251FDB" w:rsidRPr="00251FDB" w:rsidTr="00E35CDC">
        <w:tc>
          <w:tcPr>
            <w:tcW w:w="1560"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proofErr w:type="spellStart"/>
            <w:r w:rsidRPr="00251FDB">
              <w:rPr>
                <w:sz w:val="20"/>
                <w:szCs w:val="20"/>
              </w:rPr>
              <w:t>Vicepresidente</w:t>
            </w:r>
            <w:proofErr w:type="spellEnd"/>
          </w:p>
        </w:tc>
        <w:tc>
          <w:tcPr>
            <w:tcW w:w="2976"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proofErr w:type="spellStart"/>
            <w:r w:rsidRPr="00251FDB">
              <w:rPr>
                <w:sz w:val="20"/>
                <w:szCs w:val="20"/>
              </w:rPr>
              <w:t>Lic</w:t>
            </w:r>
            <w:proofErr w:type="spellEnd"/>
            <w:r w:rsidRPr="00251FDB">
              <w:rPr>
                <w:sz w:val="20"/>
                <w:szCs w:val="20"/>
              </w:rPr>
              <w:t xml:space="preserve">. Miguel </w:t>
            </w:r>
            <w:proofErr w:type="spellStart"/>
            <w:r w:rsidRPr="00251FDB">
              <w:rPr>
                <w:sz w:val="20"/>
                <w:szCs w:val="20"/>
              </w:rPr>
              <w:t>Ángel</w:t>
            </w:r>
            <w:proofErr w:type="spellEnd"/>
            <w:r w:rsidRPr="00251FDB">
              <w:rPr>
                <w:sz w:val="20"/>
                <w:szCs w:val="20"/>
              </w:rPr>
              <w:t xml:space="preserve"> Peña</w:t>
            </w:r>
          </w:p>
        </w:tc>
        <w:tc>
          <w:tcPr>
            <w:tcW w:w="1134"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31.12.2020</w:t>
            </w:r>
          </w:p>
        </w:tc>
        <w:tc>
          <w:tcPr>
            <w:tcW w:w="1418" w:type="dxa"/>
            <w:gridSpan w:val="2"/>
            <w:tcBorders>
              <w:bottom w:val="single" w:sz="4" w:space="0" w:color="auto"/>
            </w:tcBorders>
            <w:vAlign w:val="bottom"/>
          </w:tcPr>
          <w:p w:rsidR="00251FDB" w:rsidRPr="00251FDB" w:rsidRDefault="00251FDB" w:rsidP="00251FDB">
            <w:pPr>
              <w:spacing w:before="100" w:beforeAutospacing="1" w:after="100" w:afterAutospacing="1"/>
              <w:rPr>
                <w:sz w:val="20"/>
                <w:szCs w:val="20"/>
                <w:highlight w:val="yellow"/>
              </w:rPr>
            </w:pPr>
            <w:r w:rsidRPr="00251FDB">
              <w:rPr>
                <w:sz w:val="20"/>
                <w:szCs w:val="20"/>
              </w:rPr>
              <w:t>20-14951106-8</w:t>
            </w:r>
          </w:p>
        </w:tc>
        <w:tc>
          <w:tcPr>
            <w:tcW w:w="1701"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No Independiente</w:t>
            </w:r>
          </w:p>
        </w:tc>
      </w:tr>
      <w:tr w:rsidR="00251FDB" w:rsidRPr="00251FDB" w:rsidTr="00E35CDC">
        <w:tc>
          <w:tcPr>
            <w:tcW w:w="1560"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Director Titular</w:t>
            </w:r>
          </w:p>
        </w:tc>
        <w:tc>
          <w:tcPr>
            <w:tcW w:w="2976"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proofErr w:type="spellStart"/>
            <w:r w:rsidRPr="00251FDB">
              <w:rPr>
                <w:sz w:val="20"/>
                <w:szCs w:val="20"/>
              </w:rPr>
              <w:t>Lic</w:t>
            </w:r>
            <w:proofErr w:type="spellEnd"/>
            <w:r w:rsidRPr="00251FDB">
              <w:rPr>
                <w:sz w:val="20"/>
                <w:szCs w:val="20"/>
              </w:rPr>
              <w:t>. Pablo Gutiérrez</w:t>
            </w:r>
          </w:p>
        </w:tc>
        <w:tc>
          <w:tcPr>
            <w:tcW w:w="1134"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31.12.2020</w:t>
            </w:r>
          </w:p>
        </w:tc>
        <w:tc>
          <w:tcPr>
            <w:tcW w:w="1418" w:type="dxa"/>
            <w:gridSpan w:val="2"/>
            <w:tcBorders>
              <w:bottom w:val="single" w:sz="4" w:space="0" w:color="auto"/>
            </w:tcBorders>
            <w:vAlign w:val="bottom"/>
          </w:tcPr>
          <w:p w:rsidR="00251FDB" w:rsidRPr="00251FDB" w:rsidRDefault="00251FDB" w:rsidP="00251FDB">
            <w:pPr>
              <w:spacing w:before="100" w:beforeAutospacing="1" w:after="100" w:afterAutospacing="1"/>
              <w:rPr>
                <w:sz w:val="20"/>
                <w:szCs w:val="20"/>
                <w:highlight w:val="yellow"/>
              </w:rPr>
            </w:pPr>
            <w:r w:rsidRPr="00251FDB">
              <w:rPr>
                <w:sz w:val="20"/>
                <w:szCs w:val="20"/>
              </w:rPr>
              <w:t>20-13881618-5</w:t>
            </w:r>
          </w:p>
        </w:tc>
        <w:tc>
          <w:tcPr>
            <w:tcW w:w="1701"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No Independiente</w:t>
            </w:r>
          </w:p>
        </w:tc>
      </w:tr>
      <w:tr w:rsidR="00251FDB" w:rsidRPr="00251FDB" w:rsidTr="00E35CDC">
        <w:tc>
          <w:tcPr>
            <w:tcW w:w="1560"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Director Titular</w:t>
            </w:r>
          </w:p>
        </w:tc>
        <w:tc>
          <w:tcPr>
            <w:tcW w:w="2976"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 xml:space="preserve">Cdor. Daniel Antonio </w:t>
            </w:r>
            <w:proofErr w:type="spellStart"/>
            <w:r w:rsidRPr="00251FDB">
              <w:rPr>
                <w:sz w:val="20"/>
                <w:szCs w:val="20"/>
              </w:rPr>
              <w:t>Llambías</w:t>
            </w:r>
            <w:proofErr w:type="spellEnd"/>
          </w:p>
        </w:tc>
        <w:tc>
          <w:tcPr>
            <w:tcW w:w="1134"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31.12.2020</w:t>
            </w:r>
          </w:p>
        </w:tc>
        <w:tc>
          <w:tcPr>
            <w:tcW w:w="1418" w:type="dxa"/>
            <w:gridSpan w:val="2"/>
            <w:tcBorders>
              <w:bottom w:val="single" w:sz="4" w:space="0" w:color="auto"/>
            </w:tcBorders>
            <w:vAlign w:val="bottom"/>
          </w:tcPr>
          <w:p w:rsidR="00251FDB" w:rsidRPr="00251FDB" w:rsidRDefault="00251FDB" w:rsidP="00251FDB">
            <w:pPr>
              <w:spacing w:before="100" w:beforeAutospacing="1" w:after="100" w:afterAutospacing="1"/>
              <w:rPr>
                <w:sz w:val="20"/>
                <w:szCs w:val="20"/>
                <w:highlight w:val="yellow"/>
              </w:rPr>
            </w:pPr>
            <w:r w:rsidRPr="00251FDB">
              <w:rPr>
                <w:sz w:val="20"/>
                <w:szCs w:val="20"/>
              </w:rPr>
              <w:t>23-07777848-9</w:t>
            </w:r>
          </w:p>
        </w:tc>
        <w:tc>
          <w:tcPr>
            <w:tcW w:w="1701"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No Independiente</w:t>
            </w:r>
          </w:p>
        </w:tc>
      </w:tr>
      <w:tr w:rsidR="00251FDB" w:rsidRPr="00251FDB" w:rsidTr="00E35CDC">
        <w:tc>
          <w:tcPr>
            <w:tcW w:w="1560"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Director Titular</w:t>
            </w:r>
          </w:p>
        </w:tc>
        <w:tc>
          <w:tcPr>
            <w:tcW w:w="2976" w:type="dxa"/>
            <w:tcBorders>
              <w:bottom w:val="single" w:sz="4" w:space="0" w:color="auto"/>
            </w:tcBorders>
            <w:vAlign w:val="bottom"/>
          </w:tcPr>
          <w:p w:rsidR="00251FDB" w:rsidRPr="00251FDB" w:rsidRDefault="00251FDB" w:rsidP="00251FDB">
            <w:pPr>
              <w:spacing w:before="100" w:beforeAutospacing="1" w:after="100" w:afterAutospacing="1"/>
              <w:rPr>
                <w:sz w:val="20"/>
                <w:szCs w:val="20"/>
                <w:lang w:val="es-AR"/>
              </w:rPr>
            </w:pPr>
            <w:r w:rsidRPr="00251FDB">
              <w:rPr>
                <w:sz w:val="20"/>
                <w:szCs w:val="20"/>
                <w:lang w:val="es-AR"/>
              </w:rPr>
              <w:t>Cdor. Julián Aníbal Marcelo Bravo</w:t>
            </w:r>
          </w:p>
        </w:tc>
        <w:tc>
          <w:tcPr>
            <w:tcW w:w="1134"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31.12.2020</w:t>
            </w:r>
          </w:p>
        </w:tc>
        <w:tc>
          <w:tcPr>
            <w:tcW w:w="1418" w:type="dxa"/>
            <w:gridSpan w:val="2"/>
            <w:tcBorders>
              <w:bottom w:val="single" w:sz="4" w:space="0" w:color="auto"/>
            </w:tcBorders>
            <w:vAlign w:val="bottom"/>
          </w:tcPr>
          <w:p w:rsidR="00251FDB" w:rsidRPr="00251FDB" w:rsidRDefault="00251FDB" w:rsidP="00251FDB">
            <w:pPr>
              <w:spacing w:before="100" w:beforeAutospacing="1" w:after="100" w:afterAutospacing="1"/>
              <w:rPr>
                <w:sz w:val="20"/>
                <w:szCs w:val="20"/>
                <w:highlight w:val="yellow"/>
              </w:rPr>
            </w:pPr>
            <w:r w:rsidRPr="00251FDB">
              <w:rPr>
                <w:sz w:val="20"/>
                <w:szCs w:val="20"/>
              </w:rPr>
              <w:t>20-13268413-9</w:t>
            </w:r>
          </w:p>
        </w:tc>
        <w:tc>
          <w:tcPr>
            <w:tcW w:w="1701"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No Independiente</w:t>
            </w:r>
          </w:p>
        </w:tc>
      </w:tr>
      <w:tr w:rsidR="00251FDB" w:rsidRPr="00251FDB" w:rsidTr="00E35CDC">
        <w:tc>
          <w:tcPr>
            <w:tcW w:w="1560"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Director Titular</w:t>
            </w:r>
          </w:p>
        </w:tc>
        <w:tc>
          <w:tcPr>
            <w:tcW w:w="2976" w:type="dxa"/>
            <w:tcBorders>
              <w:bottom w:val="single" w:sz="4" w:space="0" w:color="auto"/>
            </w:tcBorders>
            <w:vAlign w:val="bottom"/>
          </w:tcPr>
          <w:p w:rsidR="00251FDB" w:rsidRPr="00251FDB" w:rsidRDefault="00251FDB" w:rsidP="00251FDB">
            <w:pPr>
              <w:spacing w:before="100" w:beforeAutospacing="1" w:after="100" w:afterAutospacing="1"/>
              <w:rPr>
                <w:sz w:val="20"/>
                <w:szCs w:val="20"/>
                <w:lang w:val="es-AR"/>
              </w:rPr>
            </w:pPr>
            <w:r w:rsidRPr="00251FDB">
              <w:rPr>
                <w:sz w:val="20"/>
                <w:szCs w:val="20"/>
                <w:lang w:val="es-AR"/>
              </w:rPr>
              <w:t>Cdor. Fabián Enrique Kon</w:t>
            </w:r>
          </w:p>
        </w:tc>
        <w:tc>
          <w:tcPr>
            <w:tcW w:w="1134"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31.12.2020</w:t>
            </w:r>
          </w:p>
        </w:tc>
        <w:tc>
          <w:tcPr>
            <w:tcW w:w="1418" w:type="dxa"/>
            <w:gridSpan w:val="2"/>
            <w:tcBorders>
              <w:bottom w:val="single" w:sz="4" w:space="0" w:color="auto"/>
            </w:tcBorders>
            <w:vAlign w:val="bottom"/>
          </w:tcPr>
          <w:p w:rsidR="00251FDB" w:rsidRPr="00251FDB" w:rsidRDefault="00251FDB" w:rsidP="00251FDB">
            <w:pPr>
              <w:spacing w:before="100" w:beforeAutospacing="1" w:after="100" w:afterAutospacing="1"/>
              <w:rPr>
                <w:sz w:val="20"/>
                <w:szCs w:val="20"/>
                <w:highlight w:val="yellow"/>
              </w:rPr>
            </w:pPr>
            <w:r w:rsidRPr="00251FDB">
              <w:rPr>
                <w:sz w:val="20"/>
                <w:szCs w:val="20"/>
              </w:rPr>
              <w:t>23-12668013-9</w:t>
            </w:r>
          </w:p>
        </w:tc>
        <w:tc>
          <w:tcPr>
            <w:tcW w:w="1701"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No Independiente</w:t>
            </w:r>
          </w:p>
        </w:tc>
      </w:tr>
      <w:tr w:rsidR="00251FDB" w:rsidRPr="00251FDB" w:rsidTr="00E35CDC">
        <w:trPr>
          <w:trHeight w:val="53"/>
        </w:trPr>
        <w:tc>
          <w:tcPr>
            <w:tcW w:w="1560"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Director Titular</w:t>
            </w:r>
          </w:p>
        </w:tc>
        <w:tc>
          <w:tcPr>
            <w:tcW w:w="2976" w:type="dxa"/>
            <w:tcBorders>
              <w:bottom w:val="single" w:sz="4" w:space="0" w:color="auto"/>
            </w:tcBorders>
            <w:vAlign w:val="bottom"/>
          </w:tcPr>
          <w:p w:rsidR="00251FDB" w:rsidRPr="00EA1080" w:rsidRDefault="00251FDB" w:rsidP="00251FDB">
            <w:pPr>
              <w:spacing w:before="100" w:beforeAutospacing="1" w:after="100" w:afterAutospacing="1"/>
              <w:rPr>
                <w:sz w:val="20"/>
                <w:szCs w:val="20"/>
                <w:lang w:val="es-AR"/>
              </w:rPr>
            </w:pPr>
            <w:r w:rsidRPr="00EA1080">
              <w:rPr>
                <w:sz w:val="20"/>
                <w:szCs w:val="20"/>
                <w:lang w:val="es-AR"/>
              </w:rPr>
              <w:t>Susana Graciela Beatriz Bergero</w:t>
            </w:r>
          </w:p>
        </w:tc>
        <w:tc>
          <w:tcPr>
            <w:tcW w:w="1134" w:type="dxa"/>
            <w:tcBorders>
              <w:bottom w:val="single" w:sz="4" w:space="0" w:color="auto"/>
            </w:tcBorders>
            <w:vAlign w:val="bottom"/>
          </w:tcPr>
          <w:p w:rsidR="00251FDB" w:rsidRPr="00EA1080" w:rsidRDefault="00251FDB" w:rsidP="00251FDB">
            <w:pPr>
              <w:spacing w:before="100" w:beforeAutospacing="1" w:after="100" w:afterAutospacing="1"/>
              <w:rPr>
                <w:sz w:val="20"/>
                <w:szCs w:val="20"/>
              </w:rPr>
            </w:pPr>
            <w:r w:rsidRPr="00EA1080">
              <w:rPr>
                <w:sz w:val="20"/>
                <w:szCs w:val="20"/>
              </w:rPr>
              <w:t>31.12.2020</w:t>
            </w:r>
          </w:p>
        </w:tc>
        <w:tc>
          <w:tcPr>
            <w:tcW w:w="1418" w:type="dxa"/>
            <w:gridSpan w:val="2"/>
            <w:tcBorders>
              <w:bottom w:val="single" w:sz="4" w:space="0" w:color="auto"/>
            </w:tcBorders>
            <w:vAlign w:val="bottom"/>
          </w:tcPr>
          <w:p w:rsidR="00251FDB" w:rsidRPr="00EA1080" w:rsidRDefault="005B7F0B" w:rsidP="00251FDB">
            <w:pPr>
              <w:spacing w:before="100" w:beforeAutospacing="1" w:after="100" w:afterAutospacing="1"/>
              <w:rPr>
                <w:sz w:val="20"/>
                <w:szCs w:val="20"/>
              </w:rPr>
            </w:pPr>
            <w:r w:rsidRPr="0060060A">
              <w:rPr>
                <w:sz w:val="20"/>
                <w:szCs w:val="20"/>
              </w:rPr>
              <w:t>27-17897356-3</w:t>
            </w:r>
          </w:p>
        </w:tc>
        <w:tc>
          <w:tcPr>
            <w:tcW w:w="1701"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No Independiente</w:t>
            </w:r>
          </w:p>
        </w:tc>
      </w:tr>
      <w:tr w:rsidR="00251FDB" w:rsidRPr="00251FDB" w:rsidTr="00E35CDC">
        <w:tc>
          <w:tcPr>
            <w:tcW w:w="1560"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 xml:space="preserve">Director </w:t>
            </w:r>
            <w:proofErr w:type="spellStart"/>
            <w:r w:rsidRPr="00251FDB">
              <w:rPr>
                <w:sz w:val="20"/>
                <w:szCs w:val="20"/>
              </w:rPr>
              <w:t>Suplente</w:t>
            </w:r>
            <w:proofErr w:type="spellEnd"/>
          </w:p>
        </w:tc>
        <w:tc>
          <w:tcPr>
            <w:tcW w:w="2976" w:type="dxa"/>
            <w:tcBorders>
              <w:bottom w:val="single" w:sz="4" w:space="0" w:color="auto"/>
            </w:tcBorders>
            <w:vAlign w:val="bottom"/>
          </w:tcPr>
          <w:p w:rsidR="00251FDB" w:rsidRPr="00251FDB" w:rsidRDefault="00251FDB" w:rsidP="00251FDB">
            <w:pPr>
              <w:spacing w:before="100" w:beforeAutospacing="1" w:after="100" w:afterAutospacing="1"/>
              <w:rPr>
                <w:sz w:val="20"/>
                <w:szCs w:val="20"/>
                <w:lang w:val="es-AR"/>
              </w:rPr>
            </w:pPr>
            <w:r w:rsidRPr="00251FDB">
              <w:rPr>
                <w:sz w:val="20"/>
                <w:szCs w:val="20"/>
                <w:lang w:val="es-AR"/>
              </w:rPr>
              <w:t>Lic. Sergio Grinenco</w:t>
            </w:r>
          </w:p>
        </w:tc>
        <w:tc>
          <w:tcPr>
            <w:tcW w:w="1134"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31.12.2020</w:t>
            </w:r>
          </w:p>
        </w:tc>
        <w:tc>
          <w:tcPr>
            <w:tcW w:w="1418" w:type="dxa"/>
            <w:gridSpan w:val="2"/>
            <w:tcBorders>
              <w:bottom w:val="single" w:sz="4" w:space="0" w:color="auto"/>
            </w:tcBorders>
            <w:vAlign w:val="bottom"/>
          </w:tcPr>
          <w:p w:rsidR="00251FDB" w:rsidRPr="00251FDB" w:rsidRDefault="00251FDB" w:rsidP="00251FDB">
            <w:pPr>
              <w:spacing w:before="100" w:beforeAutospacing="1" w:after="100" w:afterAutospacing="1"/>
              <w:rPr>
                <w:sz w:val="20"/>
                <w:szCs w:val="20"/>
                <w:highlight w:val="yellow"/>
              </w:rPr>
            </w:pPr>
            <w:r w:rsidRPr="00251FDB">
              <w:rPr>
                <w:sz w:val="20"/>
                <w:szCs w:val="20"/>
              </w:rPr>
              <w:t>20-93641504-1</w:t>
            </w:r>
          </w:p>
        </w:tc>
        <w:tc>
          <w:tcPr>
            <w:tcW w:w="1701"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No Independiente</w:t>
            </w:r>
          </w:p>
        </w:tc>
      </w:tr>
      <w:tr w:rsidR="00251FDB" w:rsidRPr="00251FDB" w:rsidTr="00E35CDC">
        <w:tc>
          <w:tcPr>
            <w:tcW w:w="1560"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 xml:space="preserve">Director </w:t>
            </w:r>
            <w:proofErr w:type="spellStart"/>
            <w:r w:rsidRPr="00251FDB">
              <w:rPr>
                <w:sz w:val="20"/>
                <w:szCs w:val="20"/>
              </w:rPr>
              <w:t>Suplente</w:t>
            </w:r>
            <w:proofErr w:type="spellEnd"/>
          </w:p>
        </w:tc>
        <w:tc>
          <w:tcPr>
            <w:tcW w:w="2976"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 xml:space="preserve">Ing. Carlos Eduardo </w:t>
            </w:r>
            <w:proofErr w:type="spellStart"/>
            <w:r w:rsidRPr="00251FDB">
              <w:rPr>
                <w:sz w:val="20"/>
                <w:szCs w:val="20"/>
              </w:rPr>
              <w:t>Ruda</w:t>
            </w:r>
            <w:proofErr w:type="spellEnd"/>
          </w:p>
        </w:tc>
        <w:tc>
          <w:tcPr>
            <w:tcW w:w="1134"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31.12.2020</w:t>
            </w:r>
          </w:p>
        </w:tc>
        <w:tc>
          <w:tcPr>
            <w:tcW w:w="1418" w:type="dxa"/>
            <w:gridSpan w:val="2"/>
            <w:tcBorders>
              <w:bottom w:val="single" w:sz="4" w:space="0" w:color="auto"/>
            </w:tcBorders>
            <w:vAlign w:val="bottom"/>
          </w:tcPr>
          <w:p w:rsidR="00251FDB" w:rsidRPr="00251FDB" w:rsidRDefault="00251FDB" w:rsidP="00251FDB">
            <w:pPr>
              <w:spacing w:before="100" w:beforeAutospacing="1" w:after="100" w:afterAutospacing="1"/>
              <w:rPr>
                <w:sz w:val="20"/>
                <w:szCs w:val="20"/>
                <w:highlight w:val="yellow"/>
              </w:rPr>
            </w:pPr>
            <w:r w:rsidRPr="00251FDB">
              <w:rPr>
                <w:sz w:val="20"/>
                <w:szCs w:val="20"/>
              </w:rPr>
              <w:t>20-17157401-4</w:t>
            </w:r>
          </w:p>
        </w:tc>
        <w:tc>
          <w:tcPr>
            <w:tcW w:w="1701"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No Independiente</w:t>
            </w:r>
          </w:p>
        </w:tc>
      </w:tr>
      <w:tr w:rsidR="00251FDB" w:rsidRPr="00251FDB" w:rsidTr="00E35CDC">
        <w:tc>
          <w:tcPr>
            <w:tcW w:w="1560"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 xml:space="preserve">Director </w:t>
            </w:r>
            <w:proofErr w:type="spellStart"/>
            <w:r w:rsidRPr="00251FDB">
              <w:rPr>
                <w:sz w:val="20"/>
                <w:szCs w:val="20"/>
              </w:rPr>
              <w:t>Suplente</w:t>
            </w:r>
            <w:proofErr w:type="spellEnd"/>
          </w:p>
        </w:tc>
        <w:tc>
          <w:tcPr>
            <w:tcW w:w="2976"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proofErr w:type="spellStart"/>
            <w:r w:rsidRPr="00251FDB">
              <w:rPr>
                <w:sz w:val="20"/>
                <w:szCs w:val="20"/>
              </w:rPr>
              <w:t>Lic</w:t>
            </w:r>
            <w:proofErr w:type="spellEnd"/>
            <w:r w:rsidRPr="00251FDB">
              <w:rPr>
                <w:sz w:val="20"/>
                <w:szCs w:val="20"/>
              </w:rPr>
              <w:t>. Germán Alejandro Ghisoni</w:t>
            </w:r>
          </w:p>
        </w:tc>
        <w:tc>
          <w:tcPr>
            <w:tcW w:w="1134"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31.12.2020</w:t>
            </w:r>
          </w:p>
        </w:tc>
        <w:tc>
          <w:tcPr>
            <w:tcW w:w="1418" w:type="dxa"/>
            <w:gridSpan w:val="2"/>
            <w:tcBorders>
              <w:bottom w:val="single" w:sz="4" w:space="0" w:color="auto"/>
            </w:tcBorders>
            <w:vAlign w:val="bottom"/>
          </w:tcPr>
          <w:p w:rsidR="00251FDB" w:rsidRPr="00251FDB" w:rsidRDefault="00251FDB" w:rsidP="00251FDB">
            <w:pPr>
              <w:spacing w:before="100" w:beforeAutospacing="1" w:after="100" w:afterAutospacing="1"/>
              <w:rPr>
                <w:sz w:val="20"/>
                <w:szCs w:val="20"/>
                <w:highlight w:val="yellow"/>
              </w:rPr>
            </w:pPr>
            <w:r w:rsidRPr="00251FDB">
              <w:rPr>
                <w:sz w:val="20"/>
                <w:szCs w:val="20"/>
              </w:rPr>
              <w:t>20-18374765-8</w:t>
            </w:r>
          </w:p>
        </w:tc>
        <w:tc>
          <w:tcPr>
            <w:tcW w:w="1701"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No Independiente</w:t>
            </w:r>
          </w:p>
        </w:tc>
      </w:tr>
      <w:tr w:rsidR="00251FDB" w:rsidRPr="00251FDB" w:rsidTr="00E35CDC">
        <w:tc>
          <w:tcPr>
            <w:tcW w:w="1560"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 xml:space="preserve">Director </w:t>
            </w:r>
            <w:proofErr w:type="spellStart"/>
            <w:r w:rsidRPr="00251FDB">
              <w:rPr>
                <w:sz w:val="20"/>
                <w:szCs w:val="20"/>
              </w:rPr>
              <w:t>Suplente</w:t>
            </w:r>
            <w:proofErr w:type="spellEnd"/>
          </w:p>
        </w:tc>
        <w:tc>
          <w:tcPr>
            <w:tcW w:w="2976"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proofErr w:type="spellStart"/>
            <w:r w:rsidRPr="00251FDB">
              <w:rPr>
                <w:sz w:val="20"/>
                <w:szCs w:val="20"/>
              </w:rPr>
              <w:t>Lic</w:t>
            </w:r>
            <w:proofErr w:type="spellEnd"/>
            <w:r w:rsidRPr="00251FDB">
              <w:rPr>
                <w:sz w:val="20"/>
                <w:szCs w:val="20"/>
              </w:rPr>
              <w:t>. Nicolás Santiago Copello</w:t>
            </w:r>
          </w:p>
        </w:tc>
        <w:tc>
          <w:tcPr>
            <w:tcW w:w="1134"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31.12.2020</w:t>
            </w:r>
          </w:p>
        </w:tc>
        <w:tc>
          <w:tcPr>
            <w:tcW w:w="1418" w:type="dxa"/>
            <w:gridSpan w:val="2"/>
            <w:tcBorders>
              <w:bottom w:val="single" w:sz="4" w:space="0" w:color="auto"/>
            </w:tcBorders>
            <w:vAlign w:val="bottom"/>
          </w:tcPr>
          <w:p w:rsidR="00251FDB" w:rsidRPr="00251FDB" w:rsidRDefault="00251FDB" w:rsidP="00251FDB">
            <w:pPr>
              <w:spacing w:before="100" w:beforeAutospacing="1" w:after="100" w:afterAutospacing="1"/>
              <w:rPr>
                <w:sz w:val="20"/>
                <w:szCs w:val="20"/>
                <w:highlight w:val="yellow"/>
              </w:rPr>
            </w:pPr>
            <w:r w:rsidRPr="00251FDB">
              <w:rPr>
                <w:sz w:val="20"/>
                <w:szCs w:val="20"/>
              </w:rPr>
              <w:t>20-22657087-0</w:t>
            </w:r>
          </w:p>
        </w:tc>
        <w:tc>
          <w:tcPr>
            <w:tcW w:w="1701"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No Independiente</w:t>
            </w:r>
          </w:p>
        </w:tc>
      </w:tr>
      <w:tr w:rsidR="00251FDB" w:rsidRPr="00251FDB" w:rsidTr="00E35CDC">
        <w:tc>
          <w:tcPr>
            <w:tcW w:w="1560" w:type="dxa"/>
            <w:tcBorders>
              <w:top w:val="single" w:sz="4" w:space="0" w:color="auto"/>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 xml:space="preserve">Director </w:t>
            </w:r>
            <w:proofErr w:type="spellStart"/>
            <w:r w:rsidRPr="00251FDB">
              <w:rPr>
                <w:sz w:val="20"/>
                <w:szCs w:val="20"/>
              </w:rPr>
              <w:t>Suplente</w:t>
            </w:r>
            <w:proofErr w:type="spellEnd"/>
          </w:p>
        </w:tc>
        <w:tc>
          <w:tcPr>
            <w:tcW w:w="2976" w:type="dxa"/>
            <w:tcBorders>
              <w:top w:val="single" w:sz="4" w:space="0" w:color="auto"/>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Sr. Mariano Asrin</w:t>
            </w:r>
          </w:p>
        </w:tc>
        <w:tc>
          <w:tcPr>
            <w:tcW w:w="1134" w:type="dxa"/>
            <w:tcBorders>
              <w:top w:val="single" w:sz="4" w:space="0" w:color="auto"/>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31.12.2020</w:t>
            </w:r>
          </w:p>
        </w:tc>
        <w:tc>
          <w:tcPr>
            <w:tcW w:w="1418" w:type="dxa"/>
            <w:gridSpan w:val="2"/>
            <w:tcBorders>
              <w:top w:val="single" w:sz="4" w:space="0" w:color="auto"/>
              <w:bottom w:val="single" w:sz="4" w:space="0" w:color="auto"/>
            </w:tcBorders>
            <w:vAlign w:val="bottom"/>
          </w:tcPr>
          <w:p w:rsidR="00251FDB" w:rsidRPr="00251FDB" w:rsidRDefault="00251FDB" w:rsidP="00251FDB">
            <w:pPr>
              <w:spacing w:before="100" w:beforeAutospacing="1" w:after="100" w:afterAutospacing="1"/>
              <w:rPr>
                <w:sz w:val="20"/>
                <w:szCs w:val="20"/>
                <w:highlight w:val="yellow"/>
              </w:rPr>
            </w:pPr>
            <w:r w:rsidRPr="00251FDB">
              <w:rPr>
                <w:sz w:val="20"/>
                <w:szCs w:val="20"/>
              </w:rPr>
              <w:t>20-18444819-0</w:t>
            </w:r>
          </w:p>
        </w:tc>
        <w:tc>
          <w:tcPr>
            <w:tcW w:w="1701" w:type="dxa"/>
            <w:tcBorders>
              <w:top w:val="single" w:sz="4" w:space="0" w:color="auto"/>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No Independiente</w:t>
            </w:r>
          </w:p>
        </w:tc>
      </w:tr>
      <w:tr w:rsidR="00251FDB" w:rsidRPr="00251FDB" w:rsidTr="00E35CDC">
        <w:tc>
          <w:tcPr>
            <w:tcW w:w="1560"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 xml:space="preserve">Director </w:t>
            </w:r>
            <w:proofErr w:type="spellStart"/>
            <w:r w:rsidRPr="00251FDB">
              <w:rPr>
                <w:sz w:val="20"/>
                <w:szCs w:val="20"/>
              </w:rPr>
              <w:t>Suplente</w:t>
            </w:r>
            <w:proofErr w:type="spellEnd"/>
          </w:p>
        </w:tc>
        <w:tc>
          <w:tcPr>
            <w:tcW w:w="2976"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Sr. Guillermo Juan Pando</w:t>
            </w:r>
          </w:p>
        </w:tc>
        <w:tc>
          <w:tcPr>
            <w:tcW w:w="1134"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31.12.2020</w:t>
            </w:r>
          </w:p>
        </w:tc>
        <w:tc>
          <w:tcPr>
            <w:tcW w:w="1418" w:type="dxa"/>
            <w:gridSpan w:val="2"/>
            <w:tcBorders>
              <w:bottom w:val="single" w:sz="4" w:space="0" w:color="auto"/>
            </w:tcBorders>
            <w:vAlign w:val="bottom"/>
          </w:tcPr>
          <w:p w:rsidR="00251FDB" w:rsidRPr="00251FDB" w:rsidRDefault="00251FDB" w:rsidP="00251FDB">
            <w:pPr>
              <w:spacing w:before="100" w:beforeAutospacing="1" w:after="100" w:afterAutospacing="1"/>
              <w:rPr>
                <w:sz w:val="20"/>
                <w:szCs w:val="20"/>
                <w:highlight w:val="yellow"/>
              </w:rPr>
            </w:pPr>
            <w:r w:rsidRPr="00251FDB">
              <w:rPr>
                <w:sz w:val="20"/>
                <w:szCs w:val="20"/>
              </w:rPr>
              <w:t>20-07374031-3</w:t>
            </w:r>
          </w:p>
        </w:tc>
        <w:tc>
          <w:tcPr>
            <w:tcW w:w="1701" w:type="dxa"/>
            <w:tcBorders>
              <w:bottom w:val="single" w:sz="4" w:space="0" w:color="auto"/>
            </w:tcBorders>
            <w:vAlign w:val="bottom"/>
          </w:tcPr>
          <w:p w:rsidR="00251FDB" w:rsidRPr="00251FDB" w:rsidRDefault="00251FDB" w:rsidP="00251FDB">
            <w:pPr>
              <w:spacing w:before="100" w:beforeAutospacing="1" w:after="100" w:afterAutospacing="1"/>
              <w:rPr>
                <w:sz w:val="20"/>
                <w:szCs w:val="20"/>
              </w:rPr>
            </w:pPr>
            <w:r w:rsidRPr="00251FDB">
              <w:rPr>
                <w:sz w:val="20"/>
                <w:szCs w:val="20"/>
              </w:rPr>
              <w:t>No Independiente</w:t>
            </w:r>
          </w:p>
        </w:tc>
      </w:tr>
    </w:tbl>
    <w:p w:rsidR="00251FDB" w:rsidRPr="00251FDB" w:rsidRDefault="00251FDB" w:rsidP="00251FDB">
      <w:pPr>
        <w:spacing w:line="240" w:lineRule="atLeast"/>
        <w:jc w:val="both"/>
        <w:rPr>
          <w:sz w:val="20"/>
          <w:szCs w:val="20"/>
          <w:lang w:val="es-AR"/>
        </w:rPr>
      </w:pPr>
    </w:p>
    <w:p w:rsidR="00251FDB" w:rsidRPr="00251FDB" w:rsidRDefault="00251FDB" w:rsidP="00251FDB">
      <w:pPr>
        <w:spacing w:line="240" w:lineRule="atLeast"/>
        <w:jc w:val="both"/>
        <w:rPr>
          <w:i/>
          <w:sz w:val="20"/>
          <w:szCs w:val="20"/>
          <w:lang w:val="es-AR"/>
        </w:rPr>
      </w:pPr>
      <w:r w:rsidRPr="00251FDB">
        <w:rPr>
          <w:sz w:val="20"/>
          <w:szCs w:val="20"/>
          <w:lang w:val="es-AR"/>
        </w:rPr>
        <w:t>Se recomienda al público inversor ver el Capítulo “</w:t>
      </w:r>
      <w:r w:rsidRPr="00251FDB">
        <w:rPr>
          <w:i/>
          <w:sz w:val="20"/>
          <w:szCs w:val="20"/>
          <w:lang w:val="es-AR"/>
        </w:rPr>
        <w:t>Información sobre los Directores, Gerentes, y miembros de la Comisión Fiscalizadora - a) Directores titulares, suplentes, gerentes y miembros de la Comisión Fiscalizadora”</w:t>
      </w:r>
      <w:r w:rsidRPr="00251FDB">
        <w:rPr>
          <w:sz w:val="20"/>
          <w:szCs w:val="20"/>
          <w:lang w:val="es-AR"/>
        </w:rPr>
        <w:t xml:space="preserve"> para más obtener un detalle de las biografías de los restantes Directores de</w:t>
      </w:r>
      <w:r w:rsidR="00271E19">
        <w:rPr>
          <w:sz w:val="20"/>
          <w:szCs w:val="20"/>
          <w:lang w:val="es-AR"/>
        </w:rPr>
        <w:t>l</w:t>
      </w:r>
      <w:r w:rsidRPr="00251FDB">
        <w:rPr>
          <w:sz w:val="20"/>
          <w:szCs w:val="20"/>
          <w:lang w:val="es-AR"/>
        </w:rPr>
        <w:t xml:space="preserve"> Emisor.</w:t>
      </w:r>
      <w:r w:rsidRPr="00251FDB">
        <w:rPr>
          <w:i/>
          <w:sz w:val="20"/>
          <w:szCs w:val="20"/>
          <w:lang w:val="es-AR"/>
        </w:rPr>
        <w:cr/>
      </w:r>
    </w:p>
    <w:p w:rsidR="00251FDB" w:rsidRPr="00251FDB" w:rsidRDefault="00251FDB" w:rsidP="00251FDB">
      <w:pPr>
        <w:spacing w:line="240" w:lineRule="atLeast"/>
        <w:jc w:val="both"/>
        <w:rPr>
          <w:sz w:val="20"/>
          <w:szCs w:val="20"/>
          <w:lang w:val="es-AR"/>
        </w:rPr>
      </w:pPr>
      <w:r w:rsidRPr="00251FDB">
        <w:rPr>
          <w:b/>
          <w:sz w:val="20"/>
          <w:szCs w:val="20"/>
          <w:lang w:val="es-AR"/>
        </w:rPr>
        <w:t>(iv)</w:t>
      </w:r>
      <w:r w:rsidRPr="00251FDB">
        <w:rPr>
          <w:sz w:val="20"/>
          <w:szCs w:val="20"/>
          <w:lang w:val="es-AR"/>
        </w:rPr>
        <w:t xml:space="preserve"> </w:t>
      </w:r>
      <w:r w:rsidRPr="00251FDB">
        <w:rPr>
          <w:i/>
          <w:sz w:val="20"/>
          <w:szCs w:val="20"/>
          <w:lang w:val="es-AR"/>
        </w:rPr>
        <w:t>Elección de miembros de la Comisión Fiscalizadora:</w:t>
      </w:r>
      <w:r w:rsidRPr="00251FDB">
        <w:rPr>
          <w:sz w:val="20"/>
          <w:szCs w:val="20"/>
          <w:lang w:val="es-AR"/>
        </w:rPr>
        <w:t xml:space="preserve"> A continuación, se detallan los miembros de la Comisión Fiscalizadora de</w:t>
      </w:r>
      <w:r w:rsidR="00271E19">
        <w:rPr>
          <w:sz w:val="20"/>
          <w:szCs w:val="20"/>
          <w:lang w:val="es-AR"/>
        </w:rPr>
        <w:t>l</w:t>
      </w:r>
      <w:r w:rsidRPr="00251FDB">
        <w:rPr>
          <w:sz w:val="20"/>
          <w:szCs w:val="20"/>
          <w:lang w:val="es-AR"/>
        </w:rPr>
        <w:t xml:space="preserve"> </w:t>
      </w:r>
      <w:r w:rsidR="00271E19">
        <w:rPr>
          <w:sz w:val="20"/>
          <w:szCs w:val="20"/>
          <w:lang w:val="es-AR"/>
        </w:rPr>
        <w:t>Emisor</w:t>
      </w:r>
      <w:r w:rsidRPr="00251FDB">
        <w:rPr>
          <w:sz w:val="20"/>
          <w:szCs w:val="20"/>
          <w:lang w:val="es-AR"/>
        </w:rPr>
        <w:t xml:space="preserve"> designados por la Asamblea.</w:t>
      </w:r>
    </w:p>
    <w:p w:rsidR="00251FDB" w:rsidRPr="00251FDB" w:rsidRDefault="00251FDB" w:rsidP="00251FDB">
      <w:pPr>
        <w:spacing w:line="240" w:lineRule="atLeast"/>
        <w:jc w:val="both"/>
        <w:rPr>
          <w:sz w:val="20"/>
          <w:szCs w:val="20"/>
          <w:lang w:val="es-AR"/>
        </w:rPr>
      </w:pPr>
    </w:p>
    <w:tbl>
      <w:tblPr>
        <w:tblStyle w:val="Tablaconcuadrcula"/>
        <w:tblW w:w="82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2"/>
        <w:gridCol w:w="2442"/>
        <w:gridCol w:w="2173"/>
        <w:gridCol w:w="2505"/>
      </w:tblGrid>
      <w:tr w:rsidR="00E95844" w:rsidRPr="00251FDB" w:rsidTr="009B26F9">
        <w:trPr>
          <w:jc w:val="center"/>
        </w:trPr>
        <w:tc>
          <w:tcPr>
            <w:tcW w:w="1102" w:type="dxa"/>
            <w:tcBorders>
              <w:bottom w:val="single" w:sz="4" w:space="0" w:color="auto"/>
            </w:tcBorders>
          </w:tcPr>
          <w:p w:rsidR="00E95844" w:rsidRPr="00251FDB" w:rsidRDefault="00E95844" w:rsidP="00251FDB">
            <w:pPr>
              <w:spacing w:line="240" w:lineRule="atLeast"/>
              <w:rPr>
                <w:b/>
                <w:sz w:val="20"/>
                <w:szCs w:val="20"/>
                <w:lang w:val="es-AR"/>
              </w:rPr>
            </w:pPr>
            <w:r w:rsidRPr="00251FDB">
              <w:rPr>
                <w:b/>
                <w:sz w:val="20"/>
                <w:szCs w:val="20"/>
                <w:lang w:val="es-AR"/>
              </w:rPr>
              <w:t>Cargo</w:t>
            </w:r>
          </w:p>
        </w:tc>
        <w:tc>
          <w:tcPr>
            <w:tcW w:w="2442" w:type="dxa"/>
            <w:tcBorders>
              <w:bottom w:val="single" w:sz="4" w:space="0" w:color="auto"/>
            </w:tcBorders>
          </w:tcPr>
          <w:p w:rsidR="00E95844" w:rsidRPr="00251FDB" w:rsidRDefault="00E95844" w:rsidP="00251FDB">
            <w:pPr>
              <w:spacing w:line="240" w:lineRule="atLeast"/>
              <w:rPr>
                <w:b/>
                <w:sz w:val="20"/>
                <w:szCs w:val="20"/>
                <w:lang w:val="es-AR"/>
              </w:rPr>
            </w:pPr>
            <w:r w:rsidRPr="00251FDB">
              <w:rPr>
                <w:b/>
                <w:sz w:val="20"/>
                <w:szCs w:val="20"/>
                <w:lang w:val="es-AR"/>
              </w:rPr>
              <w:t>Nombre</w:t>
            </w:r>
          </w:p>
        </w:tc>
        <w:tc>
          <w:tcPr>
            <w:tcW w:w="2173" w:type="dxa"/>
            <w:tcBorders>
              <w:bottom w:val="single" w:sz="4" w:space="0" w:color="auto"/>
            </w:tcBorders>
          </w:tcPr>
          <w:p w:rsidR="00E95844" w:rsidRPr="00251FDB" w:rsidRDefault="00E95844" w:rsidP="00251FDB">
            <w:pPr>
              <w:spacing w:line="240" w:lineRule="atLeast"/>
              <w:rPr>
                <w:b/>
                <w:sz w:val="20"/>
                <w:szCs w:val="20"/>
                <w:lang w:val="es-AR"/>
              </w:rPr>
            </w:pPr>
            <w:r w:rsidRPr="00251FDB">
              <w:rPr>
                <w:b/>
                <w:sz w:val="20"/>
                <w:szCs w:val="20"/>
                <w:lang w:val="es-AR"/>
              </w:rPr>
              <w:t>CUIL</w:t>
            </w:r>
          </w:p>
        </w:tc>
        <w:tc>
          <w:tcPr>
            <w:tcW w:w="2505" w:type="dxa"/>
            <w:tcBorders>
              <w:bottom w:val="single" w:sz="4" w:space="0" w:color="auto"/>
            </w:tcBorders>
          </w:tcPr>
          <w:p w:rsidR="00E95844" w:rsidRPr="00251FDB" w:rsidRDefault="00E95844" w:rsidP="00251FDB">
            <w:pPr>
              <w:spacing w:line="240" w:lineRule="atLeast"/>
              <w:rPr>
                <w:b/>
                <w:sz w:val="20"/>
                <w:szCs w:val="20"/>
                <w:lang w:val="es-AR"/>
              </w:rPr>
            </w:pPr>
            <w:r w:rsidRPr="00251FDB">
              <w:rPr>
                <w:b/>
                <w:sz w:val="20"/>
                <w:szCs w:val="20"/>
                <w:lang w:val="es-AR"/>
              </w:rPr>
              <w:t>Domicilio especial</w:t>
            </w:r>
          </w:p>
        </w:tc>
      </w:tr>
      <w:tr w:rsidR="00E95844" w:rsidRPr="00251FDB" w:rsidTr="009B26F9">
        <w:trPr>
          <w:jc w:val="center"/>
        </w:trPr>
        <w:tc>
          <w:tcPr>
            <w:tcW w:w="1102" w:type="dxa"/>
            <w:vMerge w:val="restart"/>
            <w:tcBorders>
              <w:top w:val="single" w:sz="4" w:space="0" w:color="auto"/>
              <w:bottom w:val="single" w:sz="4" w:space="0" w:color="auto"/>
            </w:tcBorders>
          </w:tcPr>
          <w:p w:rsidR="00E95844" w:rsidRPr="00251FDB" w:rsidRDefault="00E95844" w:rsidP="00251FDB">
            <w:pPr>
              <w:spacing w:line="240" w:lineRule="atLeast"/>
              <w:jc w:val="both"/>
              <w:rPr>
                <w:b/>
                <w:sz w:val="20"/>
                <w:szCs w:val="20"/>
                <w:lang w:val="es-AR"/>
              </w:rPr>
            </w:pPr>
            <w:r w:rsidRPr="00251FDB">
              <w:rPr>
                <w:b/>
                <w:sz w:val="20"/>
                <w:szCs w:val="20"/>
                <w:lang w:val="es-AR"/>
              </w:rPr>
              <w:t>Miembros Titulares</w:t>
            </w:r>
          </w:p>
        </w:tc>
        <w:tc>
          <w:tcPr>
            <w:tcW w:w="2442" w:type="dxa"/>
            <w:tcBorders>
              <w:top w:val="single" w:sz="4" w:space="0" w:color="auto"/>
            </w:tcBorders>
          </w:tcPr>
          <w:p w:rsidR="00E95844" w:rsidRPr="00251FDB" w:rsidRDefault="00E95844" w:rsidP="00251FDB">
            <w:pPr>
              <w:spacing w:line="240" w:lineRule="atLeast"/>
              <w:jc w:val="both"/>
              <w:rPr>
                <w:sz w:val="20"/>
                <w:szCs w:val="20"/>
                <w:lang w:val="es-AR"/>
              </w:rPr>
            </w:pPr>
            <w:r w:rsidRPr="00251FDB">
              <w:rPr>
                <w:sz w:val="20"/>
                <w:szCs w:val="20"/>
                <w:lang w:val="es-AR"/>
              </w:rPr>
              <w:t xml:space="preserve">Antonio Roberto </w:t>
            </w:r>
            <w:proofErr w:type="spellStart"/>
            <w:r w:rsidRPr="00251FDB">
              <w:rPr>
                <w:sz w:val="20"/>
                <w:szCs w:val="20"/>
                <w:lang w:val="es-AR"/>
              </w:rPr>
              <w:t>Garcé</w:t>
            </w:r>
            <w:proofErr w:type="spellEnd"/>
          </w:p>
        </w:tc>
        <w:tc>
          <w:tcPr>
            <w:tcW w:w="2173" w:type="dxa"/>
            <w:tcBorders>
              <w:top w:val="single" w:sz="4" w:space="0" w:color="auto"/>
            </w:tcBorders>
          </w:tcPr>
          <w:p w:rsidR="00E95844" w:rsidRPr="00251FDB" w:rsidRDefault="00E95844" w:rsidP="00251FDB">
            <w:pPr>
              <w:spacing w:line="240" w:lineRule="atLeast"/>
              <w:rPr>
                <w:sz w:val="20"/>
                <w:szCs w:val="20"/>
                <w:lang w:val="es-AR"/>
              </w:rPr>
            </w:pPr>
            <w:r w:rsidRPr="00251FDB">
              <w:rPr>
                <w:sz w:val="20"/>
                <w:szCs w:val="20"/>
                <w:lang w:val="es-AR"/>
              </w:rPr>
              <w:t>20-07725143-0</w:t>
            </w:r>
          </w:p>
        </w:tc>
        <w:tc>
          <w:tcPr>
            <w:tcW w:w="2505" w:type="dxa"/>
            <w:tcBorders>
              <w:top w:val="single" w:sz="4" w:space="0" w:color="auto"/>
            </w:tcBorders>
          </w:tcPr>
          <w:p w:rsidR="00E95844" w:rsidRPr="00251FDB" w:rsidRDefault="00E95844" w:rsidP="00251FDB">
            <w:pPr>
              <w:spacing w:line="240" w:lineRule="atLeast"/>
              <w:rPr>
                <w:sz w:val="20"/>
                <w:szCs w:val="20"/>
                <w:lang w:val="es-AR"/>
              </w:rPr>
            </w:pPr>
            <w:r w:rsidRPr="00251FDB">
              <w:rPr>
                <w:sz w:val="20"/>
                <w:szCs w:val="20"/>
                <w:lang w:val="es-AR"/>
              </w:rPr>
              <w:t>La Tablada 451, Córdoba</w:t>
            </w:r>
          </w:p>
        </w:tc>
      </w:tr>
      <w:tr w:rsidR="00E95844" w:rsidRPr="00251FDB" w:rsidTr="009B26F9">
        <w:trPr>
          <w:jc w:val="center"/>
        </w:trPr>
        <w:tc>
          <w:tcPr>
            <w:tcW w:w="1102" w:type="dxa"/>
            <w:vMerge/>
            <w:tcBorders>
              <w:bottom w:val="single" w:sz="4" w:space="0" w:color="auto"/>
            </w:tcBorders>
          </w:tcPr>
          <w:p w:rsidR="00E95844" w:rsidRPr="00251FDB" w:rsidRDefault="00E95844" w:rsidP="00251FDB">
            <w:pPr>
              <w:spacing w:line="240" w:lineRule="atLeast"/>
              <w:jc w:val="both"/>
              <w:rPr>
                <w:sz w:val="20"/>
                <w:szCs w:val="20"/>
                <w:lang w:val="es-AR"/>
              </w:rPr>
            </w:pPr>
          </w:p>
        </w:tc>
        <w:tc>
          <w:tcPr>
            <w:tcW w:w="2442" w:type="dxa"/>
          </w:tcPr>
          <w:p w:rsidR="00E95844" w:rsidRPr="00251FDB" w:rsidRDefault="00E95844" w:rsidP="00251FDB">
            <w:pPr>
              <w:spacing w:line="240" w:lineRule="atLeast"/>
              <w:jc w:val="both"/>
              <w:rPr>
                <w:sz w:val="20"/>
                <w:szCs w:val="20"/>
                <w:lang w:val="es-AR"/>
              </w:rPr>
            </w:pPr>
            <w:r w:rsidRPr="00251FDB">
              <w:rPr>
                <w:sz w:val="20"/>
                <w:szCs w:val="20"/>
                <w:lang w:val="es-AR"/>
              </w:rPr>
              <w:t>Omar Severini</w:t>
            </w:r>
          </w:p>
        </w:tc>
        <w:tc>
          <w:tcPr>
            <w:tcW w:w="2173" w:type="dxa"/>
          </w:tcPr>
          <w:p w:rsidR="00E95844" w:rsidRPr="00251FDB" w:rsidRDefault="00E95844" w:rsidP="00251FDB">
            <w:pPr>
              <w:spacing w:line="240" w:lineRule="atLeast"/>
              <w:rPr>
                <w:sz w:val="20"/>
                <w:szCs w:val="20"/>
                <w:lang w:val="es-AR"/>
              </w:rPr>
            </w:pPr>
            <w:r w:rsidRPr="00251FDB">
              <w:rPr>
                <w:sz w:val="20"/>
                <w:szCs w:val="20"/>
                <w:lang w:val="es-AR"/>
              </w:rPr>
              <w:t>20-07596061-2</w:t>
            </w:r>
          </w:p>
        </w:tc>
        <w:tc>
          <w:tcPr>
            <w:tcW w:w="2505" w:type="dxa"/>
          </w:tcPr>
          <w:p w:rsidR="00E95844" w:rsidRPr="00EA1080" w:rsidRDefault="00E95844" w:rsidP="00251FDB">
            <w:pPr>
              <w:rPr>
                <w:sz w:val="20"/>
                <w:szCs w:val="20"/>
              </w:rPr>
            </w:pPr>
            <w:r w:rsidRPr="00251FDB">
              <w:rPr>
                <w:sz w:val="20"/>
                <w:szCs w:val="20"/>
                <w:lang w:val="es-AR"/>
              </w:rPr>
              <w:t>La Tablada 451, Córdoba</w:t>
            </w:r>
          </w:p>
        </w:tc>
      </w:tr>
      <w:tr w:rsidR="00E95844" w:rsidRPr="00251FDB" w:rsidTr="009B26F9">
        <w:trPr>
          <w:jc w:val="center"/>
        </w:trPr>
        <w:tc>
          <w:tcPr>
            <w:tcW w:w="1102" w:type="dxa"/>
            <w:vMerge/>
            <w:tcBorders>
              <w:bottom w:val="single" w:sz="4" w:space="0" w:color="auto"/>
            </w:tcBorders>
          </w:tcPr>
          <w:p w:rsidR="00E95844" w:rsidRPr="00251FDB" w:rsidRDefault="00E95844" w:rsidP="00251FDB">
            <w:pPr>
              <w:spacing w:line="240" w:lineRule="atLeast"/>
              <w:jc w:val="both"/>
              <w:rPr>
                <w:sz w:val="20"/>
                <w:szCs w:val="20"/>
                <w:lang w:val="es-AR"/>
              </w:rPr>
            </w:pPr>
          </w:p>
        </w:tc>
        <w:tc>
          <w:tcPr>
            <w:tcW w:w="2442" w:type="dxa"/>
            <w:tcBorders>
              <w:bottom w:val="single" w:sz="4" w:space="0" w:color="auto"/>
            </w:tcBorders>
          </w:tcPr>
          <w:p w:rsidR="00E95844" w:rsidRPr="00251FDB" w:rsidRDefault="00E95844" w:rsidP="00251FDB">
            <w:pPr>
              <w:spacing w:line="240" w:lineRule="atLeast"/>
              <w:jc w:val="both"/>
              <w:rPr>
                <w:sz w:val="20"/>
                <w:szCs w:val="20"/>
                <w:lang w:val="es-AR"/>
              </w:rPr>
            </w:pPr>
            <w:r w:rsidRPr="00251FDB">
              <w:rPr>
                <w:sz w:val="20"/>
                <w:szCs w:val="20"/>
                <w:lang w:val="es-AR"/>
              </w:rPr>
              <w:t>Jorge Federico Gregorat</w:t>
            </w:r>
          </w:p>
        </w:tc>
        <w:tc>
          <w:tcPr>
            <w:tcW w:w="2173" w:type="dxa"/>
            <w:tcBorders>
              <w:bottom w:val="single" w:sz="4" w:space="0" w:color="auto"/>
            </w:tcBorders>
          </w:tcPr>
          <w:p w:rsidR="00E95844" w:rsidRPr="00251FDB" w:rsidRDefault="00E95844" w:rsidP="00251FDB">
            <w:pPr>
              <w:spacing w:line="240" w:lineRule="atLeast"/>
              <w:rPr>
                <w:sz w:val="20"/>
                <w:szCs w:val="20"/>
                <w:lang w:val="es-AR"/>
              </w:rPr>
            </w:pPr>
            <w:r w:rsidRPr="00251FDB">
              <w:rPr>
                <w:sz w:val="20"/>
                <w:szCs w:val="20"/>
                <w:lang w:val="es-AR"/>
              </w:rPr>
              <w:t>20-05702497-7</w:t>
            </w:r>
          </w:p>
        </w:tc>
        <w:tc>
          <w:tcPr>
            <w:tcW w:w="2505" w:type="dxa"/>
            <w:tcBorders>
              <w:bottom w:val="single" w:sz="4" w:space="0" w:color="auto"/>
            </w:tcBorders>
          </w:tcPr>
          <w:p w:rsidR="00E95844" w:rsidRPr="00EA1080" w:rsidRDefault="00E95844" w:rsidP="00251FDB">
            <w:pPr>
              <w:rPr>
                <w:sz w:val="20"/>
                <w:szCs w:val="20"/>
              </w:rPr>
            </w:pPr>
            <w:r w:rsidRPr="00251FDB">
              <w:rPr>
                <w:sz w:val="20"/>
                <w:szCs w:val="20"/>
                <w:lang w:val="es-AR"/>
              </w:rPr>
              <w:t>La Tablada 451, Córdoba</w:t>
            </w:r>
          </w:p>
        </w:tc>
      </w:tr>
      <w:tr w:rsidR="00E95844" w:rsidRPr="00251FDB" w:rsidTr="009B26F9">
        <w:trPr>
          <w:jc w:val="center"/>
        </w:trPr>
        <w:tc>
          <w:tcPr>
            <w:tcW w:w="1102" w:type="dxa"/>
            <w:vMerge w:val="restart"/>
            <w:tcBorders>
              <w:top w:val="single" w:sz="4" w:space="0" w:color="auto"/>
            </w:tcBorders>
          </w:tcPr>
          <w:p w:rsidR="00E95844" w:rsidRPr="00251FDB" w:rsidRDefault="00E95844" w:rsidP="00251FDB">
            <w:pPr>
              <w:spacing w:line="240" w:lineRule="atLeast"/>
              <w:jc w:val="both"/>
              <w:rPr>
                <w:b/>
                <w:sz w:val="20"/>
                <w:szCs w:val="20"/>
                <w:lang w:val="es-AR"/>
              </w:rPr>
            </w:pPr>
            <w:r w:rsidRPr="00251FDB">
              <w:rPr>
                <w:b/>
                <w:sz w:val="20"/>
                <w:szCs w:val="20"/>
                <w:lang w:val="es-AR"/>
              </w:rPr>
              <w:t>Miembros Suplentes</w:t>
            </w:r>
          </w:p>
        </w:tc>
        <w:tc>
          <w:tcPr>
            <w:tcW w:w="2442" w:type="dxa"/>
            <w:tcBorders>
              <w:top w:val="single" w:sz="4" w:space="0" w:color="auto"/>
            </w:tcBorders>
          </w:tcPr>
          <w:p w:rsidR="00E95844" w:rsidRPr="00251FDB" w:rsidRDefault="00E95844" w:rsidP="00251FDB">
            <w:pPr>
              <w:spacing w:line="240" w:lineRule="atLeast"/>
              <w:jc w:val="both"/>
              <w:rPr>
                <w:sz w:val="20"/>
                <w:szCs w:val="20"/>
                <w:lang w:val="es-AR"/>
              </w:rPr>
            </w:pPr>
            <w:r w:rsidRPr="00251FDB">
              <w:rPr>
                <w:sz w:val="20"/>
                <w:szCs w:val="20"/>
                <w:lang w:val="es-AR"/>
              </w:rPr>
              <w:t>José Luis Gentile</w:t>
            </w:r>
          </w:p>
        </w:tc>
        <w:tc>
          <w:tcPr>
            <w:tcW w:w="2173" w:type="dxa"/>
            <w:tcBorders>
              <w:top w:val="single" w:sz="4" w:space="0" w:color="auto"/>
            </w:tcBorders>
          </w:tcPr>
          <w:p w:rsidR="00E95844" w:rsidRPr="00251FDB" w:rsidRDefault="00E95844" w:rsidP="00251FDB">
            <w:pPr>
              <w:spacing w:line="240" w:lineRule="atLeast"/>
              <w:rPr>
                <w:sz w:val="20"/>
                <w:szCs w:val="20"/>
                <w:lang w:val="es-AR"/>
              </w:rPr>
            </w:pPr>
            <w:r w:rsidRPr="00251FDB">
              <w:rPr>
                <w:sz w:val="20"/>
                <w:szCs w:val="20"/>
                <w:lang w:val="es-AR"/>
              </w:rPr>
              <w:t>20-12447097-9</w:t>
            </w:r>
          </w:p>
        </w:tc>
        <w:tc>
          <w:tcPr>
            <w:tcW w:w="2505" w:type="dxa"/>
            <w:tcBorders>
              <w:top w:val="single" w:sz="4" w:space="0" w:color="auto"/>
            </w:tcBorders>
          </w:tcPr>
          <w:p w:rsidR="00E95844" w:rsidRPr="00EA1080" w:rsidRDefault="00E95844" w:rsidP="00251FDB">
            <w:pPr>
              <w:rPr>
                <w:sz w:val="20"/>
                <w:szCs w:val="20"/>
              </w:rPr>
            </w:pPr>
            <w:r w:rsidRPr="00251FDB">
              <w:rPr>
                <w:sz w:val="20"/>
                <w:szCs w:val="20"/>
                <w:lang w:val="es-AR"/>
              </w:rPr>
              <w:t>La Tablada 451, Córdoba</w:t>
            </w:r>
          </w:p>
        </w:tc>
      </w:tr>
      <w:tr w:rsidR="00E95844" w:rsidRPr="00251FDB" w:rsidTr="009B26F9">
        <w:trPr>
          <w:jc w:val="center"/>
        </w:trPr>
        <w:tc>
          <w:tcPr>
            <w:tcW w:w="1102" w:type="dxa"/>
            <w:vMerge/>
          </w:tcPr>
          <w:p w:rsidR="00E95844" w:rsidRPr="00251FDB" w:rsidRDefault="00E95844" w:rsidP="00251FDB">
            <w:pPr>
              <w:spacing w:line="240" w:lineRule="atLeast"/>
              <w:jc w:val="both"/>
              <w:rPr>
                <w:sz w:val="20"/>
                <w:szCs w:val="20"/>
                <w:lang w:val="es-AR"/>
              </w:rPr>
            </w:pPr>
          </w:p>
        </w:tc>
        <w:tc>
          <w:tcPr>
            <w:tcW w:w="2442" w:type="dxa"/>
          </w:tcPr>
          <w:p w:rsidR="00E95844" w:rsidRPr="00251FDB" w:rsidRDefault="00E95844" w:rsidP="00251FDB">
            <w:pPr>
              <w:spacing w:line="240" w:lineRule="atLeast"/>
              <w:jc w:val="both"/>
              <w:rPr>
                <w:sz w:val="20"/>
                <w:szCs w:val="20"/>
                <w:lang w:val="es-AR"/>
              </w:rPr>
            </w:pPr>
            <w:r w:rsidRPr="00251FDB">
              <w:rPr>
                <w:sz w:val="20"/>
                <w:szCs w:val="20"/>
                <w:lang w:val="es-AR"/>
              </w:rPr>
              <w:t>Miguel Norberto</w:t>
            </w:r>
            <w:r>
              <w:rPr>
                <w:sz w:val="20"/>
                <w:szCs w:val="20"/>
                <w:lang w:val="es-AR"/>
              </w:rPr>
              <w:t xml:space="preserve"> </w:t>
            </w:r>
            <w:r w:rsidRPr="00251FDB">
              <w:rPr>
                <w:sz w:val="20"/>
                <w:szCs w:val="20"/>
                <w:lang w:val="es-AR"/>
              </w:rPr>
              <w:t>Armando</w:t>
            </w:r>
          </w:p>
        </w:tc>
        <w:tc>
          <w:tcPr>
            <w:tcW w:w="2173" w:type="dxa"/>
          </w:tcPr>
          <w:p w:rsidR="00E95844" w:rsidRPr="00251FDB" w:rsidRDefault="00E95844" w:rsidP="00251FDB">
            <w:pPr>
              <w:spacing w:line="240" w:lineRule="atLeast"/>
              <w:rPr>
                <w:sz w:val="20"/>
                <w:szCs w:val="20"/>
                <w:lang w:val="es-AR"/>
              </w:rPr>
            </w:pPr>
            <w:r w:rsidRPr="00251FDB">
              <w:rPr>
                <w:sz w:val="20"/>
                <w:szCs w:val="20"/>
                <w:lang w:val="es-AR"/>
              </w:rPr>
              <w:t>20-10900222-5</w:t>
            </w:r>
          </w:p>
        </w:tc>
        <w:tc>
          <w:tcPr>
            <w:tcW w:w="2505" w:type="dxa"/>
          </w:tcPr>
          <w:p w:rsidR="00E95844" w:rsidRPr="00EA1080" w:rsidRDefault="00E95844" w:rsidP="00251FDB">
            <w:pPr>
              <w:rPr>
                <w:sz w:val="20"/>
                <w:szCs w:val="20"/>
              </w:rPr>
            </w:pPr>
            <w:r w:rsidRPr="00251FDB">
              <w:rPr>
                <w:sz w:val="20"/>
                <w:szCs w:val="20"/>
                <w:lang w:val="es-AR"/>
              </w:rPr>
              <w:t>La Tablada 451, Córdoba</w:t>
            </w:r>
          </w:p>
        </w:tc>
      </w:tr>
      <w:tr w:rsidR="00E95844" w:rsidRPr="00251FDB" w:rsidTr="009B26F9">
        <w:trPr>
          <w:jc w:val="center"/>
        </w:trPr>
        <w:tc>
          <w:tcPr>
            <w:tcW w:w="1102" w:type="dxa"/>
            <w:vMerge/>
          </w:tcPr>
          <w:p w:rsidR="00E95844" w:rsidRPr="00251FDB" w:rsidRDefault="00E95844" w:rsidP="00251FDB">
            <w:pPr>
              <w:spacing w:line="240" w:lineRule="atLeast"/>
              <w:jc w:val="both"/>
              <w:rPr>
                <w:sz w:val="20"/>
                <w:szCs w:val="20"/>
                <w:lang w:val="es-AR"/>
              </w:rPr>
            </w:pPr>
          </w:p>
        </w:tc>
        <w:tc>
          <w:tcPr>
            <w:tcW w:w="2442" w:type="dxa"/>
          </w:tcPr>
          <w:p w:rsidR="00E95844" w:rsidRPr="00251FDB" w:rsidRDefault="00E95844" w:rsidP="00251FDB">
            <w:pPr>
              <w:spacing w:line="240" w:lineRule="atLeast"/>
              <w:jc w:val="both"/>
              <w:rPr>
                <w:sz w:val="20"/>
                <w:szCs w:val="20"/>
                <w:lang w:val="es-AR"/>
              </w:rPr>
            </w:pPr>
            <w:r w:rsidRPr="00251FDB">
              <w:rPr>
                <w:sz w:val="20"/>
                <w:szCs w:val="20"/>
                <w:lang w:val="es-AR"/>
              </w:rPr>
              <w:t>Víctor Jorge Aramburu</w:t>
            </w:r>
          </w:p>
        </w:tc>
        <w:tc>
          <w:tcPr>
            <w:tcW w:w="2173" w:type="dxa"/>
          </w:tcPr>
          <w:p w:rsidR="00E95844" w:rsidRPr="00251FDB" w:rsidRDefault="00E95844" w:rsidP="00251FDB">
            <w:pPr>
              <w:spacing w:line="240" w:lineRule="atLeast"/>
              <w:rPr>
                <w:sz w:val="20"/>
                <w:szCs w:val="20"/>
                <w:lang w:val="es-AR"/>
              </w:rPr>
            </w:pPr>
            <w:r w:rsidRPr="00251FDB">
              <w:rPr>
                <w:sz w:val="20"/>
                <w:szCs w:val="20"/>
                <w:lang w:val="es-AR"/>
              </w:rPr>
              <w:t>20-12873550-0</w:t>
            </w:r>
          </w:p>
        </w:tc>
        <w:tc>
          <w:tcPr>
            <w:tcW w:w="2505" w:type="dxa"/>
          </w:tcPr>
          <w:p w:rsidR="00E95844" w:rsidRPr="00EA1080" w:rsidRDefault="00E95844" w:rsidP="00251FDB">
            <w:pPr>
              <w:rPr>
                <w:sz w:val="20"/>
                <w:szCs w:val="20"/>
              </w:rPr>
            </w:pPr>
            <w:r w:rsidRPr="00251FDB">
              <w:rPr>
                <w:sz w:val="20"/>
                <w:szCs w:val="20"/>
                <w:lang w:val="es-AR"/>
              </w:rPr>
              <w:t>La Tablada 451, Córdoba</w:t>
            </w:r>
          </w:p>
        </w:tc>
      </w:tr>
    </w:tbl>
    <w:p w:rsidR="00251FDB" w:rsidRPr="00251FDB" w:rsidRDefault="00251FDB" w:rsidP="00251FDB">
      <w:pPr>
        <w:spacing w:line="240" w:lineRule="atLeast"/>
        <w:jc w:val="both"/>
        <w:rPr>
          <w:sz w:val="20"/>
          <w:szCs w:val="20"/>
          <w:lang w:val="es-AR"/>
        </w:rPr>
      </w:pPr>
    </w:p>
    <w:p w:rsidR="00251FDB" w:rsidRPr="00251FDB" w:rsidRDefault="00251FDB" w:rsidP="00251FDB">
      <w:pPr>
        <w:spacing w:line="240" w:lineRule="atLeast"/>
        <w:jc w:val="both"/>
        <w:rPr>
          <w:i/>
          <w:sz w:val="20"/>
          <w:szCs w:val="20"/>
          <w:lang w:val="es-AR"/>
        </w:rPr>
      </w:pPr>
      <w:r w:rsidRPr="00251FDB">
        <w:rPr>
          <w:sz w:val="20"/>
          <w:szCs w:val="20"/>
          <w:lang w:val="es-AR"/>
        </w:rPr>
        <w:t>Se recomienda al público inversor ver el Capítulo “</w:t>
      </w:r>
      <w:r w:rsidRPr="00251FDB">
        <w:rPr>
          <w:i/>
          <w:sz w:val="20"/>
          <w:szCs w:val="20"/>
          <w:lang w:val="es-AR"/>
        </w:rPr>
        <w:t>Información sobre los Directores, Gerentes, y miembros de la Comisión Fiscalizadora – a) Directores titulares, suplentes, gerentes y miembros de la Comisión Fiscalizadora – Comisión Fiscalizadora”</w:t>
      </w:r>
      <w:r w:rsidRPr="00251FDB">
        <w:rPr>
          <w:sz w:val="20"/>
          <w:szCs w:val="20"/>
          <w:lang w:val="es-AR"/>
        </w:rPr>
        <w:t xml:space="preserve"> para más obtener un detalle de los antecedentes profesionales y cargos ocupados en otras empresas o entidades de los miembros de la Comisión Fiscalizadora.</w:t>
      </w:r>
      <w:r w:rsidRPr="00251FDB">
        <w:rPr>
          <w:i/>
          <w:sz w:val="20"/>
          <w:szCs w:val="20"/>
          <w:lang w:val="es-AR"/>
        </w:rPr>
        <w:cr/>
      </w:r>
    </w:p>
    <w:p w:rsidR="00251FDB" w:rsidRPr="00251FDB" w:rsidRDefault="00251FDB" w:rsidP="00251FDB">
      <w:pPr>
        <w:spacing w:line="240" w:lineRule="atLeast"/>
        <w:jc w:val="both"/>
        <w:rPr>
          <w:sz w:val="20"/>
          <w:szCs w:val="20"/>
          <w:lang w:val="es-AR"/>
        </w:rPr>
      </w:pPr>
      <w:r w:rsidRPr="00251FDB">
        <w:rPr>
          <w:b/>
          <w:sz w:val="20"/>
          <w:szCs w:val="20"/>
          <w:lang w:val="es-AR"/>
        </w:rPr>
        <w:t>(v)</w:t>
      </w:r>
      <w:r w:rsidRPr="00251FDB">
        <w:rPr>
          <w:sz w:val="20"/>
          <w:szCs w:val="20"/>
          <w:lang w:val="es-AR"/>
        </w:rPr>
        <w:t xml:space="preserve"> </w:t>
      </w:r>
      <w:r w:rsidRPr="00251FDB">
        <w:rPr>
          <w:i/>
          <w:sz w:val="20"/>
          <w:szCs w:val="20"/>
          <w:lang w:val="es-AR"/>
        </w:rPr>
        <w:t>Elección de Auditores:</w:t>
      </w:r>
      <w:r w:rsidRPr="00251FDB">
        <w:rPr>
          <w:sz w:val="20"/>
          <w:szCs w:val="20"/>
          <w:lang w:val="es-AR"/>
        </w:rPr>
        <w:t xml:space="preserve"> La Asamblea resolvió, por unanimidad, designar para el ejercicio iniciado el 1 de enero de 2020 y que finalizara el 31 de diciembre de 2020, como Contador Certificante Titular al Contador Andrés Suárez, DNI N° 17.203.505 y como Contador Certificante Suplente al Contador Hernán Rodolfo Pérez Raffo, DNI N° 20.694.494, ambos pertenecientes al Estudio Price Waterhouse &amp; Co. S.R.L.</w:t>
      </w:r>
    </w:p>
    <w:p w:rsidR="00251FDB" w:rsidRPr="00251FDB" w:rsidRDefault="00251FDB" w:rsidP="00251FDB">
      <w:pPr>
        <w:spacing w:line="240" w:lineRule="atLeast"/>
        <w:jc w:val="both"/>
        <w:rPr>
          <w:sz w:val="20"/>
          <w:szCs w:val="20"/>
          <w:lang w:val="es-AR"/>
        </w:rPr>
      </w:pPr>
    </w:p>
    <w:p w:rsidR="00251FDB" w:rsidRPr="00251FDB" w:rsidRDefault="00251FDB" w:rsidP="00251FDB">
      <w:pPr>
        <w:spacing w:line="240" w:lineRule="atLeast"/>
        <w:jc w:val="both"/>
        <w:rPr>
          <w:sz w:val="20"/>
          <w:szCs w:val="20"/>
          <w:lang w:val="es-AR"/>
        </w:rPr>
      </w:pPr>
      <w:r w:rsidRPr="00251FDB">
        <w:rPr>
          <w:sz w:val="20"/>
          <w:szCs w:val="20"/>
          <w:lang w:val="es-AR"/>
        </w:rPr>
        <w:t>Se recomienda al público inversor ver el Capítulo “</w:t>
      </w:r>
      <w:r w:rsidRPr="00251FDB">
        <w:rPr>
          <w:i/>
          <w:sz w:val="20"/>
          <w:szCs w:val="20"/>
          <w:lang w:val="es-AR"/>
        </w:rPr>
        <w:t>Información sobre los Directores, Gerentes, y miembros de la Comisión Fiscalizadora – a) Directores titulares, suplentes, gerentes y miembros de la Comisión Fiscalizadora – Auditores”</w:t>
      </w:r>
      <w:r w:rsidRPr="00251FDB">
        <w:rPr>
          <w:sz w:val="20"/>
          <w:szCs w:val="20"/>
          <w:lang w:val="es-AR"/>
        </w:rPr>
        <w:t xml:space="preserve"> para más obtener más detalles sobre los profesionales designados como contadores certificantes.</w:t>
      </w:r>
      <w:r w:rsidRPr="00251FDB">
        <w:rPr>
          <w:i/>
          <w:sz w:val="20"/>
          <w:szCs w:val="20"/>
          <w:lang w:val="es-AR"/>
        </w:rPr>
        <w:cr/>
      </w:r>
    </w:p>
    <w:p w:rsidR="00E870AA" w:rsidRDefault="00E870AA" w:rsidP="00E870AA">
      <w:pPr>
        <w:pStyle w:val="Prrafodelista"/>
        <w:numPr>
          <w:ilvl w:val="0"/>
          <w:numId w:val="2"/>
        </w:numPr>
        <w:spacing w:line="240" w:lineRule="atLeast"/>
        <w:jc w:val="both"/>
        <w:rPr>
          <w:b/>
          <w:i/>
          <w:sz w:val="20"/>
          <w:szCs w:val="20"/>
          <w:lang w:val="es-AR"/>
        </w:rPr>
      </w:pPr>
      <w:r>
        <w:rPr>
          <w:b/>
          <w:i/>
          <w:sz w:val="20"/>
          <w:szCs w:val="20"/>
          <w:lang w:val="es-AR"/>
        </w:rPr>
        <w:t>Aprobación de Estados Financieros Trimestrales</w:t>
      </w:r>
    </w:p>
    <w:p w:rsidR="00E870AA" w:rsidRDefault="00E870AA" w:rsidP="00E870AA">
      <w:pPr>
        <w:spacing w:line="240" w:lineRule="atLeast"/>
        <w:jc w:val="both"/>
        <w:rPr>
          <w:b/>
          <w:i/>
          <w:sz w:val="20"/>
          <w:szCs w:val="20"/>
          <w:lang w:val="es-AR"/>
        </w:rPr>
      </w:pPr>
    </w:p>
    <w:p w:rsidR="00E870AA" w:rsidRPr="009B26F9" w:rsidRDefault="00E870AA" w:rsidP="008F2C84">
      <w:pPr>
        <w:spacing w:line="240" w:lineRule="atLeast"/>
        <w:jc w:val="both"/>
        <w:rPr>
          <w:bCs/>
          <w:i/>
          <w:sz w:val="20"/>
          <w:szCs w:val="20"/>
          <w:lang w:val="es-AR"/>
        </w:rPr>
      </w:pPr>
      <w:r>
        <w:rPr>
          <w:bCs/>
          <w:iCs/>
          <w:sz w:val="20"/>
          <w:szCs w:val="20"/>
          <w:lang w:val="es-AR"/>
        </w:rPr>
        <w:t xml:space="preserve">Con fecha 28 de mayo de 2020, el Directorio de la Sociedad aprobó los estados financieros trimestrales por el período de tres meses al 31 de marzo de 2020. Para más información véase el Capítulo </w:t>
      </w:r>
      <w:r w:rsidRPr="009B26F9">
        <w:rPr>
          <w:bCs/>
          <w:iCs/>
          <w:sz w:val="20"/>
          <w:szCs w:val="20"/>
          <w:lang w:val="es-AR"/>
        </w:rPr>
        <w:t>V</w:t>
      </w:r>
      <w:r>
        <w:rPr>
          <w:bCs/>
          <w:iCs/>
          <w:sz w:val="20"/>
          <w:szCs w:val="20"/>
          <w:lang w:val="es-AR"/>
        </w:rPr>
        <w:t xml:space="preserve"> “</w:t>
      </w:r>
      <w:r w:rsidRPr="009B26F9">
        <w:rPr>
          <w:bCs/>
          <w:i/>
          <w:sz w:val="20"/>
          <w:szCs w:val="20"/>
          <w:lang w:val="es-AR"/>
        </w:rPr>
        <w:t>Información Financiera</w:t>
      </w:r>
      <w:r>
        <w:rPr>
          <w:bCs/>
          <w:i/>
          <w:sz w:val="20"/>
          <w:szCs w:val="20"/>
          <w:lang w:val="es-AR"/>
        </w:rPr>
        <w:t>” del presente suplemento.</w:t>
      </w:r>
    </w:p>
    <w:p w:rsidR="00E870AA" w:rsidRDefault="00E870AA" w:rsidP="00251FDB">
      <w:pPr>
        <w:spacing w:line="240" w:lineRule="atLeast"/>
        <w:jc w:val="both"/>
        <w:rPr>
          <w:b/>
          <w:i/>
          <w:sz w:val="20"/>
          <w:szCs w:val="20"/>
          <w:lang w:val="es-AR"/>
        </w:rPr>
      </w:pPr>
    </w:p>
    <w:p w:rsidR="00251FDB" w:rsidRPr="009B26F9" w:rsidRDefault="00251FDB" w:rsidP="009B26F9">
      <w:pPr>
        <w:pStyle w:val="Prrafodelista"/>
        <w:numPr>
          <w:ilvl w:val="0"/>
          <w:numId w:val="2"/>
        </w:numPr>
        <w:spacing w:line="240" w:lineRule="atLeast"/>
        <w:jc w:val="both"/>
        <w:rPr>
          <w:b/>
          <w:i/>
          <w:sz w:val="20"/>
          <w:szCs w:val="20"/>
          <w:lang w:val="es-AR"/>
        </w:rPr>
      </w:pPr>
      <w:r w:rsidRPr="009B26F9">
        <w:rPr>
          <w:b/>
          <w:i/>
          <w:sz w:val="20"/>
          <w:szCs w:val="20"/>
          <w:lang w:val="es-AR"/>
        </w:rPr>
        <w:t xml:space="preserve"> Convocatoria a Asamblea </w:t>
      </w:r>
    </w:p>
    <w:p w:rsidR="00251FDB" w:rsidRPr="00251FDB" w:rsidRDefault="00251FDB" w:rsidP="00251FDB">
      <w:pPr>
        <w:spacing w:line="240" w:lineRule="atLeast"/>
        <w:jc w:val="both"/>
        <w:rPr>
          <w:sz w:val="20"/>
          <w:szCs w:val="20"/>
          <w:lang w:val="es-AR"/>
        </w:rPr>
      </w:pPr>
    </w:p>
    <w:p w:rsidR="00251FDB" w:rsidRPr="008F2C84" w:rsidRDefault="00251FDB" w:rsidP="00251FDB">
      <w:pPr>
        <w:spacing w:line="240" w:lineRule="atLeast"/>
        <w:jc w:val="both"/>
        <w:rPr>
          <w:sz w:val="20"/>
          <w:szCs w:val="20"/>
          <w:lang w:val="es-AR"/>
        </w:rPr>
      </w:pPr>
      <w:r w:rsidRPr="008F2C84">
        <w:rPr>
          <w:sz w:val="20"/>
          <w:szCs w:val="20"/>
          <w:lang w:val="es-AR"/>
        </w:rPr>
        <w:t>Con fecha 10 de junio de 2020 el Directorio de</w:t>
      </w:r>
      <w:r w:rsidR="00271E19" w:rsidRPr="008F2C84">
        <w:rPr>
          <w:sz w:val="20"/>
          <w:szCs w:val="20"/>
          <w:lang w:val="es-AR"/>
        </w:rPr>
        <w:t>l</w:t>
      </w:r>
      <w:r w:rsidRPr="008F2C84">
        <w:rPr>
          <w:sz w:val="20"/>
          <w:szCs w:val="20"/>
          <w:lang w:val="es-AR"/>
        </w:rPr>
        <w:t xml:space="preserve"> Emisor, resolvió convocar a una Asamblea General Extraordinaria de Accionistas para el día 26 de junio de 2020 a las 11:00 horas mediante el sistema de videoconferencia </w:t>
      </w:r>
      <w:r w:rsidRPr="008F2C84">
        <w:rPr>
          <w:i/>
          <w:sz w:val="20"/>
          <w:szCs w:val="20"/>
          <w:lang w:val="es-AR"/>
        </w:rPr>
        <w:t>“Zoom”</w:t>
      </w:r>
      <w:r w:rsidRPr="008F2C84">
        <w:rPr>
          <w:sz w:val="20"/>
          <w:szCs w:val="20"/>
          <w:lang w:val="es-AR"/>
        </w:rPr>
        <w:t xml:space="preserve"> de conformidad con la Resolución General N°830/2020 de la CNV, dictada en el marco de la restricción a la libre circulación de las personas en general, con carácter preventivo y/u obligatorio y/o sectorizado en virtud del Decreto de Necesidad y Urgencia N° 297/2020, y sus prorrogas</w:t>
      </w:r>
      <w:r w:rsidR="00E870AA" w:rsidRPr="008F2C84">
        <w:rPr>
          <w:sz w:val="20"/>
          <w:szCs w:val="20"/>
          <w:lang w:val="es-AR"/>
        </w:rPr>
        <w:t>, a fin de tratar la desafectación</w:t>
      </w:r>
      <w:r w:rsidR="00E870AA" w:rsidRPr="009B26F9">
        <w:rPr>
          <w:sz w:val="20"/>
          <w:szCs w:val="20"/>
          <w:lang w:val="es-AR"/>
        </w:rPr>
        <w:t xml:space="preserve"> de la Reserva facultativa destinada a la distribución de Futuros Dividendos y/o para generar nuevos negocios y emprendimientos conforme lo requieran las necesidades financieras de la Empresa y la Distribución de Dividendos. </w:t>
      </w:r>
    </w:p>
    <w:p w:rsidR="00E32F63" w:rsidRDefault="00E32F63" w:rsidP="00251FDB">
      <w:pPr>
        <w:spacing w:line="240" w:lineRule="atLeast"/>
        <w:jc w:val="both"/>
        <w:rPr>
          <w:sz w:val="20"/>
          <w:szCs w:val="20"/>
          <w:lang w:val="es-AR"/>
        </w:rPr>
      </w:pPr>
    </w:p>
    <w:p w:rsidR="00E32F63" w:rsidRPr="00EA1080" w:rsidRDefault="00E32F63" w:rsidP="00251FDB">
      <w:pPr>
        <w:spacing w:line="240" w:lineRule="atLeast"/>
        <w:jc w:val="both"/>
        <w:rPr>
          <w:b/>
          <w:sz w:val="20"/>
          <w:szCs w:val="20"/>
          <w:lang w:val="es-AR"/>
        </w:rPr>
      </w:pPr>
      <w:r w:rsidRPr="00EA1080">
        <w:rPr>
          <w:b/>
          <w:sz w:val="20"/>
          <w:szCs w:val="20"/>
          <w:lang w:val="es-AR"/>
        </w:rPr>
        <w:t>Novedades normativas en relación con el nuevo coronavirus COVID-19</w:t>
      </w:r>
    </w:p>
    <w:p w:rsidR="002217AD" w:rsidRDefault="002217AD" w:rsidP="00251FDB">
      <w:pPr>
        <w:spacing w:line="240" w:lineRule="atLeast"/>
        <w:jc w:val="both"/>
        <w:rPr>
          <w:sz w:val="20"/>
          <w:szCs w:val="20"/>
          <w:lang w:val="es-AR"/>
        </w:rPr>
      </w:pPr>
    </w:p>
    <w:p w:rsidR="002217AD" w:rsidRDefault="002217AD" w:rsidP="002217AD">
      <w:pPr>
        <w:spacing w:line="240" w:lineRule="atLeast"/>
        <w:jc w:val="both"/>
        <w:rPr>
          <w:sz w:val="20"/>
          <w:szCs w:val="20"/>
          <w:lang w:val="es-ES_tradnl"/>
        </w:rPr>
      </w:pPr>
      <w:r w:rsidRPr="002217AD">
        <w:rPr>
          <w:sz w:val="20"/>
          <w:szCs w:val="20"/>
          <w:lang w:val="es-ES_tradnl"/>
        </w:rPr>
        <w:t>A través del Decreto de Necesidad y Urgencia N° 520/2020 del 7 de junio de mayo de 2020 (el “</w:t>
      </w:r>
      <w:r w:rsidRPr="00EA1080">
        <w:rPr>
          <w:sz w:val="20"/>
          <w:szCs w:val="20"/>
          <w:u w:val="single"/>
          <w:lang w:val="es-ES_tradnl"/>
        </w:rPr>
        <w:t>Decreto 520/2020</w:t>
      </w:r>
      <w:r w:rsidRPr="002217AD">
        <w:rPr>
          <w:sz w:val="20"/>
          <w:szCs w:val="20"/>
          <w:lang w:val="es-ES_tradnl"/>
        </w:rPr>
        <w:t xml:space="preserve">”), el Poder Ejecutivo estableció el marco de acción frente al COVID-19, entre las medidas estableció una nueva etapa de “Distanciamiento Social Preventivo y Obligatorio” hasta el 28 de junio de 2020. Adicionalmente, mediante el presente decreto la mayor parte del país cambió a una etapa de Distanciamiento Social Preventivo y Obligatorio, siendo los únicos lugares exceptuados, y en los que seguirá vigente el Aislamiento Social Preventivo y Obligatorio establecido por el Decreto 297/2020: el </w:t>
      </w:r>
      <w:r w:rsidR="0082634E" w:rsidRPr="002217AD">
        <w:rPr>
          <w:sz w:val="20"/>
          <w:szCs w:val="20"/>
          <w:lang w:val="es-ES_tradnl"/>
        </w:rPr>
        <w:t>Á</w:t>
      </w:r>
      <w:r w:rsidR="0082634E">
        <w:rPr>
          <w:sz w:val="20"/>
          <w:szCs w:val="20"/>
          <w:lang w:val="es-ES_tradnl"/>
        </w:rPr>
        <w:t xml:space="preserve">rea </w:t>
      </w:r>
      <w:r w:rsidRPr="002217AD">
        <w:rPr>
          <w:sz w:val="20"/>
          <w:szCs w:val="20"/>
          <w:lang w:val="es-ES_tradnl"/>
        </w:rPr>
        <w:t>M</w:t>
      </w:r>
      <w:r w:rsidR="0082634E">
        <w:rPr>
          <w:sz w:val="20"/>
          <w:szCs w:val="20"/>
          <w:lang w:val="es-ES_tradnl"/>
        </w:rPr>
        <w:t xml:space="preserve">etropolitana de </w:t>
      </w:r>
      <w:r w:rsidRPr="002217AD">
        <w:rPr>
          <w:sz w:val="20"/>
          <w:szCs w:val="20"/>
          <w:lang w:val="es-ES_tradnl"/>
        </w:rPr>
        <w:t>B</w:t>
      </w:r>
      <w:r w:rsidR="0082634E">
        <w:rPr>
          <w:sz w:val="20"/>
          <w:szCs w:val="20"/>
          <w:lang w:val="es-ES_tradnl"/>
        </w:rPr>
        <w:t xml:space="preserve">uenos </w:t>
      </w:r>
      <w:r w:rsidRPr="002217AD">
        <w:rPr>
          <w:sz w:val="20"/>
          <w:szCs w:val="20"/>
          <w:lang w:val="es-ES_tradnl"/>
        </w:rPr>
        <w:t>A</w:t>
      </w:r>
      <w:r w:rsidR="0082634E">
        <w:rPr>
          <w:sz w:val="20"/>
          <w:szCs w:val="20"/>
          <w:lang w:val="es-ES_tradnl"/>
        </w:rPr>
        <w:t>ires</w:t>
      </w:r>
      <w:r w:rsidRPr="002217AD">
        <w:rPr>
          <w:sz w:val="20"/>
          <w:szCs w:val="20"/>
          <w:lang w:val="es-ES_tradnl"/>
        </w:rPr>
        <w:t xml:space="preserve">, Córdoba capital y el aglomerado urbano que la rodea, Trelew, provincia </w:t>
      </w:r>
      <w:proofErr w:type="spellStart"/>
      <w:r w:rsidRPr="002217AD">
        <w:rPr>
          <w:sz w:val="20"/>
          <w:szCs w:val="20"/>
          <w:lang w:val="es-ES_tradnl"/>
        </w:rPr>
        <w:t>del</w:t>
      </w:r>
      <w:proofErr w:type="spellEnd"/>
      <w:r w:rsidRPr="002217AD">
        <w:rPr>
          <w:sz w:val="20"/>
          <w:szCs w:val="20"/>
          <w:lang w:val="es-ES_tradnl"/>
        </w:rPr>
        <w:t xml:space="preserve"> Chubut; el departamento de San Fernando, provincia del Chaco, donde se encuentra la ciudad capital de Resistencia; y Bariloche y General Roca, provincia de Río Negro. El Decreto 520/2020, establece que en esta etapa Distanciamiento Social Preventivo y Obligatorio, las provincias deberán cumplir con tres pilares imprescindibles (i) los sistemas de salud contarán con la adecuada capacidad para dar respuesta a la emergencia sanitaria; (ii) las localidades no deben tener circulación comunitaria del COVID-19; y (iii) el tiempo de duplicación de casos no debe ser inferior a los 15 días. </w:t>
      </w:r>
    </w:p>
    <w:p w:rsidR="000C29CA" w:rsidRDefault="000C29CA" w:rsidP="002217AD">
      <w:pPr>
        <w:spacing w:line="240" w:lineRule="atLeast"/>
        <w:jc w:val="both"/>
        <w:rPr>
          <w:sz w:val="20"/>
          <w:szCs w:val="20"/>
          <w:lang w:val="es-ES_tradnl"/>
        </w:rPr>
      </w:pPr>
    </w:p>
    <w:p w:rsidR="000C29CA" w:rsidRPr="003130A0" w:rsidRDefault="000C29CA" w:rsidP="002217AD">
      <w:pPr>
        <w:spacing w:line="240" w:lineRule="atLeast"/>
        <w:jc w:val="both"/>
        <w:rPr>
          <w:sz w:val="20"/>
          <w:szCs w:val="20"/>
          <w:lang w:val="es-AR"/>
        </w:rPr>
      </w:pPr>
      <w:r>
        <w:rPr>
          <w:sz w:val="20"/>
          <w:szCs w:val="20"/>
          <w:lang w:val="es-ES_tradnl"/>
        </w:rPr>
        <w:t xml:space="preserve">Posteriormente, con fecha 29 de junio de 2020, por medio del Decreto de Necesidad y Urgencia N° 576/2020, el Poder Ejecutivo dispuso la prórroga del Decreto 520/2020 hasta el 30 de junio de 2020. Luego, a partir del 1° de julio de 2020, y hasta el 17 de julio de 2020 inclusive, </w:t>
      </w:r>
      <w:r w:rsidR="00A3627F">
        <w:rPr>
          <w:sz w:val="20"/>
          <w:szCs w:val="20"/>
          <w:lang w:val="es-ES_tradnl"/>
        </w:rPr>
        <w:t>regirá el Distanciamiento Social Preventivo y Obligatorio en la mayor parte del país. Sin embargo, el Área Metropolitana de Buenos Aires, la Provincia del Chaco, el departamento de General Roca de la Provincia de Río Negro, y el aglomerado urbano de la Ciudad de Neuquén, seguirán en la etapa de Aislamiento Social Preventivo y Obligatorio</w:t>
      </w:r>
      <w:r w:rsidR="00AA37AB">
        <w:rPr>
          <w:sz w:val="20"/>
          <w:szCs w:val="20"/>
          <w:lang w:val="es-ES_tradnl"/>
        </w:rPr>
        <w:t xml:space="preserve">. La Norma destaca que, para estas últimas regiones, </w:t>
      </w:r>
      <w:r w:rsidR="00AA37AB" w:rsidRPr="003130A0">
        <w:rPr>
          <w:sz w:val="20"/>
          <w:szCs w:val="20"/>
          <w:lang w:val="es-AR"/>
        </w:rPr>
        <w:t>se suspende, a partir del día 1° de julio y hasta el día 17 de julio inclusive, la vigencia de distintas normas que fueron exceptuando del Aislamiento Social, Preventivo y Obligatorio a distintas actividades y servicios, permaneciendo solo exceptuadas las esenciales.</w:t>
      </w:r>
    </w:p>
    <w:p w:rsidR="00247068" w:rsidRPr="002217AD" w:rsidRDefault="00247068" w:rsidP="002217AD">
      <w:pPr>
        <w:spacing w:line="240" w:lineRule="atLeast"/>
        <w:jc w:val="both"/>
        <w:rPr>
          <w:sz w:val="20"/>
          <w:szCs w:val="20"/>
          <w:lang w:val="es-ES_tradnl"/>
        </w:rPr>
      </w:pPr>
    </w:p>
    <w:p w:rsidR="00E616BF" w:rsidRDefault="002217AD" w:rsidP="002217AD">
      <w:pPr>
        <w:spacing w:line="240" w:lineRule="atLeast"/>
        <w:jc w:val="both"/>
        <w:rPr>
          <w:color w:val="000000"/>
          <w:sz w:val="20"/>
          <w:szCs w:val="20"/>
          <w:lang w:val="es-ES"/>
        </w:rPr>
      </w:pPr>
      <w:r w:rsidRPr="002217AD">
        <w:rPr>
          <w:sz w:val="20"/>
          <w:szCs w:val="20"/>
          <w:lang w:val="es-ES_tradnl"/>
        </w:rPr>
        <w:t xml:space="preserve">Entre algunas de las consecuencias a las medidas mencionadas, hubo una reducción de la recaudación tributaria durante abril y mayo de 2020 del 23,4% y 22,5%, respectivamente, en términos reales, en relación al pasado año. </w:t>
      </w:r>
      <w:r w:rsidR="00E616BF">
        <w:rPr>
          <w:color w:val="000000"/>
          <w:sz w:val="20"/>
          <w:szCs w:val="20"/>
          <w:lang w:val="es-ES"/>
        </w:rPr>
        <w:t>Asimismo, el</w:t>
      </w:r>
      <w:r w:rsidR="00E616BF" w:rsidRPr="007235D4">
        <w:rPr>
          <w:color w:val="000000"/>
          <w:sz w:val="20"/>
          <w:szCs w:val="20"/>
          <w:lang w:val="es-AR"/>
        </w:rPr>
        <w:t xml:space="preserve"> nivel de actividad económica </w:t>
      </w:r>
      <w:r w:rsidR="00E616BF">
        <w:rPr>
          <w:color w:val="000000"/>
          <w:sz w:val="20"/>
          <w:szCs w:val="20"/>
          <w:lang w:val="es-AR"/>
        </w:rPr>
        <w:t xml:space="preserve">de Argentina </w:t>
      </w:r>
      <w:r w:rsidR="00E616BF" w:rsidRPr="007235D4">
        <w:rPr>
          <w:color w:val="000000"/>
          <w:sz w:val="20"/>
          <w:szCs w:val="20"/>
          <w:lang w:val="es-AR"/>
        </w:rPr>
        <w:t>retrocedió 26,4% a nivel interanual durante abril</w:t>
      </w:r>
      <w:r w:rsidR="00E616BF">
        <w:rPr>
          <w:color w:val="000000"/>
          <w:sz w:val="20"/>
          <w:szCs w:val="20"/>
          <w:lang w:val="es-AR"/>
        </w:rPr>
        <w:t xml:space="preserve"> de 2020</w:t>
      </w:r>
      <w:r w:rsidR="00E616BF" w:rsidRPr="007235D4">
        <w:rPr>
          <w:color w:val="000000"/>
          <w:sz w:val="20"/>
          <w:szCs w:val="20"/>
          <w:lang w:val="es-AR"/>
        </w:rPr>
        <w:t xml:space="preserve">, primer mes en que se aplicaron las medidas de </w:t>
      </w:r>
      <w:r w:rsidR="00E616BF">
        <w:rPr>
          <w:color w:val="000000"/>
          <w:sz w:val="20"/>
          <w:szCs w:val="20"/>
          <w:lang w:val="es-AR"/>
        </w:rPr>
        <w:t>aislamiento en virtud de la pandemia del Covid-19</w:t>
      </w:r>
      <w:r w:rsidR="00E616BF">
        <w:rPr>
          <w:color w:val="000000"/>
          <w:sz w:val="20"/>
          <w:szCs w:val="20"/>
          <w:lang w:val="es-ES"/>
        </w:rPr>
        <w:t xml:space="preserve">, y el </w:t>
      </w:r>
      <w:r w:rsidR="00E616BF" w:rsidRPr="00A642AF">
        <w:rPr>
          <w:color w:val="000000"/>
          <w:sz w:val="20"/>
          <w:szCs w:val="20"/>
          <w:lang w:val="es-ES"/>
        </w:rPr>
        <w:t>Estimador Mensual de la Actividad Económica (</w:t>
      </w:r>
      <w:r w:rsidR="003D6E1B" w:rsidRPr="00A642AF">
        <w:rPr>
          <w:color w:val="000000"/>
          <w:sz w:val="20"/>
          <w:szCs w:val="20"/>
          <w:lang w:val="es-ES"/>
        </w:rPr>
        <w:t>EMAE</w:t>
      </w:r>
      <w:r w:rsidR="00E616BF" w:rsidRPr="00A642AF">
        <w:rPr>
          <w:color w:val="000000"/>
          <w:sz w:val="20"/>
          <w:szCs w:val="20"/>
          <w:lang w:val="es-ES"/>
        </w:rPr>
        <w:t xml:space="preserve">) registró </w:t>
      </w:r>
      <w:r w:rsidR="00E616BF">
        <w:rPr>
          <w:color w:val="000000"/>
          <w:sz w:val="20"/>
          <w:szCs w:val="20"/>
          <w:lang w:val="es-ES"/>
        </w:rPr>
        <w:t xml:space="preserve">en el mismo período </w:t>
      </w:r>
      <w:r w:rsidR="00E616BF" w:rsidRPr="00A642AF">
        <w:rPr>
          <w:color w:val="000000"/>
          <w:sz w:val="20"/>
          <w:szCs w:val="20"/>
          <w:lang w:val="es-ES"/>
        </w:rPr>
        <w:t xml:space="preserve">una baja del 17,5% respecto a </w:t>
      </w:r>
      <w:r w:rsidR="00E616BF">
        <w:rPr>
          <w:color w:val="000000"/>
          <w:sz w:val="20"/>
          <w:szCs w:val="20"/>
          <w:lang w:val="es-ES"/>
        </w:rPr>
        <w:t>marzo, acumulando</w:t>
      </w:r>
      <w:r w:rsidR="00E616BF" w:rsidRPr="00A642AF">
        <w:rPr>
          <w:color w:val="000000"/>
          <w:sz w:val="20"/>
          <w:szCs w:val="20"/>
          <w:lang w:val="es-ES"/>
        </w:rPr>
        <w:t xml:space="preserve"> un retroceso del 11% en el primer cuatrimestre del año</w:t>
      </w:r>
      <w:r w:rsidR="00E616BF">
        <w:rPr>
          <w:color w:val="000000"/>
          <w:sz w:val="20"/>
          <w:szCs w:val="20"/>
          <w:lang w:val="es-ES"/>
        </w:rPr>
        <w:t>.</w:t>
      </w:r>
    </w:p>
    <w:p w:rsidR="00E616BF" w:rsidRDefault="00E616BF" w:rsidP="002217AD">
      <w:pPr>
        <w:spacing w:line="240" w:lineRule="atLeast"/>
        <w:jc w:val="both"/>
        <w:rPr>
          <w:color w:val="000000"/>
          <w:sz w:val="20"/>
          <w:szCs w:val="20"/>
          <w:lang w:val="es-ES"/>
        </w:rPr>
      </w:pPr>
    </w:p>
    <w:p w:rsidR="002217AD" w:rsidRDefault="002217AD" w:rsidP="002217AD">
      <w:pPr>
        <w:spacing w:line="240" w:lineRule="atLeast"/>
        <w:jc w:val="both"/>
        <w:rPr>
          <w:sz w:val="20"/>
          <w:szCs w:val="20"/>
          <w:lang w:val="es-ES_tradnl"/>
        </w:rPr>
      </w:pPr>
      <w:r w:rsidRPr="002217AD">
        <w:rPr>
          <w:sz w:val="20"/>
          <w:szCs w:val="20"/>
          <w:lang w:val="es-ES_tradnl"/>
        </w:rPr>
        <w:t>Las disposiciones adoptadas y por adoptar en el futuro para proteger a la población en general y combatir la enfermedad podrían afectar significativamente a la economía del país y a los negocios del Emisor. Adicionalmente, la suspensión de actividades suma una afectación adicional a la situación financiera en general. La duración de medidas restrictivas que se apliquen para controlar una pandemia, como el COVID-19, puede tener un impacto material y adverso en el negocio del Emisor y aumentar los riesgos por incobrabilidad. La gravedad y duración de la pandemia por el coronavirus es incierta al día de hoy, por ende, no podemos estimar el impacto que puede tener tanto globalmente como, en la economía argentina y mercados financieros e, indirectamente, en la situación financiera, los resultados de las operaciones, y el acceso a los mercados de capitales por parte del Emisor, entre otros.</w:t>
      </w:r>
    </w:p>
    <w:p w:rsidR="0082634E" w:rsidRDefault="0082634E" w:rsidP="002217AD">
      <w:pPr>
        <w:spacing w:line="240" w:lineRule="atLeast"/>
        <w:jc w:val="both"/>
        <w:rPr>
          <w:sz w:val="20"/>
          <w:szCs w:val="20"/>
          <w:lang w:val="es-ES_tradnl"/>
        </w:rPr>
      </w:pPr>
    </w:p>
    <w:p w:rsidR="0082634E" w:rsidRPr="00EA1080" w:rsidRDefault="0082634E" w:rsidP="002217AD">
      <w:pPr>
        <w:spacing w:line="240" w:lineRule="atLeast"/>
        <w:jc w:val="both"/>
        <w:rPr>
          <w:sz w:val="20"/>
          <w:szCs w:val="20"/>
          <w:lang w:val="es-ES_tradnl"/>
        </w:rPr>
      </w:pPr>
    </w:p>
    <w:p w:rsidR="003233F9" w:rsidRPr="00251FDB" w:rsidRDefault="003233F9" w:rsidP="00D50756">
      <w:pPr>
        <w:widowControl w:val="0"/>
        <w:outlineLvl w:val="0"/>
        <w:rPr>
          <w:bCs/>
          <w:sz w:val="20"/>
          <w:szCs w:val="20"/>
          <w:lang w:val="es-AR"/>
        </w:rPr>
      </w:pPr>
      <w:r w:rsidRPr="00251FDB">
        <w:rPr>
          <w:bCs/>
          <w:sz w:val="20"/>
          <w:szCs w:val="20"/>
          <w:lang w:val="es-AR"/>
        </w:rPr>
        <w:br w:type="page"/>
      </w:r>
    </w:p>
    <w:p w:rsidR="003233F9" w:rsidRPr="00251FDB" w:rsidRDefault="000D2B4D" w:rsidP="003233F9">
      <w:pPr>
        <w:ind w:left="2832" w:firstLine="708"/>
        <w:jc w:val="both"/>
        <w:rPr>
          <w:b/>
          <w:smallCaps/>
          <w:sz w:val="20"/>
          <w:szCs w:val="20"/>
          <w:lang w:val="es-AR"/>
        </w:rPr>
      </w:pPr>
      <w:r>
        <w:rPr>
          <w:b/>
          <w:smallCaps/>
          <w:sz w:val="20"/>
          <w:szCs w:val="20"/>
          <w:lang w:val="es-AR"/>
        </w:rPr>
        <w:t>IX</w:t>
      </w:r>
      <w:r w:rsidR="00895C5C">
        <w:rPr>
          <w:b/>
          <w:smallCaps/>
          <w:sz w:val="20"/>
          <w:szCs w:val="20"/>
          <w:lang w:val="es-AR"/>
        </w:rPr>
        <w:t xml:space="preserve">. </w:t>
      </w:r>
      <w:r w:rsidR="003233F9" w:rsidRPr="00251FDB">
        <w:rPr>
          <w:b/>
          <w:smallCaps/>
          <w:sz w:val="20"/>
          <w:szCs w:val="20"/>
          <w:lang w:val="es-AR"/>
        </w:rPr>
        <w:t>Información Adicional</w:t>
      </w:r>
    </w:p>
    <w:p w:rsidR="003233F9" w:rsidRPr="00251FDB" w:rsidRDefault="003233F9" w:rsidP="003233F9">
      <w:pPr>
        <w:ind w:left="2832" w:firstLine="708"/>
        <w:jc w:val="both"/>
        <w:rPr>
          <w:b/>
          <w:smallCaps/>
          <w:sz w:val="20"/>
          <w:szCs w:val="20"/>
          <w:lang w:val="es-AR"/>
        </w:rPr>
      </w:pPr>
    </w:p>
    <w:p w:rsidR="003233F9" w:rsidRPr="00251FDB" w:rsidRDefault="003233F9" w:rsidP="003233F9">
      <w:pPr>
        <w:pStyle w:val="Textoindependiente"/>
        <w:widowControl w:val="0"/>
        <w:tabs>
          <w:tab w:val="clear" w:pos="397"/>
          <w:tab w:val="left" w:pos="708"/>
        </w:tabs>
        <w:outlineLvl w:val="1"/>
        <w:rPr>
          <w:b/>
          <w:color w:val="000000"/>
          <w:lang w:val="es-AR"/>
        </w:rPr>
      </w:pPr>
      <w:r w:rsidRPr="00251FDB">
        <w:rPr>
          <w:b/>
          <w:color w:val="000000"/>
          <w:lang w:val="es-AR"/>
        </w:rPr>
        <w:t xml:space="preserve">a) Controles de Cambio </w:t>
      </w:r>
    </w:p>
    <w:p w:rsidR="003233F9" w:rsidRPr="00251FDB" w:rsidRDefault="003233F9" w:rsidP="003233F9">
      <w:pPr>
        <w:jc w:val="both"/>
        <w:rPr>
          <w:b/>
          <w:smallCaps/>
          <w:sz w:val="20"/>
          <w:szCs w:val="20"/>
          <w:lang w:val="es-AR"/>
        </w:rPr>
      </w:pPr>
    </w:p>
    <w:p w:rsidR="009C7BB8" w:rsidRPr="009C7BB8" w:rsidRDefault="009C7BB8" w:rsidP="009C7BB8">
      <w:pPr>
        <w:pStyle w:val="Textoindependiente"/>
        <w:widowControl w:val="0"/>
        <w:spacing w:line="240" w:lineRule="atLeast"/>
        <w:rPr>
          <w:lang w:val="es-AR"/>
        </w:rPr>
      </w:pPr>
      <w:r w:rsidRPr="009C7BB8">
        <w:rPr>
          <w:lang w:val="es-AR"/>
        </w:rPr>
        <w:t xml:space="preserve">El </w:t>
      </w:r>
      <w:r w:rsidRPr="009C7BB8">
        <w:rPr>
          <w:bCs/>
          <w:lang w:val="es-AR"/>
        </w:rPr>
        <w:t>9</w:t>
      </w:r>
      <w:r w:rsidRPr="009C7BB8">
        <w:rPr>
          <w:lang w:val="es-AR"/>
        </w:rPr>
        <w:t xml:space="preserve"> de </w:t>
      </w:r>
      <w:r w:rsidRPr="009C7BB8">
        <w:rPr>
          <w:bCs/>
          <w:lang w:val="es-AR"/>
        </w:rPr>
        <w:t>junio</w:t>
      </w:r>
      <w:r w:rsidRPr="009C7BB8">
        <w:rPr>
          <w:lang w:val="es-AR"/>
        </w:rPr>
        <w:t xml:space="preserve"> de </w:t>
      </w:r>
      <w:r w:rsidRPr="009C7BB8">
        <w:rPr>
          <w:bCs/>
          <w:lang w:val="es-AR"/>
        </w:rPr>
        <w:t>2005</w:t>
      </w:r>
      <w:r w:rsidRPr="009C7BB8">
        <w:rPr>
          <w:lang w:val="es-AR"/>
        </w:rPr>
        <w:t xml:space="preserve">, a través del Decreto </w:t>
      </w:r>
      <w:r w:rsidRPr="009C7BB8">
        <w:rPr>
          <w:bCs/>
          <w:lang w:val="es-AR"/>
        </w:rPr>
        <w:t>N° 616/2005</w:t>
      </w:r>
      <w:r w:rsidRPr="009C7BB8">
        <w:rPr>
          <w:lang w:val="es-AR"/>
        </w:rPr>
        <w:t xml:space="preserve"> del Poder Ejecutivo Nacional (el “</w:t>
      </w:r>
      <w:r w:rsidRPr="009C7BB8">
        <w:rPr>
          <w:u w:val="single"/>
          <w:lang w:val="es-AR"/>
        </w:rPr>
        <w:t>Decreto</w:t>
      </w:r>
      <w:r w:rsidRPr="009C7BB8">
        <w:rPr>
          <w:bCs/>
          <w:lang w:val="es-AR"/>
        </w:rPr>
        <w:t>”)</w:t>
      </w:r>
      <w:r w:rsidRPr="009C7BB8">
        <w:rPr>
          <w:lang w:val="es-AR"/>
        </w:rPr>
        <w:t xml:space="preserve"> se estableció que los </w:t>
      </w:r>
      <w:r w:rsidRPr="009C7BB8">
        <w:rPr>
          <w:bCs/>
          <w:lang w:val="es-AR"/>
        </w:rPr>
        <w:t>ingresos y egresos de divisas al mercado local de cambios (“</w:t>
      </w:r>
      <w:r w:rsidRPr="009C7BB8">
        <w:rPr>
          <w:bCs/>
          <w:u w:val="single"/>
          <w:lang w:val="es-AR"/>
        </w:rPr>
        <w:t>Mercado Único y Libre de Cambios</w:t>
      </w:r>
      <w:r w:rsidRPr="009C7BB8">
        <w:rPr>
          <w:bCs/>
          <w:lang w:val="es-AR"/>
        </w:rPr>
        <w:t>” o “</w:t>
      </w:r>
      <w:r w:rsidRPr="009C7BB8">
        <w:rPr>
          <w:bCs/>
          <w:u w:val="single"/>
          <w:lang w:val="es-AR"/>
        </w:rPr>
        <w:t>MULC</w:t>
      </w:r>
      <w:r w:rsidRPr="009C7BB8">
        <w:rPr>
          <w:bCs/>
          <w:lang w:val="es-AR"/>
        </w:rPr>
        <w:t xml:space="preserve">”) </w:t>
      </w:r>
      <w:r w:rsidRPr="009C7BB8">
        <w:rPr>
          <w:lang w:val="es-AR"/>
        </w:rPr>
        <w:t xml:space="preserve">y </w:t>
      </w:r>
      <w:r w:rsidRPr="009C7BB8">
        <w:rPr>
          <w:bCs/>
          <w:lang w:val="es-AR"/>
        </w:rPr>
        <w:t xml:space="preserve">toda operación de endeudamiento de residentes </w:t>
      </w:r>
      <w:r w:rsidRPr="009C7BB8">
        <w:rPr>
          <w:lang w:val="es-AR"/>
        </w:rPr>
        <w:t xml:space="preserve">que </w:t>
      </w:r>
      <w:r w:rsidRPr="009C7BB8">
        <w:rPr>
          <w:bCs/>
          <w:lang w:val="es-AR"/>
        </w:rPr>
        <w:t>pueda implicar un futuro pago en divisas a no residentes, deberán ser objeto de registro ante</w:t>
      </w:r>
      <w:r w:rsidRPr="009C7BB8">
        <w:rPr>
          <w:lang w:val="es-AR"/>
        </w:rPr>
        <w:t xml:space="preserve"> el BCRA</w:t>
      </w:r>
      <w:r w:rsidRPr="009C7BB8">
        <w:rPr>
          <w:bCs/>
          <w:lang w:val="es-AR"/>
        </w:rPr>
        <w:t xml:space="preserve">. </w:t>
      </w:r>
    </w:p>
    <w:p w:rsidR="009C7BB8" w:rsidRPr="009C7BB8" w:rsidRDefault="009C7BB8" w:rsidP="009C7BB8">
      <w:pPr>
        <w:pStyle w:val="Textoindependiente"/>
        <w:widowControl w:val="0"/>
        <w:spacing w:line="240" w:lineRule="atLeast"/>
        <w:rPr>
          <w:lang w:val="es-AR"/>
        </w:rPr>
      </w:pPr>
    </w:p>
    <w:p w:rsidR="009C7BB8" w:rsidRPr="009C7BB8" w:rsidRDefault="009C7BB8" w:rsidP="009C7BB8">
      <w:pPr>
        <w:pStyle w:val="Textoindependiente"/>
        <w:widowControl w:val="0"/>
        <w:spacing w:line="240" w:lineRule="atLeast"/>
        <w:rPr>
          <w:b/>
          <w:lang w:val="es-AR"/>
        </w:rPr>
      </w:pPr>
      <w:r w:rsidRPr="009C7BB8">
        <w:rPr>
          <w:bCs/>
          <w:lang w:val="es-AR"/>
        </w:rPr>
        <w:t xml:space="preserve">Asimismo mediante el </w:t>
      </w:r>
      <w:r w:rsidRPr="009C7BB8">
        <w:rPr>
          <w:lang w:val="es-AR"/>
        </w:rPr>
        <w:t xml:space="preserve">Decreto </w:t>
      </w:r>
      <w:r w:rsidRPr="009C7BB8">
        <w:rPr>
          <w:bCs/>
          <w:lang w:val="es-AR"/>
        </w:rPr>
        <w:t>se dispuso</w:t>
      </w:r>
      <w:r w:rsidRPr="009C7BB8">
        <w:rPr>
          <w:lang w:val="es-AR"/>
        </w:rPr>
        <w:t xml:space="preserve"> que (a)</w:t>
      </w:r>
      <w:r w:rsidRPr="00D3675B">
        <w:rPr>
          <w:lang w:val="es-ES"/>
        </w:rPr>
        <w:t xml:space="preserve"> todo </w:t>
      </w:r>
      <w:r w:rsidRPr="009C7BB8">
        <w:rPr>
          <w:lang w:val="es-AR"/>
        </w:rPr>
        <w:t xml:space="preserve">ingreso de fondos al </w:t>
      </w:r>
      <w:r w:rsidRPr="009C7BB8">
        <w:rPr>
          <w:bCs/>
          <w:lang w:val="es-AR"/>
        </w:rPr>
        <w:t>MULC</w:t>
      </w:r>
      <w:r w:rsidRPr="009C7BB8">
        <w:rPr>
          <w:lang w:val="es-AR"/>
        </w:rPr>
        <w:t xml:space="preserve"> originado en el </w:t>
      </w:r>
      <w:r w:rsidRPr="00D3675B">
        <w:rPr>
          <w:lang w:val="es-ES"/>
        </w:rPr>
        <w:t xml:space="preserve">endeudamiento con el exterior de personas </w:t>
      </w:r>
      <w:r w:rsidRPr="009C7BB8">
        <w:rPr>
          <w:lang w:val="es-AR"/>
        </w:rPr>
        <w:t>humanas o</w:t>
      </w:r>
      <w:r w:rsidRPr="00D3675B">
        <w:rPr>
          <w:lang w:val="es-ES"/>
        </w:rPr>
        <w:t xml:space="preserve"> jurídicas pertenecientes al sector privado, </w:t>
      </w:r>
      <w:r w:rsidRPr="009C7BB8">
        <w:rPr>
          <w:lang w:val="es-AR"/>
        </w:rPr>
        <w:t>excluyendo los referidos al financiamiento</w:t>
      </w:r>
      <w:r w:rsidRPr="00D3675B">
        <w:rPr>
          <w:lang w:val="es-ES"/>
        </w:rPr>
        <w:t xml:space="preserve"> del comercio exterior y </w:t>
      </w:r>
      <w:r w:rsidRPr="009C7BB8">
        <w:rPr>
          <w:lang w:val="es-AR"/>
        </w:rPr>
        <w:t xml:space="preserve">a </w:t>
      </w:r>
      <w:r w:rsidRPr="00D3675B">
        <w:rPr>
          <w:lang w:val="es-ES"/>
        </w:rPr>
        <w:t xml:space="preserve">las emisiones primarias de </w:t>
      </w:r>
      <w:r w:rsidRPr="009C7BB8">
        <w:rPr>
          <w:lang w:val="es-AR"/>
        </w:rPr>
        <w:t>valores negociables</w:t>
      </w:r>
      <w:r w:rsidRPr="00D3675B">
        <w:rPr>
          <w:lang w:val="es-ES"/>
        </w:rPr>
        <w:t xml:space="preserve"> de deuda que cuenten con oferta pública y </w:t>
      </w:r>
      <w:r w:rsidRPr="009C7BB8">
        <w:rPr>
          <w:bCs/>
          <w:lang w:val="es-AR"/>
        </w:rPr>
        <w:t>estén listados</w:t>
      </w:r>
      <w:r w:rsidRPr="00D3675B">
        <w:rPr>
          <w:lang w:val="es-ES"/>
        </w:rPr>
        <w:t xml:space="preserve"> en mercados</w:t>
      </w:r>
      <w:r w:rsidRPr="00C122F0">
        <w:rPr>
          <w:bCs/>
          <w:lang w:val="es-ES"/>
        </w:rPr>
        <w:t xml:space="preserve"> </w:t>
      </w:r>
      <w:r w:rsidRPr="009C7BB8">
        <w:rPr>
          <w:bCs/>
          <w:lang w:val="es-AR"/>
        </w:rPr>
        <w:t>autorizados; y</w:t>
      </w:r>
      <w:r w:rsidRPr="009C7BB8">
        <w:rPr>
          <w:lang w:val="es-AR"/>
        </w:rPr>
        <w:t xml:space="preserve"> (b) todo ingreso de fondos de no residentes cursados por el MULC destinados a tenencias de moneda local, adquisición de activos o pasivos financieros de todo tipo del sector privado financiero o no financiero</w:t>
      </w:r>
      <w:r w:rsidRPr="009C7BB8">
        <w:rPr>
          <w:bCs/>
          <w:lang w:val="es-AR"/>
        </w:rPr>
        <w:t xml:space="preserve">, </w:t>
      </w:r>
      <w:r w:rsidRPr="009C7BB8">
        <w:rPr>
          <w:lang w:val="es-AR"/>
        </w:rPr>
        <w:t xml:space="preserve">excluyendo la inversión extranjera directa y las emisiones primarias de valores negociables de deuda y de acciones que cuenten con oferta pública y </w:t>
      </w:r>
      <w:r w:rsidRPr="009C7BB8">
        <w:rPr>
          <w:bCs/>
          <w:lang w:val="es-AR"/>
        </w:rPr>
        <w:t>estén listados</w:t>
      </w:r>
      <w:r w:rsidRPr="009C7BB8">
        <w:rPr>
          <w:lang w:val="es-AR"/>
        </w:rPr>
        <w:t xml:space="preserve"> en mercados</w:t>
      </w:r>
      <w:r w:rsidRPr="009C7BB8">
        <w:rPr>
          <w:bCs/>
          <w:lang w:val="es-AR"/>
        </w:rPr>
        <w:t xml:space="preserve"> autorizados</w:t>
      </w:r>
      <w:r w:rsidRPr="009C7BB8">
        <w:rPr>
          <w:lang w:val="es-AR"/>
        </w:rPr>
        <w:t>, e inversiones en valores</w:t>
      </w:r>
      <w:r w:rsidRPr="00D3675B">
        <w:rPr>
          <w:lang w:val="es-ES"/>
        </w:rPr>
        <w:t xml:space="preserve"> emitidos </w:t>
      </w:r>
      <w:r w:rsidRPr="009C7BB8">
        <w:rPr>
          <w:lang w:val="es-AR"/>
        </w:rPr>
        <w:t>por el sector público que sean adquiridos en mercados secundarios; debían cumplir los siguientes requisitos: (</w:t>
      </w:r>
      <w:r w:rsidRPr="009C7BB8">
        <w:rPr>
          <w:bCs/>
          <w:lang w:val="es-AR"/>
        </w:rPr>
        <w:t>i</w:t>
      </w:r>
      <w:r w:rsidRPr="009C7BB8">
        <w:rPr>
          <w:lang w:val="es-AR"/>
        </w:rPr>
        <w:t>) los fondos ingresados sólo podían ser transferidos fuera del MULC al vencimiento de un plazo de 365 días corridos, a contar desde la fecha de ingreso de los mismos al país</w:t>
      </w:r>
      <w:r w:rsidRPr="009C7BB8">
        <w:rPr>
          <w:bCs/>
          <w:lang w:val="es-AR"/>
        </w:rPr>
        <w:t>; (ii</w:t>
      </w:r>
      <w:r w:rsidRPr="009C7BB8">
        <w:rPr>
          <w:lang w:val="es-AR"/>
        </w:rPr>
        <w:t xml:space="preserve">) el resultado de la negociación de cambios de los fondos ingresados </w:t>
      </w:r>
      <w:r w:rsidRPr="009C7BB8">
        <w:rPr>
          <w:bCs/>
          <w:lang w:val="es-AR"/>
        </w:rPr>
        <w:t>debían</w:t>
      </w:r>
      <w:r w:rsidRPr="009C7BB8">
        <w:rPr>
          <w:lang w:val="es-AR"/>
        </w:rPr>
        <w:t xml:space="preserve"> acreditarse en una cuenta del sistema bancario local; (</w:t>
      </w:r>
      <w:r w:rsidRPr="009C7BB8">
        <w:rPr>
          <w:bCs/>
          <w:lang w:val="es-AR"/>
        </w:rPr>
        <w:t>iii</w:t>
      </w:r>
      <w:r w:rsidRPr="009C7BB8">
        <w:rPr>
          <w:lang w:val="es-AR"/>
        </w:rPr>
        <w:t>) debía constituirse</w:t>
      </w:r>
      <w:r w:rsidRPr="009C7BB8">
        <w:rPr>
          <w:bCs/>
          <w:lang w:val="es-AR"/>
        </w:rPr>
        <w:t xml:space="preserve"> de</w:t>
      </w:r>
      <w:r w:rsidRPr="009C7BB8">
        <w:rPr>
          <w:lang w:val="es-AR"/>
        </w:rPr>
        <w:t xml:space="preserve"> un depósito nominativo, no transferible y no remunerado, por el 30% del monto involucrado en la operación correspondiente, durante un plazo de 365 días corridos</w:t>
      </w:r>
      <w:r w:rsidRPr="009C7BB8">
        <w:rPr>
          <w:bCs/>
          <w:lang w:val="es-AR"/>
        </w:rPr>
        <w:t xml:space="preserve">; y </w:t>
      </w:r>
      <w:r w:rsidRPr="009C7BB8">
        <w:rPr>
          <w:lang w:val="es-AR"/>
        </w:rPr>
        <w:t xml:space="preserve">que </w:t>
      </w:r>
      <w:r w:rsidRPr="009C7BB8">
        <w:rPr>
          <w:bCs/>
          <w:lang w:val="es-AR"/>
        </w:rPr>
        <w:t>(iv) tal depósito</w:t>
      </w:r>
      <w:r w:rsidRPr="009C7BB8">
        <w:rPr>
          <w:lang w:val="es-AR"/>
        </w:rPr>
        <w:t xml:space="preserve"> debía ser constituido en </w:t>
      </w:r>
      <w:r w:rsidRPr="009C7BB8">
        <w:rPr>
          <w:bCs/>
          <w:lang w:val="es-AR"/>
        </w:rPr>
        <w:t>Dólares</w:t>
      </w:r>
      <w:r w:rsidRPr="009C7BB8">
        <w:rPr>
          <w:lang w:val="es-AR"/>
        </w:rPr>
        <w:t xml:space="preserve"> en las entidades financieras del país, no devengando intereses ni beneficios de ningún tipo, ni pudiendo ser utilizado como garantía de operaciones de crédito de ningún tipo. </w:t>
      </w:r>
      <w:r w:rsidRPr="009C7BB8">
        <w:rPr>
          <w:bCs/>
          <w:lang w:val="es-AR"/>
        </w:rPr>
        <w:t>Sin embargo, a la fecha los requisitos establecidos en (i), (iii) y (iv) han sido morigerados por medio de Resoluciones emitidas por el entonces Ministerio de Hacienda y Finanzas Públicas (quien fue especialmente facultado para modificar el porcentaje y los plazos antes mencionados).</w:t>
      </w:r>
    </w:p>
    <w:p w:rsidR="009C7BB8" w:rsidRPr="009C7BB8" w:rsidRDefault="009C7BB8" w:rsidP="009C7BB8">
      <w:pPr>
        <w:pStyle w:val="Textoindependiente"/>
        <w:widowControl w:val="0"/>
        <w:spacing w:line="240" w:lineRule="atLeast"/>
        <w:rPr>
          <w:b/>
          <w:bCs/>
          <w:lang w:val="es-AR"/>
        </w:rPr>
      </w:pPr>
    </w:p>
    <w:p w:rsidR="009C7BB8" w:rsidRPr="009C7BB8" w:rsidRDefault="009C7BB8" w:rsidP="009C7BB8">
      <w:pPr>
        <w:pStyle w:val="Textoindependiente"/>
        <w:widowControl w:val="0"/>
        <w:spacing w:line="240" w:lineRule="atLeast"/>
        <w:rPr>
          <w:b/>
          <w:lang w:val="es-AR"/>
        </w:rPr>
      </w:pPr>
      <w:r w:rsidRPr="009C7BB8">
        <w:rPr>
          <w:lang w:val="es-AR"/>
        </w:rPr>
        <w:t xml:space="preserve">En </w:t>
      </w:r>
      <w:r w:rsidRPr="009C7BB8">
        <w:rPr>
          <w:bCs/>
          <w:lang w:val="es-AR"/>
        </w:rPr>
        <w:t>ese sentido, desde fines del 2015, con el cambio</w:t>
      </w:r>
      <w:r w:rsidRPr="009C7BB8">
        <w:rPr>
          <w:lang w:val="es-AR"/>
        </w:rPr>
        <w:t xml:space="preserve"> de </w:t>
      </w:r>
      <w:r w:rsidR="003D6E1B">
        <w:rPr>
          <w:bCs/>
          <w:lang w:val="es-AR"/>
        </w:rPr>
        <w:t>G</w:t>
      </w:r>
      <w:r w:rsidR="003D6E1B" w:rsidRPr="009C7BB8">
        <w:rPr>
          <w:bCs/>
          <w:lang w:val="es-AR"/>
        </w:rPr>
        <w:t xml:space="preserve">obierno </w:t>
      </w:r>
      <w:r w:rsidRPr="009C7BB8">
        <w:rPr>
          <w:bCs/>
          <w:lang w:val="es-AR"/>
        </w:rPr>
        <w:t xml:space="preserve">acaecido en Argentina, comenzaron a introducirse significativas modificaciones al marco regulatorio cambiario, eliminándose paulatinamente </w:t>
      </w:r>
      <w:r w:rsidRPr="009C7BB8">
        <w:rPr>
          <w:lang w:val="es-AR"/>
        </w:rPr>
        <w:t xml:space="preserve">las </w:t>
      </w:r>
      <w:r w:rsidRPr="009C7BB8">
        <w:rPr>
          <w:bCs/>
          <w:lang w:val="es-AR"/>
        </w:rPr>
        <w:t>restricciones que imperaban,</w:t>
      </w:r>
      <w:r w:rsidRPr="009C7BB8">
        <w:rPr>
          <w:lang w:val="es-AR"/>
        </w:rPr>
        <w:t xml:space="preserve"> y </w:t>
      </w:r>
      <w:r w:rsidRPr="009C7BB8">
        <w:rPr>
          <w:bCs/>
          <w:lang w:val="es-AR"/>
        </w:rPr>
        <w:t xml:space="preserve">redefiniéndose aspectos importantes del esquema aplicable a </w:t>
      </w:r>
      <w:r w:rsidRPr="009C7BB8">
        <w:rPr>
          <w:lang w:val="es-AR"/>
        </w:rPr>
        <w:t xml:space="preserve">las </w:t>
      </w:r>
      <w:r w:rsidRPr="009C7BB8">
        <w:rPr>
          <w:bCs/>
          <w:lang w:val="es-AR"/>
        </w:rPr>
        <w:t xml:space="preserve">operaciones cursadas </w:t>
      </w:r>
      <w:r w:rsidRPr="009C7BB8">
        <w:rPr>
          <w:lang w:val="es-AR"/>
        </w:rPr>
        <w:t xml:space="preserve">a través </w:t>
      </w:r>
      <w:r w:rsidRPr="009C7BB8">
        <w:rPr>
          <w:bCs/>
          <w:lang w:val="es-AR"/>
        </w:rPr>
        <w:t xml:space="preserve">del MULC. A través </w:t>
      </w:r>
      <w:r w:rsidRPr="009C7BB8">
        <w:rPr>
          <w:lang w:val="es-AR"/>
        </w:rPr>
        <w:t xml:space="preserve">de la Resolución </w:t>
      </w:r>
      <w:r w:rsidRPr="009C7BB8">
        <w:rPr>
          <w:bCs/>
          <w:lang w:val="es-AR"/>
        </w:rPr>
        <w:t>N°</w:t>
      </w:r>
      <w:r w:rsidRPr="009C7BB8">
        <w:rPr>
          <w:lang w:val="es-AR"/>
        </w:rPr>
        <w:t xml:space="preserve"> 3/2015 de fecha 18 de diciembre de 2015, el Ministerio de Hacienda </w:t>
      </w:r>
      <w:r w:rsidRPr="009C7BB8">
        <w:rPr>
          <w:bCs/>
          <w:lang w:val="es-AR"/>
        </w:rPr>
        <w:t xml:space="preserve">y Finanzas Públicas </w:t>
      </w:r>
      <w:r w:rsidRPr="009C7BB8">
        <w:rPr>
          <w:lang w:val="es-AR"/>
        </w:rPr>
        <w:t xml:space="preserve">redujo de 30% a 0% la alícuota aplicable al </w:t>
      </w:r>
      <w:r w:rsidRPr="009C7BB8">
        <w:rPr>
          <w:bCs/>
          <w:lang w:val="es-AR"/>
        </w:rPr>
        <w:t>depósito nominativo detallado en (iii) anterior</w:t>
      </w:r>
      <w:r w:rsidRPr="009C7BB8">
        <w:rPr>
          <w:lang w:val="es-AR"/>
        </w:rPr>
        <w:t xml:space="preserve"> y, de manera complementaria, redujo de 365 a </w:t>
      </w:r>
      <w:r w:rsidRPr="009C7BB8">
        <w:rPr>
          <w:bCs/>
          <w:lang w:val="es-AR"/>
        </w:rPr>
        <w:t xml:space="preserve">120 días el plazo mínimo de permanencia, en el cual los fondos ingresados podían ser transferidos fuera del país, a contar desde la fecha de su ingreso, indicado en el punto (i) precedente. Luego, el 5 de enero de 2017, el entonces Ministerio de Hacienda por medio de la Resolución 1/2017 redujo este último plazo a 0 (cero). </w:t>
      </w:r>
    </w:p>
    <w:p w:rsidR="009C7BB8" w:rsidRPr="009C7BB8" w:rsidRDefault="009C7BB8" w:rsidP="009C7BB8">
      <w:pPr>
        <w:pStyle w:val="Textoindependiente"/>
        <w:widowControl w:val="0"/>
        <w:spacing w:line="240" w:lineRule="atLeast"/>
        <w:rPr>
          <w:lang w:val="es-AR"/>
        </w:rPr>
      </w:pPr>
    </w:p>
    <w:p w:rsidR="009C7BB8" w:rsidRPr="00C122F0" w:rsidRDefault="009C7BB8" w:rsidP="009C7BB8">
      <w:pPr>
        <w:pStyle w:val="Textoindependiente"/>
        <w:widowControl w:val="0"/>
        <w:spacing w:line="240" w:lineRule="atLeast"/>
        <w:rPr>
          <w:b/>
          <w:bCs/>
          <w:lang w:val="es-ES"/>
        </w:rPr>
      </w:pPr>
      <w:r w:rsidRPr="009C7BB8">
        <w:rPr>
          <w:lang w:val="es-AR"/>
        </w:rPr>
        <w:t>Asimismo</w:t>
      </w:r>
      <w:r w:rsidRPr="009C7BB8">
        <w:rPr>
          <w:bCs/>
          <w:lang w:val="es-AR"/>
        </w:rPr>
        <w:t>, desde la entrada en vigencia de la Comunicación “A” 6.244 del BCRA (el 01 de julio de 2017), se definió la liberación del MULC, dejándose sin efecto todas las normas que reglamentaban la operatoria cambiaria, la posición general de cambios, así como aquellas atinentes al ingreso de divisas de operaciones de exportaciones de bienes y los seguimiento asociados a dicho ingreso –entre otras–, las que pasaron a regirse por esta nueva Comunicación, y por las regulaciones modificatorias y complementarias que se dictaren con posterioridad. Así también, a partir de la Comunicación “A” 6436 se modificó la denominación del MULC a “Mercado Libre de Cambios” (el “</w:t>
      </w:r>
      <w:r w:rsidRPr="009C7BB8">
        <w:rPr>
          <w:bCs/>
          <w:u w:val="single"/>
          <w:lang w:val="es-AR"/>
        </w:rPr>
        <w:t>MLC</w:t>
      </w:r>
      <w:r w:rsidRPr="009C7BB8">
        <w:rPr>
          <w:bCs/>
          <w:lang w:val="es-AR"/>
        </w:rPr>
        <w:t xml:space="preserve">”). </w:t>
      </w:r>
    </w:p>
    <w:p w:rsidR="009C7BB8" w:rsidRPr="00C122F0" w:rsidRDefault="009C7BB8" w:rsidP="009C7BB8">
      <w:pPr>
        <w:pStyle w:val="Textoindependiente"/>
        <w:widowControl w:val="0"/>
        <w:spacing w:line="240" w:lineRule="atLeast"/>
        <w:rPr>
          <w:b/>
          <w:bCs/>
          <w:lang w:val="es-ES"/>
        </w:rPr>
      </w:pPr>
    </w:p>
    <w:p w:rsidR="009C7BB8" w:rsidRPr="00C122F0" w:rsidRDefault="009C7BB8" w:rsidP="009C7BB8">
      <w:pPr>
        <w:pStyle w:val="Textoindependiente"/>
        <w:widowControl w:val="0"/>
        <w:spacing w:line="240" w:lineRule="atLeast"/>
        <w:rPr>
          <w:b/>
          <w:bCs/>
          <w:lang w:val="es-ES"/>
        </w:rPr>
      </w:pPr>
      <w:r w:rsidRPr="00C122F0">
        <w:rPr>
          <w:bCs/>
          <w:lang w:val="es-ES"/>
        </w:rPr>
        <w:t xml:space="preserve">Posteriormente, como consecuencia de la situación financiera existente en el mercado argentino luego de las elecciones Primarias Abiertas Simultaneas y Obligatorias (PASO) que tuvieron lugar en el mes de agosto de 2019, se incrementó la demanda de dólares estadounidenses y al mismo tiempo se agudizó la salida de capitales. En este escenario, el BCRA implementó diversas medidas tendientes a detener la salida de los dólares estadounidenses del sistema financiero, estableciendo nuevas medidas para implementar un control cambiario. </w:t>
      </w:r>
    </w:p>
    <w:p w:rsidR="009C7BB8" w:rsidRPr="00C122F0" w:rsidRDefault="009C7BB8" w:rsidP="009C7BB8">
      <w:pPr>
        <w:pStyle w:val="Textoindependiente"/>
        <w:widowControl w:val="0"/>
        <w:spacing w:line="240" w:lineRule="atLeast"/>
        <w:rPr>
          <w:b/>
          <w:bCs/>
          <w:lang w:val="es-ES"/>
        </w:rPr>
      </w:pPr>
    </w:p>
    <w:p w:rsidR="009C7BB8" w:rsidRPr="00D3675B" w:rsidRDefault="009C7BB8" w:rsidP="009C7BB8">
      <w:pPr>
        <w:pStyle w:val="Textoindependiente"/>
        <w:widowControl w:val="0"/>
        <w:spacing w:line="240" w:lineRule="atLeast"/>
        <w:rPr>
          <w:b/>
          <w:lang w:val="es-ES"/>
        </w:rPr>
      </w:pPr>
      <w:r w:rsidRPr="00D3675B">
        <w:rPr>
          <w:lang w:val="es-ES"/>
        </w:rPr>
        <w:t xml:space="preserve">A continuación, se detallan los aspectos más relevantes de la normativa </w:t>
      </w:r>
      <w:r w:rsidRPr="00C122F0">
        <w:rPr>
          <w:lang w:val="es-ES"/>
        </w:rPr>
        <w:t>emitida por el BCRA, relativos al ingreso y egreso de fondos:</w:t>
      </w:r>
    </w:p>
    <w:p w:rsidR="009C7BB8" w:rsidRPr="009C7BB8" w:rsidRDefault="009C7BB8" w:rsidP="009C7BB8">
      <w:pPr>
        <w:pStyle w:val="Textoindependiente"/>
        <w:widowControl w:val="0"/>
        <w:spacing w:line="240" w:lineRule="atLeast"/>
        <w:rPr>
          <w:b/>
          <w:lang w:val="es-AR"/>
        </w:rPr>
      </w:pPr>
    </w:p>
    <w:p w:rsidR="009C7BB8" w:rsidRPr="00C122F0" w:rsidRDefault="009C7BB8" w:rsidP="009C7BB8">
      <w:pPr>
        <w:widowControl w:val="0"/>
        <w:autoSpaceDE w:val="0"/>
        <w:autoSpaceDN w:val="0"/>
        <w:adjustRightInd w:val="0"/>
        <w:spacing w:line="240" w:lineRule="atLeast"/>
        <w:jc w:val="both"/>
        <w:rPr>
          <w:rFonts w:eastAsia="Calibri"/>
          <w:i/>
          <w:sz w:val="20"/>
          <w:szCs w:val="20"/>
          <w:lang w:val="es-MX"/>
        </w:rPr>
      </w:pPr>
      <w:r w:rsidRPr="00C122F0">
        <w:rPr>
          <w:rFonts w:eastAsia="Calibri"/>
          <w:i/>
          <w:sz w:val="20"/>
          <w:szCs w:val="20"/>
          <w:lang w:val="es-MX"/>
        </w:rPr>
        <w:t>Nueva normativa cambiaria</w:t>
      </w:r>
    </w:p>
    <w:p w:rsidR="009C7BB8" w:rsidRPr="00C122F0" w:rsidRDefault="009C7BB8" w:rsidP="009C7BB8">
      <w:pPr>
        <w:widowControl w:val="0"/>
        <w:autoSpaceDE w:val="0"/>
        <w:autoSpaceDN w:val="0"/>
        <w:adjustRightInd w:val="0"/>
        <w:spacing w:line="240" w:lineRule="atLeast"/>
        <w:jc w:val="both"/>
        <w:rPr>
          <w:rFonts w:eastAsia="Calibri"/>
          <w:i/>
          <w:sz w:val="20"/>
          <w:szCs w:val="20"/>
          <w:lang w:val="es-MX"/>
        </w:rPr>
      </w:pPr>
    </w:p>
    <w:p w:rsidR="009C7BB8" w:rsidRPr="00C122F0" w:rsidRDefault="009C7BB8" w:rsidP="009C7BB8">
      <w:pPr>
        <w:spacing w:line="240" w:lineRule="atLeast"/>
        <w:jc w:val="both"/>
        <w:rPr>
          <w:rFonts w:eastAsia="Calibri"/>
          <w:sz w:val="20"/>
          <w:szCs w:val="20"/>
          <w:lang w:val="es-MX"/>
        </w:rPr>
      </w:pPr>
      <w:r w:rsidRPr="00C122F0">
        <w:rPr>
          <w:rFonts w:eastAsia="Calibri"/>
          <w:sz w:val="20"/>
          <w:szCs w:val="20"/>
          <w:lang w:val="es-MX"/>
        </w:rPr>
        <w:t>Recientemente, con fecha 1° de septiembre el Decreto de Necesidad y Urgencia N° 609</w:t>
      </w:r>
      <w:r>
        <w:rPr>
          <w:rFonts w:eastAsia="Calibri"/>
          <w:sz w:val="20"/>
          <w:szCs w:val="20"/>
          <w:lang w:val="es-MX"/>
        </w:rPr>
        <w:t xml:space="preserve">, </w:t>
      </w:r>
      <w:r w:rsidRPr="00C44941">
        <w:rPr>
          <w:sz w:val="20"/>
          <w:szCs w:val="20"/>
          <w:lang w:val="es-MX"/>
        </w:rPr>
        <w:t>conforme fuera posteriormente modificado por el Decreto de Necesidad y Urgencia N° 91/19</w:t>
      </w:r>
      <w:r>
        <w:rPr>
          <w:sz w:val="20"/>
          <w:szCs w:val="20"/>
          <w:lang w:val="es-MX"/>
        </w:rPr>
        <w:t xml:space="preserve"> </w:t>
      </w:r>
      <w:r w:rsidRPr="00C122F0">
        <w:rPr>
          <w:rFonts w:eastAsia="Calibri"/>
          <w:sz w:val="20"/>
          <w:szCs w:val="20"/>
          <w:lang w:val="es-MX"/>
        </w:rPr>
        <w:t>(“</w:t>
      </w:r>
      <w:r w:rsidRPr="00C122F0">
        <w:rPr>
          <w:rFonts w:eastAsia="Calibri"/>
          <w:sz w:val="20"/>
          <w:szCs w:val="20"/>
          <w:u w:val="single"/>
          <w:lang w:val="es-MX"/>
        </w:rPr>
        <w:t>DNU</w:t>
      </w:r>
      <w:r w:rsidRPr="00C122F0">
        <w:rPr>
          <w:rFonts w:eastAsia="Calibri"/>
          <w:sz w:val="20"/>
          <w:szCs w:val="20"/>
          <w:lang w:val="es-MX"/>
        </w:rPr>
        <w:t>”)</w:t>
      </w:r>
      <w:r>
        <w:rPr>
          <w:sz w:val="20"/>
          <w:szCs w:val="20"/>
          <w:lang w:val="es-MX"/>
        </w:rPr>
        <w:t xml:space="preserve">, </w:t>
      </w:r>
      <w:r w:rsidRPr="00C122F0">
        <w:rPr>
          <w:rFonts w:eastAsia="Calibri"/>
          <w:sz w:val="20"/>
          <w:szCs w:val="20"/>
          <w:lang w:val="es-MX"/>
        </w:rPr>
        <w:t xml:space="preserve">estableció </w:t>
      </w:r>
      <w:r>
        <w:rPr>
          <w:rFonts w:eastAsia="Calibri"/>
          <w:sz w:val="20"/>
          <w:szCs w:val="20"/>
          <w:lang w:val="es-MX"/>
        </w:rPr>
        <w:t xml:space="preserve">que </w:t>
      </w:r>
      <w:r w:rsidRPr="00C122F0">
        <w:rPr>
          <w:rFonts w:eastAsia="Calibri"/>
          <w:sz w:val="20"/>
          <w:szCs w:val="20"/>
          <w:lang w:val="es-MX"/>
        </w:rPr>
        <w:t xml:space="preserve">el contravalor de la exportación de bienes y servicios deberá ingresarse al país en divisas y/o negociarse en el </w:t>
      </w:r>
      <w:r>
        <w:rPr>
          <w:rFonts w:eastAsia="Calibri"/>
          <w:sz w:val="20"/>
          <w:szCs w:val="20"/>
          <w:lang w:val="es-MX"/>
        </w:rPr>
        <w:t>MLC</w:t>
      </w:r>
      <w:r w:rsidRPr="00C122F0">
        <w:rPr>
          <w:rFonts w:eastAsia="Calibri"/>
          <w:sz w:val="20"/>
          <w:szCs w:val="20"/>
          <w:lang w:val="es-MX"/>
        </w:rPr>
        <w:t xml:space="preserve"> en las condiciones y plazos que establezca el BCRA oportunamente.</w:t>
      </w:r>
    </w:p>
    <w:p w:rsidR="009C7BB8" w:rsidRPr="00C65E07" w:rsidRDefault="009C7BB8" w:rsidP="009C7BB8">
      <w:pPr>
        <w:spacing w:line="240" w:lineRule="atLeast"/>
        <w:jc w:val="both"/>
        <w:rPr>
          <w:rFonts w:eastAsia="Calibri"/>
          <w:sz w:val="20"/>
          <w:lang w:val="es-MX"/>
        </w:rPr>
      </w:pPr>
    </w:p>
    <w:p w:rsidR="009C7BB8" w:rsidRPr="00C55FCB" w:rsidRDefault="009C7BB8" w:rsidP="009C7BB8">
      <w:pPr>
        <w:spacing w:line="240" w:lineRule="atLeast"/>
        <w:jc w:val="both"/>
        <w:rPr>
          <w:rFonts w:eastAsia="Calibri"/>
          <w:sz w:val="20"/>
          <w:lang w:val="es-MX"/>
        </w:rPr>
      </w:pPr>
      <w:r w:rsidRPr="00C65E07">
        <w:rPr>
          <w:rFonts w:eastAsia="Calibri"/>
          <w:sz w:val="20"/>
          <w:lang w:val="es-MX"/>
        </w:rPr>
        <w:t xml:space="preserve">En </w:t>
      </w:r>
      <w:r w:rsidRPr="00C122F0">
        <w:rPr>
          <w:rFonts w:eastAsia="Calibri"/>
          <w:sz w:val="20"/>
          <w:szCs w:val="20"/>
          <w:lang w:val="es-MX"/>
        </w:rPr>
        <w:t xml:space="preserve">ese marco, el BCRA emitió la Comunicación “A” 6770 (actualmente comprendida en el Texto Ordenado de “Exterior y Cambios” cuya última comunicación incorporada es la “A” </w:t>
      </w:r>
      <w:r w:rsidR="00E616BF">
        <w:rPr>
          <w:rFonts w:eastAsia="Calibri"/>
          <w:sz w:val="20"/>
          <w:szCs w:val="20"/>
          <w:lang w:val="es-MX"/>
        </w:rPr>
        <w:t>7052</w:t>
      </w:r>
      <w:r w:rsidRPr="00C122F0">
        <w:rPr>
          <w:rFonts w:eastAsia="Calibri"/>
          <w:sz w:val="20"/>
          <w:szCs w:val="20"/>
          <w:lang w:val="es-MX"/>
        </w:rPr>
        <w:t xml:space="preserve">) por la cual se dispusieron restricciones al acceso al </w:t>
      </w:r>
      <w:r>
        <w:rPr>
          <w:rFonts w:eastAsia="Calibri"/>
          <w:sz w:val="20"/>
          <w:szCs w:val="20"/>
          <w:lang w:val="es-MX"/>
        </w:rPr>
        <w:t>MLC</w:t>
      </w:r>
      <w:r w:rsidRPr="00C122F0">
        <w:rPr>
          <w:rFonts w:eastAsia="Calibri"/>
          <w:sz w:val="20"/>
          <w:szCs w:val="20"/>
          <w:lang w:val="es-MX"/>
        </w:rPr>
        <w:t xml:space="preserve"> para la compra de moneda extranjera y metales preciosos amonedados y las transferencias al exterior así como medidas</w:t>
      </w:r>
      <w:r w:rsidRPr="00C55FCB">
        <w:rPr>
          <w:rFonts w:eastAsia="Calibri"/>
          <w:sz w:val="20"/>
          <w:lang w:val="es-MX"/>
        </w:rPr>
        <w:t xml:space="preserve"> que eviten prácticas y operaciones tendientes a eludir, a través de títulos públicos u otros instrumentos, lo dispuesto en </w:t>
      </w:r>
      <w:r w:rsidRPr="00C122F0">
        <w:rPr>
          <w:rFonts w:eastAsia="Calibri"/>
          <w:sz w:val="20"/>
          <w:szCs w:val="20"/>
          <w:lang w:val="es-MX"/>
        </w:rPr>
        <w:t>dichas medidas.</w:t>
      </w:r>
    </w:p>
    <w:p w:rsidR="009C7BB8" w:rsidRPr="00C55FCB" w:rsidRDefault="009C7BB8" w:rsidP="009C7BB8">
      <w:pPr>
        <w:spacing w:line="240" w:lineRule="atLeast"/>
        <w:jc w:val="both"/>
        <w:rPr>
          <w:rFonts w:eastAsia="Calibri"/>
          <w:sz w:val="20"/>
          <w:lang w:val="es-MX"/>
        </w:rPr>
      </w:pPr>
    </w:p>
    <w:p w:rsidR="009C7BB8" w:rsidRPr="00C55FCB" w:rsidRDefault="009C7BB8" w:rsidP="009C7BB8">
      <w:pPr>
        <w:spacing w:line="240" w:lineRule="atLeast"/>
        <w:jc w:val="both"/>
        <w:rPr>
          <w:rFonts w:eastAsia="Calibri"/>
          <w:sz w:val="20"/>
          <w:lang w:val="es-MX"/>
        </w:rPr>
      </w:pPr>
      <w:r w:rsidRPr="00C55FCB">
        <w:rPr>
          <w:rFonts w:eastAsia="Calibri"/>
          <w:sz w:val="20"/>
          <w:lang w:val="es-MX"/>
        </w:rPr>
        <w:t xml:space="preserve">A continuación, se detallan los aspectos más relevantes de la </w:t>
      </w:r>
      <w:r w:rsidRPr="00C122F0">
        <w:rPr>
          <w:rFonts w:eastAsia="Calibri"/>
          <w:sz w:val="20"/>
          <w:szCs w:val="20"/>
          <w:lang w:val="es-MX"/>
        </w:rPr>
        <w:t xml:space="preserve">nueva normativa del BCRA conforme </w:t>
      </w:r>
      <w:r w:rsidRPr="00C55FCB">
        <w:rPr>
          <w:rFonts w:eastAsia="Calibri"/>
          <w:sz w:val="20"/>
          <w:lang w:val="es-MX"/>
        </w:rPr>
        <w:t xml:space="preserve">el </w:t>
      </w:r>
      <w:r w:rsidRPr="00C122F0">
        <w:rPr>
          <w:rFonts w:eastAsia="Calibri"/>
          <w:sz w:val="20"/>
          <w:szCs w:val="20"/>
          <w:lang w:val="es-MX"/>
        </w:rPr>
        <w:t>Texto Ordenado de “Exterior y Cambios” y comunicaciones complementarias y concordantes, relativos al ingreso y egreso de fondos de la Argentina</w:t>
      </w:r>
      <w:r w:rsidRPr="00C55FCB">
        <w:rPr>
          <w:rFonts w:eastAsia="Calibri"/>
          <w:sz w:val="20"/>
          <w:lang w:val="es-MX"/>
        </w:rPr>
        <w:t>:</w:t>
      </w:r>
    </w:p>
    <w:p w:rsidR="009C7BB8" w:rsidRPr="00C55FCB" w:rsidRDefault="009C7BB8" w:rsidP="009C7BB8">
      <w:pPr>
        <w:spacing w:line="240" w:lineRule="atLeast"/>
        <w:jc w:val="both"/>
        <w:rPr>
          <w:rFonts w:eastAsia="Calibri"/>
          <w:sz w:val="20"/>
          <w:lang w:val="es-MX"/>
        </w:rPr>
      </w:pPr>
    </w:p>
    <w:p w:rsidR="009C7BB8" w:rsidRPr="00C55FCB" w:rsidRDefault="009C7BB8" w:rsidP="009C7BB8">
      <w:pPr>
        <w:spacing w:line="240" w:lineRule="atLeast"/>
        <w:jc w:val="both"/>
        <w:rPr>
          <w:rFonts w:eastAsia="Calibri"/>
          <w:i/>
          <w:sz w:val="20"/>
          <w:lang w:val="es-MX"/>
        </w:rPr>
      </w:pPr>
      <w:r w:rsidRPr="00C122F0">
        <w:rPr>
          <w:rFonts w:eastAsia="Calibri"/>
          <w:i/>
          <w:sz w:val="20"/>
          <w:szCs w:val="20"/>
          <w:lang w:val="es-MX"/>
        </w:rPr>
        <w:t xml:space="preserve">Cobro de </w:t>
      </w:r>
      <w:r w:rsidRPr="00C55FCB">
        <w:rPr>
          <w:rFonts w:eastAsia="Calibri"/>
          <w:i/>
          <w:sz w:val="20"/>
          <w:lang w:val="es-MX"/>
        </w:rPr>
        <w:t xml:space="preserve">Exportaciones </w:t>
      </w:r>
      <w:r>
        <w:rPr>
          <w:rFonts w:eastAsia="Calibri"/>
          <w:i/>
          <w:sz w:val="20"/>
          <w:lang w:val="es-MX"/>
        </w:rPr>
        <w:t>de bienes y servicios</w:t>
      </w:r>
    </w:p>
    <w:p w:rsidR="009C7BB8" w:rsidRPr="00C55FCB" w:rsidRDefault="009C7BB8" w:rsidP="009C7BB8">
      <w:pPr>
        <w:spacing w:line="240" w:lineRule="atLeast"/>
        <w:jc w:val="both"/>
        <w:rPr>
          <w:rFonts w:eastAsia="Calibri"/>
          <w:i/>
          <w:sz w:val="20"/>
          <w:lang w:val="es-MX"/>
        </w:rPr>
      </w:pPr>
    </w:p>
    <w:p w:rsidR="009C7BB8" w:rsidRPr="00C122F0" w:rsidRDefault="009C7BB8" w:rsidP="009C7BB8">
      <w:pPr>
        <w:spacing w:line="240" w:lineRule="atLeast"/>
        <w:jc w:val="both"/>
        <w:rPr>
          <w:rFonts w:eastAsia="Calibri"/>
          <w:sz w:val="20"/>
          <w:szCs w:val="20"/>
          <w:lang w:val="es-MX"/>
        </w:rPr>
      </w:pPr>
      <w:r w:rsidRPr="00C122F0">
        <w:rPr>
          <w:rFonts w:eastAsia="Calibri"/>
          <w:sz w:val="20"/>
          <w:szCs w:val="20"/>
          <w:lang w:val="es-MX"/>
        </w:rPr>
        <w:t xml:space="preserve">El contravalor en divisas de exportaciones de bienes oficializadas a partir del 2 de septiembre de 2019 hasta alcanzar el valor facturado según la condición de venta pactada deberá ingresarse al país y liquidarse en el </w:t>
      </w:r>
      <w:r>
        <w:rPr>
          <w:rFonts w:eastAsia="Calibri"/>
          <w:sz w:val="20"/>
          <w:szCs w:val="20"/>
          <w:lang w:val="es-MX"/>
        </w:rPr>
        <w:t>MLC</w:t>
      </w:r>
      <w:r w:rsidRPr="00C122F0">
        <w:rPr>
          <w:rFonts w:eastAsia="Calibri"/>
          <w:sz w:val="20"/>
          <w:szCs w:val="20"/>
          <w:lang w:val="es-MX"/>
        </w:rPr>
        <w:t xml:space="preserve"> en conformidad con determinados plazos dispuestos en la normativa, a computar desde la fecha del cumplido de embarque otorgado por la Aduana. Sin perjuicio de ello, independientemente de los plazos máximos dispuestos, los cobros de exportaciones deberán ser ingresados y liquidados en el </w:t>
      </w:r>
      <w:r>
        <w:rPr>
          <w:rFonts w:eastAsia="Calibri"/>
          <w:sz w:val="20"/>
          <w:szCs w:val="20"/>
          <w:lang w:val="es-MX"/>
        </w:rPr>
        <w:t>MLC</w:t>
      </w:r>
      <w:r w:rsidRPr="00C122F0">
        <w:rPr>
          <w:rFonts w:eastAsia="Calibri"/>
          <w:sz w:val="20"/>
          <w:szCs w:val="20"/>
          <w:lang w:val="es-MX"/>
        </w:rPr>
        <w:t xml:space="preserve"> dentro de los 5 días hábiles de la fecha de cobro. En igual sentido, existe la obligación de ingresar y liquidar en el </w:t>
      </w:r>
      <w:r>
        <w:rPr>
          <w:rFonts w:eastAsia="Calibri"/>
          <w:sz w:val="20"/>
          <w:szCs w:val="20"/>
          <w:lang w:val="es-MX"/>
        </w:rPr>
        <w:t>MLC</w:t>
      </w:r>
      <w:r w:rsidRPr="00C122F0">
        <w:rPr>
          <w:rFonts w:eastAsia="Calibri"/>
          <w:sz w:val="20"/>
          <w:szCs w:val="20"/>
          <w:lang w:val="es-MX"/>
        </w:rPr>
        <w:t xml:space="preserve"> dentro de 5 días hábiles de haber percibido divisas respecto de una exportación de servicios. Se define la exportación de servicios como la provisión de un servicio por parte de un residente a un “no residente”, independientemente de la economía en la cual se preste dicho servicio.</w:t>
      </w:r>
      <w:r>
        <w:rPr>
          <w:rFonts w:eastAsia="Calibri"/>
          <w:sz w:val="20"/>
          <w:szCs w:val="20"/>
          <w:lang w:val="es-MX"/>
        </w:rPr>
        <w:t xml:space="preserve"> </w:t>
      </w:r>
      <w:r w:rsidRPr="00C122F0">
        <w:rPr>
          <w:rFonts w:eastAsia="Calibri"/>
          <w:sz w:val="20"/>
          <w:szCs w:val="20"/>
          <w:lang w:val="es-MX"/>
        </w:rPr>
        <w:t>El exportador</w:t>
      </w:r>
      <w:r>
        <w:rPr>
          <w:rFonts w:eastAsia="Calibri"/>
          <w:sz w:val="20"/>
          <w:szCs w:val="20"/>
          <w:lang w:val="es-MX"/>
        </w:rPr>
        <w:t xml:space="preserve"> de bienes</w:t>
      </w:r>
      <w:r w:rsidRPr="00C122F0">
        <w:rPr>
          <w:rFonts w:eastAsia="Calibri"/>
          <w:sz w:val="20"/>
          <w:szCs w:val="20"/>
          <w:lang w:val="es-MX"/>
        </w:rPr>
        <w:t xml:space="preserve"> deberá seleccionar una entidad para que realice el “Seguimiento de las negociaciones de divisas por exportaciones de bienes”. La obligación de ingreso y liquidación de divisas de un permiso de embarque se considerará cumplida cuando la entidad haya certificado tal situación por los mecanismos establecidos a tal efecto.</w:t>
      </w:r>
    </w:p>
    <w:p w:rsidR="009C7BB8" w:rsidRPr="00C122F0" w:rsidRDefault="009C7BB8" w:rsidP="009C7BB8">
      <w:pPr>
        <w:spacing w:line="240" w:lineRule="atLeast"/>
        <w:jc w:val="both"/>
        <w:rPr>
          <w:rFonts w:eastAsia="Calibri"/>
          <w:sz w:val="20"/>
          <w:szCs w:val="20"/>
          <w:lang w:val="es-MX"/>
        </w:rPr>
      </w:pPr>
    </w:p>
    <w:p w:rsidR="009C7BB8" w:rsidRPr="00C122F0" w:rsidRDefault="009C7BB8" w:rsidP="009C7BB8">
      <w:pPr>
        <w:spacing w:line="240" w:lineRule="atLeast"/>
        <w:jc w:val="both"/>
        <w:rPr>
          <w:rFonts w:eastAsia="Calibri"/>
          <w:i/>
          <w:sz w:val="20"/>
          <w:szCs w:val="20"/>
          <w:lang w:val="es-MX"/>
        </w:rPr>
      </w:pPr>
      <w:r w:rsidRPr="00C122F0">
        <w:rPr>
          <w:rFonts w:eastAsia="Calibri"/>
          <w:i/>
          <w:sz w:val="20"/>
          <w:szCs w:val="20"/>
          <w:lang w:val="es-MX"/>
        </w:rPr>
        <w:t>Cancelación de anticipos y préstamos de prefinanciación de exportaciones.</w:t>
      </w:r>
    </w:p>
    <w:p w:rsidR="009C7BB8" w:rsidRPr="00C122F0" w:rsidRDefault="009C7BB8" w:rsidP="009C7BB8">
      <w:pPr>
        <w:spacing w:line="240" w:lineRule="atLeast"/>
        <w:jc w:val="both"/>
        <w:rPr>
          <w:rFonts w:eastAsia="Calibri"/>
          <w:i/>
          <w:sz w:val="20"/>
          <w:szCs w:val="20"/>
          <w:lang w:val="es-MX"/>
        </w:rPr>
      </w:pPr>
    </w:p>
    <w:p w:rsidR="009C7BB8" w:rsidRPr="00C122F0" w:rsidRDefault="009C7BB8" w:rsidP="009C7BB8">
      <w:pPr>
        <w:spacing w:line="240" w:lineRule="atLeast"/>
        <w:jc w:val="both"/>
        <w:rPr>
          <w:rFonts w:eastAsia="Calibri"/>
          <w:sz w:val="20"/>
          <w:szCs w:val="20"/>
          <w:lang w:val="es-MX"/>
        </w:rPr>
      </w:pPr>
      <w:r w:rsidRPr="00C55FCB">
        <w:rPr>
          <w:rFonts w:eastAsia="Calibri"/>
          <w:sz w:val="20"/>
          <w:lang w:val="es-MX"/>
        </w:rPr>
        <w:t xml:space="preserve">Se admite la aplicación de cobros de exportaciones a la cancelación de anticipos y préstamos de prefinanciación de exportaciones </w:t>
      </w:r>
      <w:r w:rsidRPr="00C122F0">
        <w:rPr>
          <w:rFonts w:eastAsia="Calibri"/>
          <w:sz w:val="20"/>
          <w:szCs w:val="20"/>
          <w:lang w:val="es-MX"/>
        </w:rPr>
        <w:t xml:space="preserve">en determinados supuestos como la (i) Prefinanciaciones y financiaciones otorgadas o garantizadas por entidades financieras locales; (ii) Prefinanciaciones, anticipos y financiaciones ingresadas y liquidadas en el </w:t>
      </w:r>
      <w:r>
        <w:rPr>
          <w:rFonts w:eastAsia="Calibri"/>
          <w:sz w:val="20"/>
          <w:szCs w:val="20"/>
          <w:lang w:val="es-MX"/>
        </w:rPr>
        <w:t>MLC</w:t>
      </w:r>
      <w:r w:rsidRPr="00C122F0">
        <w:rPr>
          <w:rFonts w:eastAsia="Calibri"/>
          <w:sz w:val="20"/>
          <w:szCs w:val="20"/>
          <w:lang w:val="es-MX"/>
        </w:rPr>
        <w:t xml:space="preserve"> y declaradas en el relevamiento de activos y pasivos externos; (iii) Préstamos financieros con contratos vigentes al 31 de agosto de 2019 cuyas condiciones prevean la atención de los servicios mediante la aplicación en el exterior del flujo de fondos de exportaciones; (iv) Financiaciones de entidades financieras a importadores del exterior.</w:t>
      </w:r>
      <w:r>
        <w:rPr>
          <w:rFonts w:eastAsia="Calibri"/>
          <w:sz w:val="20"/>
          <w:szCs w:val="20"/>
          <w:lang w:val="es-MX"/>
        </w:rPr>
        <w:t xml:space="preserve"> </w:t>
      </w:r>
      <w:r w:rsidRPr="00C122F0">
        <w:rPr>
          <w:rFonts w:eastAsia="Calibri"/>
          <w:sz w:val="20"/>
          <w:szCs w:val="20"/>
          <w:lang w:val="es-MX"/>
        </w:rPr>
        <w:t>Aquellas aplicaciones de cobro</w:t>
      </w:r>
      <w:r w:rsidRPr="00C55FCB">
        <w:rPr>
          <w:rFonts w:eastAsia="Calibri"/>
          <w:sz w:val="20"/>
          <w:lang w:val="es-MX"/>
        </w:rPr>
        <w:t xml:space="preserve"> de exportaciones </w:t>
      </w:r>
      <w:r w:rsidRPr="00C122F0">
        <w:rPr>
          <w:rFonts w:eastAsia="Calibri"/>
          <w:sz w:val="20"/>
          <w:szCs w:val="20"/>
          <w:lang w:val="es-MX"/>
        </w:rPr>
        <w:t xml:space="preserve">que no se encuentren detalladas en </w:t>
      </w:r>
      <w:r w:rsidRPr="00C55FCB">
        <w:rPr>
          <w:rFonts w:eastAsia="Calibri"/>
          <w:sz w:val="20"/>
          <w:lang w:val="es-MX"/>
        </w:rPr>
        <w:t xml:space="preserve">los </w:t>
      </w:r>
      <w:r w:rsidRPr="00C122F0">
        <w:rPr>
          <w:rFonts w:eastAsia="Calibri"/>
          <w:sz w:val="20"/>
          <w:szCs w:val="20"/>
          <w:lang w:val="es-MX"/>
        </w:rPr>
        <w:t>puntos (i), a (iv) precedentes, requerirán</w:t>
      </w:r>
      <w:r w:rsidRPr="00C55FCB">
        <w:rPr>
          <w:rFonts w:eastAsia="Calibri"/>
          <w:sz w:val="20"/>
          <w:lang w:val="es-MX"/>
        </w:rPr>
        <w:t xml:space="preserve"> la conformidad previa del BCRA</w:t>
      </w:r>
      <w:r w:rsidRPr="00C122F0">
        <w:rPr>
          <w:rFonts w:eastAsia="Calibri"/>
          <w:sz w:val="20"/>
          <w:szCs w:val="20"/>
          <w:lang w:val="es-MX"/>
        </w:rPr>
        <w:t>.</w:t>
      </w:r>
    </w:p>
    <w:p w:rsidR="009C7BB8" w:rsidRPr="00C122F0" w:rsidRDefault="009C7BB8" w:rsidP="009C7BB8">
      <w:pPr>
        <w:spacing w:line="240" w:lineRule="atLeast"/>
        <w:jc w:val="both"/>
        <w:rPr>
          <w:rFonts w:eastAsia="Calibri"/>
          <w:sz w:val="20"/>
          <w:szCs w:val="20"/>
          <w:lang w:val="es-MX"/>
        </w:rPr>
      </w:pPr>
    </w:p>
    <w:p w:rsidR="009C7BB8" w:rsidRPr="00C122F0" w:rsidRDefault="009C7BB8" w:rsidP="009C7BB8">
      <w:pPr>
        <w:spacing w:line="240" w:lineRule="atLeast"/>
        <w:jc w:val="both"/>
        <w:rPr>
          <w:rFonts w:eastAsia="Calibri"/>
          <w:i/>
          <w:sz w:val="20"/>
          <w:szCs w:val="20"/>
          <w:lang w:val="es-MX"/>
        </w:rPr>
      </w:pPr>
      <w:r w:rsidRPr="00C122F0">
        <w:rPr>
          <w:rFonts w:eastAsia="Calibri"/>
          <w:i/>
          <w:sz w:val="20"/>
          <w:szCs w:val="20"/>
          <w:lang w:val="es-MX"/>
        </w:rPr>
        <w:t>Constitución de Activos Externos – Garantías y Operaciones de Derivados</w:t>
      </w:r>
    </w:p>
    <w:p w:rsidR="009C7BB8" w:rsidRPr="00C122F0" w:rsidRDefault="009C7BB8" w:rsidP="009C7BB8">
      <w:pPr>
        <w:spacing w:line="240" w:lineRule="atLeast"/>
        <w:jc w:val="both"/>
        <w:rPr>
          <w:rFonts w:eastAsia="Calibri"/>
          <w:i/>
          <w:sz w:val="20"/>
          <w:szCs w:val="20"/>
          <w:lang w:val="es-MX"/>
        </w:rPr>
      </w:pPr>
    </w:p>
    <w:p w:rsidR="009C7BB8" w:rsidRPr="00C122F0" w:rsidRDefault="009C7BB8" w:rsidP="009C7BB8">
      <w:pPr>
        <w:spacing w:line="240" w:lineRule="atLeast"/>
        <w:jc w:val="both"/>
        <w:rPr>
          <w:rFonts w:eastAsia="Calibri"/>
          <w:sz w:val="20"/>
          <w:szCs w:val="20"/>
          <w:lang w:val="es-MX"/>
        </w:rPr>
      </w:pPr>
      <w:r w:rsidRPr="00C122F0">
        <w:rPr>
          <w:rFonts w:eastAsia="Calibri"/>
          <w:sz w:val="20"/>
          <w:szCs w:val="20"/>
          <w:lang w:val="es-MX"/>
        </w:rPr>
        <w:t>Se establece la conformidad previa del BCRA</w:t>
      </w:r>
      <w:r w:rsidRPr="00C55FCB">
        <w:rPr>
          <w:rFonts w:eastAsia="Calibri"/>
          <w:sz w:val="20"/>
          <w:lang w:val="es-MX"/>
        </w:rPr>
        <w:t xml:space="preserve"> para el acceso al </w:t>
      </w:r>
      <w:r>
        <w:rPr>
          <w:rFonts w:eastAsia="Calibri"/>
          <w:sz w:val="20"/>
          <w:lang w:val="es-MX"/>
        </w:rPr>
        <w:t>MLC</w:t>
      </w:r>
      <w:r w:rsidRPr="00C55FCB">
        <w:rPr>
          <w:rFonts w:eastAsia="Calibri"/>
          <w:sz w:val="20"/>
          <w:lang w:val="es-MX"/>
        </w:rPr>
        <w:t xml:space="preserve"> </w:t>
      </w:r>
      <w:r w:rsidRPr="00C122F0">
        <w:rPr>
          <w:rFonts w:eastAsia="Calibri"/>
          <w:sz w:val="20"/>
          <w:szCs w:val="20"/>
          <w:lang w:val="es-MX"/>
        </w:rPr>
        <w:t xml:space="preserve">por parte de personas jurídicas, gobiernos locales, Fondos Comunes de Inversión, Fideicomisos y otras universalidades constituidas en el país, </w:t>
      </w:r>
      <w:r w:rsidRPr="00C55FCB">
        <w:rPr>
          <w:rFonts w:eastAsia="Calibri"/>
          <w:sz w:val="20"/>
          <w:lang w:val="es-MX"/>
        </w:rPr>
        <w:t>para la constitución de activos externos y para la constitución de todo tipo de garantías vinculadas a la concertación de operaciones de derivados.</w:t>
      </w:r>
      <w:r>
        <w:rPr>
          <w:rFonts w:eastAsia="Calibri"/>
          <w:sz w:val="20"/>
          <w:szCs w:val="20"/>
          <w:lang w:val="es-MX"/>
        </w:rPr>
        <w:t xml:space="preserve"> </w:t>
      </w:r>
      <w:r w:rsidRPr="00C122F0">
        <w:rPr>
          <w:rFonts w:eastAsia="Calibri"/>
          <w:sz w:val="20"/>
          <w:szCs w:val="20"/>
          <w:lang w:val="es-MX"/>
        </w:rPr>
        <w:t xml:space="preserve">Se aclara que las entidades podrán dar acceso al </w:t>
      </w:r>
      <w:r>
        <w:rPr>
          <w:rFonts w:eastAsia="Calibri"/>
          <w:sz w:val="20"/>
          <w:szCs w:val="20"/>
          <w:lang w:val="es-MX"/>
        </w:rPr>
        <w:t>MLC</w:t>
      </w:r>
      <w:r w:rsidRPr="00C122F0">
        <w:rPr>
          <w:rFonts w:eastAsia="Calibri"/>
          <w:sz w:val="20"/>
          <w:szCs w:val="20"/>
          <w:lang w:val="es-MX"/>
        </w:rPr>
        <w:t xml:space="preserve"> para realizar pagos de principal o intereses a los fideicomisos constituidos en el país por un residente, para garantizar la atención de los servicios de capital e intereses de su obligación, en la medida que verifique que el deudor hubiese tenido acceso para realizar el pago a su nombre por cumplimentar las disposiciones normativas aplicables.</w:t>
      </w:r>
      <w:r>
        <w:rPr>
          <w:rFonts w:eastAsia="Calibri"/>
          <w:sz w:val="20"/>
          <w:szCs w:val="20"/>
          <w:lang w:val="es-MX"/>
        </w:rPr>
        <w:t xml:space="preserve"> </w:t>
      </w:r>
      <w:r w:rsidRPr="00C122F0">
        <w:rPr>
          <w:rFonts w:eastAsia="Calibri"/>
          <w:sz w:val="20"/>
          <w:szCs w:val="20"/>
          <w:lang w:val="es-MX"/>
        </w:rPr>
        <w:t>Al respecto, se permite constituir garantías localmente para los contratos de endeudamiento financiero con el exterior contraídos tanto con anterioridad como con posterioridad al 31 de agosto de 2019; que, por el contrario, sólo se permite constituir garantías en el exterior para los contratos de endeudamiento financiero con el exterior contraídos con anterioridad al 31 de agosto de 2019.</w:t>
      </w:r>
    </w:p>
    <w:p w:rsidR="009C7BB8" w:rsidRPr="00C122F0" w:rsidRDefault="009C7BB8" w:rsidP="009C7BB8">
      <w:pPr>
        <w:spacing w:line="240" w:lineRule="atLeast"/>
        <w:jc w:val="both"/>
        <w:rPr>
          <w:rFonts w:eastAsia="Calibri"/>
          <w:sz w:val="20"/>
          <w:szCs w:val="20"/>
          <w:lang w:val="es-MX"/>
        </w:rPr>
      </w:pPr>
    </w:p>
    <w:p w:rsidR="00E616BF" w:rsidRPr="00C122F0" w:rsidRDefault="009C7BB8" w:rsidP="00E616BF">
      <w:pPr>
        <w:spacing w:line="240" w:lineRule="atLeast"/>
        <w:jc w:val="both"/>
        <w:rPr>
          <w:rFonts w:eastAsia="Calibri"/>
          <w:sz w:val="20"/>
          <w:szCs w:val="20"/>
          <w:lang w:val="es-MX"/>
        </w:rPr>
      </w:pPr>
      <w:r>
        <w:rPr>
          <w:rFonts w:eastAsia="Calibri"/>
          <w:sz w:val="20"/>
          <w:szCs w:val="20"/>
          <w:lang w:val="es-MX"/>
        </w:rPr>
        <w:t>Se</w:t>
      </w:r>
      <w:r w:rsidRPr="00C122F0">
        <w:rPr>
          <w:rFonts w:eastAsia="Calibri"/>
          <w:sz w:val="20"/>
          <w:szCs w:val="20"/>
          <w:lang w:val="es-MX"/>
        </w:rPr>
        <w:t xml:space="preserve"> dispone la conformidad previa del BCRA para el acceso al </w:t>
      </w:r>
      <w:r>
        <w:rPr>
          <w:rFonts w:eastAsia="Calibri"/>
          <w:sz w:val="20"/>
          <w:szCs w:val="20"/>
          <w:lang w:val="es-MX"/>
        </w:rPr>
        <w:t>MLC</w:t>
      </w:r>
      <w:r w:rsidRPr="00C122F0">
        <w:rPr>
          <w:rFonts w:eastAsia="Calibri"/>
          <w:sz w:val="20"/>
          <w:szCs w:val="20"/>
          <w:lang w:val="es-MX"/>
        </w:rPr>
        <w:t xml:space="preserve"> por parte de Personas Humanas residentes para la constitución de activos externos ayuda familiar y para la operatoria de derivados cuando supere el equivalente de US$ 200 mensuales en el conjunto de las entidades autorizadas a operar en cambios y en el conjunto de los conceptos señalados precedentemente, reduciéndose dicho monto a US$ 100 en caso de que la operación sea efectuada en efectivo.</w:t>
      </w:r>
      <w:r>
        <w:rPr>
          <w:rFonts w:eastAsia="Calibri"/>
          <w:sz w:val="20"/>
          <w:szCs w:val="20"/>
          <w:lang w:val="es-MX"/>
        </w:rPr>
        <w:t xml:space="preserve"> Se </w:t>
      </w:r>
      <w:r w:rsidRPr="00C122F0">
        <w:rPr>
          <w:rFonts w:eastAsia="Calibri"/>
          <w:sz w:val="20"/>
          <w:szCs w:val="20"/>
          <w:lang w:val="es-MX"/>
        </w:rPr>
        <w:t xml:space="preserve">establece como requisito de acceso al </w:t>
      </w:r>
      <w:r>
        <w:rPr>
          <w:rFonts w:eastAsia="Calibri"/>
          <w:sz w:val="20"/>
          <w:szCs w:val="20"/>
          <w:lang w:val="es-MX"/>
        </w:rPr>
        <w:t>MLC</w:t>
      </w:r>
      <w:r w:rsidRPr="00C122F0">
        <w:rPr>
          <w:rFonts w:eastAsia="Calibri"/>
          <w:sz w:val="20"/>
          <w:szCs w:val="20"/>
          <w:lang w:val="es-MX"/>
        </w:rPr>
        <w:t xml:space="preserve"> para la compra de moneda extranjera en los términos arriba mencionados, que la persona humana no haya excedido en el mes calendario anterior el límite de US$ 200. A estos efectos, el </w:t>
      </w:r>
      <w:r>
        <w:rPr>
          <w:rFonts w:eastAsia="Calibri"/>
          <w:sz w:val="20"/>
          <w:szCs w:val="20"/>
          <w:lang w:val="es-MX"/>
        </w:rPr>
        <w:t>BCRA</w:t>
      </w:r>
      <w:r w:rsidRPr="00C122F0">
        <w:rPr>
          <w:rFonts w:eastAsia="Calibri"/>
          <w:sz w:val="20"/>
          <w:szCs w:val="20"/>
          <w:lang w:val="es-MX"/>
        </w:rPr>
        <w:t xml:space="preserve"> informará periódicamente a las entidades autorizadas a operar en cambios el número de clave de identificación tributaria de las personas humanas que ya han alcanzado en ese mes calendario los límites previstos o que los hayan excedido en el mes calendario anterior. Las entidades autorizadas a operar en cambios no podrán dar acceso al </w:t>
      </w:r>
      <w:r>
        <w:rPr>
          <w:rFonts w:eastAsia="Calibri"/>
          <w:sz w:val="20"/>
          <w:szCs w:val="20"/>
          <w:lang w:val="es-MX"/>
        </w:rPr>
        <w:t>MLC</w:t>
      </w:r>
      <w:r w:rsidRPr="00C122F0">
        <w:rPr>
          <w:rFonts w:eastAsia="Calibri"/>
          <w:sz w:val="20"/>
          <w:szCs w:val="20"/>
          <w:lang w:val="es-MX"/>
        </w:rPr>
        <w:t xml:space="preserve"> para la compra de moneda extranjera en el marco de las operaciones contempladas en el mencionado punto a quienes se encuentren incluidos en ese listado.</w:t>
      </w:r>
      <w:r>
        <w:rPr>
          <w:rFonts w:eastAsia="Calibri"/>
          <w:sz w:val="20"/>
          <w:szCs w:val="20"/>
          <w:lang w:val="es-MX"/>
        </w:rPr>
        <w:t xml:space="preserve"> </w:t>
      </w:r>
      <w:r w:rsidRPr="00C122F0">
        <w:rPr>
          <w:rFonts w:eastAsia="Calibri"/>
          <w:sz w:val="20"/>
          <w:szCs w:val="20"/>
          <w:lang w:val="es-MX"/>
        </w:rPr>
        <w:t>Toda solicitud de rectificación o actualización de la información incluida en el listado informado deberá ser cursada a la Superintendencia de Entidades Financieras y Cambiarias a través de una entidad autorizada a operar en cambios mediante una nota suscripta por el interesado, explicando los motivos por los cuales entiende que es inadecuada su inclusión. Junto con esa presentación deberá acompañar todos los elementos demostrativos de las circunstancias invocadas.</w:t>
      </w:r>
      <w:r>
        <w:rPr>
          <w:rFonts w:eastAsia="Calibri"/>
          <w:sz w:val="20"/>
          <w:lang w:val="es-MX"/>
        </w:rPr>
        <w:t xml:space="preserve"> </w:t>
      </w:r>
      <w:r w:rsidRPr="00C55FCB">
        <w:rPr>
          <w:rFonts w:eastAsia="Calibri"/>
          <w:sz w:val="20"/>
          <w:lang w:val="es-MX"/>
        </w:rPr>
        <w:t xml:space="preserve">Se establece </w:t>
      </w:r>
      <w:r w:rsidRPr="00C122F0">
        <w:rPr>
          <w:rFonts w:eastAsia="Calibri"/>
          <w:sz w:val="20"/>
          <w:szCs w:val="20"/>
          <w:lang w:val="es-MX"/>
        </w:rPr>
        <w:t xml:space="preserve">como requisito para el acceso al </w:t>
      </w:r>
      <w:r>
        <w:rPr>
          <w:rFonts w:eastAsia="Calibri"/>
          <w:sz w:val="20"/>
          <w:szCs w:val="20"/>
          <w:lang w:val="es-MX"/>
        </w:rPr>
        <w:t>MLC</w:t>
      </w:r>
      <w:r w:rsidRPr="00C122F0">
        <w:rPr>
          <w:rFonts w:eastAsia="Calibri"/>
          <w:sz w:val="20"/>
          <w:szCs w:val="20"/>
          <w:lang w:val="es-MX"/>
        </w:rPr>
        <w:t xml:space="preserve"> para la compra de moneda extranjera por parte de personas humanas residentes dentro de los limites mensuales establecidos en los párrafos precedentes, la presentación de una declaración jurada por parte del cliente respecto a que los fondos comprados no serán destinados a la compra en el mercado secundario de títulos valores dentro de los 5 (cinco) días hábiles a partir de la fecha de liquidación de dicha operación de cambio. </w:t>
      </w:r>
      <w:r w:rsidR="00E616BF">
        <w:rPr>
          <w:sz w:val="20"/>
          <w:szCs w:val="20"/>
          <w:lang w:val="es-MX"/>
        </w:rPr>
        <w:t>Asimismo, p</w:t>
      </w:r>
      <w:r w:rsidR="00E616BF" w:rsidRPr="003B4B42">
        <w:rPr>
          <w:sz w:val="20"/>
          <w:szCs w:val="20"/>
          <w:lang w:val="es-MX"/>
        </w:rPr>
        <w:t xml:space="preserve">revia solicitud de acceso al </w:t>
      </w:r>
      <w:r w:rsidR="00E616BF">
        <w:rPr>
          <w:sz w:val="20"/>
          <w:szCs w:val="20"/>
          <w:lang w:val="es-MX"/>
        </w:rPr>
        <w:t>MLC</w:t>
      </w:r>
      <w:r w:rsidR="00E616BF" w:rsidRPr="003B4B42">
        <w:rPr>
          <w:sz w:val="20"/>
          <w:szCs w:val="20"/>
          <w:lang w:val="es-MX"/>
        </w:rPr>
        <w:t xml:space="preserve"> para el egreso de divisas, tanto las personas humanas como las personas jurídicas deben presentar una declaración jurada manifestando que en el día en que solicita el acceso y en los 90 días corridos anteriores no se han concertado en el país ventas de títulos valores con liquidación en moneda extranjera o transferencias de los mismos a entidades depositarias del exterior; y que se comprometen a no realizar dichas operaciones desde que se requiere el acceso y por los 90 días corridos subsiguientes</w:t>
      </w:r>
      <w:r w:rsidR="00E616BF">
        <w:rPr>
          <w:sz w:val="20"/>
          <w:szCs w:val="20"/>
          <w:lang w:val="es-MX"/>
        </w:rPr>
        <w:t xml:space="preserve"> (el plazo de 90 días precedentes debe ser considerado como de hasta el 1 de mayo de 2020, hasta el 30 de julio de 2020).</w:t>
      </w:r>
    </w:p>
    <w:p w:rsidR="009C7BB8" w:rsidRPr="00C122F0" w:rsidRDefault="009C7BB8" w:rsidP="009C7BB8">
      <w:pPr>
        <w:spacing w:line="240" w:lineRule="atLeast"/>
        <w:jc w:val="both"/>
        <w:rPr>
          <w:rFonts w:eastAsia="Calibri"/>
          <w:sz w:val="20"/>
          <w:szCs w:val="20"/>
          <w:lang w:val="es-MX"/>
        </w:rPr>
      </w:pPr>
    </w:p>
    <w:p w:rsidR="009C7BB8" w:rsidRPr="00C122F0" w:rsidRDefault="009C7BB8" w:rsidP="009C7BB8">
      <w:pPr>
        <w:spacing w:line="240" w:lineRule="atLeast"/>
        <w:jc w:val="both"/>
        <w:rPr>
          <w:rFonts w:eastAsia="Calibri"/>
          <w:sz w:val="20"/>
          <w:szCs w:val="20"/>
          <w:lang w:val="es-MX"/>
        </w:rPr>
      </w:pPr>
      <w:r w:rsidRPr="00C122F0">
        <w:rPr>
          <w:rFonts w:eastAsia="Calibri"/>
          <w:sz w:val="20"/>
          <w:szCs w:val="20"/>
          <w:lang w:val="es-MX"/>
        </w:rPr>
        <w:t xml:space="preserve">Por otro lado, se aclara que la conformidad previa para el acceso al </w:t>
      </w:r>
      <w:r>
        <w:rPr>
          <w:rFonts w:eastAsia="Calibri"/>
          <w:sz w:val="20"/>
          <w:szCs w:val="20"/>
          <w:lang w:val="es-MX"/>
        </w:rPr>
        <w:t>MLC</w:t>
      </w:r>
      <w:r w:rsidRPr="00C122F0">
        <w:rPr>
          <w:rFonts w:eastAsia="Calibri"/>
          <w:sz w:val="20"/>
          <w:szCs w:val="20"/>
          <w:lang w:val="es-MX"/>
        </w:rPr>
        <w:t xml:space="preserve"> por parte de personas jurídicas para la formación de activos externos y para la constitución de todo tipo de garantías vinculadas a la concertación de operaciones de derivados, no alcanza a las entidades autorizadas a operar en cambios, cuyas tenencias en moneda extranjera se rigen por las normas específicas aplicables.</w:t>
      </w:r>
    </w:p>
    <w:p w:rsidR="009C7BB8" w:rsidRPr="00C122F0" w:rsidRDefault="009C7BB8" w:rsidP="009C7BB8">
      <w:pPr>
        <w:spacing w:line="240" w:lineRule="atLeast"/>
        <w:jc w:val="both"/>
        <w:rPr>
          <w:rFonts w:eastAsia="Calibri"/>
          <w:sz w:val="20"/>
          <w:szCs w:val="20"/>
          <w:lang w:val="es-MX"/>
        </w:rPr>
      </w:pPr>
    </w:p>
    <w:p w:rsidR="009C7BB8" w:rsidRPr="00C122F0" w:rsidRDefault="009C7BB8" w:rsidP="009C7BB8">
      <w:pPr>
        <w:spacing w:line="240" w:lineRule="atLeast"/>
        <w:jc w:val="both"/>
        <w:rPr>
          <w:rFonts w:eastAsia="Calibri"/>
          <w:sz w:val="20"/>
          <w:szCs w:val="20"/>
          <w:lang w:val="es-MX"/>
        </w:rPr>
      </w:pPr>
      <w:r w:rsidRPr="00C122F0">
        <w:rPr>
          <w:rFonts w:eastAsia="Calibri"/>
          <w:sz w:val="20"/>
          <w:szCs w:val="20"/>
          <w:lang w:val="es-MX"/>
        </w:rPr>
        <w:t>Asimismo, se aclara que el requisito de conformidad previa establecido para las personas jurídicas, gobiernos locales, universalidades, FCI, fideicomisos y para las personas humanas para la constitución de todo tipo de garantías vinculadas a la concertación de operaciones de derivados, abarca a la totalidad de la operatoria de derivados. pago de primas, constitución de garantías y cancelaciones que correspondan de operaciones de futuros, forwards, opciones y otros derivados.</w:t>
      </w:r>
      <w:r>
        <w:rPr>
          <w:rFonts w:eastAsia="Calibri"/>
          <w:sz w:val="20"/>
          <w:szCs w:val="20"/>
          <w:lang w:val="es-MX"/>
        </w:rPr>
        <w:t xml:space="preserve"> </w:t>
      </w:r>
      <w:r w:rsidRPr="00C122F0">
        <w:rPr>
          <w:rFonts w:eastAsia="Calibri"/>
          <w:sz w:val="20"/>
          <w:szCs w:val="20"/>
          <w:lang w:val="es-MX"/>
        </w:rPr>
        <w:t xml:space="preserve">Al respecto, </w:t>
      </w:r>
      <w:r>
        <w:rPr>
          <w:rFonts w:eastAsia="Calibri"/>
          <w:sz w:val="20"/>
          <w:szCs w:val="20"/>
          <w:lang w:val="es-MX"/>
        </w:rPr>
        <w:t>se</w:t>
      </w:r>
      <w:r w:rsidRPr="00C122F0">
        <w:rPr>
          <w:rFonts w:eastAsia="Calibri"/>
          <w:sz w:val="20"/>
          <w:szCs w:val="20"/>
          <w:lang w:val="es-MX"/>
        </w:rPr>
        <w:t xml:space="preserve"> establece que se permite el acceso al </w:t>
      </w:r>
      <w:r>
        <w:rPr>
          <w:rFonts w:eastAsia="Calibri"/>
          <w:sz w:val="20"/>
          <w:szCs w:val="20"/>
          <w:lang w:val="es-MX"/>
        </w:rPr>
        <w:t>MLC</w:t>
      </w:r>
      <w:r w:rsidRPr="00C122F0">
        <w:rPr>
          <w:rFonts w:eastAsia="Calibri"/>
          <w:sz w:val="20"/>
          <w:szCs w:val="20"/>
          <w:lang w:val="es-MX"/>
        </w:rPr>
        <w:t xml:space="preserve"> para el pago de primas, constitución de garantías y cancelaciones que correspondan a operaciones de contratos de cobertura de tasa de interés por las obligaciones de residentes con el exterior declaradas y validadas, en caso de corresponder, en el Relevamiento de Activos y Pasivos Externos, en tanto no se cubran riesgos superiores a los pasivos externos que efectivamente registre el deudor en la tasa de interés cuyo riesgo se está cubriendo con su celebración</w:t>
      </w:r>
      <w:r w:rsidRPr="00C55FCB">
        <w:rPr>
          <w:rFonts w:eastAsia="Calibri"/>
          <w:sz w:val="20"/>
          <w:lang w:val="es-MX"/>
        </w:rPr>
        <w:t>.</w:t>
      </w:r>
      <w:r>
        <w:rPr>
          <w:rFonts w:eastAsia="Calibri"/>
          <w:sz w:val="20"/>
          <w:lang w:val="es-MX"/>
        </w:rPr>
        <w:t xml:space="preserve"> </w:t>
      </w:r>
      <w:r w:rsidRPr="00C55FCB">
        <w:rPr>
          <w:rFonts w:eastAsia="Calibri"/>
          <w:sz w:val="20"/>
          <w:lang w:val="es-MX"/>
        </w:rPr>
        <w:t xml:space="preserve">Se </w:t>
      </w:r>
      <w:r w:rsidRPr="00C122F0">
        <w:rPr>
          <w:rFonts w:eastAsia="Calibri"/>
          <w:sz w:val="20"/>
          <w:szCs w:val="20"/>
          <w:lang w:val="es-MX"/>
        </w:rPr>
        <w:t xml:space="preserve">establece que el cliente que acceda al </w:t>
      </w:r>
      <w:r>
        <w:rPr>
          <w:rFonts w:eastAsia="Calibri"/>
          <w:sz w:val="20"/>
          <w:szCs w:val="20"/>
          <w:lang w:val="es-MX"/>
        </w:rPr>
        <w:t>MLC</w:t>
      </w:r>
      <w:r w:rsidRPr="00C122F0">
        <w:rPr>
          <w:rFonts w:eastAsia="Calibri"/>
          <w:sz w:val="20"/>
          <w:szCs w:val="20"/>
          <w:lang w:val="es-MX"/>
        </w:rPr>
        <w:t xml:space="preserve"> usando este mecanismo deberá nominar a una entidad autorizada a operar en cambios para que realice el seguimiento de la operación y firmar una declaración jurada en la que se compromete a ingresar y liquidar los fondos que resulten a favor del cliente local como resultado de dicha operación, o como resultado de la liberación de los fondos de las garantías constituidas, dentro de los 5 días hábiles siguientes.</w:t>
      </w:r>
    </w:p>
    <w:p w:rsidR="009C7BB8" w:rsidRPr="00C122F0" w:rsidRDefault="009C7BB8" w:rsidP="009C7BB8">
      <w:pPr>
        <w:spacing w:line="240" w:lineRule="atLeast"/>
        <w:jc w:val="both"/>
        <w:rPr>
          <w:rFonts w:eastAsia="Calibri"/>
          <w:sz w:val="20"/>
          <w:szCs w:val="20"/>
          <w:lang w:val="es-MX"/>
        </w:rPr>
      </w:pPr>
    </w:p>
    <w:p w:rsidR="009C7BB8" w:rsidRPr="00C122F0" w:rsidRDefault="009C7BB8" w:rsidP="009C7BB8">
      <w:pPr>
        <w:spacing w:line="240" w:lineRule="atLeast"/>
        <w:jc w:val="both"/>
        <w:rPr>
          <w:rFonts w:eastAsia="Calibri"/>
          <w:sz w:val="20"/>
          <w:szCs w:val="20"/>
          <w:lang w:val="es-MX"/>
        </w:rPr>
      </w:pPr>
      <w:r w:rsidRPr="00C122F0">
        <w:rPr>
          <w:rFonts w:eastAsia="Calibri"/>
          <w:sz w:val="20"/>
          <w:szCs w:val="20"/>
          <w:lang w:val="es-MX"/>
        </w:rPr>
        <w:t xml:space="preserve">Por otro lado, el artículo 1° de la Resolución General N° 808 de fecha 12 de septiembre de 2019 y en virtud de lo establecido en el punto 1.10 de la Comunicación “A” 6780, a efectos de cursar toda operación de compra de valores negociables en dólares (especie D) por un monto de hasta US$ 200 por parte de personas humanas, los Agentes de Liquidación y Compensación deberán contar previamente con una declaración jurada del titular que manifieste que los fondos en dólares no provienen de una operación de MLC realizada en los últimos 5 (cinco) días hábiles. Asimismo, las operaciones de compra de valores negociables en dólares (especie D) sólo podrán ser cursadas para ser liquidadas en el plazo de contado de 48 horas. Los valores negociables acreditados por dicha compra no podrán ser transferidos para cubrir la liquidación de una operación de venta en pesos hasta haber transcurrido. </w:t>
      </w:r>
    </w:p>
    <w:p w:rsidR="009C7BB8" w:rsidRPr="00C122F0" w:rsidRDefault="009C7BB8" w:rsidP="009C7BB8">
      <w:pPr>
        <w:spacing w:line="240" w:lineRule="atLeast"/>
        <w:jc w:val="both"/>
        <w:rPr>
          <w:rFonts w:eastAsia="Calibri"/>
          <w:sz w:val="20"/>
          <w:szCs w:val="20"/>
          <w:lang w:val="es-MX"/>
        </w:rPr>
      </w:pPr>
    </w:p>
    <w:p w:rsidR="009C7BB8" w:rsidRPr="00C122F0" w:rsidRDefault="009C7BB8" w:rsidP="009C7BB8">
      <w:pPr>
        <w:spacing w:line="240" w:lineRule="atLeast"/>
        <w:jc w:val="both"/>
        <w:rPr>
          <w:rFonts w:eastAsia="Calibri"/>
          <w:sz w:val="20"/>
          <w:szCs w:val="20"/>
          <w:lang w:val="es-MX"/>
        </w:rPr>
      </w:pPr>
      <w:r w:rsidRPr="00C122F0">
        <w:rPr>
          <w:rFonts w:eastAsia="Calibri"/>
          <w:sz w:val="20"/>
          <w:szCs w:val="20"/>
          <w:lang w:val="es-MX"/>
        </w:rPr>
        <w:t>Asimismo, se estableció que las personas humanas que transfieran divisas desde sus cuentas locales en moneda extranjera a cuentas bancarias propias en el exterior deben presentar una declaración jurada de que no han efectuado venta de títulos valores con liquidación local en moneda extranjera en los últimos 5 (cinco) días hábiles.</w:t>
      </w:r>
      <w:r>
        <w:rPr>
          <w:rFonts w:eastAsia="Calibri"/>
          <w:sz w:val="20"/>
          <w:szCs w:val="20"/>
          <w:lang w:val="es-MX"/>
        </w:rPr>
        <w:t xml:space="preserve"> </w:t>
      </w:r>
      <w:r w:rsidRPr="00C122F0">
        <w:rPr>
          <w:rFonts w:eastAsia="Calibri"/>
          <w:sz w:val="20"/>
          <w:szCs w:val="20"/>
          <w:lang w:val="es-MX"/>
        </w:rPr>
        <w:t xml:space="preserve">Por último, la mencionada norma aclaró que la transferencia de divisas de las personas humanas desde sus cuentas locales en moneda extranjera a cuentas bancarias propias en el exterior se puede efectuar sin restricciones, pero estableció que para transferir al exterior para la formación de activos externos, el acceso de las personas humanas residentes al </w:t>
      </w:r>
      <w:r>
        <w:rPr>
          <w:rFonts w:eastAsia="Calibri"/>
          <w:sz w:val="20"/>
          <w:szCs w:val="20"/>
          <w:lang w:val="es-MX"/>
        </w:rPr>
        <w:t>MULC</w:t>
      </w:r>
      <w:r w:rsidRPr="00C122F0">
        <w:rPr>
          <w:rFonts w:eastAsia="Calibri"/>
          <w:sz w:val="20"/>
          <w:szCs w:val="20"/>
          <w:lang w:val="es-MX"/>
        </w:rPr>
        <w:t>, debe tener como destino cuentas bancarias de su titularidad en el exterior.</w:t>
      </w:r>
    </w:p>
    <w:p w:rsidR="009C7BB8" w:rsidRPr="00C65E07" w:rsidRDefault="009C7BB8" w:rsidP="009C7BB8">
      <w:pPr>
        <w:spacing w:line="240" w:lineRule="atLeast"/>
        <w:jc w:val="both"/>
        <w:rPr>
          <w:rFonts w:eastAsia="Calibri"/>
          <w:sz w:val="20"/>
          <w:lang w:val="es-MX"/>
        </w:rPr>
      </w:pPr>
    </w:p>
    <w:p w:rsidR="009C7BB8" w:rsidRPr="00C122F0" w:rsidRDefault="009C7BB8" w:rsidP="009C7BB8">
      <w:pPr>
        <w:spacing w:line="240" w:lineRule="atLeast"/>
        <w:jc w:val="both"/>
        <w:rPr>
          <w:rFonts w:eastAsia="Calibri"/>
          <w:sz w:val="20"/>
          <w:szCs w:val="20"/>
          <w:lang w:val="es-MX"/>
        </w:rPr>
      </w:pPr>
      <w:r w:rsidRPr="00C65E07">
        <w:rPr>
          <w:rFonts w:eastAsia="Calibri"/>
          <w:sz w:val="20"/>
          <w:lang w:val="es-MX"/>
        </w:rPr>
        <w:t xml:space="preserve">En </w:t>
      </w:r>
      <w:r w:rsidRPr="00C122F0">
        <w:rPr>
          <w:rFonts w:eastAsia="Calibri"/>
          <w:sz w:val="20"/>
          <w:szCs w:val="20"/>
          <w:lang w:val="es-MX"/>
        </w:rPr>
        <w:t xml:space="preserve">relación a los retiros de efectivo en el exterior con tarjetas de débitos locales, </w:t>
      </w:r>
      <w:r>
        <w:rPr>
          <w:rFonts w:eastAsia="Calibri"/>
          <w:sz w:val="20"/>
          <w:szCs w:val="20"/>
          <w:lang w:val="es-MX"/>
        </w:rPr>
        <w:t>se</w:t>
      </w:r>
      <w:r w:rsidRPr="00C122F0">
        <w:rPr>
          <w:rFonts w:eastAsia="Calibri"/>
          <w:sz w:val="20"/>
          <w:szCs w:val="20"/>
          <w:lang w:val="es-MX"/>
        </w:rPr>
        <w:t xml:space="preserve"> dispone que sólo podrán ser efectuadas con débito en cuentas locales del cliente en moneda extranjera.</w:t>
      </w:r>
      <w:r w:rsidRPr="009C7BB8">
        <w:rPr>
          <w:lang w:val="es-AR"/>
        </w:rPr>
        <w:t xml:space="preserve"> </w:t>
      </w:r>
      <w:r w:rsidRPr="0044039A">
        <w:rPr>
          <w:rFonts w:eastAsia="Calibri"/>
          <w:sz w:val="20"/>
          <w:szCs w:val="20"/>
          <w:lang w:val="es-MX"/>
        </w:rPr>
        <w:t>Los consumos en el exterior pueden ser efectuados con débito en cuentas locales del</w:t>
      </w:r>
      <w:r>
        <w:rPr>
          <w:rFonts w:eastAsia="Calibri"/>
          <w:sz w:val="20"/>
          <w:szCs w:val="20"/>
          <w:lang w:val="es-MX"/>
        </w:rPr>
        <w:t xml:space="preserve"> </w:t>
      </w:r>
      <w:r w:rsidRPr="0044039A">
        <w:rPr>
          <w:rFonts w:eastAsia="Calibri"/>
          <w:sz w:val="20"/>
          <w:szCs w:val="20"/>
          <w:lang w:val="es-MX"/>
        </w:rPr>
        <w:t>cliente en moneda extranjera o en pesos.</w:t>
      </w:r>
      <w:r>
        <w:rPr>
          <w:rFonts w:eastAsia="Calibri"/>
          <w:sz w:val="20"/>
          <w:szCs w:val="20"/>
          <w:lang w:val="es-MX"/>
        </w:rPr>
        <w:t xml:space="preserve"> </w:t>
      </w:r>
      <w:r w:rsidRPr="0044039A">
        <w:rPr>
          <w:rFonts w:eastAsia="Calibri"/>
          <w:sz w:val="20"/>
          <w:szCs w:val="20"/>
          <w:lang w:val="es-MX"/>
        </w:rPr>
        <w:t>Las entidades financieras deberán ofrecer a sus clientes la posibilidad de seleccionar y</w:t>
      </w:r>
      <w:r>
        <w:rPr>
          <w:rFonts w:eastAsia="Calibri"/>
          <w:sz w:val="20"/>
          <w:szCs w:val="20"/>
          <w:lang w:val="es-MX"/>
        </w:rPr>
        <w:t xml:space="preserve"> </w:t>
      </w:r>
      <w:r w:rsidRPr="0044039A">
        <w:rPr>
          <w:rFonts w:eastAsia="Calibri"/>
          <w:sz w:val="20"/>
          <w:szCs w:val="20"/>
          <w:lang w:val="es-MX"/>
        </w:rPr>
        <w:t>modificar la cuenta asociada a su tarjeta de débito sobre la cual se efectuarán los</w:t>
      </w:r>
      <w:r>
        <w:rPr>
          <w:rFonts w:eastAsia="Calibri"/>
          <w:sz w:val="20"/>
          <w:szCs w:val="20"/>
          <w:lang w:val="es-MX"/>
        </w:rPr>
        <w:t xml:space="preserve"> </w:t>
      </w:r>
      <w:r w:rsidRPr="0044039A">
        <w:rPr>
          <w:rFonts w:eastAsia="Calibri"/>
          <w:sz w:val="20"/>
          <w:szCs w:val="20"/>
          <w:lang w:val="es-MX"/>
        </w:rPr>
        <w:t>débitos, debiendo tomar por defecto como cuenta primaria en estos casos a la cuenta</w:t>
      </w:r>
      <w:r>
        <w:rPr>
          <w:rFonts w:eastAsia="Calibri"/>
          <w:sz w:val="20"/>
          <w:szCs w:val="20"/>
          <w:lang w:val="es-MX"/>
        </w:rPr>
        <w:t xml:space="preserve"> </w:t>
      </w:r>
      <w:r w:rsidRPr="0044039A">
        <w:rPr>
          <w:rFonts w:eastAsia="Calibri"/>
          <w:sz w:val="20"/>
          <w:szCs w:val="20"/>
          <w:lang w:val="es-MX"/>
        </w:rPr>
        <w:t>en moneda extranjera del cliente en caso de que la tuviera.</w:t>
      </w:r>
    </w:p>
    <w:p w:rsidR="009C7BB8" w:rsidRPr="00C122F0" w:rsidRDefault="009C7BB8" w:rsidP="009C7BB8">
      <w:pPr>
        <w:spacing w:line="240" w:lineRule="atLeast"/>
        <w:jc w:val="both"/>
        <w:rPr>
          <w:rFonts w:eastAsia="Calibri"/>
          <w:sz w:val="20"/>
          <w:szCs w:val="20"/>
          <w:lang w:val="es-MX"/>
        </w:rPr>
      </w:pPr>
    </w:p>
    <w:p w:rsidR="009C7BB8" w:rsidRPr="00C122F0" w:rsidRDefault="009C7BB8" w:rsidP="009C7BB8">
      <w:pPr>
        <w:autoSpaceDE w:val="0"/>
        <w:autoSpaceDN w:val="0"/>
        <w:adjustRightInd w:val="0"/>
        <w:spacing w:line="240" w:lineRule="atLeast"/>
        <w:jc w:val="both"/>
        <w:rPr>
          <w:rFonts w:eastAsia="Calibri"/>
          <w:sz w:val="20"/>
          <w:szCs w:val="20"/>
          <w:lang w:val="es-MX"/>
        </w:rPr>
      </w:pPr>
      <w:r w:rsidRPr="00C122F0">
        <w:rPr>
          <w:rFonts w:eastAsia="Calibri"/>
          <w:sz w:val="20"/>
          <w:szCs w:val="20"/>
          <w:lang w:val="es-MX"/>
        </w:rPr>
        <w:t>En relación a las ventas de cambio, las entidades autorizadas a operar en cambios deberán remitir al BCRA, al cierre de cada jornada y con una antelación de 2 días hábiles, la información sobre dichas ventas a realizarse por solicitud de clientes u operaciones propias de la entidad que impliquen un acceso al mercado de cambio por un monto diario que sea igual o superior al equivalente a US$ 2 millones, para cada uno de los 3 días hábiles contados a partir del primer día informado.</w:t>
      </w:r>
      <w:r>
        <w:rPr>
          <w:rFonts w:eastAsia="Calibri"/>
          <w:sz w:val="20"/>
          <w:szCs w:val="20"/>
          <w:lang w:val="es-MX"/>
        </w:rPr>
        <w:t xml:space="preserve"> </w:t>
      </w:r>
      <w:r w:rsidRPr="00C122F0">
        <w:rPr>
          <w:rFonts w:eastAsia="Calibri"/>
          <w:sz w:val="20"/>
          <w:szCs w:val="20"/>
          <w:lang w:val="es-MX"/>
        </w:rPr>
        <w:t>En este sentido, a partir del 28.10.19 inclusive y hasta que esté implementado el Régimen Informativo correspondiente, las operaciones deben ser remitidas a la casilla anticipooperaciones@bcra.gob.ar, con el siguiente detalle: entidad que informa, CUIT y nombre del cliente (incluido las operaciones propias de las entidades), fecha de la operación, código de concepto y monto equivalente en dólares estadounidenses.</w:t>
      </w:r>
      <w:r>
        <w:rPr>
          <w:rFonts w:eastAsia="Calibri"/>
          <w:sz w:val="20"/>
          <w:szCs w:val="20"/>
          <w:lang w:val="es-MX"/>
        </w:rPr>
        <w:t xml:space="preserve"> </w:t>
      </w:r>
      <w:r w:rsidRPr="00C122F0">
        <w:rPr>
          <w:rFonts w:eastAsia="Calibri"/>
          <w:sz w:val="20"/>
          <w:szCs w:val="20"/>
          <w:lang w:val="es-MX"/>
        </w:rPr>
        <w:t>De esta manera, los clientes de las entidades autorizadas deberán informar a las mismas con la antelación necesaria para que las entidades puedan dar cumplimiento al requisito mencionado en los párrafos anteriores, para que éstas puedan dar curso a la operación de cambio.</w:t>
      </w:r>
    </w:p>
    <w:p w:rsidR="009C7BB8" w:rsidRPr="00C122F0" w:rsidRDefault="009C7BB8" w:rsidP="009C7BB8">
      <w:pPr>
        <w:autoSpaceDE w:val="0"/>
        <w:autoSpaceDN w:val="0"/>
        <w:adjustRightInd w:val="0"/>
        <w:spacing w:line="240" w:lineRule="atLeast"/>
        <w:jc w:val="both"/>
        <w:rPr>
          <w:rFonts w:eastAsia="Calibri"/>
          <w:sz w:val="20"/>
          <w:szCs w:val="20"/>
          <w:lang w:val="es-MX"/>
        </w:rPr>
      </w:pPr>
    </w:p>
    <w:p w:rsidR="009C7BB8" w:rsidRPr="00C122F0" w:rsidRDefault="009C7BB8" w:rsidP="009C7BB8">
      <w:pPr>
        <w:spacing w:line="240" w:lineRule="atLeast"/>
        <w:jc w:val="both"/>
        <w:rPr>
          <w:rFonts w:eastAsia="Calibri"/>
          <w:i/>
          <w:sz w:val="20"/>
          <w:szCs w:val="20"/>
          <w:lang w:val="es-MX"/>
        </w:rPr>
      </w:pPr>
      <w:r w:rsidRPr="00C122F0">
        <w:rPr>
          <w:rFonts w:eastAsia="Calibri"/>
          <w:i/>
          <w:sz w:val="20"/>
          <w:szCs w:val="20"/>
          <w:lang w:val="es-MX"/>
        </w:rPr>
        <w:t>No Residentes</w:t>
      </w:r>
    </w:p>
    <w:p w:rsidR="009C7BB8" w:rsidRPr="00C122F0" w:rsidRDefault="009C7BB8" w:rsidP="009C7BB8">
      <w:pPr>
        <w:spacing w:line="240" w:lineRule="atLeast"/>
        <w:jc w:val="both"/>
        <w:rPr>
          <w:rFonts w:eastAsia="Calibri"/>
          <w:i/>
          <w:sz w:val="20"/>
          <w:szCs w:val="20"/>
          <w:lang w:val="es-MX"/>
        </w:rPr>
      </w:pPr>
    </w:p>
    <w:p w:rsidR="009C7BB8" w:rsidRPr="00C122F0" w:rsidRDefault="009C7BB8" w:rsidP="009C7BB8">
      <w:pPr>
        <w:spacing w:line="240" w:lineRule="atLeast"/>
        <w:jc w:val="both"/>
        <w:rPr>
          <w:rFonts w:eastAsia="Calibri"/>
          <w:sz w:val="20"/>
          <w:szCs w:val="20"/>
          <w:lang w:val="es-MX"/>
        </w:rPr>
      </w:pPr>
      <w:r>
        <w:rPr>
          <w:rFonts w:eastAsia="Calibri"/>
          <w:sz w:val="20"/>
          <w:szCs w:val="20"/>
          <w:lang w:val="es-MX"/>
        </w:rPr>
        <w:t>Se</w:t>
      </w:r>
      <w:r w:rsidRPr="00C122F0">
        <w:rPr>
          <w:rFonts w:eastAsia="Calibri"/>
          <w:sz w:val="20"/>
          <w:szCs w:val="20"/>
          <w:lang w:val="es-MX"/>
        </w:rPr>
        <w:t xml:space="preserve"> dispone que se establece la conformidad previa del BCRA para el acceso al </w:t>
      </w:r>
      <w:r>
        <w:rPr>
          <w:rFonts w:eastAsia="Calibri"/>
          <w:sz w:val="20"/>
          <w:szCs w:val="20"/>
          <w:lang w:val="es-MX"/>
        </w:rPr>
        <w:t>MLC</w:t>
      </w:r>
      <w:r w:rsidRPr="00C122F0">
        <w:rPr>
          <w:rFonts w:eastAsia="Calibri"/>
          <w:sz w:val="20"/>
          <w:szCs w:val="20"/>
          <w:lang w:val="es-MX"/>
        </w:rPr>
        <w:t xml:space="preserve"> </w:t>
      </w:r>
      <w:r>
        <w:rPr>
          <w:rFonts w:eastAsia="Calibri"/>
          <w:sz w:val="20"/>
          <w:szCs w:val="20"/>
          <w:lang w:val="es-MX"/>
        </w:rPr>
        <w:t xml:space="preserve">en la mayoría de las operaciones </w:t>
      </w:r>
      <w:r w:rsidRPr="00C122F0">
        <w:rPr>
          <w:rFonts w:eastAsia="Calibri"/>
          <w:sz w:val="20"/>
          <w:szCs w:val="20"/>
          <w:lang w:val="es-MX"/>
        </w:rPr>
        <w:t>por parte de no residentes para la compra de moneda extranjera</w:t>
      </w:r>
      <w:r>
        <w:rPr>
          <w:rFonts w:eastAsia="Calibri"/>
          <w:sz w:val="20"/>
          <w:szCs w:val="20"/>
          <w:lang w:val="es-MX"/>
        </w:rPr>
        <w:t xml:space="preserve">. </w:t>
      </w:r>
      <w:r w:rsidRPr="00C122F0">
        <w:rPr>
          <w:rFonts w:eastAsia="Calibri"/>
          <w:sz w:val="20"/>
          <w:szCs w:val="20"/>
          <w:lang w:val="es-MX"/>
        </w:rPr>
        <w:t>Se exceptúan del límite del párrafo precedente las operaciones de: (a) Organismos internacionales e instituciones que cumplan funciones de agencias oficiales de crédito a la exportación, (b) Representaciones diplomáticas y consulares y personal diplomático acreditado en el país por transferencias que efectúen en ejercicio de sus funciones, (c) Representaciones en el país de Tribunales, Autoridades u Oficinas, Misiones Especiales, Comisiones u Órganos Bilaterales establecidos por Tratados o Convenios Internacionales, en los cuales la República Argentina es parte, en la medida que las transferencias se realicen en ejercicio de sus funciones,  (d) las transferencias al exterior a nombre de personas humanas que sean beneficiarias de jubilaciones y/o pensiones abonadas por la Administración Nacional de la Seguridad Social (ANSES), por hasta el monto abonado por dicho organismo en el mes calendario y en la medida que la transferencia se efectúe a una cuenta bancaria de titularidad del beneficiario en su país de residencia registrado</w:t>
      </w:r>
      <w:r>
        <w:rPr>
          <w:rFonts w:eastAsia="Calibri"/>
          <w:sz w:val="20"/>
          <w:szCs w:val="20"/>
          <w:lang w:val="es-MX"/>
        </w:rPr>
        <w:t>, y a beneficiarios de distintos tipos de beneficios relacionados a casos de desaparición forzada de personas conforme la Comunicación “A” 7052, y (e) para aquellos no residentes por un monto de hasta US$ 100, en caso de que hayan liquidado en el MLC divisas por un monto equivalente en concepto de turismo y viajes en los últimos 3 meses</w:t>
      </w:r>
      <w:r w:rsidRPr="00C122F0">
        <w:rPr>
          <w:rFonts w:eastAsia="Calibri"/>
          <w:sz w:val="20"/>
          <w:szCs w:val="20"/>
          <w:lang w:val="es-MX"/>
        </w:rPr>
        <w:t>.</w:t>
      </w:r>
      <w:r>
        <w:rPr>
          <w:rFonts w:eastAsia="Calibri"/>
          <w:sz w:val="20"/>
          <w:szCs w:val="20"/>
          <w:lang w:val="es-MX"/>
        </w:rPr>
        <w:t xml:space="preserve"> Se</w:t>
      </w:r>
      <w:r w:rsidRPr="00C122F0">
        <w:rPr>
          <w:rFonts w:eastAsia="Calibri"/>
          <w:sz w:val="20"/>
          <w:szCs w:val="20"/>
          <w:lang w:val="es-MX"/>
        </w:rPr>
        <w:t xml:space="preserve"> aclara que las restricciones para el acceso al </w:t>
      </w:r>
      <w:r>
        <w:rPr>
          <w:rFonts w:eastAsia="Calibri"/>
          <w:sz w:val="20"/>
          <w:szCs w:val="20"/>
          <w:lang w:val="es-MX"/>
        </w:rPr>
        <w:t>MLC</w:t>
      </w:r>
      <w:r w:rsidRPr="00C122F0">
        <w:rPr>
          <w:rFonts w:eastAsia="Calibri"/>
          <w:sz w:val="20"/>
          <w:szCs w:val="20"/>
          <w:lang w:val="es-MX"/>
        </w:rPr>
        <w:t xml:space="preserve"> por parte de no residentes solamente aplica para la compra de moneda extranjera.</w:t>
      </w:r>
    </w:p>
    <w:p w:rsidR="009C7BB8" w:rsidRPr="00C122F0" w:rsidRDefault="009C7BB8" w:rsidP="009C7BB8">
      <w:pPr>
        <w:spacing w:line="240" w:lineRule="atLeast"/>
        <w:jc w:val="both"/>
        <w:rPr>
          <w:rFonts w:eastAsia="Calibri"/>
          <w:sz w:val="20"/>
          <w:szCs w:val="20"/>
          <w:lang w:val="es-MX"/>
        </w:rPr>
      </w:pPr>
    </w:p>
    <w:p w:rsidR="009C7BB8" w:rsidRPr="00C122F0" w:rsidRDefault="009C7BB8" w:rsidP="009C7BB8">
      <w:pPr>
        <w:spacing w:line="240" w:lineRule="atLeast"/>
        <w:jc w:val="both"/>
        <w:rPr>
          <w:rFonts w:eastAsia="Calibri"/>
          <w:i/>
          <w:sz w:val="20"/>
          <w:szCs w:val="20"/>
          <w:lang w:val="es-MX"/>
        </w:rPr>
      </w:pPr>
      <w:r w:rsidRPr="00C122F0">
        <w:rPr>
          <w:rFonts w:eastAsia="Calibri"/>
          <w:i/>
          <w:sz w:val="20"/>
          <w:szCs w:val="20"/>
          <w:lang w:val="es-MX"/>
        </w:rPr>
        <w:t>Liquidación de Endeudamiento con el Exterior - Obligación y requisitos para el acceso</w:t>
      </w:r>
      <w:r>
        <w:rPr>
          <w:rFonts w:eastAsia="Calibri"/>
          <w:i/>
          <w:sz w:val="20"/>
          <w:szCs w:val="20"/>
          <w:lang w:val="es-MX"/>
        </w:rPr>
        <w:t xml:space="preserve"> – Conformidad previa para el pago de endeudamiento financiero a contraparte vinculada del exterior.</w:t>
      </w:r>
    </w:p>
    <w:p w:rsidR="009C7BB8" w:rsidRPr="00C122F0" w:rsidRDefault="009C7BB8" w:rsidP="009C7BB8">
      <w:pPr>
        <w:spacing w:line="240" w:lineRule="atLeast"/>
        <w:jc w:val="both"/>
        <w:rPr>
          <w:rFonts w:eastAsia="Calibri"/>
          <w:i/>
          <w:sz w:val="20"/>
          <w:szCs w:val="20"/>
          <w:lang w:val="es-MX"/>
        </w:rPr>
      </w:pPr>
    </w:p>
    <w:p w:rsidR="009C7BB8" w:rsidRDefault="009C7BB8" w:rsidP="009C7BB8">
      <w:pPr>
        <w:spacing w:line="240" w:lineRule="atLeast"/>
        <w:jc w:val="both"/>
        <w:rPr>
          <w:rFonts w:eastAsia="Calibri"/>
          <w:sz w:val="20"/>
          <w:szCs w:val="20"/>
          <w:lang w:val="es-MX"/>
        </w:rPr>
      </w:pPr>
      <w:r w:rsidRPr="00C55FCB">
        <w:rPr>
          <w:rFonts w:eastAsia="Calibri"/>
          <w:sz w:val="20"/>
          <w:lang w:val="es-MX"/>
        </w:rPr>
        <w:t xml:space="preserve">Se establece la obligación de ingreso y liquidación </w:t>
      </w:r>
      <w:r w:rsidRPr="00C122F0">
        <w:rPr>
          <w:rFonts w:eastAsia="Calibri"/>
          <w:sz w:val="20"/>
          <w:szCs w:val="20"/>
          <w:lang w:val="es-MX"/>
        </w:rPr>
        <w:t xml:space="preserve">en el </w:t>
      </w:r>
      <w:r>
        <w:rPr>
          <w:rFonts w:eastAsia="Calibri"/>
          <w:sz w:val="20"/>
          <w:szCs w:val="20"/>
          <w:lang w:val="es-MX"/>
        </w:rPr>
        <w:t>MLC</w:t>
      </w:r>
      <w:r w:rsidRPr="00C122F0">
        <w:rPr>
          <w:rFonts w:eastAsia="Calibri"/>
          <w:sz w:val="20"/>
          <w:szCs w:val="20"/>
          <w:lang w:val="es-MX"/>
        </w:rPr>
        <w:t xml:space="preserve"> </w:t>
      </w:r>
      <w:r w:rsidRPr="00C55FCB">
        <w:rPr>
          <w:rFonts w:eastAsia="Calibri"/>
          <w:sz w:val="20"/>
          <w:lang w:val="es-MX"/>
        </w:rPr>
        <w:t xml:space="preserve">de nuevas deudas </w:t>
      </w:r>
      <w:r w:rsidRPr="00C122F0">
        <w:rPr>
          <w:rFonts w:eastAsia="Calibri"/>
          <w:sz w:val="20"/>
          <w:szCs w:val="20"/>
          <w:lang w:val="es-MX"/>
        </w:rPr>
        <w:t>de carácter financiero con el exterior</w:t>
      </w:r>
      <w:r w:rsidRPr="00C55FCB">
        <w:rPr>
          <w:rFonts w:eastAsia="Calibri"/>
          <w:sz w:val="20"/>
          <w:lang w:val="es-MX"/>
        </w:rPr>
        <w:t xml:space="preserve"> que se desembolsen a partir del </w:t>
      </w:r>
      <w:r w:rsidRPr="00C122F0">
        <w:rPr>
          <w:rFonts w:eastAsia="Calibri"/>
          <w:sz w:val="20"/>
          <w:szCs w:val="20"/>
          <w:lang w:val="es-MX"/>
        </w:rPr>
        <w:t>1 de septiembre de 2019 y</w:t>
      </w:r>
      <w:r w:rsidRPr="00C55FCB">
        <w:rPr>
          <w:rFonts w:eastAsia="Calibri"/>
          <w:sz w:val="20"/>
          <w:lang w:val="es-MX"/>
        </w:rPr>
        <w:t xml:space="preserve"> la obligación de demostrar el cumplimiento </w:t>
      </w:r>
      <w:r w:rsidRPr="00C122F0">
        <w:rPr>
          <w:rFonts w:eastAsia="Calibri"/>
          <w:sz w:val="20"/>
          <w:szCs w:val="20"/>
          <w:lang w:val="es-MX"/>
        </w:rPr>
        <w:t>de este</w:t>
      </w:r>
      <w:r w:rsidRPr="00C55FCB">
        <w:rPr>
          <w:rFonts w:eastAsia="Calibri"/>
          <w:sz w:val="20"/>
          <w:lang w:val="es-MX"/>
        </w:rPr>
        <w:t xml:space="preserve"> requisito </w:t>
      </w:r>
      <w:r w:rsidRPr="00C122F0">
        <w:rPr>
          <w:rFonts w:eastAsia="Calibri"/>
          <w:sz w:val="20"/>
          <w:szCs w:val="20"/>
          <w:lang w:val="es-MX"/>
        </w:rPr>
        <w:t xml:space="preserve">para el acceso al </w:t>
      </w:r>
      <w:r>
        <w:rPr>
          <w:rFonts w:eastAsia="Calibri"/>
          <w:sz w:val="20"/>
          <w:szCs w:val="20"/>
          <w:lang w:val="es-MX"/>
        </w:rPr>
        <w:t>MLC</w:t>
      </w:r>
      <w:r w:rsidRPr="00C122F0">
        <w:rPr>
          <w:rFonts w:eastAsia="Calibri"/>
          <w:sz w:val="20"/>
          <w:szCs w:val="20"/>
          <w:lang w:val="es-MX"/>
        </w:rPr>
        <w:t xml:space="preserve"> para la atención de los servicios de capital e intereses de las mismas.</w:t>
      </w:r>
      <w:r>
        <w:rPr>
          <w:rFonts w:eastAsia="Calibri"/>
          <w:sz w:val="20"/>
          <w:szCs w:val="20"/>
          <w:lang w:val="es-MX"/>
        </w:rPr>
        <w:t xml:space="preserve"> </w:t>
      </w:r>
      <w:r w:rsidRPr="00C122F0">
        <w:rPr>
          <w:rFonts w:eastAsia="Calibri"/>
          <w:sz w:val="20"/>
          <w:szCs w:val="20"/>
          <w:lang w:val="es-MX"/>
        </w:rPr>
        <w:t xml:space="preserve">Se aclara que en el caso de las entidades autorizadas a operar en cambios, la obligación de ingreso y </w:t>
      </w:r>
      <w:r w:rsidRPr="00C55FCB">
        <w:rPr>
          <w:rFonts w:eastAsia="Calibri"/>
          <w:sz w:val="20"/>
          <w:lang w:val="es-MX"/>
        </w:rPr>
        <w:t xml:space="preserve">liquidación </w:t>
      </w:r>
      <w:r w:rsidRPr="00C122F0">
        <w:rPr>
          <w:rFonts w:eastAsia="Calibri"/>
          <w:sz w:val="20"/>
          <w:szCs w:val="20"/>
          <w:lang w:val="es-MX"/>
        </w:rPr>
        <w:t xml:space="preserve">en el </w:t>
      </w:r>
      <w:r>
        <w:rPr>
          <w:rFonts w:eastAsia="Calibri"/>
          <w:sz w:val="20"/>
          <w:szCs w:val="20"/>
          <w:lang w:val="es-MX"/>
        </w:rPr>
        <w:t>MLC</w:t>
      </w:r>
      <w:r w:rsidRPr="00C122F0">
        <w:rPr>
          <w:rFonts w:eastAsia="Calibri"/>
          <w:sz w:val="20"/>
          <w:szCs w:val="20"/>
          <w:lang w:val="es-MX"/>
        </w:rPr>
        <w:t xml:space="preserve"> de nuevas deudas de carácter financiero con el exterior, se considerará cumplido con el ingreso de los fondos a la Posición General de Cambios.</w:t>
      </w:r>
      <w:r>
        <w:rPr>
          <w:rFonts w:eastAsia="Calibri"/>
          <w:sz w:val="20"/>
          <w:szCs w:val="20"/>
          <w:lang w:val="es-MX"/>
        </w:rPr>
        <w:t xml:space="preserve">  </w:t>
      </w:r>
      <w:r w:rsidRPr="00C122F0">
        <w:rPr>
          <w:sz w:val="20"/>
          <w:szCs w:val="20"/>
          <w:lang w:val="es-MX"/>
        </w:rPr>
        <w:t xml:space="preserve">Asimismo, </w:t>
      </w:r>
      <w:r>
        <w:rPr>
          <w:sz w:val="20"/>
          <w:szCs w:val="20"/>
          <w:lang w:val="es-MX"/>
        </w:rPr>
        <w:t xml:space="preserve">conforme la Comunicación “A” 7052, </w:t>
      </w:r>
      <w:r w:rsidRPr="00C122F0">
        <w:rPr>
          <w:sz w:val="20"/>
          <w:szCs w:val="20"/>
          <w:lang w:val="es-MX"/>
        </w:rPr>
        <w:t>hasta el 3</w:t>
      </w:r>
      <w:r w:rsidR="00E616BF">
        <w:rPr>
          <w:sz w:val="20"/>
          <w:szCs w:val="20"/>
          <w:lang w:val="es-MX"/>
        </w:rPr>
        <w:t>1</w:t>
      </w:r>
      <w:r w:rsidRPr="00C122F0">
        <w:rPr>
          <w:sz w:val="20"/>
          <w:szCs w:val="20"/>
          <w:lang w:val="es-MX"/>
        </w:rPr>
        <w:t>.</w:t>
      </w:r>
      <w:r>
        <w:rPr>
          <w:sz w:val="20"/>
          <w:szCs w:val="20"/>
          <w:lang w:val="es-MX"/>
        </w:rPr>
        <w:t>07</w:t>
      </w:r>
      <w:r w:rsidRPr="00C122F0">
        <w:rPr>
          <w:sz w:val="20"/>
          <w:szCs w:val="20"/>
          <w:lang w:val="es-MX"/>
        </w:rPr>
        <w:t>.2020, se requerirá la conformidad previa del BCRA para el acceso al MLC para la cancelación de servicios de capital de endeudamientos financieros con el exterior cuando el acreedor sea una contraparte vinculada al deudor.</w:t>
      </w:r>
    </w:p>
    <w:p w:rsidR="009C7BB8" w:rsidRDefault="009C7BB8" w:rsidP="009C7BB8">
      <w:pPr>
        <w:spacing w:line="240" w:lineRule="atLeast"/>
        <w:jc w:val="both"/>
        <w:rPr>
          <w:rFonts w:eastAsia="Calibri"/>
          <w:sz w:val="20"/>
          <w:szCs w:val="20"/>
          <w:lang w:val="es-MX"/>
        </w:rPr>
      </w:pPr>
    </w:p>
    <w:p w:rsidR="009C7BB8" w:rsidRDefault="009C7BB8" w:rsidP="009C7BB8">
      <w:pPr>
        <w:spacing w:line="240" w:lineRule="atLeast"/>
        <w:jc w:val="both"/>
        <w:rPr>
          <w:rFonts w:eastAsia="Calibri"/>
          <w:i/>
          <w:iCs/>
          <w:sz w:val="20"/>
          <w:szCs w:val="20"/>
          <w:lang w:val="es-MX"/>
        </w:rPr>
      </w:pPr>
      <w:r>
        <w:rPr>
          <w:rFonts w:eastAsia="Calibri"/>
          <w:i/>
          <w:iCs/>
          <w:sz w:val="20"/>
          <w:szCs w:val="20"/>
          <w:lang w:val="es-MX"/>
        </w:rPr>
        <w:t>Requisitos generales para egresos por el MLC.</w:t>
      </w:r>
    </w:p>
    <w:p w:rsidR="009C7BB8" w:rsidRDefault="009C7BB8" w:rsidP="009C7BB8">
      <w:pPr>
        <w:spacing w:line="240" w:lineRule="atLeast"/>
        <w:jc w:val="both"/>
        <w:rPr>
          <w:rFonts w:eastAsia="Calibri"/>
          <w:i/>
          <w:iCs/>
          <w:sz w:val="20"/>
          <w:szCs w:val="20"/>
          <w:lang w:val="es-MX"/>
        </w:rPr>
      </w:pPr>
    </w:p>
    <w:p w:rsidR="009C7BB8" w:rsidRDefault="009C7BB8" w:rsidP="009C7BB8">
      <w:pPr>
        <w:spacing w:line="240" w:lineRule="atLeast"/>
        <w:jc w:val="both"/>
        <w:rPr>
          <w:sz w:val="20"/>
          <w:szCs w:val="20"/>
          <w:lang w:val="es-MX"/>
        </w:rPr>
      </w:pPr>
      <w:r w:rsidRPr="00C122F0">
        <w:rPr>
          <w:sz w:val="20"/>
          <w:szCs w:val="20"/>
          <w:lang w:val="es-MX"/>
        </w:rPr>
        <w:t>P</w:t>
      </w:r>
      <w:r>
        <w:rPr>
          <w:sz w:val="20"/>
          <w:szCs w:val="20"/>
          <w:lang w:val="es-MX"/>
        </w:rPr>
        <w:t xml:space="preserve">or medio de las Comunicaciones “A” 7001, 7030 y 7042, se establecieron nuevos requisitos aplicables a la mayoría de las operaciones que refieren al egreso por el MLC. </w:t>
      </w:r>
    </w:p>
    <w:p w:rsidR="009C7BB8" w:rsidRDefault="009C7BB8" w:rsidP="009C7BB8">
      <w:pPr>
        <w:spacing w:line="240" w:lineRule="atLeast"/>
        <w:jc w:val="both"/>
        <w:rPr>
          <w:sz w:val="20"/>
          <w:szCs w:val="20"/>
          <w:lang w:val="es-MX"/>
        </w:rPr>
      </w:pPr>
    </w:p>
    <w:p w:rsidR="009C7BB8" w:rsidRPr="00E50531" w:rsidRDefault="009C7BB8" w:rsidP="009C7BB8">
      <w:pPr>
        <w:spacing w:line="240" w:lineRule="atLeast"/>
        <w:jc w:val="both"/>
        <w:rPr>
          <w:sz w:val="20"/>
          <w:szCs w:val="20"/>
          <w:lang w:val="es-MX"/>
        </w:rPr>
      </w:pPr>
      <w:r w:rsidRPr="003B4B42">
        <w:rPr>
          <w:sz w:val="20"/>
          <w:szCs w:val="20"/>
          <w:lang w:val="es-MX"/>
        </w:rPr>
        <w:t>Para las operaciones de adquisición y transferencia de moneda extranjera, salvo limitadas excepciones, se deberá presentar una declaración jurada manifestando que: (i) la totalidad de las tenencias en moneda extranjera en el país se encuentran depositadas en entidades financieras locales; (ii) al inicio de ese día, no cuentan con “</w:t>
      </w:r>
      <w:r w:rsidRPr="00CA2007">
        <w:rPr>
          <w:i/>
          <w:iCs/>
          <w:sz w:val="20"/>
          <w:szCs w:val="20"/>
          <w:lang w:val="es-MX"/>
        </w:rPr>
        <w:t>activos externos líquidos disponibles</w:t>
      </w:r>
      <w:r w:rsidRPr="003B4B42">
        <w:rPr>
          <w:sz w:val="20"/>
          <w:szCs w:val="20"/>
          <w:lang w:val="es-MX"/>
        </w:rPr>
        <w:t>” por un monto superior equivalente a US$ 100.000;</w:t>
      </w:r>
      <w:r>
        <w:rPr>
          <w:sz w:val="20"/>
          <w:szCs w:val="20"/>
          <w:lang w:val="es-MX"/>
        </w:rPr>
        <w:t xml:space="preserve"> a</w:t>
      </w:r>
      <w:r w:rsidRPr="00C122F0">
        <w:rPr>
          <w:sz w:val="20"/>
          <w:szCs w:val="20"/>
          <w:lang w:val="es-MX"/>
        </w:rPr>
        <w:t xml:space="preserve">sí, los sujetos que posean </w:t>
      </w:r>
      <w:r>
        <w:rPr>
          <w:sz w:val="20"/>
          <w:szCs w:val="20"/>
          <w:lang w:val="es-MX"/>
        </w:rPr>
        <w:t xml:space="preserve">un monto superior de </w:t>
      </w:r>
      <w:r w:rsidRPr="00C122F0">
        <w:rPr>
          <w:sz w:val="20"/>
          <w:szCs w:val="20"/>
          <w:lang w:val="es-MX"/>
        </w:rPr>
        <w:t>activos externos líquidos disponibles en el exterior, no tendrán acceso al MLC sin la previa conformidad del BCRA (excepto las personas humanas, para compras de atesoramiento o las remesas a familiares del exterior)</w:t>
      </w:r>
      <w:r>
        <w:rPr>
          <w:sz w:val="20"/>
          <w:szCs w:val="20"/>
          <w:lang w:val="es-MX"/>
        </w:rPr>
        <w:t xml:space="preserve">; y  </w:t>
      </w:r>
      <w:r w:rsidRPr="003B4B42">
        <w:rPr>
          <w:sz w:val="20"/>
          <w:szCs w:val="20"/>
          <w:lang w:val="es-MX"/>
        </w:rPr>
        <w:t xml:space="preserve">(iii) se comprometen a liquidar en el </w:t>
      </w:r>
      <w:r>
        <w:rPr>
          <w:sz w:val="20"/>
          <w:szCs w:val="20"/>
          <w:lang w:val="es-MX"/>
        </w:rPr>
        <w:t>MLC</w:t>
      </w:r>
      <w:r w:rsidRPr="003B4B42">
        <w:rPr>
          <w:sz w:val="20"/>
          <w:szCs w:val="20"/>
          <w:lang w:val="es-MX"/>
        </w:rPr>
        <w:t>, dentro de los 5 días hábiles de su puesta a disposición, los fondos recibidos en el exterior, que hubieran sido originados en cobros de préstamos otorgados a terceros, depósitos a plazo, o de ventas de cualquier tipo de activo, cuando ellos hubieran sido otorgados, constituidos o adquiridos luego del 28 de mayo de 2020.</w:t>
      </w:r>
      <w:r>
        <w:rPr>
          <w:sz w:val="20"/>
          <w:szCs w:val="20"/>
          <w:lang w:val="es-MX"/>
        </w:rPr>
        <w:t xml:space="preserve"> Asimismo, p</w:t>
      </w:r>
      <w:r w:rsidRPr="003B4B42">
        <w:rPr>
          <w:sz w:val="20"/>
          <w:szCs w:val="20"/>
          <w:lang w:val="es-MX"/>
        </w:rPr>
        <w:t xml:space="preserve">revia solicitud de acceso al </w:t>
      </w:r>
      <w:r>
        <w:rPr>
          <w:sz w:val="20"/>
          <w:szCs w:val="20"/>
          <w:lang w:val="es-MX"/>
        </w:rPr>
        <w:t>MLC</w:t>
      </w:r>
      <w:r w:rsidRPr="003B4B42">
        <w:rPr>
          <w:sz w:val="20"/>
          <w:szCs w:val="20"/>
          <w:lang w:val="es-MX"/>
        </w:rPr>
        <w:t xml:space="preserve"> para el egreso de divisas, tanto las personas humanas como las personas jurídicas deben presentar una declaración jurada manifestando que en el día en que solicita el acceso y en los 90 días corridos anteriores no se han concertado en el país ventas de títulos valores con liquidación en moneda extranjera o transferencias de los mismos a entidades depositarias del exterior; y que se comprometen a no realizar dichas operaciones desde que se requiere el acceso y por los 90 días corridos subsiguientes</w:t>
      </w:r>
      <w:r>
        <w:rPr>
          <w:sz w:val="20"/>
          <w:szCs w:val="20"/>
          <w:lang w:val="es-MX"/>
        </w:rPr>
        <w:t xml:space="preserve"> (el plazo de 90 días precedentes debe ser considerado como de hasta el 1.5.20, hasta el 30.7.20).</w:t>
      </w:r>
    </w:p>
    <w:p w:rsidR="009C7BB8" w:rsidRDefault="009C7BB8" w:rsidP="009C7BB8">
      <w:pPr>
        <w:spacing w:line="240" w:lineRule="atLeast"/>
        <w:jc w:val="both"/>
        <w:rPr>
          <w:sz w:val="20"/>
          <w:lang w:val="es-MX"/>
        </w:rPr>
      </w:pPr>
      <w:bookmarkStart w:id="110" w:name="_Hlk42014758"/>
    </w:p>
    <w:p w:rsidR="009C7BB8" w:rsidRDefault="009C7BB8" w:rsidP="009C7BB8">
      <w:pPr>
        <w:spacing w:line="240" w:lineRule="atLeast"/>
        <w:jc w:val="both"/>
        <w:rPr>
          <w:i/>
          <w:iCs/>
          <w:sz w:val="20"/>
          <w:lang w:val="es-MX"/>
        </w:rPr>
      </w:pPr>
      <w:r>
        <w:rPr>
          <w:i/>
          <w:iCs/>
          <w:sz w:val="20"/>
          <w:lang w:val="es-MX"/>
        </w:rPr>
        <w:t>Operaciones con valores negociables.</w:t>
      </w:r>
    </w:p>
    <w:p w:rsidR="009C7BB8" w:rsidRDefault="009C7BB8" w:rsidP="009C7BB8">
      <w:pPr>
        <w:spacing w:line="240" w:lineRule="atLeast"/>
        <w:jc w:val="both"/>
        <w:rPr>
          <w:i/>
          <w:iCs/>
          <w:sz w:val="20"/>
          <w:lang w:val="es-MX"/>
        </w:rPr>
      </w:pPr>
    </w:p>
    <w:p w:rsidR="009C7BB8" w:rsidRPr="009C7BB8" w:rsidRDefault="009C7BB8" w:rsidP="009C7BB8">
      <w:pPr>
        <w:jc w:val="both"/>
        <w:rPr>
          <w:lang w:val="es-AR"/>
        </w:rPr>
      </w:pPr>
      <w:r>
        <w:rPr>
          <w:rFonts w:eastAsia="Calibri"/>
          <w:sz w:val="20"/>
          <w:szCs w:val="20"/>
          <w:lang w:val="es-MX"/>
        </w:rPr>
        <w:t>Se establece</w:t>
      </w:r>
      <w:r w:rsidRPr="00C122F0">
        <w:rPr>
          <w:rFonts w:eastAsia="Calibri"/>
          <w:sz w:val="20"/>
          <w:szCs w:val="20"/>
          <w:lang w:val="es-MX"/>
        </w:rPr>
        <w:t xml:space="preserve"> que, con vigencia a partir del 1 de octubre de 2019, cuando las personas humanas adquieran títulos valores mediante liquidación en moneda extranjera, los mismos deberán permanecer en la cartera del comprador por un período no menor a 5 (cinco) días hábiles a contar desde la fecha de liquidación de la operación, antes de ser vendidos o transferidos a otras entidades depositarias. Se aclara que este plazo mínimo de tenencia no será de aplicación cuando la venta de los títulos valores sea contra la misma jurisdicción de liquidación que la compra.</w:t>
      </w:r>
      <w:r>
        <w:rPr>
          <w:rFonts w:eastAsia="Calibri"/>
          <w:sz w:val="20"/>
          <w:szCs w:val="20"/>
          <w:lang w:val="es-MX"/>
        </w:rPr>
        <w:t xml:space="preserve"> </w:t>
      </w:r>
      <w:r w:rsidRPr="00C122F0">
        <w:rPr>
          <w:rFonts w:eastAsia="Calibri"/>
          <w:sz w:val="20"/>
          <w:szCs w:val="20"/>
          <w:lang w:val="es-MX"/>
        </w:rPr>
        <w:t xml:space="preserve">divisas </w:t>
      </w:r>
    </w:p>
    <w:p w:rsidR="009C7BB8" w:rsidRPr="002123AC" w:rsidRDefault="009C7BB8" w:rsidP="009C7BB8">
      <w:pPr>
        <w:spacing w:line="240" w:lineRule="atLeast"/>
        <w:jc w:val="both"/>
        <w:rPr>
          <w:i/>
          <w:iCs/>
          <w:sz w:val="20"/>
          <w:lang w:val="es-AR"/>
        </w:rPr>
      </w:pPr>
    </w:p>
    <w:bookmarkEnd w:id="110"/>
    <w:p w:rsidR="009C7BB8" w:rsidRPr="00C122F0" w:rsidRDefault="009C7BB8" w:rsidP="009C7BB8">
      <w:pPr>
        <w:spacing w:line="240" w:lineRule="atLeast"/>
        <w:jc w:val="both"/>
        <w:rPr>
          <w:sz w:val="20"/>
          <w:szCs w:val="20"/>
          <w:lang w:val="es-MX"/>
        </w:rPr>
      </w:pPr>
      <w:r>
        <w:rPr>
          <w:sz w:val="20"/>
          <w:szCs w:val="20"/>
          <w:lang w:val="es-MX"/>
        </w:rPr>
        <w:t xml:space="preserve">La </w:t>
      </w:r>
      <w:r w:rsidRPr="00C122F0">
        <w:rPr>
          <w:sz w:val="20"/>
          <w:szCs w:val="20"/>
          <w:lang w:val="es-MX"/>
        </w:rPr>
        <w:t xml:space="preserve">CNV dispuso a través de la Resolución General N° 841/2020 (“RG 841/2020”) que para dar curso a operaciones de venta de Valores Negociables con liquidación en moneda extranjera, o de transferencia de los mismos a entidades depositarias del exterior, deben mantenerse dichos valores en cartera por un plazo mínimo de cinco (5) días hábiles, contados a partir su acreditación en el Agente Depositario, siendo aplicable tal limitación tanto a personas humanas como a personas jurídicas, sin monto mínimo y sin distinción de especie. Los Agentes de Liquidación y Compensación y los Agentes de Negociación se encuentran obligados a constatar su cumplimiento. De acuerdo con la RG841/2020 el plazo mínimo no resultará aplicable en caso de compra de valores negociables en moneda extranjera y su venta en moneda extranjera contra la misma jurisdicción de liquidación que la compra. Tampoco se aplicará en caso de compra de valores negociables en jurisdicción extranjera y venta en moneda extranjera contra jurisdicción local, excepto en los supuestos establecidos por la RG N° 810/2019. </w:t>
      </w:r>
    </w:p>
    <w:p w:rsidR="009C7BB8" w:rsidRDefault="009C7BB8" w:rsidP="009C7BB8">
      <w:pPr>
        <w:spacing w:line="240" w:lineRule="atLeast"/>
        <w:jc w:val="both"/>
        <w:rPr>
          <w:rFonts w:eastAsia="Calibri"/>
          <w:i/>
          <w:sz w:val="20"/>
          <w:szCs w:val="20"/>
          <w:lang w:val="es-MX"/>
        </w:rPr>
      </w:pPr>
    </w:p>
    <w:p w:rsidR="009C7BB8" w:rsidRPr="002123AC" w:rsidRDefault="009C7BB8" w:rsidP="009C7BB8">
      <w:pPr>
        <w:spacing w:line="240" w:lineRule="atLeast"/>
        <w:jc w:val="both"/>
        <w:rPr>
          <w:rFonts w:eastAsia="Calibri"/>
          <w:iCs/>
          <w:sz w:val="20"/>
          <w:szCs w:val="20"/>
          <w:lang w:val="es-MX"/>
        </w:rPr>
      </w:pPr>
      <w:r>
        <w:rPr>
          <w:rFonts w:eastAsia="Calibri"/>
          <w:iCs/>
          <w:sz w:val="20"/>
          <w:szCs w:val="20"/>
          <w:lang w:val="es-MX"/>
        </w:rPr>
        <w:t>En el mismo sentido, por medio de la Resolución General N° 843/2020 la CNV dispuso que l</w:t>
      </w:r>
      <w:r w:rsidRPr="002123AC">
        <w:rPr>
          <w:rFonts w:eastAsia="Calibri"/>
          <w:iCs/>
          <w:sz w:val="20"/>
          <w:szCs w:val="20"/>
          <w:lang w:val="es-MX"/>
        </w:rPr>
        <w:t>os valores negociables provenientes de entidades depositarias del exterior no podrán ser aplicados a la liquidación de operaciones en el mercado local con liquidación en moneda extranjera, hasta tanto hayan transcurrido 5 días hábiles desde su acreditación en la depositaria local.</w:t>
      </w:r>
      <w:r>
        <w:rPr>
          <w:rFonts w:eastAsia="Calibri"/>
          <w:iCs/>
          <w:sz w:val="20"/>
          <w:szCs w:val="20"/>
          <w:lang w:val="es-MX"/>
        </w:rPr>
        <w:t xml:space="preserve"> Asimismo, l</w:t>
      </w:r>
      <w:r w:rsidRPr="002123AC">
        <w:rPr>
          <w:rFonts w:eastAsia="Calibri"/>
          <w:iCs/>
          <w:sz w:val="20"/>
          <w:szCs w:val="20"/>
          <w:lang w:val="es-MX"/>
        </w:rPr>
        <w:t>as operaciones de valores negociables listados y/o negociados en Argentina, en moneda nacional, realizadas por sí (cartera propia) por Agentes inscriptos sujetos y demás sujetos registrados ante la CNV, sólo podrán llevarse a cabo en mercados autorizados y cámaras compensadoras registradas ante la CNV.</w:t>
      </w:r>
      <w:r>
        <w:rPr>
          <w:rFonts w:eastAsia="Calibri"/>
          <w:iCs/>
          <w:sz w:val="20"/>
          <w:szCs w:val="20"/>
          <w:lang w:val="es-MX"/>
        </w:rPr>
        <w:t xml:space="preserve"> Por último, e</w:t>
      </w:r>
      <w:r w:rsidRPr="002123AC">
        <w:rPr>
          <w:rFonts w:eastAsia="Calibri"/>
          <w:iCs/>
          <w:sz w:val="20"/>
          <w:szCs w:val="20"/>
          <w:lang w:val="es-MX"/>
        </w:rPr>
        <w:t>n los casos de operaciones realizadas (i) por sí (cartera propia) por Agentes inscriptos en la CNV, con liquidación en moneda extranjera cable, y (ii) en mercados del exterior como cliente, en las cuales el valor nominal del valor negociable supere la cantidad comprada, y que ello cause un excedente de fondos, los Agentes deberán aplicar al menos el 90% de este resultado positivo, durante el mismo día a operaciones de compra de valores negociables en moneda extranjera cable en el mercado regulado local y/o compras en mercados del exterior como cliente. Los Agentes deberán informar semanalmente los detalles de cada operación, justificando que al cierre de cada periodo semanal, el monto neto resultante de las ventas de las operaciones detalladas en (i) y (ii) anteriores, no superó a la suma de las compras con liquidación cable en el mercado local más las compras de valores negociables en el exterior.</w:t>
      </w:r>
    </w:p>
    <w:p w:rsidR="009C7BB8" w:rsidRPr="00C122F0" w:rsidRDefault="009C7BB8" w:rsidP="009C7BB8">
      <w:pPr>
        <w:spacing w:line="240" w:lineRule="atLeast"/>
        <w:jc w:val="both"/>
        <w:rPr>
          <w:rFonts w:eastAsia="Calibri"/>
          <w:i/>
          <w:sz w:val="20"/>
          <w:szCs w:val="20"/>
          <w:lang w:val="es-MX"/>
        </w:rPr>
      </w:pPr>
    </w:p>
    <w:p w:rsidR="009C7BB8" w:rsidRPr="00C122F0" w:rsidRDefault="009C7BB8" w:rsidP="009C7BB8">
      <w:pPr>
        <w:spacing w:line="240" w:lineRule="atLeast"/>
        <w:jc w:val="both"/>
        <w:rPr>
          <w:rFonts w:eastAsia="Calibri"/>
          <w:i/>
          <w:sz w:val="20"/>
          <w:szCs w:val="20"/>
          <w:lang w:val="es-MX"/>
        </w:rPr>
      </w:pPr>
      <w:r w:rsidRPr="00C122F0">
        <w:rPr>
          <w:rFonts w:eastAsia="Calibri"/>
          <w:i/>
          <w:sz w:val="20"/>
          <w:szCs w:val="20"/>
          <w:lang w:val="es-MX"/>
        </w:rPr>
        <w:t>Prohibición del acceso para pago de deudas entre residentes – (excepciones)</w:t>
      </w:r>
    </w:p>
    <w:p w:rsidR="009C7BB8" w:rsidRPr="00C122F0" w:rsidRDefault="009C7BB8" w:rsidP="009C7BB8">
      <w:pPr>
        <w:spacing w:line="240" w:lineRule="atLeast"/>
        <w:jc w:val="both"/>
        <w:rPr>
          <w:rFonts w:eastAsia="Calibri"/>
          <w:i/>
          <w:sz w:val="20"/>
          <w:szCs w:val="20"/>
          <w:lang w:val="es-MX"/>
        </w:rPr>
      </w:pPr>
    </w:p>
    <w:p w:rsidR="009C7BB8" w:rsidRDefault="009C7BB8" w:rsidP="009C7BB8">
      <w:pPr>
        <w:spacing w:line="240" w:lineRule="atLeast"/>
        <w:jc w:val="both"/>
        <w:rPr>
          <w:rFonts w:eastAsia="Calibri"/>
          <w:sz w:val="20"/>
          <w:szCs w:val="20"/>
          <w:lang w:val="es-MX"/>
        </w:rPr>
      </w:pPr>
      <w:r w:rsidRPr="00C55FCB">
        <w:rPr>
          <w:rFonts w:eastAsia="Calibri"/>
          <w:sz w:val="20"/>
          <w:lang w:val="es-MX"/>
        </w:rPr>
        <w:t xml:space="preserve">Se prohíbe el acceso al </w:t>
      </w:r>
      <w:r>
        <w:rPr>
          <w:rFonts w:eastAsia="Calibri"/>
          <w:sz w:val="20"/>
          <w:lang w:val="es-MX"/>
        </w:rPr>
        <w:t>MLC</w:t>
      </w:r>
      <w:r w:rsidRPr="00C55FCB">
        <w:rPr>
          <w:rFonts w:eastAsia="Calibri"/>
          <w:sz w:val="20"/>
          <w:lang w:val="es-MX"/>
        </w:rPr>
        <w:t xml:space="preserve"> para el pago de deudas y otras obligaciones en moneda extranjera entre residentes, concertadas a partir del </w:t>
      </w:r>
      <w:r w:rsidRPr="00C122F0">
        <w:rPr>
          <w:rFonts w:eastAsia="Calibri"/>
          <w:sz w:val="20"/>
          <w:szCs w:val="20"/>
          <w:lang w:val="es-MX"/>
        </w:rPr>
        <w:t>1 de septiembre de 2019. Para las obligaciones en moneda extranjera entre residentes instrumentadas mediante registros o escrituras públicos al 30.08.19, se podrá acceder a su vencimiento</w:t>
      </w:r>
      <w:r w:rsidRPr="00C55FCB">
        <w:rPr>
          <w:rFonts w:eastAsia="Calibri"/>
          <w:sz w:val="20"/>
          <w:lang w:val="es-MX"/>
        </w:rPr>
        <w:t>.</w:t>
      </w:r>
      <w:r>
        <w:rPr>
          <w:rFonts w:eastAsia="Calibri"/>
          <w:sz w:val="20"/>
          <w:lang w:val="es-MX"/>
        </w:rPr>
        <w:t xml:space="preserve"> </w:t>
      </w:r>
      <w:r w:rsidRPr="00C55FCB">
        <w:rPr>
          <w:rFonts w:eastAsia="Calibri"/>
          <w:sz w:val="20"/>
          <w:lang w:val="es-MX"/>
        </w:rPr>
        <w:t xml:space="preserve">Se </w:t>
      </w:r>
      <w:r w:rsidRPr="00C122F0">
        <w:rPr>
          <w:rFonts w:eastAsia="Calibri"/>
          <w:sz w:val="20"/>
          <w:szCs w:val="20"/>
          <w:lang w:val="es-MX"/>
        </w:rPr>
        <w:t>aclara</w:t>
      </w:r>
      <w:r w:rsidRPr="00C55FCB">
        <w:rPr>
          <w:rFonts w:eastAsia="Calibri"/>
          <w:sz w:val="20"/>
          <w:lang w:val="es-MX"/>
        </w:rPr>
        <w:t xml:space="preserve"> que la </w:t>
      </w:r>
      <w:r w:rsidRPr="00C122F0">
        <w:rPr>
          <w:rFonts w:eastAsia="Calibri"/>
          <w:sz w:val="20"/>
          <w:szCs w:val="20"/>
          <w:lang w:val="es-MX"/>
        </w:rPr>
        <w:t xml:space="preserve">prohibición </w:t>
      </w:r>
      <w:r w:rsidRPr="00C55FCB">
        <w:rPr>
          <w:rFonts w:eastAsia="Calibri"/>
          <w:sz w:val="20"/>
          <w:lang w:val="es-MX"/>
        </w:rPr>
        <w:t xml:space="preserve">del </w:t>
      </w:r>
      <w:r w:rsidRPr="00C122F0">
        <w:rPr>
          <w:rFonts w:eastAsia="Calibri"/>
          <w:sz w:val="20"/>
          <w:szCs w:val="20"/>
          <w:lang w:val="es-MX"/>
        </w:rPr>
        <w:t xml:space="preserve">acceso al </w:t>
      </w:r>
      <w:r>
        <w:rPr>
          <w:rFonts w:eastAsia="Calibri"/>
          <w:sz w:val="20"/>
          <w:lang w:val="es-MX"/>
        </w:rPr>
        <w:t>MLC</w:t>
      </w:r>
      <w:r w:rsidRPr="00C55FCB">
        <w:rPr>
          <w:rFonts w:eastAsia="Calibri"/>
          <w:sz w:val="20"/>
          <w:lang w:val="es-MX"/>
        </w:rPr>
        <w:t xml:space="preserve"> </w:t>
      </w:r>
      <w:r w:rsidRPr="00C122F0">
        <w:rPr>
          <w:rFonts w:eastAsia="Calibri"/>
          <w:sz w:val="20"/>
          <w:szCs w:val="20"/>
          <w:lang w:val="es-MX"/>
        </w:rPr>
        <w:t>para el pago de deudas y otras obligaciones en moneda extranjera entre residentes, no alcanza a los pagos de los clientes de las financiaciones en moneda extranjera otorgadas por entidades financieras locales, incluyendo los pagos por los consumos en moneda extranjera efectuados mediante tarjetas de crédito.</w:t>
      </w:r>
      <w:r>
        <w:rPr>
          <w:rFonts w:eastAsia="Calibri"/>
          <w:sz w:val="20"/>
          <w:szCs w:val="20"/>
          <w:lang w:val="es-MX"/>
        </w:rPr>
        <w:t xml:space="preserve"> </w:t>
      </w:r>
      <w:r w:rsidRPr="00C122F0">
        <w:rPr>
          <w:rFonts w:eastAsia="Calibri"/>
          <w:sz w:val="20"/>
          <w:szCs w:val="20"/>
          <w:lang w:val="es-MX"/>
        </w:rPr>
        <w:t xml:space="preserve">Se podrá acceder al </w:t>
      </w:r>
      <w:r>
        <w:rPr>
          <w:rFonts w:eastAsia="Calibri"/>
          <w:sz w:val="20"/>
          <w:szCs w:val="20"/>
          <w:lang w:val="es-MX"/>
        </w:rPr>
        <w:t>MLC</w:t>
      </w:r>
      <w:r w:rsidRPr="00C122F0">
        <w:rPr>
          <w:rFonts w:eastAsia="Calibri"/>
          <w:sz w:val="20"/>
          <w:szCs w:val="20"/>
          <w:lang w:val="es-MX"/>
        </w:rPr>
        <w:t xml:space="preserve"> para el pago, a su vencimiento de nuevas emisiones de títulos de deuda que se realicen con el objeto de refinanciar deudas que tuviesen acceso en virtud de lo dispuesto en este punto y conlleven un incremento de la vida promedio de las obligaciones.</w:t>
      </w:r>
      <w:r>
        <w:rPr>
          <w:rFonts w:eastAsia="Calibri"/>
          <w:sz w:val="20"/>
          <w:szCs w:val="20"/>
          <w:lang w:val="es-MX"/>
        </w:rPr>
        <w:t xml:space="preserve"> </w:t>
      </w:r>
      <w:r w:rsidRPr="00C122F0">
        <w:rPr>
          <w:rFonts w:eastAsia="Calibri"/>
          <w:sz w:val="20"/>
          <w:szCs w:val="20"/>
          <w:lang w:val="es-MX"/>
        </w:rPr>
        <w:t xml:space="preserve">Por otro lado, se ha dispuesto que se permite el acceso al </w:t>
      </w:r>
      <w:r>
        <w:rPr>
          <w:rFonts w:eastAsia="Calibri"/>
          <w:sz w:val="20"/>
          <w:szCs w:val="20"/>
          <w:lang w:val="es-MX"/>
        </w:rPr>
        <w:t>MLC</w:t>
      </w:r>
      <w:r w:rsidRPr="00C122F0">
        <w:rPr>
          <w:rFonts w:eastAsia="Calibri"/>
          <w:sz w:val="20"/>
          <w:szCs w:val="20"/>
          <w:lang w:val="es-MX"/>
        </w:rPr>
        <w:t xml:space="preserve"> </w:t>
      </w:r>
      <w:r w:rsidRPr="00C55FCB">
        <w:rPr>
          <w:rFonts w:eastAsia="Calibri"/>
          <w:sz w:val="20"/>
          <w:lang w:val="es-MX"/>
        </w:rPr>
        <w:t xml:space="preserve">a fin de </w:t>
      </w:r>
      <w:r w:rsidRPr="00C122F0">
        <w:rPr>
          <w:rFonts w:eastAsia="Calibri"/>
          <w:sz w:val="20"/>
          <w:szCs w:val="20"/>
          <w:lang w:val="es-MX"/>
        </w:rPr>
        <w:t xml:space="preserve">que un emisor de títulos de deuda con oferta pública pueda acceder al </w:t>
      </w:r>
      <w:r>
        <w:rPr>
          <w:rFonts w:eastAsia="Calibri"/>
          <w:sz w:val="20"/>
          <w:szCs w:val="20"/>
          <w:lang w:val="es-MX"/>
        </w:rPr>
        <w:t>MLC</w:t>
      </w:r>
      <w:r w:rsidRPr="00C122F0">
        <w:rPr>
          <w:rFonts w:eastAsia="Calibri"/>
          <w:sz w:val="20"/>
          <w:szCs w:val="20"/>
          <w:lang w:val="es-MX"/>
        </w:rPr>
        <w:t xml:space="preserve"> para pagar sus servicios, aun cuando estas emisiones no sean internacionales, “(…) </w:t>
      </w:r>
      <w:r w:rsidRPr="00C122F0">
        <w:rPr>
          <w:rFonts w:eastAsia="Calibri"/>
          <w:i/>
          <w:sz w:val="20"/>
          <w:szCs w:val="20"/>
          <w:lang w:val="es-MX"/>
        </w:rPr>
        <w:t xml:space="preserve">en la medida que sean suscriptos en moneda extranjera y la totalidad de los fondos obtenidos liquidados en el </w:t>
      </w:r>
      <w:r>
        <w:rPr>
          <w:rFonts w:eastAsia="Calibri"/>
          <w:i/>
          <w:sz w:val="20"/>
          <w:szCs w:val="20"/>
          <w:lang w:val="es-MX"/>
        </w:rPr>
        <w:t>MLC</w:t>
      </w:r>
      <w:r w:rsidRPr="00C122F0">
        <w:rPr>
          <w:rFonts w:eastAsia="Calibri"/>
          <w:sz w:val="20"/>
          <w:szCs w:val="20"/>
          <w:lang w:val="es-MX"/>
        </w:rPr>
        <w:t>”.</w:t>
      </w:r>
    </w:p>
    <w:p w:rsidR="009C7BB8" w:rsidRDefault="009C7BB8" w:rsidP="009C7BB8">
      <w:pPr>
        <w:spacing w:line="240" w:lineRule="atLeast"/>
        <w:jc w:val="both"/>
        <w:rPr>
          <w:rFonts w:eastAsia="Calibri"/>
          <w:sz w:val="20"/>
          <w:szCs w:val="20"/>
          <w:lang w:val="es-MX"/>
        </w:rPr>
      </w:pPr>
    </w:p>
    <w:p w:rsidR="009C7BB8" w:rsidRPr="00164833" w:rsidRDefault="009C7BB8" w:rsidP="009C7BB8">
      <w:pPr>
        <w:spacing w:line="240" w:lineRule="atLeast"/>
        <w:jc w:val="both"/>
        <w:rPr>
          <w:rFonts w:eastAsia="Calibri"/>
          <w:i/>
          <w:iCs/>
          <w:sz w:val="20"/>
          <w:szCs w:val="20"/>
          <w:lang w:val="es-MX"/>
        </w:rPr>
      </w:pPr>
      <w:r w:rsidRPr="007664EA">
        <w:rPr>
          <w:rFonts w:eastAsia="Calibri"/>
          <w:i/>
          <w:iCs/>
          <w:sz w:val="20"/>
          <w:szCs w:val="20"/>
          <w:lang w:val="es-MX"/>
        </w:rPr>
        <w:t>Pagos de servicios prestados por no residentes.</w:t>
      </w:r>
    </w:p>
    <w:p w:rsidR="009C7BB8" w:rsidRPr="00CB41CD" w:rsidRDefault="009C7BB8" w:rsidP="009C7BB8">
      <w:pPr>
        <w:spacing w:line="240" w:lineRule="atLeast"/>
        <w:jc w:val="both"/>
        <w:rPr>
          <w:rFonts w:eastAsia="Calibri"/>
          <w:sz w:val="20"/>
          <w:szCs w:val="20"/>
          <w:lang w:val="es-MX"/>
        </w:rPr>
      </w:pPr>
    </w:p>
    <w:p w:rsidR="009C7BB8" w:rsidRDefault="009C7BB8" w:rsidP="009C7BB8">
      <w:pPr>
        <w:spacing w:line="240" w:lineRule="atLeast"/>
        <w:jc w:val="both"/>
        <w:rPr>
          <w:rFonts w:eastAsia="Calibri"/>
          <w:sz w:val="20"/>
          <w:szCs w:val="20"/>
          <w:lang w:val="es-MX"/>
        </w:rPr>
      </w:pPr>
      <w:r w:rsidRPr="00CB41CD">
        <w:rPr>
          <w:rFonts w:eastAsia="Calibri"/>
          <w:sz w:val="20"/>
          <w:szCs w:val="20"/>
          <w:lang w:val="es-MX"/>
        </w:rPr>
        <w:t>Las entidades podrán dar acceso para cancelar deudas por servicios en la medida que verifique que la operación se encuentra declarada, en caso de corresponder, en la última presentación vencida del “Relevamiento de activos y pasivos externos”.</w:t>
      </w:r>
      <w:r>
        <w:rPr>
          <w:rFonts w:eastAsia="Calibri"/>
          <w:sz w:val="20"/>
          <w:szCs w:val="20"/>
          <w:lang w:val="es-MX"/>
        </w:rPr>
        <w:t xml:space="preserve"> </w:t>
      </w:r>
      <w:r w:rsidRPr="00CB41CD">
        <w:rPr>
          <w:rFonts w:eastAsia="Calibri"/>
          <w:sz w:val="20"/>
          <w:szCs w:val="20"/>
          <w:lang w:val="es-MX"/>
        </w:rPr>
        <w:t>Se requerirá la conformidad previa del BCRA para el acceso al MLC para precancelar deudas por servicios. También será necesaria dicha conformidad para cursar pagos de servicios a contrapartes vinculadas del exterior, excepto para: (i) Las emisoras de tarjetas de crédito por los giros por turismo y viajes en la medida que no correspondan a las operaciones que requieran la conformidad previa del BCRA según lo previsto en el punto 4.1.4. del T.O de Exterior y Cambios; (ii) agentes locales que recauden en el país los fondos correspondientes a servicios prestados por no residentes a residentes; (iii) las entidades por los gastos que abonen a entidades del exterior por su operatoria habitual; (iv) pagos de primas de reaseguros en el exterior. En estos casos, la transferencia al exterior deberá ser realizada a nombre del beneficiario del exterior admitido por la Superintendencia de Seguros de la Nación; y (v) transferencias que realicen las empresas de asistencia al viajero por los pagos de siniestros de cobertura de salud originados en servicios prestados en el exterior por terceros a sus clientes residentes.</w:t>
      </w:r>
    </w:p>
    <w:p w:rsidR="009C7BB8" w:rsidRPr="00C122F0" w:rsidRDefault="009C7BB8" w:rsidP="009C7BB8">
      <w:pPr>
        <w:spacing w:line="240" w:lineRule="atLeast"/>
        <w:jc w:val="both"/>
        <w:rPr>
          <w:rFonts w:eastAsia="Calibri"/>
          <w:sz w:val="20"/>
          <w:szCs w:val="20"/>
          <w:lang w:val="es-MX"/>
        </w:rPr>
      </w:pPr>
    </w:p>
    <w:p w:rsidR="009C7BB8" w:rsidRPr="00C55FCB" w:rsidRDefault="009C7BB8" w:rsidP="009C7BB8">
      <w:pPr>
        <w:spacing w:line="240" w:lineRule="atLeast"/>
        <w:jc w:val="both"/>
        <w:rPr>
          <w:rFonts w:eastAsia="Calibri"/>
          <w:i/>
          <w:sz w:val="20"/>
          <w:lang w:val="es-MX"/>
        </w:rPr>
      </w:pPr>
      <w:r w:rsidRPr="00C122F0">
        <w:rPr>
          <w:rFonts w:eastAsia="Calibri"/>
          <w:i/>
          <w:sz w:val="20"/>
          <w:szCs w:val="20"/>
          <w:lang w:val="es-MX"/>
        </w:rPr>
        <w:t xml:space="preserve">Conformidad previa acceso para pago de </w:t>
      </w:r>
      <w:r w:rsidRPr="00C55FCB">
        <w:rPr>
          <w:rFonts w:eastAsia="Calibri"/>
          <w:i/>
          <w:sz w:val="20"/>
          <w:lang w:val="es-MX"/>
        </w:rPr>
        <w:t>utilidades y dividendos</w:t>
      </w:r>
    </w:p>
    <w:p w:rsidR="009C7BB8" w:rsidRPr="00C55FCB" w:rsidRDefault="009C7BB8" w:rsidP="009C7BB8">
      <w:pPr>
        <w:spacing w:line="240" w:lineRule="atLeast"/>
        <w:jc w:val="both"/>
        <w:rPr>
          <w:rFonts w:eastAsia="Calibri"/>
          <w:i/>
          <w:sz w:val="20"/>
          <w:lang w:val="es-MX"/>
        </w:rPr>
      </w:pPr>
    </w:p>
    <w:p w:rsidR="009C7BB8" w:rsidRPr="00C122F0" w:rsidRDefault="009C7BB8" w:rsidP="009C7BB8">
      <w:pPr>
        <w:spacing w:line="240" w:lineRule="atLeast"/>
        <w:jc w:val="both"/>
        <w:rPr>
          <w:rFonts w:eastAsia="Calibri"/>
          <w:sz w:val="20"/>
          <w:szCs w:val="20"/>
          <w:lang w:val="es-MX"/>
        </w:rPr>
      </w:pPr>
      <w:r w:rsidRPr="00C122F0">
        <w:rPr>
          <w:rFonts w:eastAsia="Calibri"/>
          <w:sz w:val="20"/>
          <w:szCs w:val="20"/>
          <w:lang w:val="es-MX"/>
        </w:rPr>
        <w:t xml:space="preserve">Se establece el requisito de conformidad previa del BCRA para el acceso al </w:t>
      </w:r>
      <w:r>
        <w:rPr>
          <w:rFonts w:eastAsia="Calibri"/>
          <w:sz w:val="20"/>
          <w:szCs w:val="20"/>
          <w:lang w:val="es-MX"/>
        </w:rPr>
        <w:t>MLC</w:t>
      </w:r>
      <w:r w:rsidRPr="00C122F0">
        <w:rPr>
          <w:rFonts w:eastAsia="Calibri"/>
          <w:sz w:val="20"/>
          <w:szCs w:val="20"/>
          <w:lang w:val="es-MX"/>
        </w:rPr>
        <w:t xml:space="preserve"> para el giro de utilidades y dividendos. Sin embarg</w:t>
      </w:r>
      <w:r>
        <w:rPr>
          <w:rFonts w:eastAsia="Calibri"/>
          <w:sz w:val="20"/>
          <w:szCs w:val="20"/>
          <w:lang w:val="es-MX"/>
        </w:rPr>
        <w:t>o</w:t>
      </w:r>
      <w:r w:rsidRPr="00C122F0">
        <w:rPr>
          <w:rFonts w:eastAsia="Calibri"/>
          <w:sz w:val="20"/>
          <w:szCs w:val="20"/>
          <w:lang w:val="es-MX"/>
        </w:rPr>
        <w:t>, no será requerida la conformidad previa del BCRA para el pago de dividendos siempre que la sociedad deudora haya ingresado previamente ciertas capitalizaciones a través del mercado de divisas oficial, y se cumplan todos los siguientes requisitos: (i) el pago se realiza de acuerdo con los documentos corporativos pertinentes, (ii) el monto total de las transferencias realizadas a partir del 17 de enero de 2020 no excede el 30% del valor de las nuevas contribuciones de inversión extranjera directa en empresas residentes, ingresadas y liquidadas a través del mercado de divisas a partir de esa fecha, (iii) el acceso al mercado de divisas para el pago de dividendos se produce después de un período de 30 días calendario a partir de la liquidación de la última contribución tomada con el fin de cumplir con el requisito anterior, (iv) la empresa presenta documentación que evidencia la capitalización final de las contribuciones, y (v) la obligación de pago se informa al BCRA a través del “Relevamiento de Activos y Pasivos Externos”, bajo la comunicación “A” 6401.</w:t>
      </w:r>
    </w:p>
    <w:p w:rsidR="009C7BB8" w:rsidRPr="00C122F0" w:rsidRDefault="009C7BB8" w:rsidP="009C7BB8">
      <w:pPr>
        <w:spacing w:line="240" w:lineRule="atLeast"/>
        <w:jc w:val="both"/>
        <w:rPr>
          <w:rFonts w:eastAsia="Calibri"/>
          <w:sz w:val="20"/>
          <w:szCs w:val="20"/>
          <w:lang w:val="es-MX"/>
        </w:rPr>
      </w:pPr>
    </w:p>
    <w:p w:rsidR="009C7BB8" w:rsidRPr="00C122F0" w:rsidRDefault="009C7BB8" w:rsidP="009C7BB8">
      <w:pPr>
        <w:spacing w:line="240" w:lineRule="atLeast"/>
        <w:jc w:val="both"/>
        <w:rPr>
          <w:rFonts w:eastAsia="Calibri"/>
          <w:i/>
          <w:sz w:val="20"/>
          <w:szCs w:val="20"/>
          <w:lang w:val="es-MX"/>
        </w:rPr>
      </w:pPr>
      <w:r w:rsidRPr="00C122F0">
        <w:rPr>
          <w:rFonts w:eastAsia="Calibri"/>
          <w:i/>
          <w:sz w:val="20"/>
          <w:szCs w:val="20"/>
          <w:lang w:val="es-MX"/>
        </w:rPr>
        <w:t>Conformidad previa para precancelar deudas financieras</w:t>
      </w:r>
    </w:p>
    <w:p w:rsidR="009C7BB8" w:rsidRPr="00C122F0" w:rsidRDefault="009C7BB8" w:rsidP="009C7BB8">
      <w:pPr>
        <w:spacing w:line="240" w:lineRule="atLeast"/>
        <w:jc w:val="both"/>
        <w:rPr>
          <w:rFonts w:eastAsia="Calibri"/>
          <w:i/>
          <w:sz w:val="20"/>
          <w:szCs w:val="20"/>
          <w:lang w:val="es-MX"/>
        </w:rPr>
      </w:pPr>
    </w:p>
    <w:p w:rsidR="009C7BB8" w:rsidRPr="00C122F0" w:rsidRDefault="009C7BB8" w:rsidP="009C7BB8">
      <w:pPr>
        <w:spacing w:line="240" w:lineRule="atLeast"/>
        <w:jc w:val="both"/>
        <w:rPr>
          <w:rFonts w:eastAsia="Calibri"/>
          <w:sz w:val="20"/>
          <w:szCs w:val="20"/>
          <w:lang w:val="es-MX"/>
        </w:rPr>
      </w:pPr>
      <w:r w:rsidRPr="00C122F0">
        <w:rPr>
          <w:rFonts w:eastAsia="Calibri"/>
          <w:sz w:val="20"/>
          <w:szCs w:val="20"/>
          <w:lang w:val="es-MX"/>
        </w:rPr>
        <w:t xml:space="preserve">Se requerirá la conformidad previa del BCRA para el acceso al </w:t>
      </w:r>
      <w:r>
        <w:rPr>
          <w:rFonts w:eastAsia="Calibri"/>
          <w:sz w:val="20"/>
          <w:szCs w:val="20"/>
          <w:lang w:val="es-MX"/>
        </w:rPr>
        <w:t>MLC</w:t>
      </w:r>
      <w:r w:rsidRPr="00C122F0">
        <w:rPr>
          <w:rFonts w:eastAsia="Calibri"/>
          <w:sz w:val="20"/>
          <w:szCs w:val="20"/>
          <w:lang w:val="es-MX"/>
        </w:rPr>
        <w:t xml:space="preserve"> para la precancelación con más de 3 días hábiles antes al vencimiento de servicios de capital e intereses de deudas financieras con el exterior.</w:t>
      </w:r>
      <w:r>
        <w:rPr>
          <w:rFonts w:eastAsia="Calibri"/>
          <w:sz w:val="20"/>
          <w:szCs w:val="20"/>
          <w:lang w:val="es-MX"/>
        </w:rPr>
        <w:t xml:space="preserve"> </w:t>
      </w:r>
      <w:r w:rsidRPr="00C122F0">
        <w:rPr>
          <w:rFonts w:eastAsia="Calibri"/>
          <w:sz w:val="20"/>
          <w:szCs w:val="20"/>
          <w:lang w:val="es-MX"/>
        </w:rPr>
        <w:t xml:space="preserve">Al respecto, </w:t>
      </w:r>
      <w:r>
        <w:rPr>
          <w:rFonts w:eastAsia="Calibri"/>
          <w:sz w:val="20"/>
          <w:szCs w:val="20"/>
          <w:lang w:val="es-MX"/>
        </w:rPr>
        <w:t xml:space="preserve">se </w:t>
      </w:r>
      <w:r w:rsidRPr="00C122F0">
        <w:rPr>
          <w:rFonts w:eastAsia="Calibri"/>
          <w:sz w:val="20"/>
          <w:szCs w:val="20"/>
          <w:lang w:val="es-MX"/>
        </w:rPr>
        <w:t>establece que no se requerirá conformidad previa del BCRA, en la medida que se verifiquen la totalidad de las siguientes condiciones: (i) La precancelación sea efectuada en manera simultánea con los fondos liquidados de un nuevo endeudamiento de carácter financiero desembolsado a partir del 17 de octubre; (ii) La vida promedio del nuevo endeudamiento sea mayor a la vida promedio remanente de la deuda que se precancela; (iii) El vencimiento del primer servicio de capital del nuevo endeudamiento no sea anterior al próximo vencimiento futuro previsto del servicio de capital de la deuda que se cancela; (iv) El monto del primer servicio de capital del nuevo endeudamiento no sea mayor al monto del próximo servicio de capital futuro previsto de la deuda que se cancela.</w:t>
      </w:r>
    </w:p>
    <w:p w:rsidR="009C7BB8" w:rsidRDefault="009C7BB8" w:rsidP="009C7BB8">
      <w:pPr>
        <w:spacing w:line="240" w:lineRule="atLeast"/>
        <w:jc w:val="both"/>
        <w:rPr>
          <w:rFonts w:eastAsia="Calibri"/>
          <w:i/>
          <w:sz w:val="20"/>
          <w:szCs w:val="20"/>
          <w:lang w:val="es-MX"/>
        </w:rPr>
      </w:pPr>
    </w:p>
    <w:p w:rsidR="009C7BB8" w:rsidRDefault="009C7BB8" w:rsidP="009C7BB8">
      <w:pPr>
        <w:spacing w:line="240" w:lineRule="atLeast"/>
        <w:jc w:val="both"/>
        <w:rPr>
          <w:rFonts w:eastAsia="Calibri"/>
          <w:i/>
          <w:sz w:val="20"/>
          <w:szCs w:val="20"/>
          <w:lang w:val="es-MX"/>
        </w:rPr>
      </w:pPr>
      <w:r>
        <w:rPr>
          <w:rFonts w:eastAsia="Calibri"/>
          <w:i/>
          <w:sz w:val="20"/>
          <w:szCs w:val="20"/>
          <w:lang w:val="es-MX"/>
        </w:rPr>
        <w:t>Pago de importaciones</w:t>
      </w:r>
    </w:p>
    <w:p w:rsidR="009C7BB8" w:rsidRDefault="009C7BB8" w:rsidP="009C7BB8">
      <w:pPr>
        <w:spacing w:line="240" w:lineRule="atLeast"/>
        <w:jc w:val="both"/>
        <w:rPr>
          <w:rFonts w:eastAsia="Calibri"/>
          <w:i/>
          <w:sz w:val="20"/>
          <w:szCs w:val="20"/>
          <w:lang w:val="es-MX"/>
        </w:rPr>
      </w:pPr>
    </w:p>
    <w:p w:rsidR="009C7BB8" w:rsidRPr="00922654" w:rsidRDefault="009C7BB8" w:rsidP="009C7BB8">
      <w:pPr>
        <w:spacing w:line="240" w:lineRule="atLeast"/>
        <w:jc w:val="both"/>
        <w:rPr>
          <w:rFonts w:eastAsia="Calibri"/>
          <w:iCs/>
          <w:sz w:val="20"/>
          <w:szCs w:val="20"/>
          <w:lang w:val="es-MX"/>
        </w:rPr>
      </w:pPr>
      <w:r w:rsidRPr="007664EA">
        <w:rPr>
          <w:rFonts w:eastAsia="Calibri"/>
          <w:iCs/>
          <w:sz w:val="20"/>
          <w:szCs w:val="20"/>
          <w:lang w:val="es-MX"/>
        </w:rPr>
        <w:t xml:space="preserve">Las entidades podrán dar acceso al mercado de cambios para realizar pagos al exterior por importaciones argentinas de bienes y otras compras de bienes cuando se reúnan las condiciones especificadas </w:t>
      </w:r>
      <w:r>
        <w:rPr>
          <w:rFonts w:eastAsia="Calibri"/>
          <w:iCs/>
          <w:sz w:val="20"/>
          <w:szCs w:val="20"/>
          <w:lang w:val="es-MX"/>
        </w:rPr>
        <w:t>por el BCRA.</w:t>
      </w:r>
      <w:r w:rsidRPr="009C7BB8">
        <w:rPr>
          <w:lang w:val="es-AR"/>
        </w:rPr>
        <w:t xml:space="preserve"> </w:t>
      </w:r>
      <w:r w:rsidRPr="00922654">
        <w:rPr>
          <w:rFonts w:eastAsia="Calibri"/>
          <w:iCs/>
          <w:sz w:val="20"/>
          <w:szCs w:val="20"/>
          <w:lang w:val="es-MX"/>
        </w:rPr>
        <w:t xml:space="preserve">Las entidades financieras podrán adicionalmente acceder al </w:t>
      </w:r>
      <w:r>
        <w:rPr>
          <w:rFonts w:eastAsia="Calibri"/>
          <w:iCs/>
          <w:sz w:val="20"/>
          <w:szCs w:val="20"/>
          <w:lang w:val="es-MX"/>
        </w:rPr>
        <w:t>MLC</w:t>
      </w:r>
      <w:r w:rsidRPr="00922654">
        <w:rPr>
          <w:rFonts w:eastAsia="Calibri"/>
          <w:iCs/>
          <w:sz w:val="20"/>
          <w:szCs w:val="20"/>
          <w:lang w:val="es-MX"/>
        </w:rPr>
        <w:t xml:space="preserve"> para hacer</w:t>
      </w:r>
      <w:r>
        <w:rPr>
          <w:rFonts w:eastAsia="Calibri"/>
          <w:iCs/>
          <w:sz w:val="20"/>
          <w:szCs w:val="20"/>
          <w:lang w:val="es-MX"/>
        </w:rPr>
        <w:t xml:space="preserve"> </w:t>
      </w:r>
      <w:r w:rsidRPr="00922654">
        <w:rPr>
          <w:rFonts w:eastAsia="Calibri"/>
          <w:iCs/>
          <w:sz w:val="20"/>
          <w:szCs w:val="20"/>
          <w:lang w:val="es-MX"/>
        </w:rPr>
        <w:t>frente a sus obligaciones con el exterior por garantías o avales otorgados con relación a</w:t>
      </w:r>
      <w:r>
        <w:rPr>
          <w:rFonts w:eastAsia="Calibri"/>
          <w:iCs/>
          <w:sz w:val="20"/>
          <w:szCs w:val="20"/>
          <w:lang w:val="es-MX"/>
        </w:rPr>
        <w:t xml:space="preserve"> </w:t>
      </w:r>
      <w:r w:rsidRPr="00922654">
        <w:rPr>
          <w:rFonts w:eastAsia="Calibri"/>
          <w:iCs/>
          <w:sz w:val="20"/>
          <w:szCs w:val="20"/>
          <w:lang w:val="es-MX"/>
        </w:rPr>
        <w:t>operaciones de importaciones argentinas de bienes, como para la cancelación de líneas de</w:t>
      </w:r>
      <w:r>
        <w:rPr>
          <w:rFonts w:eastAsia="Calibri"/>
          <w:iCs/>
          <w:sz w:val="20"/>
          <w:szCs w:val="20"/>
          <w:lang w:val="es-MX"/>
        </w:rPr>
        <w:t xml:space="preserve"> </w:t>
      </w:r>
      <w:r w:rsidRPr="00922654">
        <w:rPr>
          <w:rFonts w:eastAsia="Calibri"/>
          <w:iCs/>
          <w:sz w:val="20"/>
          <w:szCs w:val="20"/>
          <w:lang w:val="es-MX"/>
        </w:rPr>
        <w:t>crédito del exterior que fueron aplicadas a la financiación de importaciones argentinas de</w:t>
      </w:r>
      <w:r>
        <w:rPr>
          <w:rFonts w:eastAsia="Calibri"/>
          <w:iCs/>
          <w:sz w:val="20"/>
          <w:szCs w:val="20"/>
          <w:lang w:val="es-MX"/>
        </w:rPr>
        <w:t xml:space="preserve"> </w:t>
      </w:r>
      <w:r w:rsidRPr="00922654">
        <w:rPr>
          <w:rFonts w:eastAsia="Calibri"/>
          <w:iCs/>
          <w:sz w:val="20"/>
          <w:szCs w:val="20"/>
          <w:lang w:val="es-MX"/>
        </w:rPr>
        <w:t>bienes</w:t>
      </w:r>
      <w:r>
        <w:rPr>
          <w:rFonts w:eastAsia="Calibri"/>
          <w:iCs/>
          <w:sz w:val="20"/>
          <w:szCs w:val="20"/>
          <w:lang w:val="es-MX"/>
        </w:rPr>
        <w:t>.</w:t>
      </w:r>
    </w:p>
    <w:p w:rsidR="009C7BB8" w:rsidRPr="00922654" w:rsidRDefault="009C7BB8" w:rsidP="009C7BB8">
      <w:pPr>
        <w:spacing w:line="240" w:lineRule="atLeast"/>
        <w:jc w:val="both"/>
        <w:rPr>
          <w:rFonts w:eastAsia="Calibri"/>
          <w:i/>
          <w:sz w:val="20"/>
          <w:szCs w:val="20"/>
          <w:lang w:val="es-MX"/>
        </w:rPr>
      </w:pPr>
    </w:p>
    <w:p w:rsidR="009C7BB8" w:rsidRPr="00C122F0" w:rsidRDefault="009C7BB8" w:rsidP="009C7BB8">
      <w:pPr>
        <w:spacing w:line="240" w:lineRule="atLeast"/>
        <w:jc w:val="both"/>
        <w:rPr>
          <w:rFonts w:eastAsia="Calibri"/>
          <w:i/>
          <w:sz w:val="20"/>
          <w:szCs w:val="20"/>
          <w:lang w:val="es-MX"/>
        </w:rPr>
      </w:pPr>
      <w:r w:rsidRPr="00C122F0">
        <w:rPr>
          <w:rFonts w:eastAsia="Calibri"/>
          <w:i/>
          <w:sz w:val="20"/>
          <w:szCs w:val="20"/>
          <w:lang w:val="es-MX"/>
        </w:rPr>
        <w:t xml:space="preserve">Conformidad previa para </w:t>
      </w:r>
      <w:r>
        <w:rPr>
          <w:rFonts w:eastAsia="Calibri"/>
          <w:i/>
          <w:sz w:val="20"/>
          <w:szCs w:val="20"/>
          <w:lang w:val="es-MX"/>
        </w:rPr>
        <w:t>el pago de</w:t>
      </w:r>
      <w:r w:rsidRPr="00C122F0">
        <w:rPr>
          <w:rFonts w:eastAsia="Calibri"/>
          <w:i/>
          <w:sz w:val="20"/>
          <w:szCs w:val="20"/>
          <w:lang w:val="es-MX"/>
        </w:rPr>
        <w:t xml:space="preserve"> importaciones</w:t>
      </w:r>
    </w:p>
    <w:p w:rsidR="009C7BB8" w:rsidRPr="00C122F0" w:rsidRDefault="009C7BB8" w:rsidP="009C7BB8">
      <w:pPr>
        <w:spacing w:line="240" w:lineRule="atLeast"/>
        <w:jc w:val="both"/>
        <w:rPr>
          <w:rFonts w:eastAsia="Calibri"/>
          <w:i/>
          <w:sz w:val="20"/>
          <w:szCs w:val="20"/>
          <w:lang w:val="es-MX"/>
        </w:rPr>
      </w:pPr>
    </w:p>
    <w:p w:rsidR="009C7BB8" w:rsidRDefault="009C7BB8" w:rsidP="009C7BB8">
      <w:pPr>
        <w:spacing w:line="240" w:lineRule="atLeast"/>
        <w:jc w:val="both"/>
        <w:rPr>
          <w:rFonts w:eastAsia="Calibri"/>
          <w:sz w:val="20"/>
          <w:szCs w:val="20"/>
          <w:lang w:val="es-MX"/>
        </w:rPr>
      </w:pPr>
      <w:r w:rsidRPr="00C122F0">
        <w:rPr>
          <w:rFonts w:eastAsia="Calibri"/>
          <w:sz w:val="20"/>
          <w:szCs w:val="20"/>
          <w:lang w:val="es-MX"/>
        </w:rPr>
        <w:t xml:space="preserve">Se establece el requisito de conformidad previa del BCRA para el acceso al </w:t>
      </w:r>
      <w:r>
        <w:rPr>
          <w:rFonts w:eastAsia="Calibri"/>
          <w:sz w:val="20"/>
          <w:szCs w:val="20"/>
          <w:lang w:val="es-MX"/>
        </w:rPr>
        <w:t>MLC</w:t>
      </w:r>
      <w:r w:rsidRPr="00C122F0">
        <w:rPr>
          <w:rFonts w:eastAsia="Calibri"/>
          <w:sz w:val="20"/>
          <w:szCs w:val="20"/>
          <w:lang w:val="es-MX"/>
        </w:rPr>
        <w:t xml:space="preserve"> para la precancelación de deuda por importaciones de bienes y servicios.</w:t>
      </w:r>
      <w:r>
        <w:rPr>
          <w:rFonts w:eastAsia="Calibri"/>
          <w:sz w:val="20"/>
          <w:szCs w:val="20"/>
          <w:lang w:val="es-MX"/>
        </w:rPr>
        <w:t xml:space="preserve"> </w:t>
      </w:r>
      <w:r w:rsidRPr="00C122F0">
        <w:rPr>
          <w:rFonts w:eastAsia="Calibri"/>
          <w:sz w:val="20"/>
          <w:szCs w:val="20"/>
          <w:lang w:val="es-MX"/>
        </w:rPr>
        <w:t xml:space="preserve">Así también, se establece el requisito de conformidad previa del BCRA para el acceso al </w:t>
      </w:r>
      <w:r>
        <w:rPr>
          <w:rFonts w:eastAsia="Calibri"/>
          <w:sz w:val="20"/>
          <w:szCs w:val="20"/>
          <w:lang w:val="es-MX"/>
        </w:rPr>
        <w:t>MLC</w:t>
      </w:r>
      <w:r w:rsidRPr="00C122F0">
        <w:rPr>
          <w:rFonts w:eastAsia="Calibri"/>
          <w:sz w:val="20"/>
          <w:szCs w:val="20"/>
          <w:lang w:val="es-MX"/>
        </w:rPr>
        <w:t xml:space="preserve"> para</w:t>
      </w:r>
      <w:r w:rsidRPr="00C55FCB">
        <w:rPr>
          <w:rFonts w:eastAsia="Calibri"/>
          <w:sz w:val="20"/>
          <w:lang w:val="es-MX"/>
        </w:rPr>
        <w:t xml:space="preserve"> pagos </w:t>
      </w:r>
      <w:r w:rsidRPr="00C122F0">
        <w:rPr>
          <w:rFonts w:eastAsia="Calibri"/>
          <w:sz w:val="20"/>
          <w:szCs w:val="20"/>
          <w:lang w:val="es-MX"/>
        </w:rPr>
        <w:t xml:space="preserve">de deudas vencidas o a la vista por </w:t>
      </w:r>
      <w:r w:rsidRPr="00C55FCB">
        <w:rPr>
          <w:rFonts w:eastAsia="Calibri"/>
          <w:sz w:val="20"/>
          <w:lang w:val="es-MX"/>
        </w:rPr>
        <w:t xml:space="preserve">importaciones de bienes </w:t>
      </w:r>
      <w:r w:rsidRPr="00C122F0">
        <w:rPr>
          <w:rFonts w:eastAsia="Calibri"/>
          <w:sz w:val="20"/>
          <w:szCs w:val="20"/>
          <w:lang w:val="es-MX"/>
        </w:rPr>
        <w:t xml:space="preserve">con empresas vinculadas del exterior cuando supere el equivalente a US$ 2 millones mensuales por cliente residente. Se aclara que se consideran “deudas vencidas y a la vista de </w:t>
      </w:r>
      <w:r w:rsidRPr="00C55FCB">
        <w:rPr>
          <w:rFonts w:eastAsia="Calibri"/>
          <w:sz w:val="20"/>
          <w:lang w:val="es-MX"/>
        </w:rPr>
        <w:t xml:space="preserve">importaciones </w:t>
      </w:r>
      <w:r w:rsidRPr="00C122F0">
        <w:rPr>
          <w:rFonts w:eastAsia="Calibri"/>
          <w:sz w:val="20"/>
          <w:szCs w:val="20"/>
          <w:lang w:val="es-MX"/>
        </w:rPr>
        <w:t xml:space="preserve">de bienes” a todas aquellas </w:t>
      </w:r>
      <w:r w:rsidRPr="00C55FCB">
        <w:rPr>
          <w:rFonts w:eastAsia="Calibri"/>
          <w:sz w:val="20"/>
          <w:lang w:val="es-MX"/>
        </w:rPr>
        <w:t xml:space="preserve">pendientes al 31.08.19, </w:t>
      </w:r>
      <w:r w:rsidRPr="00C122F0">
        <w:rPr>
          <w:rFonts w:eastAsia="Calibri"/>
          <w:sz w:val="20"/>
          <w:szCs w:val="20"/>
          <w:lang w:val="es-MX"/>
        </w:rPr>
        <w:t>tanto aquéllas</w:t>
      </w:r>
      <w:r w:rsidRPr="00C55FCB">
        <w:rPr>
          <w:rFonts w:eastAsia="Calibri"/>
          <w:sz w:val="20"/>
          <w:lang w:val="es-MX"/>
        </w:rPr>
        <w:t xml:space="preserve"> cuyo vencimiento hubiera operado con anterioridad a dicha fecha, como las que no tuvieran una fecha de vencimiento estipulada</w:t>
      </w:r>
      <w:r w:rsidRPr="00C122F0">
        <w:rPr>
          <w:rFonts w:eastAsia="Calibri"/>
          <w:sz w:val="20"/>
          <w:szCs w:val="20"/>
          <w:lang w:val="es-MX"/>
        </w:rPr>
        <w:t>. Respecto a la definición de vinculación, el Texto Ordenado de Exterior y Cambios efectúa un reenvío a lo dispuesto en el punto 1.2.2 del Texto Ordenado de “Grandes exposiciones al riesgo de crédito”.</w:t>
      </w:r>
    </w:p>
    <w:p w:rsidR="009C7BB8" w:rsidRDefault="009C7BB8" w:rsidP="009C7BB8">
      <w:pPr>
        <w:spacing w:line="240" w:lineRule="atLeast"/>
        <w:jc w:val="both"/>
        <w:rPr>
          <w:rFonts w:eastAsia="Calibri"/>
          <w:sz w:val="20"/>
          <w:szCs w:val="20"/>
          <w:lang w:val="es-MX"/>
        </w:rPr>
      </w:pPr>
    </w:p>
    <w:p w:rsidR="009C7BB8" w:rsidRPr="00C55FCB" w:rsidRDefault="009C7BB8" w:rsidP="009C7BB8">
      <w:pPr>
        <w:spacing w:line="240" w:lineRule="atLeast"/>
        <w:jc w:val="both"/>
        <w:rPr>
          <w:sz w:val="20"/>
          <w:lang w:val="es-MX"/>
        </w:rPr>
      </w:pPr>
      <w:r w:rsidRPr="00C122F0">
        <w:rPr>
          <w:sz w:val="20"/>
          <w:szCs w:val="20"/>
          <w:lang w:val="es-MX"/>
        </w:rPr>
        <w:t xml:space="preserve">Asimismo, </w:t>
      </w:r>
      <w:r>
        <w:rPr>
          <w:sz w:val="20"/>
          <w:szCs w:val="20"/>
          <w:lang w:val="es-MX"/>
        </w:rPr>
        <w:t xml:space="preserve">mediante la Comunicación “A” 7030 y concordantes, </w:t>
      </w:r>
      <w:r w:rsidRPr="00C122F0">
        <w:rPr>
          <w:sz w:val="20"/>
          <w:szCs w:val="20"/>
          <w:lang w:val="es-MX"/>
        </w:rPr>
        <w:t>se restringe hasta el 3</w:t>
      </w:r>
      <w:r>
        <w:rPr>
          <w:sz w:val="20"/>
          <w:szCs w:val="20"/>
          <w:lang w:val="es-MX"/>
        </w:rPr>
        <w:t>1</w:t>
      </w:r>
      <w:r w:rsidRPr="00C122F0">
        <w:rPr>
          <w:sz w:val="20"/>
          <w:szCs w:val="20"/>
          <w:lang w:val="es-MX"/>
        </w:rPr>
        <w:t>.</w:t>
      </w:r>
      <w:r>
        <w:rPr>
          <w:sz w:val="20"/>
          <w:szCs w:val="20"/>
          <w:lang w:val="es-MX"/>
        </w:rPr>
        <w:t>07</w:t>
      </w:r>
      <w:r w:rsidRPr="00C122F0">
        <w:rPr>
          <w:sz w:val="20"/>
          <w:szCs w:val="20"/>
          <w:lang w:val="es-MX"/>
        </w:rPr>
        <w:t>.2020, la posibilidad de acceder al MLC para realizar pagos de anticipos de importaciones de bienes</w:t>
      </w:r>
      <w:r>
        <w:rPr>
          <w:sz w:val="20"/>
          <w:szCs w:val="20"/>
          <w:lang w:val="es-MX"/>
        </w:rPr>
        <w:t>,</w:t>
      </w:r>
      <w:r w:rsidRPr="00C122F0">
        <w:rPr>
          <w:sz w:val="20"/>
          <w:szCs w:val="20"/>
          <w:lang w:val="es-MX"/>
        </w:rPr>
        <w:t xml:space="preserve"> </w:t>
      </w:r>
      <w:r>
        <w:rPr>
          <w:sz w:val="20"/>
          <w:szCs w:val="20"/>
          <w:lang w:val="es-MX"/>
        </w:rPr>
        <w:t xml:space="preserve">Así también, se restringe la posibilidad de realizar pagos </w:t>
      </w:r>
      <w:r w:rsidRPr="00C122F0">
        <w:rPr>
          <w:sz w:val="20"/>
          <w:szCs w:val="20"/>
          <w:lang w:val="es-MX"/>
        </w:rPr>
        <w:t>financiamientos de importación de bienes no oficializados</w:t>
      </w:r>
      <w:r>
        <w:rPr>
          <w:sz w:val="20"/>
          <w:szCs w:val="20"/>
          <w:lang w:val="es-MX"/>
        </w:rPr>
        <w:t xml:space="preserve"> y de importaciones cuyo embarque fue realizado en forma previa al 1.07.20; Para poder realizar dicha clase de pagos, </w:t>
      </w:r>
      <w:r w:rsidRPr="00C122F0">
        <w:rPr>
          <w:sz w:val="20"/>
          <w:szCs w:val="20"/>
          <w:lang w:val="es-MX"/>
        </w:rPr>
        <w:t xml:space="preserve">, el importador deberá presentar una declaración jurada dejando constancia que el monto total de los pagos por importaciones de bienes cursados a través del </w:t>
      </w:r>
      <w:r>
        <w:rPr>
          <w:sz w:val="20"/>
          <w:szCs w:val="20"/>
          <w:lang w:val="es-MX"/>
        </w:rPr>
        <w:t>MLC</w:t>
      </w:r>
      <w:r w:rsidRPr="00C122F0">
        <w:rPr>
          <w:sz w:val="20"/>
          <w:szCs w:val="20"/>
          <w:lang w:val="es-MX"/>
        </w:rPr>
        <w:t xml:space="preserve"> durante el año 2020 (incluido el pago cuyo curso se está solicitando y los pagos por cancelaciones de líneas de crédito y/o garantías comerciales de importación), no supera el monto que el importador registra como “oficializado” en el SEPAIMPO entre el 01.01.2020 y el día previo al acceso al </w:t>
      </w:r>
      <w:r>
        <w:rPr>
          <w:sz w:val="20"/>
          <w:szCs w:val="20"/>
          <w:lang w:val="es-MX"/>
        </w:rPr>
        <w:t>MLC</w:t>
      </w:r>
      <w:r w:rsidRPr="00C122F0">
        <w:rPr>
          <w:sz w:val="20"/>
          <w:szCs w:val="20"/>
          <w:lang w:val="es-MX"/>
        </w:rPr>
        <w:t xml:space="preserve">, con ciertas excepciones. </w:t>
      </w:r>
    </w:p>
    <w:p w:rsidR="009C7BB8" w:rsidRPr="009C7BB8" w:rsidRDefault="009C7BB8" w:rsidP="009C7BB8">
      <w:pPr>
        <w:spacing w:line="240" w:lineRule="atLeast"/>
        <w:jc w:val="both"/>
        <w:rPr>
          <w:rFonts w:eastAsia="Calibri"/>
          <w:sz w:val="20"/>
          <w:szCs w:val="20"/>
          <w:lang w:val="es-AR"/>
        </w:rPr>
      </w:pPr>
    </w:p>
    <w:p w:rsidR="009C7BB8" w:rsidRPr="00C122F0" w:rsidRDefault="009C7BB8" w:rsidP="009C7BB8">
      <w:pPr>
        <w:spacing w:line="240" w:lineRule="atLeast"/>
        <w:jc w:val="both"/>
        <w:rPr>
          <w:rFonts w:eastAsia="Calibri"/>
          <w:i/>
          <w:sz w:val="20"/>
          <w:szCs w:val="20"/>
          <w:lang w:val="es-MX"/>
        </w:rPr>
      </w:pPr>
      <w:r w:rsidRPr="00C122F0">
        <w:rPr>
          <w:rFonts w:eastAsia="Calibri"/>
          <w:i/>
          <w:sz w:val="20"/>
          <w:szCs w:val="20"/>
          <w:lang w:val="es-MX"/>
        </w:rPr>
        <w:t>Conformidad previa para pagos de servicios con empresas vinculadas del exterior (con excepciones)</w:t>
      </w:r>
    </w:p>
    <w:p w:rsidR="009C7BB8" w:rsidRPr="00C122F0" w:rsidRDefault="009C7BB8" w:rsidP="009C7BB8">
      <w:pPr>
        <w:spacing w:line="240" w:lineRule="atLeast"/>
        <w:jc w:val="both"/>
        <w:rPr>
          <w:rFonts w:eastAsia="Calibri"/>
          <w:i/>
          <w:sz w:val="20"/>
          <w:szCs w:val="20"/>
          <w:lang w:val="es-MX"/>
        </w:rPr>
      </w:pPr>
    </w:p>
    <w:p w:rsidR="009C7BB8" w:rsidRPr="00C122F0" w:rsidRDefault="009C7BB8" w:rsidP="009C7BB8">
      <w:pPr>
        <w:spacing w:line="240" w:lineRule="atLeast"/>
        <w:jc w:val="both"/>
        <w:rPr>
          <w:rFonts w:eastAsia="Calibri"/>
          <w:sz w:val="20"/>
          <w:szCs w:val="20"/>
          <w:lang w:val="es-MX"/>
        </w:rPr>
      </w:pPr>
      <w:r w:rsidRPr="00C122F0">
        <w:rPr>
          <w:rFonts w:eastAsia="Calibri"/>
          <w:sz w:val="20"/>
          <w:szCs w:val="20"/>
          <w:lang w:val="es-MX"/>
        </w:rPr>
        <w:t xml:space="preserve">Se establece el requisito de conformidad previa del BCRA para el acceso al </w:t>
      </w:r>
      <w:r>
        <w:rPr>
          <w:rFonts w:eastAsia="Calibri"/>
          <w:sz w:val="20"/>
          <w:szCs w:val="20"/>
          <w:lang w:val="es-MX"/>
        </w:rPr>
        <w:t>MLC</w:t>
      </w:r>
      <w:r w:rsidRPr="00C122F0">
        <w:rPr>
          <w:rFonts w:eastAsia="Calibri"/>
          <w:sz w:val="20"/>
          <w:szCs w:val="20"/>
          <w:lang w:val="es-MX"/>
        </w:rPr>
        <w:t xml:space="preserve"> para el pago de servicios con empresas vinculadas del exterior, excepto para las emisoras de tarjetas por los giros por turismo y viajes.</w:t>
      </w:r>
      <w:r>
        <w:rPr>
          <w:rFonts w:eastAsia="Calibri"/>
          <w:sz w:val="20"/>
          <w:szCs w:val="20"/>
          <w:lang w:val="es-MX"/>
        </w:rPr>
        <w:t xml:space="preserve"> </w:t>
      </w:r>
      <w:r w:rsidRPr="00C122F0">
        <w:rPr>
          <w:rFonts w:eastAsia="Calibri"/>
          <w:sz w:val="20"/>
          <w:szCs w:val="20"/>
          <w:lang w:val="es-MX"/>
        </w:rPr>
        <w:t xml:space="preserve">Asimismo, se establece que están exceptuados del requisito de conformidad previa del BCRA para el acceso al </w:t>
      </w:r>
      <w:r>
        <w:rPr>
          <w:rFonts w:eastAsia="Calibri"/>
          <w:sz w:val="20"/>
          <w:szCs w:val="20"/>
          <w:lang w:val="es-MX"/>
        </w:rPr>
        <w:t>MLC</w:t>
      </w:r>
      <w:r w:rsidRPr="00C122F0">
        <w:rPr>
          <w:rFonts w:eastAsia="Calibri"/>
          <w:sz w:val="20"/>
          <w:szCs w:val="20"/>
          <w:lang w:val="es-MX"/>
        </w:rPr>
        <w:t xml:space="preserve"> para el pago de servicios con empresas vinculadas del exterior, aquellos agentes locales que recauden en el país los fondos correspondientes a servicios prestados por no residentes a residentes y las entidades por los gastos que abonen a entidades del exterior por su operatoria habitual.</w:t>
      </w:r>
      <w:r>
        <w:rPr>
          <w:rFonts w:eastAsia="Calibri"/>
          <w:sz w:val="20"/>
          <w:szCs w:val="20"/>
          <w:lang w:val="es-MX"/>
        </w:rPr>
        <w:t xml:space="preserve"> Se</w:t>
      </w:r>
      <w:r w:rsidRPr="00C122F0">
        <w:rPr>
          <w:rFonts w:eastAsia="Calibri"/>
          <w:sz w:val="20"/>
          <w:szCs w:val="20"/>
          <w:lang w:val="es-MX"/>
        </w:rPr>
        <w:t xml:space="preserve"> aclara que no se aplica el requisito de conformidad previa para dar curso a transferencias al exterior en concepto de pagos de primas de reaseguros en el exterior. En estos casos, la transferencia al exterior debe ser realizada a nombre del beneficiario del exterior admitido por la Superintendencia de Seguros de la Nación.</w:t>
      </w:r>
    </w:p>
    <w:p w:rsidR="009C7BB8" w:rsidRPr="00C122F0" w:rsidRDefault="009C7BB8" w:rsidP="009C7BB8">
      <w:pPr>
        <w:spacing w:line="240" w:lineRule="atLeast"/>
        <w:jc w:val="both"/>
        <w:rPr>
          <w:rFonts w:eastAsia="Calibri"/>
          <w:sz w:val="20"/>
          <w:szCs w:val="20"/>
          <w:lang w:val="es-MX"/>
        </w:rPr>
      </w:pPr>
    </w:p>
    <w:p w:rsidR="009C7BB8" w:rsidRPr="00C122F0" w:rsidRDefault="009C7BB8" w:rsidP="009C7BB8">
      <w:pPr>
        <w:spacing w:line="240" w:lineRule="atLeast"/>
        <w:jc w:val="both"/>
        <w:rPr>
          <w:rFonts w:eastAsia="Calibri"/>
          <w:i/>
          <w:sz w:val="20"/>
          <w:szCs w:val="20"/>
          <w:lang w:val="es-MX"/>
        </w:rPr>
      </w:pPr>
      <w:r w:rsidRPr="00C122F0">
        <w:rPr>
          <w:rFonts w:eastAsia="Calibri"/>
          <w:i/>
          <w:sz w:val="20"/>
          <w:szCs w:val="20"/>
          <w:lang w:val="es-MX"/>
        </w:rPr>
        <w:t>Operaciones de canje y arbitraje</w:t>
      </w:r>
    </w:p>
    <w:p w:rsidR="009C7BB8" w:rsidRPr="00C55FCB" w:rsidRDefault="009C7BB8" w:rsidP="009C7BB8">
      <w:pPr>
        <w:spacing w:line="240" w:lineRule="atLeast"/>
        <w:jc w:val="both"/>
        <w:rPr>
          <w:rFonts w:eastAsia="Calibri"/>
          <w:i/>
          <w:sz w:val="20"/>
          <w:lang w:val="es-MX"/>
        </w:rPr>
      </w:pPr>
    </w:p>
    <w:p w:rsidR="009C7BB8" w:rsidRPr="00C122F0" w:rsidRDefault="009C7BB8" w:rsidP="009C7BB8">
      <w:pPr>
        <w:spacing w:line="240" w:lineRule="atLeast"/>
        <w:jc w:val="both"/>
        <w:rPr>
          <w:rFonts w:eastAsia="Calibri"/>
          <w:sz w:val="20"/>
          <w:szCs w:val="20"/>
          <w:lang w:val="es-MX"/>
        </w:rPr>
      </w:pPr>
      <w:r w:rsidRPr="00C55FCB">
        <w:rPr>
          <w:rFonts w:eastAsia="Calibri"/>
          <w:sz w:val="20"/>
          <w:lang w:val="es-MX"/>
        </w:rPr>
        <w:t xml:space="preserve">Las </w:t>
      </w:r>
      <w:r w:rsidRPr="00C122F0">
        <w:rPr>
          <w:rFonts w:eastAsia="Calibri"/>
          <w:sz w:val="20"/>
          <w:szCs w:val="20"/>
          <w:lang w:val="es-MX"/>
        </w:rPr>
        <w:t>operaciones de canje y arbitraje podrán realizarse con clientes sin la conformidad previa del BCRA en la medida que de instrumentarse como operaciones individuales pasando por pesos puedan realizarse sin dicha conformidad de acuerdo con las normas de la presente.</w:t>
      </w:r>
      <w:r>
        <w:rPr>
          <w:rFonts w:eastAsia="Calibri"/>
          <w:sz w:val="20"/>
          <w:szCs w:val="20"/>
          <w:lang w:val="es-MX"/>
        </w:rPr>
        <w:t xml:space="preserve"> </w:t>
      </w:r>
      <w:r w:rsidRPr="00C122F0">
        <w:rPr>
          <w:rFonts w:eastAsia="Calibri"/>
          <w:sz w:val="20"/>
          <w:szCs w:val="20"/>
          <w:lang w:val="es-MX"/>
        </w:rPr>
        <w:t xml:space="preserve">Se aclara que: (i) la transferencia de divisas de las personas humanas desde sus cuentas locales en moneda extranjera a cuentas propias en el exterior se puede efectuar sin restricciones; (ii) los canjes y arbitrajes que impliquen ingresos de divisas por operaciones no alcanzadas por la obligación de liquidación en el </w:t>
      </w:r>
      <w:r>
        <w:rPr>
          <w:rFonts w:eastAsia="Calibri"/>
          <w:sz w:val="20"/>
          <w:szCs w:val="20"/>
          <w:lang w:val="es-MX"/>
        </w:rPr>
        <w:t>MLC</w:t>
      </w:r>
      <w:r w:rsidRPr="00C122F0">
        <w:rPr>
          <w:rFonts w:eastAsia="Calibri"/>
          <w:sz w:val="20"/>
          <w:szCs w:val="20"/>
          <w:lang w:val="es-MX"/>
        </w:rPr>
        <w:t xml:space="preserve"> pueden ser realizadas sin restricciones.</w:t>
      </w:r>
      <w:r>
        <w:rPr>
          <w:rFonts w:eastAsia="Calibri"/>
          <w:sz w:val="20"/>
          <w:szCs w:val="20"/>
          <w:lang w:val="es-MX"/>
        </w:rPr>
        <w:t xml:space="preserve"> L</w:t>
      </w:r>
      <w:r w:rsidRPr="00C122F0">
        <w:rPr>
          <w:rFonts w:eastAsia="Calibri"/>
          <w:sz w:val="20"/>
          <w:szCs w:val="20"/>
          <w:lang w:val="es-MX"/>
        </w:rPr>
        <w:t>as operaciones de canje y arbitraje podrán realizarse con clientes sin la conformidad previa del BCRA en la medida que de instrumentarse como operaciones individuales pasando por pesos, puedan realizarse sin dicha conformidad, también resulta de aplicación a las centrales locales de depósito colectivo de valores por los fondos percibidos en moneda extranjera por los servicios de capital y renta de títulos en moneda extranjera abonados en el país.</w:t>
      </w:r>
    </w:p>
    <w:p w:rsidR="009C7BB8" w:rsidRPr="00C122F0" w:rsidRDefault="009C7BB8" w:rsidP="009C7BB8">
      <w:pPr>
        <w:spacing w:line="240" w:lineRule="atLeast"/>
        <w:jc w:val="both"/>
        <w:rPr>
          <w:rFonts w:eastAsia="Calibri"/>
          <w:sz w:val="20"/>
          <w:szCs w:val="20"/>
          <w:lang w:val="es-MX"/>
        </w:rPr>
      </w:pPr>
    </w:p>
    <w:p w:rsidR="009C7BB8" w:rsidRPr="00C122F0" w:rsidRDefault="009C7BB8" w:rsidP="009C7BB8">
      <w:pPr>
        <w:spacing w:line="240" w:lineRule="atLeast"/>
        <w:jc w:val="both"/>
        <w:rPr>
          <w:rFonts w:eastAsia="Calibri"/>
          <w:i/>
          <w:sz w:val="20"/>
          <w:szCs w:val="20"/>
          <w:lang w:val="es-MX"/>
        </w:rPr>
      </w:pPr>
      <w:r w:rsidRPr="00C122F0">
        <w:rPr>
          <w:rFonts w:eastAsia="Calibri"/>
          <w:i/>
          <w:sz w:val="20"/>
          <w:szCs w:val="20"/>
          <w:lang w:val="es-MX"/>
        </w:rPr>
        <w:t>Operación de títulos en el mercado secundario por entidades autorizadas</w:t>
      </w:r>
    </w:p>
    <w:p w:rsidR="009C7BB8" w:rsidRPr="00C55FCB" w:rsidRDefault="009C7BB8" w:rsidP="009C7BB8">
      <w:pPr>
        <w:spacing w:line="240" w:lineRule="atLeast"/>
        <w:jc w:val="both"/>
        <w:rPr>
          <w:rFonts w:eastAsia="Calibri"/>
          <w:i/>
          <w:sz w:val="20"/>
          <w:lang w:val="es-MX"/>
        </w:rPr>
      </w:pPr>
    </w:p>
    <w:p w:rsidR="009C7BB8" w:rsidRPr="00C122F0" w:rsidRDefault="009C7BB8" w:rsidP="009C7BB8">
      <w:pPr>
        <w:spacing w:line="240" w:lineRule="atLeast"/>
        <w:jc w:val="both"/>
        <w:rPr>
          <w:rFonts w:eastAsia="Calibri"/>
          <w:sz w:val="20"/>
          <w:szCs w:val="20"/>
          <w:lang w:val="es-MX"/>
        </w:rPr>
      </w:pPr>
      <w:r w:rsidRPr="00C55FCB">
        <w:rPr>
          <w:rFonts w:eastAsia="Calibri"/>
          <w:sz w:val="20"/>
          <w:lang w:val="es-MX"/>
        </w:rPr>
        <w:t xml:space="preserve">Las </w:t>
      </w:r>
      <w:r w:rsidRPr="00C122F0">
        <w:rPr>
          <w:rFonts w:eastAsia="Calibri"/>
          <w:sz w:val="20"/>
          <w:szCs w:val="20"/>
          <w:lang w:val="es-MX"/>
        </w:rPr>
        <w:t>entidades autorizadas a operar en cambios no podrán comprar con liquidación en moneda extranjera títulos valores en el mercado secundario ni utilizar tenencias de su posición general de cambios para pagos a proveedores locales.</w:t>
      </w:r>
    </w:p>
    <w:p w:rsidR="009C7BB8" w:rsidRPr="00C122F0" w:rsidRDefault="009C7BB8" w:rsidP="009C7BB8">
      <w:pPr>
        <w:spacing w:line="240" w:lineRule="atLeast"/>
        <w:jc w:val="both"/>
        <w:rPr>
          <w:rFonts w:eastAsia="Calibri"/>
          <w:sz w:val="20"/>
          <w:szCs w:val="20"/>
          <w:lang w:val="es-MX"/>
        </w:rPr>
      </w:pPr>
    </w:p>
    <w:p w:rsidR="009C7BB8" w:rsidRPr="00C122F0" w:rsidRDefault="009C7BB8" w:rsidP="009C7BB8">
      <w:pPr>
        <w:spacing w:line="240" w:lineRule="atLeast"/>
        <w:jc w:val="both"/>
        <w:rPr>
          <w:rFonts w:eastAsia="Calibri"/>
          <w:i/>
          <w:sz w:val="20"/>
          <w:szCs w:val="20"/>
          <w:lang w:val="es-MX"/>
        </w:rPr>
      </w:pPr>
      <w:r w:rsidRPr="00C122F0">
        <w:rPr>
          <w:rFonts w:eastAsia="Calibri"/>
          <w:i/>
          <w:sz w:val="20"/>
          <w:szCs w:val="20"/>
          <w:lang w:val="es-MX"/>
        </w:rPr>
        <w:t>Casas y agencias de cambio – Tenencia de moneda extranjera</w:t>
      </w:r>
    </w:p>
    <w:p w:rsidR="009C7BB8" w:rsidRPr="00C122F0" w:rsidRDefault="009C7BB8" w:rsidP="009C7BB8">
      <w:pPr>
        <w:spacing w:line="240" w:lineRule="atLeast"/>
        <w:jc w:val="both"/>
        <w:rPr>
          <w:rFonts w:eastAsia="Calibri"/>
          <w:i/>
          <w:sz w:val="20"/>
          <w:szCs w:val="20"/>
          <w:lang w:val="es-MX"/>
        </w:rPr>
      </w:pPr>
    </w:p>
    <w:p w:rsidR="009C7BB8" w:rsidRPr="00C122F0" w:rsidRDefault="009C7BB8" w:rsidP="009C7BB8">
      <w:pPr>
        <w:spacing w:line="240" w:lineRule="atLeast"/>
        <w:jc w:val="both"/>
        <w:rPr>
          <w:rFonts w:eastAsia="Calibri"/>
          <w:sz w:val="20"/>
          <w:szCs w:val="20"/>
          <w:lang w:val="es-MX"/>
        </w:rPr>
      </w:pPr>
      <w:r w:rsidRPr="00C122F0">
        <w:rPr>
          <w:rFonts w:eastAsia="Calibri"/>
          <w:sz w:val="20"/>
          <w:szCs w:val="20"/>
          <w:lang w:val="es-MX"/>
        </w:rPr>
        <w:t>Las Casas y Agencias de Cambio no podrán incrementar, sin conformidad previa del BCRA, sus tenencias en moneda extranjera respecto al promedio de sus tenencias de agosto de 2019 o el stock al cierre del día anterior a la entrada en vigencia de la presente, el máximo de los dos.</w:t>
      </w:r>
      <w:r>
        <w:rPr>
          <w:rFonts w:eastAsia="Calibri"/>
          <w:sz w:val="20"/>
          <w:szCs w:val="20"/>
          <w:lang w:val="es-MX"/>
        </w:rPr>
        <w:t xml:space="preserve"> </w:t>
      </w:r>
      <w:r w:rsidRPr="00C122F0">
        <w:rPr>
          <w:rFonts w:eastAsia="Calibri"/>
          <w:sz w:val="20"/>
          <w:szCs w:val="20"/>
          <w:lang w:val="es-MX"/>
        </w:rPr>
        <w:t>Se dispone que las autorizaciones otorgadas a casas y agencias de cambio antes del 01.09.19 que no inicien actividades antes del 30.09.19, caducarán a partir de esta última fecha, procediéndose a darlas de baja del registro correspondiente.</w:t>
      </w:r>
      <w:r>
        <w:rPr>
          <w:rFonts w:eastAsia="Calibri"/>
          <w:sz w:val="20"/>
          <w:szCs w:val="20"/>
          <w:lang w:val="es-MX"/>
        </w:rPr>
        <w:t xml:space="preserve"> </w:t>
      </w:r>
      <w:r w:rsidRPr="00C122F0">
        <w:rPr>
          <w:rFonts w:eastAsia="Calibri"/>
          <w:sz w:val="20"/>
          <w:szCs w:val="20"/>
          <w:lang w:val="es-MX"/>
        </w:rPr>
        <w:t>Asimismo, se dispone que las casas y agencias de cambios inscriptas antes del 01.09.19 y que no hubieran operado hasta esa fecha, a los efectos de determinar la posibilidad de incrementar sin conformidad previa del BCRA sus tenencias en moneda extranjera respecto del promedio de sus tenencias de agosto de 2019, o el stock al cierre del día anterior a la entrada en vigencia de la Comunicación “A” 6770, el máximo de los dos, deberán considerar las tenencias de moneda extranjera registradas al inicio del día en que comiencen su operatoria.</w:t>
      </w:r>
    </w:p>
    <w:p w:rsidR="009C7BB8" w:rsidRPr="00C122F0" w:rsidRDefault="009C7BB8" w:rsidP="009C7BB8">
      <w:pPr>
        <w:spacing w:line="240" w:lineRule="atLeast"/>
        <w:jc w:val="both"/>
        <w:rPr>
          <w:rFonts w:eastAsia="Calibri"/>
          <w:sz w:val="20"/>
          <w:szCs w:val="20"/>
          <w:lang w:val="es-MX"/>
        </w:rPr>
      </w:pPr>
    </w:p>
    <w:p w:rsidR="009C7BB8" w:rsidRPr="00C122F0" w:rsidRDefault="009C7BB8" w:rsidP="009C7BB8">
      <w:pPr>
        <w:spacing w:line="240" w:lineRule="atLeast"/>
        <w:jc w:val="both"/>
        <w:rPr>
          <w:rFonts w:eastAsia="Calibri"/>
          <w:i/>
          <w:sz w:val="20"/>
          <w:szCs w:val="20"/>
          <w:lang w:val="es-MX"/>
        </w:rPr>
      </w:pPr>
      <w:r w:rsidRPr="00C122F0">
        <w:rPr>
          <w:rFonts w:eastAsia="Calibri"/>
          <w:i/>
          <w:sz w:val="20"/>
          <w:szCs w:val="20"/>
          <w:lang w:val="es-MX"/>
        </w:rPr>
        <w:t>Boletos de compra y venta de Cambio</w:t>
      </w:r>
    </w:p>
    <w:p w:rsidR="009C7BB8" w:rsidRPr="00C122F0" w:rsidRDefault="009C7BB8" w:rsidP="009C7BB8">
      <w:pPr>
        <w:spacing w:line="240" w:lineRule="atLeast"/>
        <w:jc w:val="both"/>
        <w:rPr>
          <w:rFonts w:eastAsia="Calibri"/>
          <w:i/>
          <w:sz w:val="20"/>
          <w:szCs w:val="20"/>
          <w:lang w:val="es-MX"/>
        </w:rPr>
      </w:pPr>
    </w:p>
    <w:p w:rsidR="009C7BB8" w:rsidRPr="00C122F0" w:rsidRDefault="009C7BB8" w:rsidP="009C7BB8">
      <w:pPr>
        <w:spacing w:line="240" w:lineRule="atLeast"/>
        <w:jc w:val="both"/>
        <w:rPr>
          <w:rFonts w:eastAsia="Calibri"/>
          <w:sz w:val="20"/>
          <w:szCs w:val="20"/>
          <w:lang w:val="es-MX"/>
        </w:rPr>
      </w:pPr>
      <w:r w:rsidRPr="00C122F0">
        <w:rPr>
          <w:rFonts w:eastAsia="Calibri"/>
          <w:sz w:val="20"/>
          <w:szCs w:val="20"/>
          <w:lang w:val="es-MX"/>
        </w:rPr>
        <w:t>Por cada operación de cambio, se debe realizar un boleto de compra o venta de cambio, según corresponda. En el boleto de cambio debe constar el carácter de declaración jurada del ordenante de la operación de cambio sobre todos los datos contenidos en el mismo, incluyendo el concepto de la operación y el cumplimiento de los límites y requisitos establecidos. La entidad interviniente deberá constatar la razonabilidad de la operación y el cumplimiento de los límites.</w:t>
      </w:r>
      <w:r>
        <w:rPr>
          <w:rFonts w:eastAsia="Calibri"/>
          <w:sz w:val="20"/>
          <w:szCs w:val="20"/>
          <w:lang w:val="es-MX"/>
        </w:rPr>
        <w:t xml:space="preserve"> </w:t>
      </w:r>
      <w:r w:rsidRPr="00C122F0">
        <w:rPr>
          <w:rFonts w:eastAsia="Calibri"/>
          <w:sz w:val="20"/>
          <w:szCs w:val="20"/>
          <w:lang w:val="es-MX"/>
        </w:rPr>
        <w:t>En los boletos de compra y de venta de moneda extranjera, debe constar la firma del cliente que realiza la operación de cambio, quien debe presentar documento de identificación admitido para operar con entidades financieras de acuerdo al punto 5.4.1 del Texto Ordenado de “Exterior y Cambios”.</w:t>
      </w:r>
      <w:r>
        <w:rPr>
          <w:rFonts w:eastAsia="Calibri"/>
          <w:sz w:val="20"/>
          <w:szCs w:val="20"/>
          <w:lang w:val="es-MX"/>
        </w:rPr>
        <w:t xml:space="preserve"> </w:t>
      </w:r>
      <w:r w:rsidRPr="00C122F0">
        <w:rPr>
          <w:rFonts w:eastAsia="Calibri"/>
          <w:sz w:val="20"/>
          <w:szCs w:val="20"/>
          <w:lang w:val="es-MX"/>
        </w:rPr>
        <w:t>En el caso de operaciones por canales electrónicos y/o firma electrónica o digital, se aplica el punto 5.4.2 del referido Texto Ordenado.</w:t>
      </w:r>
    </w:p>
    <w:p w:rsidR="009C7BB8" w:rsidRPr="00C122F0" w:rsidRDefault="009C7BB8" w:rsidP="009C7BB8">
      <w:pPr>
        <w:spacing w:line="240" w:lineRule="atLeast"/>
        <w:jc w:val="both"/>
        <w:rPr>
          <w:rFonts w:eastAsia="Calibri"/>
          <w:sz w:val="20"/>
          <w:szCs w:val="20"/>
          <w:lang w:val="es-MX"/>
        </w:rPr>
      </w:pPr>
    </w:p>
    <w:p w:rsidR="009C7BB8" w:rsidRPr="00903238" w:rsidRDefault="009C7BB8" w:rsidP="009C7BB8">
      <w:pPr>
        <w:spacing w:line="240" w:lineRule="atLeast"/>
        <w:jc w:val="both"/>
        <w:rPr>
          <w:rFonts w:eastAsia="Calibri"/>
          <w:i/>
          <w:iCs/>
          <w:sz w:val="20"/>
          <w:szCs w:val="20"/>
          <w:lang w:val="es-MX"/>
        </w:rPr>
      </w:pPr>
      <w:r w:rsidRPr="007664EA">
        <w:rPr>
          <w:rFonts w:eastAsia="Calibri"/>
          <w:i/>
          <w:iCs/>
          <w:sz w:val="20"/>
          <w:szCs w:val="20"/>
          <w:lang w:val="es-MX"/>
        </w:rPr>
        <w:t>Requisitos previos para el acceso para pago de deudas financieras o comerciales y para pago anticipado de importaciones</w:t>
      </w:r>
    </w:p>
    <w:p w:rsidR="009C7BB8" w:rsidRPr="00C122F0" w:rsidRDefault="009C7BB8" w:rsidP="009C7BB8">
      <w:pPr>
        <w:spacing w:line="240" w:lineRule="atLeast"/>
        <w:jc w:val="both"/>
        <w:rPr>
          <w:rFonts w:eastAsia="Calibri"/>
          <w:sz w:val="20"/>
          <w:szCs w:val="20"/>
          <w:lang w:val="es-MX"/>
        </w:rPr>
      </w:pPr>
    </w:p>
    <w:p w:rsidR="009C7BB8" w:rsidRPr="00C122F0" w:rsidRDefault="009C7BB8" w:rsidP="009C7BB8">
      <w:pPr>
        <w:spacing w:line="240" w:lineRule="atLeast"/>
        <w:jc w:val="both"/>
        <w:rPr>
          <w:rFonts w:eastAsia="Calibri"/>
          <w:sz w:val="20"/>
          <w:szCs w:val="20"/>
          <w:lang w:val="es-MX"/>
        </w:rPr>
      </w:pPr>
      <w:r w:rsidRPr="00C122F0">
        <w:rPr>
          <w:rFonts w:eastAsia="Calibri"/>
          <w:sz w:val="20"/>
          <w:szCs w:val="20"/>
          <w:lang w:val="es-MX"/>
        </w:rPr>
        <w:t xml:space="preserve">En el caso de acceso al </w:t>
      </w:r>
      <w:r>
        <w:rPr>
          <w:rFonts w:eastAsia="Calibri"/>
          <w:sz w:val="20"/>
          <w:szCs w:val="20"/>
          <w:lang w:val="es-MX"/>
        </w:rPr>
        <w:t>MLC</w:t>
      </w:r>
      <w:r w:rsidRPr="00C122F0">
        <w:rPr>
          <w:rFonts w:eastAsia="Calibri"/>
          <w:sz w:val="20"/>
          <w:szCs w:val="20"/>
          <w:lang w:val="es-MX"/>
        </w:rPr>
        <w:t xml:space="preserve"> para el pago de deudas financieras o comerciales con el exterior deberá demostrarse, en caso de corresponder, que la operación se encuentra declarada en la última presentación vencida del Relevamiento de activos y pasivos externos. En el caso de pagos anticipados de importaciones, </w:t>
      </w:r>
      <w:r>
        <w:rPr>
          <w:rFonts w:eastAsia="Calibri"/>
          <w:sz w:val="20"/>
          <w:szCs w:val="20"/>
          <w:lang w:val="es-MX"/>
        </w:rPr>
        <w:t>se</w:t>
      </w:r>
      <w:r w:rsidRPr="00C122F0">
        <w:rPr>
          <w:rFonts w:eastAsia="Calibri"/>
          <w:sz w:val="20"/>
          <w:szCs w:val="20"/>
          <w:lang w:val="es-MX"/>
        </w:rPr>
        <w:t xml:space="preserve"> establece que deberá presentarse la documentación respaldatoria por la cual se deberá demostrar el registro de ingreso aduanero de los bienes dentro de los 90 días corridos desde su acceso al </w:t>
      </w:r>
      <w:r>
        <w:rPr>
          <w:rFonts w:eastAsia="Calibri"/>
          <w:sz w:val="20"/>
          <w:szCs w:val="20"/>
          <w:lang w:val="es-MX"/>
        </w:rPr>
        <w:t>MLC</w:t>
      </w:r>
      <w:r w:rsidRPr="00C122F0">
        <w:rPr>
          <w:rFonts w:eastAsia="Calibri"/>
          <w:sz w:val="20"/>
          <w:szCs w:val="20"/>
          <w:lang w:val="es-MX"/>
        </w:rPr>
        <w:t xml:space="preserve"> en el caso de los pagos anticipados de importaciones a proveedores no vinculados con el importador y la conformidad previa del BCRA para los pagos anticipados de importaciones a proveedores vinculados con el importador.</w:t>
      </w:r>
    </w:p>
    <w:p w:rsidR="009C7BB8" w:rsidRPr="00C122F0" w:rsidRDefault="009C7BB8" w:rsidP="009C7BB8">
      <w:pPr>
        <w:spacing w:line="240" w:lineRule="atLeast"/>
        <w:jc w:val="both"/>
        <w:rPr>
          <w:rFonts w:eastAsia="Calibri"/>
          <w:sz w:val="20"/>
          <w:szCs w:val="20"/>
          <w:lang w:val="es-MX"/>
        </w:rPr>
      </w:pPr>
    </w:p>
    <w:p w:rsidR="009C7BB8" w:rsidRPr="00C122F0" w:rsidRDefault="009C7BB8" w:rsidP="009C7BB8">
      <w:pPr>
        <w:spacing w:line="240" w:lineRule="atLeast"/>
        <w:jc w:val="both"/>
        <w:rPr>
          <w:rFonts w:eastAsia="Calibri"/>
          <w:i/>
          <w:sz w:val="20"/>
          <w:szCs w:val="20"/>
          <w:lang w:val="es-MX"/>
        </w:rPr>
      </w:pPr>
      <w:r w:rsidRPr="00C122F0">
        <w:rPr>
          <w:rFonts w:eastAsia="Calibri"/>
          <w:i/>
          <w:sz w:val="20"/>
          <w:szCs w:val="20"/>
          <w:lang w:val="es-MX"/>
        </w:rPr>
        <w:t>Entidades Autorizadas</w:t>
      </w:r>
    </w:p>
    <w:p w:rsidR="009C7BB8" w:rsidRPr="00C55FCB" w:rsidRDefault="009C7BB8" w:rsidP="009C7BB8">
      <w:pPr>
        <w:spacing w:line="240" w:lineRule="atLeast"/>
        <w:jc w:val="both"/>
        <w:rPr>
          <w:i/>
          <w:sz w:val="20"/>
          <w:lang w:val="es-MX"/>
        </w:rPr>
      </w:pPr>
    </w:p>
    <w:p w:rsidR="009C7BB8" w:rsidRPr="00C122F0" w:rsidRDefault="009C7BB8" w:rsidP="009C7BB8">
      <w:pPr>
        <w:spacing w:line="240" w:lineRule="atLeast"/>
        <w:jc w:val="both"/>
        <w:rPr>
          <w:rFonts w:eastAsia="Calibri"/>
          <w:sz w:val="20"/>
          <w:szCs w:val="20"/>
          <w:lang w:val="es-MX"/>
        </w:rPr>
      </w:pPr>
      <w:r w:rsidRPr="00C55FCB">
        <w:rPr>
          <w:rFonts w:eastAsia="Calibri"/>
          <w:sz w:val="20"/>
          <w:lang w:val="es-MX"/>
        </w:rPr>
        <w:t xml:space="preserve">Las </w:t>
      </w:r>
      <w:r w:rsidRPr="00C122F0">
        <w:rPr>
          <w:rFonts w:eastAsia="Calibri"/>
          <w:sz w:val="20"/>
          <w:szCs w:val="20"/>
          <w:lang w:val="es-MX"/>
        </w:rPr>
        <w:t xml:space="preserve">distintas presentaciones que realicen los clientes por operaciones a cursar en el </w:t>
      </w:r>
      <w:r>
        <w:rPr>
          <w:rFonts w:eastAsia="Calibri"/>
          <w:sz w:val="20"/>
          <w:szCs w:val="20"/>
          <w:lang w:val="es-MX"/>
        </w:rPr>
        <w:t>MLC</w:t>
      </w:r>
      <w:r w:rsidRPr="00C122F0">
        <w:rPr>
          <w:rFonts w:eastAsia="Calibri"/>
          <w:sz w:val="20"/>
          <w:szCs w:val="20"/>
          <w:lang w:val="es-MX"/>
        </w:rPr>
        <w:t xml:space="preserve"> deberán indefectiblemente cursarse a través de una entidad que esté autorizada a cursar el tipo de operación contenida en la consulta o pedido de conformidad.</w:t>
      </w:r>
    </w:p>
    <w:p w:rsidR="009C7BB8" w:rsidRPr="00C122F0" w:rsidRDefault="009C7BB8" w:rsidP="009C7BB8">
      <w:pPr>
        <w:spacing w:line="240" w:lineRule="atLeast"/>
        <w:jc w:val="both"/>
        <w:rPr>
          <w:rFonts w:eastAsia="Calibri"/>
          <w:sz w:val="20"/>
          <w:szCs w:val="20"/>
          <w:lang w:val="es-MX"/>
        </w:rPr>
      </w:pPr>
    </w:p>
    <w:p w:rsidR="009C7BB8" w:rsidRPr="00C122F0" w:rsidRDefault="009C7BB8" w:rsidP="009C7BB8">
      <w:pPr>
        <w:spacing w:line="240" w:lineRule="atLeast"/>
        <w:jc w:val="both"/>
        <w:rPr>
          <w:rFonts w:eastAsia="Calibri"/>
          <w:i/>
          <w:sz w:val="20"/>
          <w:szCs w:val="20"/>
          <w:lang w:val="es-MX"/>
        </w:rPr>
      </w:pPr>
      <w:r w:rsidRPr="00C122F0">
        <w:rPr>
          <w:rFonts w:eastAsia="Calibri"/>
          <w:i/>
          <w:sz w:val="20"/>
          <w:szCs w:val="20"/>
          <w:lang w:val="es-MX"/>
        </w:rPr>
        <w:t>Financiaciones en moneda extranjera otorgadas por entidades financieras locales.</w:t>
      </w:r>
    </w:p>
    <w:p w:rsidR="009C7BB8" w:rsidRPr="00C122F0" w:rsidRDefault="009C7BB8" w:rsidP="009C7BB8">
      <w:pPr>
        <w:spacing w:line="240" w:lineRule="atLeast"/>
        <w:jc w:val="both"/>
        <w:rPr>
          <w:rFonts w:eastAsia="Calibri"/>
          <w:i/>
          <w:sz w:val="20"/>
          <w:szCs w:val="20"/>
          <w:lang w:val="es-MX"/>
        </w:rPr>
      </w:pPr>
    </w:p>
    <w:p w:rsidR="009C7BB8" w:rsidRPr="00C122F0" w:rsidRDefault="009C7BB8" w:rsidP="009C7BB8">
      <w:pPr>
        <w:spacing w:line="240" w:lineRule="atLeast"/>
        <w:jc w:val="both"/>
        <w:rPr>
          <w:rFonts w:eastAsia="Calibri"/>
          <w:sz w:val="20"/>
          <w:szCs w:val="20"/>
          <w:lang w:val="es-MX"/>
        </w:rPr>
      </w:pPr>
      <w:r w:rsidRPr="00C122F0">
        <w:rPr>
          <w:rFonts w:eastAsia="Calibri"/>
          <w:sz w:val="20"/>
          <w:szCs w:val="20"/>
          <w:lang w:val="es-MX"/>
        </w:rPr>
        <w:t xml:space="preserve">Se establece que las financiaciones que otorguen las entidades financieras en moneda extranjera a clientes del sector privado no financiero deben ser liquidadas en el </w:t>
      </w:r>
      <w:r>
        <w:rPr>
          <w:rFonts w:eastAsia="Calibri"/>
          <w:sz w:val="20"/>
          <w:szCs w:val="20"/>
          <w:lang w:val="es-MX"/>
        </w:rPr>
        <w:t>MLC</w:t>
      </w:r>
      <w:r w:rsidRPr="00C122F0">
        <w:rPr>
          <w:rFonts w:eastAsia="Calibri"/>
          <w:sz w:val="20"/>
          <w:szCs w:val="20"/>
          <w:lang w:val="es-MX"/>
        </w:rPr>
        <w:t xml:space="preserve"> al momento de su desembolso.</w:t>
      </w:r>
    </w:p>
    <w:p w:rsidR="009C7BB8" w:rsidRPr="00C122F0" w:rsidRDefault="009C7BB8" w:rsidP="009C7BB8">
      <w:pPr>
        <w:spacing w:line="240" w:lineRule="atLeast"/>
        <w:jc w:val="both"/>
        <w:rPr>
          <w:rFonts w:eastAsia="Calibri"/>
          <w:sz w:val="20"/>
          <w:szCs w:val="20"/>
          <w:lang w:val="es-MX"/>
        </w:rPr>
      </w:pPr>
    </w:p>
    <w:p w:rsidR="009C7BB8" w:rsidRPr="00C122F0" w:rsidRDefault="009C7BB8" w:rsidP="009C7BB8">
      <w:pPr>
        <w:spacing w:line="240" w:lineRule="atLeast"/>
        <w:jc w:val="both"/>
        <w:rPr>
          <w:rFonts w:eastAsia="Calibri"/>
          <w:i/>
          <w:sz w:val="20"/>
          <w:szCs w:val="20"/>
          <w:lang w:val="es-MX"/>
        </w:rPr>
      </w:pPr>
      <w:r w:rsidRPr="00C122F0">
        <w:rPr>
          <w:rFonts w:eastAsia="Calibri"/>
          <w:i/>
          <w:sz w:val="20"/>
          <w:szCs w:val="20"/>
          <w:lang w:val="es-MX"/>
        </w:rPr>
        <w:t xml:space="preserve">Enajenación de activos </w:t>
      </w:r>
      <w:r>
        <w:rPr>
          <w:rFonts w:eastAsia="Calibri"/>
          <w:i/>
          <w:sz w:val="20"/>
          <w:szCs w:val="20"/>
          <w:lang w:val="es-MX"/>
        </w:rPr>
        <w:t xml:space="preserve">no financieros no producidos </w:t>
      </w:r>
      <w:r w:rsidRPr="00C122F0">
        <w:rPr>
          <w:rFonts w:eastAsia="Calibri"/>
          <w:i/>
          <w:sz w:val="20"/>
          <w:szCs w:val="20"/>
          <w:lang w:val="es-MX"/>
        </w:rPr>
        <w:t>por parte de residentes</w:t>
      </w:r>
    </w:p>
    <w:p w:rsidR="009C7BB8" w:rsidRPr="00C122F0" w:rsidRDefault="009C7BB8" w:rsidP="009C7BB8">
      <w:pPr>
        <w:spacing w:line="240" w:lineRule="atLeast"/>
        <w:jc w:val="both"/>
        <w:rPr>
          <w:rFonts w:eastAsia="Calibri"/>
          <w:i/>
          <w:sz w:val="20"/>
          <w:szCs w:val="20"/>
          <w:lang w:val="es-MX"/>
        </w:rPr>
      </w:pPr>
    </w:p>
    <w:p w:rsidR="009C7BB8" w:rsidRDefault="009C7BB8" w:rsidP="009C7BB8">
      <w:pPr>
        <w:spacing w:line="240" w:lineRule="atLeast"/>
        <w:jc w:val="both"/>
        <w:rPr>
          <w:rFonts w:eastAsia="Calibri"/>
          <w:sz w:val="20"/>
          <w:szCs w:val="20"/>
          <w:lang w:val="es-MX"/>
        </w:rPr>
      </w:pPr>
      <w:r w:rsidRPr="00C122F0">
        <w:rPr>
          <w:rFonts w:eastAsia="Calibri"/>
          <w:sz w:val="20"/>
          <w:szCs w:val="20"/>
          <w:lang w:val="es-MX"/>
        </w:rPr>
        <w:t xml:space="preserve">Se dispone que la percepción por parte de residentes de montos en moneda extranjera por la enajenación de “activos no financieros no producidos” deberá ingresarse y liquidarse en el </w:t>
      </w:r>
      <w:r>
        <w:rPr>
          <w:rFonts w:eastAsia="Calibri"/>
          <w:sz w:val="20"/>
          <w:szCs w:val="20"/>
          <w:lang w:val="es-MX"/>
        </w:rPr>
        <w:t>MLC</w:t>
      </w:r>
      <w:r w:rsidRPr="00C122F0">
        <w:rPr>
          <w:rFonts w:eastAsia="Calibri"/>
          <w:sz w:val="20"/>
          <w:szCs w:val="20"/>
          <w:lang w:val="es-MX"/>
        </w:rPr>
        <w:t xml:space="preserve"> dentro de los 5 días hábiles de la fecha de percepción de los fondos en el país o en el exterior o de su acreditación en cuentas del exterior. </w:t>
      </w:r>
    </w:p>
    <w:p w:rsidR="009C7BB8" w:rsidRDefault="009C7BB8" w:rsidP="009C7BB8">
      <w:pPr>
        <w:spacing w:line="240" w:lineRule="atLeast"/>
        <w:jc w:val="both"/>
        <w:rPr>
          <w:rFonts w:eastAsia="Calibri"/>
          <w:i/>
          <w:iCs/>
          <w:sz w:val="20"/>
          <w:szCs w:val="20"/>
          <w:lang w:val="es-MX"/>
        </w:rPr>
      </w:pPr>
    </w:p>
    <w:p w:rsidR="009C7BB8" w:rsidRDefault="009C7BB8" w:rsidP="009C7BB8">
      <w:pPr>
        <w:spacing w:line="240" w:lineRule="atLeast"/>
        <w:jc w:val="both"/>
        <w:rPr>
          <w:rFonts w:eastAsia="Calibri"/>
          <w:i/>
          <w:iCs/>
          <w:sz w:val="20"/>
          <w:szCs w:val="20"/>
          <w:lang w:val="es-MX"/>
        </w:rPr>
      </w:pPr>
      <w:r>
        <w:rPr>
          <w:rFonts w:eastAsia="Calibri"/>
          <w:i/>
          <w:iCs/>
          <w:sz w:val="20"/>
          <w:szCs w:val="20"/>
          <w:lang w:val="es-MX"/>
        </w:rPr>
        <w:t xml:space="preserve">Excepción a la obligación de liquidación </w:t>
      </w:r>
    </w:p>
    <w:p w:rsidR="009C7BB8" w:rsidRPr="002123AC" w:rsidRDefault="009C7BB8" w:rsidP="009C7BB8">
      <w:pPr>
        <w:spacing w:line="240" w:lineRule="atLeast"/>
        <w:jc w:val="both"/>
        <w:rPr>
          <w:rFonts w:eastAsia="Calibri"/>
          <w:i/>
          <w:iCs/>
          <w:sz w:val="20"/>
          <w:szCs w:val="20"/>
          <w:lang w:val="es-MX"/>
        </w:rPr>
      </w:pPr>
    </w:p>
    <w:p w:rsidR="009C7BB8" w:rsidRDefault="009C7BB8" w:rsidP="009C7BB8">
      <w:pPr>
        <w:spacing w:line="240" w:lineRule="atLeast"/>
        <w:jc w:val="both"/>
        <w:rPr>
          <w:rFonts w:eastAsia="Calibri"/>
          <w:sz w:val="20"/>
          <w:szCs w:val="20"/>
          <w:lang w:val="es-MX"/>
        </w:rPr>
      </w:pPr>
      <w:r>
        <w:rPr>
          <w:rFonts w:eastAsia="Calibri"/>
          <w:sz w:val="20"/>
          <w:szCs w:val="20"/>
          <w:lang w:val="es-MX"/>
        </w:rPr>
        <w:t>Se dispone</w:t>
      </w:r>
      <w:r w:rsidRPr="00C122F0">
        <w:rPr>
          <w:rFonts w:eastAsia="Calibri"/>
          <w:sz w:val="20"/>
          <w:szCs w:val="20"/>
          <w:lang w:val="es-MX"/>
        </w:rPr>
        <w:t xml:space="preserve"> que no resultará exigible la liquidación en el </w:t>
      </w:r>
      <w:r>
        <w:rPr>
          <w:rFonts w:eastAsia="Calibri"/>
          <w:sz w:val="20"/>
          <w:szCs w:val="20"/>
          <w:lang w:val="es-MX"/>
        </w:rPr>
        <w:t>MLC</w:t>
      </w:r>
      <w:r w:rsidRPr="00C122F0">
        <w:rPr>
          <w:rFonts w:eastAsia="Calibri"/>
          <w:sz w:val="20"/>
          <w:szCs w:val="20"/>
          <w:lang w:val="es-MX"/>
        </w:rPr>
        <w:t xml:space="preserve"> de las divisas en moneda extranjera que reciban los residentes por exportaciones de bienes y servicios, por la enajenación de activos no financieros no producidos, ni como condición para su repago en los casos de endeudamientos con el exterior ni de emisiones de residentes de títulos de deuda con registro público en el país, en la medida que se cumplan la totalidad de las siguientes condiciones:</w:t>
      </w:r>
      <w:r>
        <w:rPr>
          <w:rFonts w:eastAsia="Calibri"/>
          <w:sz w:val="20"/>
          <w:szCs w:val="20"/>
          <w:lang w:val="es-MX"/>
        </w:rPr>
        <w:t xml:space="preserve"> (</w:t>
      </w:r>
      <w:r w:rsidRPr="00C122F0">
        <w:rPr>
          <w:rFonts w:eastAsia="Calibri"/>
          <w:sz w:val="20"/>
          <w:szCs w:val="20"/>
          <w:lang w:val="es-MX"/>
        </w:rPr>
        <w:t>a) Los fondos ingresen al país para su acreditación en cuentas en moneda extranjera de titularidad del cliente en entidades financieras locales</w:t>
      </w:r>
      <w:r>
        <w:rPr>
          <w:rFonts w:eastAsia="Calibri"/>
          <w:sz w:val="20"/>
          <w:szCs w:val="20"/>
          <w:lang w:val="es-MX"/>
        </w:rPr>
        <w:t>; (</w:t>
      </w:r>
      <w:r w:rsidRPr="00C122F0">
        <w:rPr>
          <w:rFonts w:eastAsia="Calibri"/>
          <w:sz w:val="20"/>
          <w:szCs w:val="20"/>
          <w:lang w:val="es-MX"/>
        </w:rPr>
        <w:t xml:space="preserve">b) El ingreso se efectúe dentro del plazo para la liquidación de los fondos en el </w:t>
      </w:r>
      <w:r>
        <w:rPr>
          <w:rFonts w:eastAsia="Calibri"/>
          <w:sz w:val="20"/>
          <w:szCs w:val="20"/>
          <w:lang w:val="es-MX"/>
        </w:rPr>
        <w:t>MLC</w:t>
      </w:r>
      <w:r w:rsidRPr="00C122F0">
        <w:rPr>
          <w:rFonts w:eastAsia="Calibri"/>
          <w:sz w:val="20"/>
          <w:szCs w:val="20"/>
          <w:lang w:val="es-MX"/>
        </w:rPr>
        <w:t xml:space="preserve"> que pueda ser aplicable a la operación</w:t>
      </w:r>
      <w:r>
        <w:rPr>
          <w:rFonts w:eastAsia="Calibri"/>
          <w:sz w:val="20"/>
          <w:szCs w:val="20"/>
          <w:lang w:val="es-MX"/>
        </w:rPr>
        <w:t>; (</w:t>
      </w:r>
      <w:r w:rsidRPr="00C122F0">
        <w:rPr>
          <w:rFonts w:eastAsia="Calibri"/>
          <w:sz w:val="20"/>
          <w:szCs w:val="20"/>
          <w:lang w:val="es-MX"/>
        </w:rPr>
        <w:t xml:space="preserve">c) Los fondos en moneda extranjera se apliquen de manera simultánea a operaciones por las cuales la normativa cambiaria vigente permite el acceso al </w:t>
      </w:r>
      <w:r>
        <w:rPr>
          <w:rFonts w:eastAsia="Calibri"/>
          <w:sz w:val="20"/>
          <w:szCs w:val="20"/>
          <w:lang w:val="es-MX"/>
        </w:rPr>
        <w:t>MLC</w:t>
      </w:r>
      <w:r w:rsidRPr="00C122F0">
        <w:rPr>
          <w:rFonts w:eastAsia="Calibri"/>
          <w:sz w:val="20"/>
          <w:szCs w:val="20"/>
          <w:lang w:val="es-MX"/>
        </w:rPr>
        <w:t xml:space="preserve"> contra moneda local, considerando los límites previstos para cada concepto involucrado</w:t>
      </w:r>
      <w:r>
        <w:rPr>
          <w:rFonts w:eastAsia="Calibri"/>
          <w:sz w:val="20"/>
          <w:szCs w:val="20"/>
          <w:lang w:val="es-MX"/>
        </w:rPr>
        <w:t xml:space="preserve"> - </w:t>
      </w:r>
      <w:r w:rsidRPr="00C122F0">
        <w:rPr>
          <w:rFonts w:eastAsia="Calibri"/>
          <w:sz w:val="20"/>
          <w:szCs w:val="20"/>
          <w:lang w:val="es-MX"/>
        </w:rPr>
        <w:t>Si el ingreso correspondiese a nueva deuda financiera con el exterior y el destino fuese la precancelación de deuda local en moneda extranjera con una entidad financiera, la nueva deuda con el exterior deberá tener una vida promedio mayor a la que se precancela con la entidad local</w:t>
      </w:r>
      <w:r>
        <w:rPr>
          <w:rFonts w:eastAsia="Calibri"/>
          <w:sz w:val="20"/>
          <w:szCs w:val="20"/>
          <w:lang w:val="es-MX"/>
        </w:rPr>
        <w:t xml:space="preserve"> – y (</w:t>
      </w:r>
      <w:r w:rsidRPr="00C122F0">
        <w:rPr>
          <w:rFonts w:eastAsia="Calibri"/>
          <w:sz w:val="20"/>
          <w:szCs w:val="20"/>
          <w:lang w:val="es-MX"/>
        </w:rPr>
        <w:t>d) La utilización de este mecanismo resulte neutro en materia fiscal.</w:t>
      </w:r>
      <w:r>
        <w:rPr>
          <w:rFonts w:eastAsia="Calibri"/>
          <w:sz w:val="20"/>
          <w:szCs w:val="20"/>
          <w:lang w:val="es-MX"/>
        </w:rPr>
        <w:t xml:space="preserve"> </w:t>
      </w:r>
    </w:p>
    <w:p w:rsidR="009C7BB8" w:rsidRPr="00C122F0" w:rsidRDefault="009C7BB8" w:rsidP="009C7BB8">
      <w:pPr>
        <w:spacing w:line="240" w:lineRule="atLeast"/>
        <w:jc w:val="both"/>
        <w:rPr>
          <w:rFonts w:eastAsia="Calibri"/>
          <w:sz w:val="20"/>
          <w:szCs w:val="20"/>
          <w:lang w:val="es-MX"/>
        </w:rPr>
      </w:pPr>
    </w:p>
    <w:p w:rsidR="009C7BB8" w:rsidRDefault="009C7BB8" w:rsidP="009C7BB8">
      <w:pPr>
        <w:spacing w:line="240" w:lineRule="atLeast"/>
        <w:jc w:val="both"/>
        <w:rPr>
          <w:rFonts w:eastAsia="Calibri"/>
          <w:sz w:val="20"/>
          <w:szCs w:val="20"/>
          <w:lang w:val="es-MX"/>
        </w:rPr>
      </w:pPr>
      <w:r w:rsidRPr="00C122F0">
        <w:rPr>
          <w:rFonts w:eastAsia="Calibri"/>
          <w:sz w:val="20"/>
          <w:szCs w:val="20"/>
          <w:lang w:val="es-MX"/>
        </w:rPr>
        <w:t>A los efectos del registro de estas operaciones se deberán confeccionar dos boletos sin movimiento de pesos, por los conceptos de compra y venta que correspondan, computándose el monto por el cual se utiliza este mecanismo a los efectos de los límites mensuales que pudieran ser aplicables según el caso.</w:t>
      </w:r>
      <w:r>
        <w:rPr>
          <w:rFonts w:eastAsia="Calibri"/>
          <w:sz w:val="20"/>
          <w:szCs w:val="20"/>
          <w:lang w:val="es-MX"/>
        </w:rPr>
        <w:t xml:space="preserve"> </w:t>
      </w:r>
      <w:r w:rsidRPr="00C122F0">
        <w:rPr>
          <w:rFonts w:eastAsia="Calibri"/>
          <w:sz w:val="20"/>
          <w:szCs w:val="20"/>
          <w:lang w:val="es-MX"/>
        </w:rPr>
        <w:t>En todos los casos se debe contar con una declaración jurada del cliente en la que deja constancia de tener conocimiento de que los fondos que se aplican bajo esta modalidad serán computados a los efectos del cálculo de los límites que normativamente correspondan al concepto de venta de cambio que corresponda y que no los excede.</w:t>
      </w:r>
      <w:r>
        <w:rPr>
          <w:rFonts w:eastAsia="Calibri"/>
          <w:sz w:val="20"/>
          <w:szCs w:val="20"/>
          <w:lang w:val="es-MX"/>
        </w:rPr>
        <w:t xml:space="preserve"> </w:t>
      </w:r>
      <w:r w:rsidRPr="00C122F0">
        <w:rPr>
          <w:rFonts w:eastAsia="Calibri"/>
          <w:sz w:val="20"/>
          <w:szCs w:val="20"/>
          <w:lang w:val="es-MX"/>
        </w:rPr>
        <w:t>La entidad interviniente deberá evaluar la razonabilidad y los requisitos normativos de la operatoria.</w:t>
      </w:r>
    </w:p>
    <w:p w:rsidR="003233F9" w:rsidRPr="009C7BB8" w:rsidRDefault="003233F9" w:rsidP="003233F9">
      <w:pPr>
        <w:jc w:val="both"/>
        <w:rPr>
          <w:bCs/>
          <w:sz w:val="20"/>
          <w:szCs w:val="20"/>
          <w:lang w:val="es-MX"/>
        </w:rPr>
      </w:pPr>
    </w:p>
    <w:p w:rsidR="003233F9" w:rsidRPr="00251FDB" w:rsidRDefault="003233F9" w:rsidP="003233F9">
      <w:pPr>
        <w:jc w:val="both"/>
        <w:rPr>
          <w:b/>
          <w:bCs/>
          <w:sz w:val="20"/>
          <w:szCs w:val="20"/>
          <w:lang w:val="es-AR"/>
        </w:rPr>
      </w:pPr>
      <w:r w:rsidRPr="00251FDB">
        <w:rPr>
          <w:b/>
          <w:bCs/>
          <w:sz w:val="20"/>
          <w:szCs w:val="20"/>
          <w:lang w:val="es-AR"/>
        </w:rPr>
        <w:t>b) Carga Tributaria</w:t>
      </w:r>
    </w:p>
    <w:p w:rsidR="008F68A9" w:rsidRPr="00251FDB" w:rsidRDefault="008F68A9" w:rsidP="003233F9">
      <w:pPr>
        <w:jc w:val="both"/>
        <w:rPr>
          <w:bCs/>
          <w:sz w:val="20"/>
          <w:szCs w:val="20"/>
          <w:lang w:val="es-AR"/>
        </w:rPr>
      </w:pPr>
    </w:p>
    <w:p w:rsidR="008F68A9" w:rsidRPr="00251FDB" w:rsidRDefault="008F68A9" w:rsidP="008F68A9">
      <w:pPr>
        <w:jc w:val="both"/>
        <w:rPr>
          <w:bCs/>
          <w:sz w:val="20"/>
          <w:szCs w:val="20"/>
          <w:lang w:val="es-AR"/>
        </w:rPr>
      </w:pPr>
      <w:r w:rsidRPr="00251FDB">
        <w:rPr>
          <w:sz w:val="20"/>
          <w:szCs w:val="20"/>
          <w:lang w:val="es-MX"/>
        </w:rPr>
        <w:t xml:space="preserve">Argentina ha celebrado convenios para evitar la doble imposición con varios países (Alemania, Australia, Bélgica, Bolivia, Brasil, Canadá, Chile, Dinamarca, Emiratos Árabes Unidos, España, Finlandia, Francia, Italia, México, Noruega, Países Bajos, Reino Unido, Rusia, Suecia, Suiza y Uruguay). Los convenios firmados con los Emiratos Árabes Unidos y Qatar no han entrado en vigor por estar aún pendiente el cumplimiento de los requisitos previstos en las respectivas legislaciones internas. Actualmente no existe ningún convenio en vigencia entre Argentina y los Estados Unidos. </w:t>
      </w:r>
      <w:r w:rsidRPr="00251FDB">
        <w:rPr>
          <w:bCs/>
          <w:sz w:val="20"/>
          <w:szCs w:val="20"/>
          <w:lang w:val="es-AR"/>
        </w:rPr>
        <w:t xml:space="preserve">Actualmente no existe ningún convenio en vigencia entre Argentina y los Estados Unidos. </w:t>
      </w:r>
      <w:r w:rsidRPr="00251FDB">
        <w:rPr>
          <w:sz w:val="20"/>
          <w:szCs w:val="20"/>
          <w:lang w:val="es-ES_tradnl"/>
        </w:rPr>
        <w:t xml:space="preserve">Para más información respecto del tratamiento impositivo en Argentina aplicable a los titulares de Obligaciones Negociables véase la sección: </w:t>
      </w:r>
      <w:r w:rsidRPr="00251FDB">
        <w:rPr>
          <w:bCs/>
          <w:sz w:val="20"/>
          <w:szCs w:val="20"/>
          <w:lang w:val="es-AR"/>
        </w:rPr>
        <w:t>“</w:t>
      </w:r>
      <w:r w:rsidRPr="00251FDB">
        <w:rPr>
          <w:bCs/>
          <w:i/>
          <w:sz w:val="20"/>
          <w:szCs w:val="20"/>
          <w:lang w:val="es-AR"/>
        </w:rPr>
        <w:t>Información Adicional—e) Carga Tributaria</w:t>
      </w:r>
      <w:r w:rsidRPr="00251FDB">
        <w:rPr>
          <w:bCs/>
          <w:sz w:val="20"/>
          <w:szCs w:val="20"/>
          <w:lang w:val="es-AR"/>
        </w:rPr>
        <w:t>”, en el Prospecto.</w:t>
      </w:r>
    </w:p>
    <w:p w:rsidR="008F68A9" w:rsidRPr="00251FDB" w:rsidRDefault="008F68A9" w:rsidP="008F68A9">
      <w:pPr>
        <w:ind w:right="51"/>
        <w:jc w:val="both"/>
        <w:rPr>
          <w:sz w:val="20"/>
          <w:szCs w:val="20"/>
          <w:lang w:val="es-AR"/>
        </w:rPr>
      </w:pPr>
    </w:p>
    <w:p w:rsidR="003233F9" w:rsidRPr="00251FDB" w:rsidRDefault="00235EAC" w:rsidP="00235EAC">
      <w:pPr>
        <w:jc w:val="both"/>
        <w:rPr>
          <w:b/>
          <w:bCs/>
          <w:sz w:val="20"/>
          <w:szCs w:val="20"/>
          <w:lang w:val="es-AR"/>
        </w:rPr>
      </w:pPr>
      <w:r w:rsidRPr="00251FDB">
        <w:rPr>
          <w:b/>
          <w:bCs/>
          <w:sz w:val="20"/>
          <w:szCs w:val="20"/>
          <w:lang w:val="es-AR"/>
        </w:rPr>
        <w:t>c) Documentos a Disposición</w:t>
      </w:r>
    </w:p>
    <w:p w:rsidR="00567A4C" w:rsidRPr="00251FDB" w:rsidRDefault="00567A4C" w:rsidP="003233F9">
      <w:pPr>
        <w:widowControl w:val="0"/>
        <w:jc w:val="both"/>
        <w:outlineLvl w:val="0"/>
        <w:rPr>
          <w:sz w:val="20"/>
          <w:szCs w:val="20"/>
          <w:lang w:val="es-AR"/>
        </w:rPr>
      </w:pPr>
    </w:p>
    <w:p w:rsidR="00567A4C" w:rsidRPr="00251FDB" w:rsidRDefault="00567A4C" w:rsidP="009B26F9">
      <w:pPr>
        <w:spacing w:line="240" w:lineRule="atLeast"/>
        <w:jc w:val="both"/>
        <w:rPr>
          <w:sz w:val="20"/>
          <w:szCs w:val="20"/>
          <w:lang w:val="es-ES"/>
        </w:rPr>
      </w:pPr>
      <w:r w:rsidRPr="00251FDB">
        <w:rPr>
          <w:sz w:val="20"/>
          <w:szCs w:val="20"/>
          <w:lang w:val="es-ES"/>
        </w:rPr>
        <w:t>Los inversores interesados en obtener una copia del Prospecto, del presente Suplemento de Precio, y de los Estados Contables de</w:t>
      </w:r>
      <w:r w:rsidR="0082634E">
        <w:rPr>
          <w:sz w:val="20"/>
          <w:szCs w:val="20"/>
          <w:lang w:val="es-ES"/>
        </w:rPr>
        <w:t>l Emisor</w:t>
      </w:r>
      <w:r w:rsidRPr="00251FDB">
        <w:rPr>
          <w:sz w:val="20"/>
          <w:szCs w:val="20"/>
          <w:lang w:val="es-ES"/>
        </w:rPr>
        <w:t>, podrán retirarla en las oficinas de</w:t>
      </w:r>
      <w:r w:rsidR="0082634E">
        <w:rPr>
          <w:sz w:val="20"/>
          <w:szCs w:val="20"/>
          <w:lang w:val="es-ES"/>
        </w:rPr>
        <w:t xml:space="preserve"> los Colocadores detalladas en la última página del presente Suplemento de Precio</w:t>
      </w:r>
      <w:r w:rsidRPr="00251FDB">
        <w:rPr>
          <w:sz w:val="20"/>
          <w:szCs w:val="20"/>
          <w:lang w:val="es-ES"/>
        </w:rPr>
        <w:t>, así como también en la sede social del Emisor sita en La Tablada 451 (X5000FEK), Ciudad de Córdoba, Provincia de Córdoba</w:t>
      </w:r>
      <w:r w:rsidR="00E870AA">
        <w:rPr>
          <w:sz w:val="20"/>
          <w:szCs w:val="20"/>
          <w:lang w:val="es-ES"/>
        </w:rPr>
        <w:t>, siempre que no hubiese impedimentos en virtud de lo descripto en la sección “</w:t>
      </w:r>
      <w:r w:rsidR="00E870AA" w:rsidRPr="009B26F9">
        <w:rPr>
          <w:bCs/>
          <w:i/>
          <w:iCs/>
          <w:sz w:val="20"/>
          <w:szCs w:val="20"/>
          <w:lang w:val="es-AR"/>
        </w:rPr>
        <w:t>Novedades normativas en relación con el nuevo coronavirus COVID-19</w:t>
      </w:r>
      <w:r w:rsidR="00E870AA">
        <w:rPr>
          <w:bCs/>
          <w:i/>
          <w:iCs/>
          <w:sz w:val="20"/>
          <w:szCs w:val="20"/>
          <w:lang w:val="es-AR"/>
        </w:rPr>
        <w:t xml:space="preserve">” </w:t>
      </w:r>
      <w:r w:rsidR="00E870AA">
        <w:rPr>
          <w:bCs/>
          <w:sz w:val="20"/>
          <w:szCs w:val="20"/>
          <w:lang w:val="es-AR"/>
        </w:rPr>
        <w:t>del presente</w:t>
      </w:r>
      <w:r w:rsidRPr="00251FDB">
        <w:rPr>
          <w:sz w:val="20"/>
          <w:szCs w:val="20"/>
          <w:lang w:val="es-ES"/>
        </w:rPr>
        <w:t>. Asimismo, el Prospecto, el Suplemento de Precio, y los estados contables de</w:t>
      </w:r>
      <w:r w:rsidR="00E616BF">
        <w:rPr>
          <w:sz w:val="20"/>
          <w:szCs w:val="20"/>
          <w:lang w:val="es-ES"/>
        </w:rPr>
        <w:t>l</w:t>
      </w:r>
      <w:r w:rsidRPr="00251FDB">
        <w:rPr>
          <w:sz w:val="20"/>
          <w:szCs w:val="20"/>
          <w:lang w:val="es-ES"/>
        </w:rPr>
        <w:t xml:space="preserve"> </w:t>
      </w:r>
      <w:r w:rsidR="0082634E">
        <w:rPr>
          <w:sz w:val="20"/>
          <w:szCs w:val="20"/>
          <w:lang w:val="es-ES"/>
        </w:rPr>
        <w:t>Emisor</w:t>
      </w:r>
      <w:r w:rsidR="0082634E" w:rsidRPr="00251FDB">
        <w:rPr>
          <w:sz w:val="20"/>
          <w:szCs w:val="20"/>
          <w:lang w:val="es-ES"/>
        </w:rPr>
        <w:t xml:space="preserve"> </w:t>
      </w:r>
      <w:r w:rsidRPr="00251FDB">
        <w:rPr>
          <w:sz w:val="20"/>
          <w:szCs w:val="20"/>
          <w:lang w:val="es-ES"/>
        </w:rPr>
        <w:t>se encuentran publicados en la Página Web de la CNV y en el Sitio Web Institucional.</w:t>
      </w:r>
    </w:p>
    <w:p w:rsidR="009E3197" w:rsidRPr="00251FDB" w:rsidRDefault="009E3197" w:rsidP="003233F9">
      <w:pPr>
        <w:widowControl w:val="0"/>
        <w:jc w:val="both"/>
        <w:outlineLvl w:val="0"/>
        <w:rPr>
          <w:sz w:val="20"/>
          <w:szCs w:val="20"/>
          <w:lang w:val="es-AR"/>
        </w:rPr>
      </w:pPr>
    </w:p>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3"/>
    <w:bookmarkEnd w:id="94"/>
    <w:bookmarkEnd w:id="95"/>
    <w:bookmarkEnd w:id="96"/>
    <w:p w:rsidR="009E3197" w:rsidRPr="00251FDB" w:rsidRDefault="009E3197" w:rsidP="00C04C7C">
      <w:pPr>
        <w:widowControl w:val="0"/>
        <w:jc w:val="both"/>
        <w:outlineLvl w:val="0"/>
        <w:rPr>
          <w:smallCaps/>
          <w:sz w:val="20"/>
          <w:szCs w:val="20"/>
          <w:lang w:val="es-AR"/>
        </w:rPr>
      </w:pPr>
    </w:p>
    <w:p w:rsidR="00ED11F8" w:rsidRPr="00251FDB" w:rsidRDefault="00ED11F8">
      <w:pPr>
        <w:spacing w:after="200" w:line="276" w:lineRule="auto"/>
        <w:jc w:val="left"/>
        <w:rPr>
          <w:b/>
          <w:smallCaps/>
          <w:sz w:val="20"/>
          <w:szCs w:val="20"/>
          <w:lang w:val="es-ES"/>
        </w:rPr>
      </w:pPr>
      <w:r w:rsidRPr="00251FDB">
        <w:rPr>
          <w:b/>
          <w:smallCaps/>
          <w:sz w:val="20"/>
          <w:szCs w:val="20"/>
          <w:lang w:val="es-ES"/>
        </w:rPr>
        <w:br w:type="page"/>
      </w:r>
    </w:p>
    <w:p w:rsidR="00D50756" w:rsidRPr="00251FDB" w:rsidRDefault="00D50756" w:rsidP="00D50756">
      <w:pPr>
        <w:widowControl w:val="0"/>
        <w:jc w:val="both"/>
        <w:outlineLvl w:val="0"/>
        <w:rPr>
          <w:b/>
          <w:smallCaps/>
          <w:sz w:val="20"/>
          <w:szCs w:val="20"/>
          <w:lang w:val="es-ES"/>
        </w:rPr>
      </w:pPr>
    </w:p>
    <w:p w:rsidR="00D50756" w:rsidRPr="00251FDB" w:rsidRDefault="00D50756" w:rsidP="00B3470F">
      <w:pPr>
        <w:widowControl w:val="0"/>
        <w:outlineLvl w:val="0"/>
        <w:rPr>
          <w:b/>
          <w:smallCaps/>
          <w:sz w:val="20"/>
          <w:szCs w:val="20"/>
          <w:lang w:val="es-ES"/>
        </w:rPr>
      </w:pPr>
    </w:p>
    <w:p w:rsidR="00ED11F8" w:rsidRPr="00251FDB" w:rsidRDefault="00ED11F8" w:rsidP="00B3470F">
      <w:pPr>
        <w:widowControl w:val="0"/>
        <w:outlineLvl w:val="0"/>
        <w:rPr>
          <w:b/>
          <w:smallCaps/>
          <w:sz w:val="20"/>
          <w:szCs w:val="20"/>
          <w:lang w:val="es-ES"/>
        </w:rPr>
      </w:pPr>
    </w:p>
    <w:p w:rsidR="00D50756" w:rsidRPr="00251FDB" w:rsidRDefault="00197B11" w:rsidP="00B70AD6">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lang w:val="es-AR"/>
        </w:rPr>
      </w:pPr>
      <w:r w:rsidRPr="00251FDB">
        <w:rPr>
          <w:b/>
          <w:smallCaps/>
          <w:lang w:val="es-AR"/>
        </w:rPr>
        <w:t>Emisor</w:t>
      </w:r>
    </w:p>
    <w:p w:rsidR="00197B11" w:rsidRPr="00251FDB" w:rsidRDefault="00197B11" w:rsidP="00DF431E">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lang w:val="es-AR"/>
        </w:rPr>
      </w:pPr>
    </w:p>
    <w:p w:rsidR="00D50756" w:rsidRPr="00251FDB" w:rsidRDefault="00D50756" w:rsidP="00D169E5">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lang w:val="es-AR"/>
        </w:rPr>
      </w:pPr>
      <w:r w:rsidRPr="00251FDB">
        <w:rPr>
          <w:b/>
          <w:lang w:val="es-AR"/>
        </w:rPr>
        <w:t>Tarjeta Naranja S.A.</w:t>
      </w:r>
    </w:p>
    <w:p w:rsidR="00D50756" w:rsidRPr="00251FDB" w:rsidRDefault="007853E1">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lang w:val="es-AR"/>
        </w:rPr>
      </w:pPr>
      <w:r w:rsidRPr="00251FDB">
        <w:rPr>
          <w:lang w:val="es-AR"/>
        </w:rPr>
        <w:t xml:space="preserve">La </w:t>
      </w:r>
      <w:r w:rsidR="00D50756" w:rsidRPr="00251FDB">
        <w:rPr>
          <w:lang w:val="es-AR"/>
        </w:rPr>
        <w:t>Tablada 451 (X5000FEK)</w:t>
      </w:r>
    </w:p>
    <w:p w:rsidR="00D50756" w:rsidRDefault="00D50756">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lang w:val="es-AR"/>
        </w:rPr>
      </w:pPr>
      <w:r w:rsidRPr="00251FDB">
        <w:rPr>
          <w:lang w:val="es-AR"/>
        </w:rPr>
        <w:t>Ciudad de Córdoba, Provincia de Córdoba</w:t>
      </w:r>
    </w:p>
    <w:p w:rsidR="00A84257" w:rsidRPr="00251FDB" w:rsidRDefault="00A8425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lang w:val="es-AR"/>
        </w:rPr>
      </w:pPr>
      <w:r>
        <w:rPr>
          <w:lang w:val="es-AR"/>
        </w:rPr>
        <w:t>Argentina</w:t>
      </w:r>
    </w:p>
    <w:p w:rsidR="00567A4C" w:rsidRDefault="00567A4C" w:rsidP="00D50756">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lang w:val="es-AR"/>
        </w:rPr>
      </w:pPr>
    </w:p>
    <w:p w:rsidR="00A84257" w:rsidRPr="00251FDB" w:rsidRDefault="00A84257" w:rsidP="00D50756">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lang w:val="es-AR"/>
        </w:rPr>
      </w:pPr>
    </w:p>
    <w:p w:rsidR="004F13C2" w:rsidRDefault="00A8425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lang w:val="es-AR"/>
        </w:rPr>
      </w:pPr>
      <w:r>
        <w:rPr>
          <w:b/>
          <w:smallCaps/>
          <w:lang w:val="es-AR"/>
        </w:rPr>
        <w:t>Colocadores</w:t>
      </w:r>
    </w:p>
    <w:p w:rsidR="00A84257" w:rsidRDefault="00A8425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lang w:val="es-AR"/>
        </w:rPr>
      </w:pPr>
    </w:p>
    <w:p w:rsidR="00A84257" w:rsidRDefault="00A8425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lang w:val="es-AR"/>
        </w:rPr>
      </w:pPr>
    </w:p>
    <w:tbl>
      <w:tblPr>
        <w:tblStyle w:val="Tablaconcuadrcula"/>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8"/>
        <w:gridCol w:w="3127"/>
        <w:gridCol w:w="3118"/>
      </w:tblGrid>
      <w:tr w:rsidR="00A84257" w:rsidRPr="00291761" w:rsidTr="009B26F9">
        <w:trPr>
          <w:jc w:val="center"/>
        </w:trPr>
        <w:tc>
          <w:tcPr>
            <w:tcW w:w="3678" w:type="dxa"/>
          </w:tcPr>
          <w:p w:rsidR="00A84257" w:rsidRPr="00EA1080" w:rsidRDefault="00A84257" w:rsidP="00291761">
            <w:pPr>
              <w:widowControl w:val="0"/>
              <w:rPr>
                <w:rFonts w:eastAsiaTheme="minorHAnsi"/>
                <w:b/>
                <w:sz w:val="20"/>
                <w:szCs w:val="20"/>
                <w:lang w:val="es-ES"/>
              </w:rPr>
            </w:pPr>
            <w:r w:rsidRPr="00EA1080">
              <w:rPr>
                <w:rFonts w:eastAsiaTheme="minorHAnsi"/>
                <w:b/>
                <w:sz w:val="20"/>
                <w:szCs w:val="20"/>
                <w:lang w:val="es-ES"/>
              </w:rPr>
              <w:t>Banco de Galicia y Buenos Aires S.A.U.</w:t>
            </w:r>
          </w:p>
          <w:p w:rsidR="00A84257" w:rsidRPr="00EA1080" w:rsidRDefault="00A84257" w:rsidP="00A84257">
            <w:pPr>
              <w:widowControl w:val="0"/>
              <w:rPr>
                <w:rFonts w:eastAsiaTheme="minorHAnsi"/>
                <w:sz w:val="20"/>
                <w:szCs w:val="20"/>
                <w:lang w:val="es-AR"/>
              </w:rPr>
            </w:pPr>
            <w:r w:rsidRPr="00A84257">
              <w:rPr>
                <w:rFonts w:eastAsiaTheme="minorHAnsi"/>
                <w:sz w:val="20"/>
                <w:szCs w:val="20"/>
                <w:lang w:val="es-ES"/>
              </w:rPr>
              <w:t>Tte. Gral. Juan Domingo Perón 430</w:t>
            </w:r>
            <w:r>
              <w:rPr>
                <w:rFonts w:eastAsiaTheme="minorHAnsi"/>
                <w:sz w:val="20"/>
                <w:szCs w:val="20"/>
                <w:lang w:val="es-ES"/>
              </w:rPr>
              <w:t xml:space="preserve"> (</w:t>
            </w:r>
            <w:r w:rsidRPr="00A84257">
              <w:rPr>
                <w:rFonts w:eastAsiaTheme="minorHAnsi"/>
                <w:sz w:val="20"/>
                <w:szCs w:val="20"/>
                <w:lang w:val="es-ES"/>
              </w:rPr>
              <w:t>C1038AAJ</w:t>
            </w:r>
            <w:r>
              <w:rPr>
                <w:rFonts w:eastAsiaTheme="minorHAnsi"/>
                <w:sz w:val="20"/>
                <w:szCs w:val="20"/>
                <w:lang w:val="es-ES"/>
              </w:rPr>
              <w:t>)</w:t>
            </w:r>
          </w:p>
          <w:p w:rsidR="00A84257" w:rsidRPr="00A84257" w:rsidRDefault="00A84257" w:rsidP="00A84257">
            <w:pPr>
              <w:widowControl w:val="0"/>
              <w:rPr>
                <w:rFonts w:eastAsiaTheme="minorHAnsi"/>
                <w:sz w:val="20"/>
                <w:szCs w:val="20"/>
                <w:lang w:val="es-ES"/>
              </w:rPr>
            </w:pPr>
            <w:r w:rsidRPr="00A84257">
              <w:rPr>
                <w:rFonts w:eastAsiaTheme="minorHAnsi"/>
                <w:sz w:val="20"/>
                <w:szCs w:val="20"/>
                <w:lang w:val="es-ES"/>
              </w:rPr>
              <w:t>Ciudad Autónoma de Buenos Aires</w:t>
            </w:r>
          </w:p>
          <w:p w:rsidR="00A84257" w:rsidRPr="00EA1080" w:rsidRDefault="00A84257" w:rsidP="00A84257">
            <w:pPr>
              <w:widowControl w:val="0"/>
              <w:rPr>
                <w:rFonts w:eastAsiaTheme="minorHAnsi"/>
                <w:sz w:val="20"/>
                <w:szCs w:val="20"/>
                <w:lang w:val="es-AR"/>
              </w:rPr>
            </w:pPr>
            <w:r w:rsidRPr="00A84257">
              <w:rPr>
                <w:rFonts w:eastAsiaTheme="minorHAnsi"/>
                <w:sz w:val="20"/>
                <w:szCs w:val="20"/>
                <w:lang w:val="es-ES"/>
              </w:rPr>
              <w:t>Argentina</w:t>
            </w:r>
          </w:p>
        </w:tc>
        <w:tc>
          <w:tcPr>
            <w:tcW w:w="3127" w:type="dxa"/>
          </w:tcPr>
          <w:p w:rsidR="00A84257" w:rsidRPr="00EA1080" w:rsidRDefault="00A84257" w:rsidP="00291761">
            <w:pPr>
              <w:widowControl w:val="0"/>
              <w:rPr>
                <w:b/>
                <w:sz w:val="20"/>
                <w:szCs w:val="20"/>
                <w:lang w:val="es-AR"/>
              </w:rPr>
            </w:pPr>
            <w:r w:rsidRPr="00EA1080">
              <w:rPr>
                <w:b/>
                <w:sz w:val="20"/>
                <w:szCs w:val="20"/>
                <w:lang w:val="es-AR"/>
              </w:rPr>
              <w:t xml:space="preserve">Macro </w:t>
            </w:r>
            <w:r w:rsidR="00E370DE">
              <w:rPr>
                <w:b/>
                <w:sz w:val="20"/>
                <w:szCs w:val="20"/>
                <w:lang w:val="es-AR"/>
              </w:rPr>
              <w:t xml:space="preserve">Securities </w:t>
            </w:r>
            <w:r w:rsidRPr="00EA1080">
              <w:rPr>
                <w:b/>
                <w:sz w:val="20"/>
                <w:szCs w:val="20"/>
                <w:lang w:val="es-AR"/>
              </w:rPr>
              <w:t xml:space="preserve">S.A. </w:t>
            </w:r>
          </w:p>
          <w:p w:rsidR="00A84257" w:rsidRPr="00A84257" w:rsidRDefault="00A84257" w:rsidP="00A84257">
            <w:pPr>
              <w:widowControl w:val="0"/>
              <w:rPr>
                <w:sz w:val="20"/>
                <w:szCs w:val="20"/>
                <w:lang w:val="es-AR"/>
              </w:rPr>
            </w:pPr>
            <w:r w:rsidRPr="00A84257">
              <w:rPr>
                <w:sz w:val="20"/>
                <w:szCs w:val="20"/>
                <w:lang w:val="es-AR"/>
              </w:rPr>
              <w:t>Avenida Eduardo Madero 1182</w:t>
            </w:r>
          </w:p>
          <w:p w:rsidR="00A84257" w:rsidRPr="00A84257" w:rsidRDefault="00A84257" w:rsidP="00A84257">
            <w:pPr>
              <w:widowControl w:val="0"/>
              <w:rPr>
                <w:sz w:val="20"/>
                <w:szCs w:val="20"/>
                <w:lang w:val="es-AR"/>
              </w:rPr>
            </w:pPr>
            <w:r w:rsidRPr="00A84257">
              <w:rPr>
                <w:sz w:val="20"/>
                <w:szCs w:val="20"/>
                <w:lang w:val="es-AR"/>
              </w:rPr>
              <w:t>(C1106ACY)</w:t>
            </w:r>
          </w:p>
          <w:p w:rsidR="00A84257" w:rsidRDefault="00A84257" w:rsidP="00A84257">
            <w:pPr>
              <w:widowControl w:val="0"/>
              <w:rPr>
                <w:sz w:val="20"/>
                <w:szCs w:val="20"/>
                <w:lang w:val="es-AR"/>
              </w:rPr>
            </w:pPr>
            <w:r w:rsidRPr="00A84257">
              <w:rPr>
                <w:sz w:val="20"/>
                <w:szCs w:val="20"/>
                <w:lang w:val="es-AR"/>
              </w:rPr>
              <w:t>Ciudad Autónoma de Buenos Aires</w:t>
            </w:r>
          </w:p>
          <w:p w:rsidR="00A84257" w:rsidRPr="00EA1080" w:rsidRDefault="00A84257" w:rsidP="00A84257">
            <w:pPr>
              <w:widowControl w:val="0"/>
              <w:rPr>
                <w:rFonts w:eastAsiaTheme="minorHAnsi"/>
                <w:sz w:val="20"/>
                <w:szCs w:val="20"/>
                <w:lang w:val="es-AR"/>
              </w:rPr>
            </w:pPr>
            <w:r>
              <w:rPr>
                <w:sz w:val="20"/>
                <w:szCs w:val="20"/>
                <w:lang w:val="es-AR"/>
              </w:rPr>
              <w:t>Argentina</w:t>
            </w:r>
          </w:p>
        </w:tc>
        <w:tc>
          <w:tcPr>
            <w:tcW w:w="3118" w:type="dxa"/>
          </w:tcPr>
          <w:p w:rsidR="00A84257" w:rsidRPr="00EA1080" w:rsidRDefault="00A84257" w:rsidP="00291761">
            <w:pPr>
              <w:widowControl w:val="0"/>
              <w:rPr>
                <w:b/>
                <w:sz w:val="20"/>
                <w:szCs w:val="20"/>
                <w:lang w:val="es-AR"/>
              </w:rPr>
            </w:pPr>
            <w:r w:rsidRPr="00EA1080">
              <w:rPr>
                <w:b/>
                <w:sz w:val="20"/>
                <w:szCs w:val="20"/>
                <w:lang w:val="es-AR"/>
              </w:rPr>
              <w:t>Banco Santander Río S.A.</w:t>
            </w:r>
          </w:p>
          <w:p w:rsidR="00A84257" w:rsidRPr="00EA1080" w:rsidRDefault="00A84257" w:rsidP="00A84257">
            <w:pPr>
              <w:widowControl w:val="0"/>
              <w:rPr>
                <w:sz w:val="20"/>
                <w:szCs w:val="20"/>
                <w:lang w:val="es-AR"/>
              </w:rPr>
            </w:pPr>
            <w:r w:rsidRPr="00EA1080">
              <w:rPr>
                <w:sz w:val="20"/>
                <w:szCs w:val="20"/>
                <w:lang w:val="es-AR"/>
              </w:rPr>
              <w:t>Av. Juan de Garay 151</w:t>
            </w:r>
          </w:p>
          <w:p w:rsidR="00A84257" w:rsidRPr="00EA1080" w:rsidRDefault="00A84257" w:rsidP="00A84257">
            <w:pPr>
              <w:widowControl w:val="0"/>
              <w:rPr>
                <w:sz w:val="20"/>
                <w:szCs w:val="20"/>
                <w:lang w:val="es-AR"/>
              </w:rPr>
            </w:pPr>
            <w:r w:rsidRPr="00EA1080">
              <w:rPr>
                <w:sz w:val="20"/>
                <w:szCs w:val="20"/>
                <w:lang w:val="es-AR"/>
              </w:rPr>
              <w:t>(</w:t>
            </w:r>
            <w:hyperlink r:id="rId13" w:history="1">
              <w:r w:rsidRPr="009B26F9">
                <w:rPr>
                  <w:sz w:val="20"/>
                  <w:szCs w:val="20"/>
                  <w:lang w:val="es-AR"/>
                </w:rPr>
                <w:t>C1063ABB</w:t>
              </w:r>
            </w:hyperlink>
            <w:r w:rsidRPr="00EA1080">
              <w:rPr>
                <w:sz w:val="20"/>
                <w:szCs w:val="20"/>
                <w:lang w:val="es-AR"/>
              </w:rPr>
              <w:t>)</w:t>
            </w:r>
          </w:p>
          <w:p w:rsidR="00A84257" w:rsidRPr="00EA1080" w:rsidRDefault="00A84257" w:rsidP="00A84257">
            <w:pPr>
              <w:widowControl w:val="0"/>
              <w:rPr>
                <w:sz w:val="20"/>
                <w:szCs w:val="20"/>
                <w:lang w:val="es-AR"/>
              </w:rPr>
            </w:pPr>
            <w:r w:rsidRPr="00EA1080">
              <w:rPr>
                <w:sz w:val="20"/>
                <w:szCs w:val="20"/>
                <w:lang w:val="es-AR"/>
              </w:rPr>
              <w:t>Ciudad</w:t>
            </w:r>
            <w:r w:rsidR="00E870AA">
              <w:rPr>
                <w:sz w:val="20"/>
                <w:szCs w:val="20"/>
                <w:lang w:val="es-AR"/>
              </w:rPr>
              <w:t xml:space="preserve"> </w:t>
            </w:r>
            <w:r w:rsidRPr="00EA1080">
              <w:rPr>
                <w:sz w:val="20"/>
                <w:szCs w:val="20"/>
                <w:lang w:val="es-AR"/>
              </w:rPr>
              <w:t>Autónoma de Buenos Aires,</w:t>
            </w:r>
          </w:p>
          <w:p w:rsidR="00A84257" w:rsidRPr="00EA1080" w:rsidRDefault="00A84257" w:rsidP="00A84257">
            <w:pPr>
              <w:widowControl w:val="0"/>
              <w:rPr>
                <w:sz w:val="20"/>
                <w:szCs w:val="20"/>
                <w:lang w:val="es-AR"/>
              </w:rPr>
            </w:pPr>
            <w:r w:rsidRPr="00EA1080">
              <w:rPr>
                <w:sz w:val="20"/>
                <w:szCs w:val="20"/>
                <w:lang w:val="es-AR"/>
              </w:rPr>
              <w:t>Argentina</w:t>
            </w:r>
          </w:p>
        </w:tc>
      </w:tr>
    </w:tbl>
    <w:p w:rsidR="004F13C2" w:rsidRDefault="004F13C2">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lang w:val="es-AR"/>
        </w:rPr>
      </w:pPr>
    </w:p>
    <w:p w:rsidR="00A84257" w:rsidRPr="00251FDB" w:rsidRDefault="00A84257">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lang w:val="es-AR"/>
        </w:rPr>
      </w:pPr>
    </w:p>
    <w:p w:rsidR="00D50756" w:rsidRPr="00251FDB" w:rsidRDefault="00D50756" w:rsidP="00D50756">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lang w:val="es-AR"/>
        </w:rPr>
      </w:pPr>
      <w:r w:rsidRPr="00251FDB">
        <w:rPr>
          <w:b/>
          <w:smallCaps/>
          <w:lang w:val="es-AR"/>
        </w:rPr>
        <w:t>Asesores Legales del Emisor</w:t>
      </w:r>
      <w:r w:rsidR="00570D31" w:rsidRPr="00251FDB">
        <w:rPr>
          <w:b/>
          <w:smallCaps/>
          <w:lang w:val="es-AR"/>
        </w:rPr>
        <w:t xml:space="preserve"> y</w:t>
      </w:r>
      <w:r w:rsidR="00567A4C" w:rsidRPr="00251FDB">
        <w:rPr>
          <w:b/>
          <w:smallCaps/>
          <w:lang w:val="es-AR"/>
        </w:rPr>
        <w:t xml:space="preserve"> del Organizador </w:t>
      </w:r>
    </w:p>
    <w:p w:rsidR="00D50756" w:rsidRPr="00251FDB" w:rsidRDefault="00D50756" w:rsidP="00D50756">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Cs/>
          <w:smallCaps/>
          <w:lang w:val="es-AR"/>
        </w:rPr>
      </w:pPr>
    </w:p>
    <w:p w:rsidR="00D50756" w:rsidRPr="00251FDB" w:rsidRDefault="00D50756" w:rsidP="00D50756">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lang w:val="es-AR"/>
        </w:rPr>
      </w:pPr>
      <w:r w:rsidRPr="00251FDB">
        <w:rPr>
          <w:b/>
          <w:lang w:val="es-AR"/>
        </w:rPr>
        <w:t>Beccar Varela</w:t>
      </w:r>
    </w:p>
    <w:p w:rsidR="00D50756" w:rsidRPr="00251FDB" w:rsidRDefault="00D50756" w:rsidP="00D50756">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lang w:val="es-AR"/>
        </w:rPr>
      </w:pPr>
      <w:r w:rsidRPr="00251FDB">
        <w:rPr>
          <w:bCs/>
          <w:lang w:val="es-AR"/>
        </w:rPr>
        <w:t>Tucumán 1, Piso 4º (C1049AAA)</w:t>
      </w:r>
    </w:p>
    <w:p w:rsidR="00235EAC" w:rsidRDefault="007638F1" w:rsidP="007638F1">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lang w:val="es-AR"/>
        </w:rPr>
      </w:pPr>
      <w:r w:rsidRPr="00251FDB">
        <w:rPr>
          <w:lang w:val="es-AR"/>
        </w:rPr>
        <w:t>Ciudad Autónoma de Buenos Aires</w:t>
      </w:r>
    </w:p>
    <w:p w:rsidR="00A84257" w:rsidRDefault="00A84257" w:rsidP="007638F1">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lang w:val="es-AR"/>
        </w:rPr>
      </w:pPr>
      <w:r>
        <w:rPr>
          <w:lang w:val="es-AR"/>
        </w:rPr>
        <w:t>Argentina</w:t>
      </w:r>
    </w:p>
    <w:p w:rsidR="00E370DE" w:rsidRDefault="00E370DE" w:rsidP="007638F1">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lang w:val="es-AR"/>
        </w:rPr>
      </w:pPr>
    </w:p>
    <w:p w:rsidR="00E370DE" w:rsidRDefault="00E370DE" w:rsidP="007638F1">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lang w:val="es-AR"/>
        </w:rPr>
      </w:pPr>
      <w:r w:rsidRPr="00251FDB">
        <w:rPr>
          <w:b/>
          <w:smallCaps/>
          <w:lang w:val="es-AR"/>
        </w:rPr>
        <w:t>Asesores Legales</w:t>
      </w:r>
      <w:r>
        <w:rPr>
          <w:b/>
          <w:smallCaps/>
          <w:lang w:val="es-AR"/>
        </w:rPr>
        <w:t xml:space="preserve"> de los Colocadores</w:t>
      </w:r>
    </w:p>
    <w:p w:rsidR="00E370DE" w:rsidRDefault="00E370DE" w:rsidP="007638F1">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lang w:val="es-AR"/>
        </w:rPr>
      </w:pPr>
    </w:p>
    <w:p w:rsidR="00E370DE" w:rsidRPr="00E35CDC" w:rsidRDefault="00E370DE" w:rsidP="00E370DE">
      <w:pPr>
        <w:autoSpaceDE w:val="0"/>
        <w:autoSpaceDN w:val="0"/>
        <w:adjustRightInd w:val="0"/>
        <w:rPr>
          <w:rFonts w:eastAsia="SimSun"/>
          <w:color w:val="000000"/>
          <w:sz w:val="20"/>
          <w:szCs w:val="20"/>
          <w:lang w:val="es-AR"/>
        </w:rPr>
      </w:pPr>
      <w:r w:rsidRPr="00E35CDC">
        <w:rPr>
          <w:rFonts w:eastAsia="SimSun"/>
          <w:b/>
          <w:bCs/>
          <w:color w:val="000000"/>
          <w:sz w:val="20"/>
          <w:szCs w:val="20"/>
          <w:lang w:val="es-AR"/>
        </w:rPr>
        <w:t xml:space="preserve">Pérez Alati, Grondona, Benites &amp; Arntsen </w:t>
      </w:r>
    </w:p>
    <w:p w:rsidR="00E370DE" w:rsidRPr="00E35CDC" w:rsidRDefault="00E370DE" w:rsidP="00E370DE">
      <w:pPr>
        <w:autoSpaceDE w:val="0"/>
        <w:autoSpaceDN w:val="0"/>
        <w:adjustRightInd w:val="0"/>
        <w:rPr>
          <w:rFonts w:eastAsia="SimSun"/>
          <w:color w:val="000000"/>
          <w:sz w:val="20"/>
          <w:szCs w:val="20"/>
          <w:lang w:val="es-AR"/>
        </w:rPr>
      </w:pPr>
      <w:r w:rsidRPr="00E35CDC">
        <w:rPr>
          <w:rFonts w:eastAsia="SimSun"/>
          <w:color w:val="000000"/>
          <w:sz w:val="20"/>
          <w:szCs w:val="20"/>
          <w:lang w:val="es-AR"/>
        </w:rPr>
        <w:t xml:space="preserve">Suipacha 1111, Piso 18 </w:t>
      </w:r>
    </w:p>
    <w:p w:rsidR="00E370DE" w:rsidRPr="00E35CDC" w:rsidRDefault="00E370DE" w:rsidP="00E370DE">
      <w:pPr>
        <w:autoSpaceDE w:val="0"/>
        <w:autoSpaceDN w:val="0"/>
        <w:adjustRightInd w:val="0"/>
        <w:rPr>
          <w:rFonts w:eastAsia="SimSun"/>
          <w:color w:val="000000"/>
          <w:sz w:val="20"/>
          <w:szCs w:val="20"/>
          <w:lang w:val="es-AR"/>
        </w:rPr>
      </w:pPr>
      <w:r w:rsidRPr="00E35CDC">
        <w:rPr>
          <w:rFonts w:eastAsia="SimSun"/>
          <w:color w:val="000000"/>
          <w:sz w:val="20"/>
          <w:szCs w:val="20"/>
          <w:lang w:val="es-AR"/>
        </w:rPr>
        <w:t xml:space="preserve">Ciudad Autónoma de Buenos Aires </w:t>
      </w:r>
    </w:p>
    <w:p w:rsidR="00E370DE" w:rsidRPr="00916BCF" w:rsidRDefault="00E370DE" w:rsidP="00E370DE">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lang w:val="es-AR"/>
        </w:rPr>
      </w:pPr>
      <w:r w:rsidRPr="00E35CDC">
        <w:rPr>
          <w:rFonts w:eastAsia="SimSun"/>
          <w:color w:val="000000"/>
          <w:lang w:val="es-AR"/>
        </w:rPr>
        <w:t xml:space="preserve">Argentina </w:t>
      </w:r>
    </w:p>
    <w:p w:rsidR="00D50756" w:rsidRPr="00251FDB" w:rsidRDefault="00D50756" w:rsidP="002F3321">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rPr>
          <w:bCs/>
          <w:smallCaps/>
          <w:lang w:val="es-MX"/>
        </w:rPr>
      </w:pPr>
    </w:p>
    <w:p w:rsidR="00D50756" w:rsidRPr="00E35CDC" w:rsidRDefault="00356E41" w:rsidP="00D50756">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lang w:val="es-AR"/>
        </w:rPr>
      </w:pPr>
      <w:r w:rsidRPr="00E35CDC">
        <w:rPr>
          <w:b/>
          <w:smallCaps/>
          <w:lang w:val="es-AR"/>
        </w:rPr>
        <w:t>Auditores del Emisor</w:t>
      </w:r>
    </w:p>
    <w:p w:rsidR="00D50756" w:rsidRPr="00E35CDC" w:rsidRDefault="00D50756" w:rsidP="00D50756">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Cs/>
          <w:smallCaps/>
          <w:lang w:val="es-AR"/>
        </w:rPr>
      </w:pPr>
    </w:p>
    <w:p w:rsidR="00D50756" w:rsidRPr="00E35CDC" w:rsidRDefault="00D50756" w:rsidP="00D50756">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lang w:val="es-AR"/>
        </w:rPr>
      </w:pPr>
      <w:r w:rsidRPr="00E35CDC">
        <w:rPr>
          <w:b/>
          <w:lang w:val="es-AR"/>
        </w:rPr>
        <w:t>Price Waterhouse &amp; Co. S.R.L.</w:t>
      </w:r>
    </w:p>
    <w:p w:rsidR="00D50756" w:rsidRPr="00251FDB" w:rsidRDefault="00D50756" w:rsidP="00D50756">
      <w:pPr>
        <w:widowControl w:val="0"/>
        <w:rPr>
          <w:sz w:val="20"/>
          <w:szCs w:val="20"/>
          <w:lang w:val="es-AR"/>
        </w:rPr>
      </w:pPr>
      <w:r w:rsidRPr="00251FDB">
        <w:rPr>
          <w:sz w:val="20"/>
          <w:szCs w:val="20"/>
          <w:lang w:val="es-AR"/>
        </w:rPr>
        <w:t>Bouchard 557, Piso 7º (C1106ABG)</w:t>
      </w:r>
    </w:p>
    <w:p w:rsidR="00D50756" w:rsidRDefault="00D50756" w:rsidP="00D50756">
      <w:pPr>
        <w:widowControl w:val="0"/>
        <w:rPr>
          <w:sz w:val="20"/>
          <w:szCs w:val="20"/>
          <w:lang w:val="es-AR"/>
        </w:rPr>
      </w:pPr>
      <w:r w:rsidRPr="00251FDB">
        <w:rPr>
          <w:sz w:val="20"/>
          <w:szCs w:val="20"/>
          <w:lang w:val="es-AR"/>
        </w:rPr>
        <w:t>Ciudad Autónoma de Buenos Aires</w:t>
      </w:r>
    </w:p>
    <w:p w:rsidR="00A84257" w:rsidRPr="00251FDB" w:rsidRDefault="00A84257" w:rsidP="00D50756">
      <w:pPr>
        <w:widowControl w:val="0"/>
        <w:rPr>
          <w:sz w:val="20"/>
          <w:szCs w:val="20"/>
          <w:lang w:val="es-AR"/>
        </w:rPr>
      </w:pPr>
      <w:r>
        <w:rPr>
          <w:sz w:val="20"/>
          <w:szCs w:val="20"/>
          <w:lang w:val="es-AR"/>
        </w:rPr>
        <w:t>Argentina</w:t>
      </w:r>
    </w:p>
    <w:p w:rsidR="00D50756" w:rsidRPr="00251FDB" w:rsidRDefault="00D50756" w:rsidP="00D50756">
      <w:pPr>
        <w:widowControl w:val="0"/>
        <w:rPr>
          <w:sz w:val="20"/>
          <w:szCs w:val="20"/>
          <w:lang w:val="es-AR"/>
        </w:rPr>
      </w:pPr>
    </w:p>
    <w:p w:rsidR="00D50756" w:rsidRPr="00251FDB" w:rsidRDefault="00D50756" w:rsidP="00D50756">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lang w:val="es-AR"/>
        </w:rPr>
      </w:pPr>
      <w:r w:rsidRPr="00251FDB">
        <w:rPr>
          <w:b/>
          <w:smallCaps/>
          <w:lang w:val="es-AR"/>
        </w:rPr>
        <w:t>Ámbito de la Subasta Pública</w:t>
      </w:r>
    </w:p>
    <w:p w:rsidR="00D50756" w:rsidRPr="00251FDB" w:rsidRDefault="00D50756" w:rsidP="00D50756">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Cs/>
          <w:smallCaps/>
          <w:lang w:val="es-AR"/>
        </w:rPr>
      </w:pPr>
    </w:p>
    <w:p w:rsidR="00D50756" w:rsidRPr="00251FDB" w:rsidRDefault="00D50756" w:rsidP="00D50756">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lang w:val="es-AR"/>
        </w:rPr>
      </w:pPr>
      <w:r w:rsidRPr="00251FDB">
        <w:rPr>
          <w:b/>
          <w:lang w:val="es-AR"/>
        </w:rPr>
        <w:t>Mercado Abierto Electrónico S.A.</w:t>
      </w:r>
    </w:p>
    <w:p w:rsidR="00D50756" w:rsidRPr="00251FDB" w:rsidRDefault="00D50756" w:rsidP="00D50756">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Cs/>
          <w:lang w:val="es-AR"/>
        </w:rPr>
      </w:pPr>
      <w:r w:rsidRPr="00251FDB">
        <w:rPr>
          <w:bCs/>
          <w:lang w:val="es-AR"/>
        </w:rPr>
        <w:t>San Martín 344, Piso 18° y 17° (C1004AAH)</w:t>
      </w:r>
    </w:p>
    <w:p w:rsidR="00D50756" w:rsidRDefault="00D50756" w:rsidP="00D50756">
      <w:pPr>
        <w:widowControl w:val="0"/>
        <w:rPr>
          <w:sz w:val="20"/>
          <w:szCs w:val="20"/>
          <w:lang w:val="es-AR"/>
        </w:rPr>
      </w:pPr>
      <w:r w:rsidRPr="00251FDB">
        <w:rPr>
          <w:sz w:val="20"/>
          <w:szCs w:val="20"/>
          <w:lang w:val="es-AR"/>
        </w:rPr>
        <w:t>Ciudad Autónoma de Buenos Aires</w:t>
      </w:r>
    </w:p>
    <w:p w:rsidR="00A84257" w:rsidRPr="00251FDB" w:rsidRDefault="00A84257" w:rsidP="00D50756">
      <w:pPr>
        <w:widowControl w:val="0"/>
        <w:rPr>
          <w:sz w:val="20"/>
          <w:szCs w:val="20"/>
          <w:lang w:val="es-AR"/>
        </w:rPr>
      </w:pPr>
      <w:r>
        <w:rPr>
          <w:sz w:val="20"/>
          <w:szCs w:val="20"/>
          <w:lang w:val="es-AR"/>
        </w:rPr>
        <w:t>Argentina</w:t>
      </w:r>
    </w:p>
    <w:p w:rsidR="00D50756" w:rsidRPr="00251FDB" w:rsidRDefault="00D50756" w:rsidP="00D50756">
      <w:pPr>
        <w:widowControl w:val="0"/>
        <w:rPr>
          <w:sz w:val="20"/>
          <w:szCs w:val="20"/>
          <w:lang w:val="es-AR"/>
        </w:rPr>
      </w:pPr>
    </w:p>
    <w:p w:rsidR="00D50756" w:rsidRPr="00251FDB" w:rsidRDefault="00D50756" w:rsidP="00D50756">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b/>
          <w:smallCaps/>
          <w:lang w:val="es-AR"/>
        </w:rPr>
      </w:pPr>
      <w:r w:rsidRPr="00251FDB">
        <w:rPr>
          <w:b/>
          <w:smallCaps/>
          <w:lang w:val="es-AR"/>
        </w:rPr>
        <w:t>Depositaria</w:t>
      </w:r>
    </w:p>
    <w:p w:rsidR="00D50756" w:rsidRPr="00251FDB" w:rsidRDefault="00D50756" w:rsidP="00D50756">
      <w:pPr>
        <w:widowControl w:val="0"/>
        <w:rPr>
          <w:sz w:val="20"/>
          <w:szCs w:val="20"/>
          <w:lang w:val="es-AR"/>
        </w:rPr>
      </w:pPr>
    </w:p>
    <w:p w:rsidR="00D50756" w:rsidRPr="00251FDB" w:rsidRDefault="00D50756" w:rsidP="00D50756">
      <w:pPr>
        <w:widowControl w:val="0"/>
        <w:rPr>
          <w:b/>
          <w:sz w:val="20"/>
          <w:szCs w:val="20"/>
          <w:lang w:val="es-AR"/>
        </w:rPr>
      </w:pPr>
      <w:r w:rsidRPr="00251FDB">
        <w:rPr>
          <w:b/>
          <w:sz w:val="20"/>
          <w:szCs w:val="20"/>
          <w:lang w:val="es-AR"/>
        </w:rPr>
        <w:t>Caja de Valores S.A.</w:t>
      </w:r>
    </w:p>
    <w:p w:rsidR="00D50756" w:rsidRPr="00251FDB" w:rsidRDefault="00D50756" w:rsidP="00D50756">
      <w:pPr>
        <w:widowControl w:val="0"/>
        <w:rPr>
          <w:sz w:val="20"/>
          <w:szCs w:val="20"/>
          <w:lang w:val="es-AR"/>
        </w:rPr>
      </w:pPr>
      <w:r w:rsidRPr="00251FDB">
        <w:rPr>
          <w:sz w:val="20"/>
          <w:szCs w:val="20"/>
          <w:lang w:val="es-AR"/>
        </w:rPr>
        <w:t>25 de mayo 362 (C1002ABH)</w:t>
      </w:r>
    </w:p>
    <w:p w:rsidR="0083772A" w:rsidRDefault="00D50756">
      <w:pPr>
        <w:rPr>
          <w:sz w:val="20"/>
          <w:szCs w:val="20"/>
          <w:lang w:val="es-AR"/>
        </w:rPr>
      </w:pPr>
      <w:r w:rsidRPr="00251FDB">
        <w:rPr>
          <w:sz w:val="20"/>
          <w:szCs w:val="20"/>
          <w:lang w:val="es-AR"/>
        </w:rPr>
        <w:t>Ciudad Autónoma de Buenos Aire</w:t>
      </w:r>
      <w:r w:rsidR="00567A4C" w:rsidRPr="00251FDB">
        <w:rPr>
          <w:sz w:val="20"/>
          <w:szCs w:val="20"/>
          <w:lang w:val="es-AR"/>
        </w:rPr>
        <w:t>s</w:t>
      </w:r>
    </w:p>
    <w:p w:rsidR="00A84257" w:rsidRPr="00251FDB" w:rsidRDefault="00A84257">
      <w:pPr>
        <w:rPr>
          <w:sz w:val="20"/>
          <w:szCs w:val="20"/>
          <w:lang w:val="es-AR"/>
        </w:rPr>
      </w:pPr>
      <w:r>
        <w:rPr>
          <w:sz w:val="20"/>
          <w:szCs w:val="20"/>
          <w:lang w:val="es-AR"/>
        </w:rPr>
        <w:t>Argentina</w:t>
      </w:r>
    </w:p>
    <w:sectPr w:rsidR="00A84257" w:rsidRPr="00251FDB" w:rsidSect="00E35CDC">
      <w:footerReference w:type="default" r:id="rId14"/>
      <w:headerReference w:type="first" r:id="rId15"/>
      <w:pgSz w:w="11907" w:h="16839" w:code="9"/>
      <w:pgMar w:top="993" w:right="1701" w:bottom="1417" w:left="1701"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0EBF" w:rsidRDefault="00780EBF" w:rsidP="00F579FF">
      <w:r>
        <w:separator/>
      </w:r>
    </w:p>
  </w:endnote>
  <w:endnote w:type="continuationSeparator" w:id="0">
    <w:p w:rsidR="00780EBF" w:rsidRDefault="00780EBF" w:rsidP="00F579FF">
      <w:r>
        <w:continuationSeparator/>
      </w:r>
    </w:p>
  </w:endnote>
  <w:endnote w:type="continuationNotice" w:id="1">
    <w:p w:rsidR="00780EBF" w:rsidRDefault="00780E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21002A87" w:usb1="00000000" w:usb2="00000000" w:usb3="00000000" w:csb0="000101FF" w:csb1="00000000"/>
  </w:font>
  <w:font w:name="Consolas">
    <w:panose1 w:val="020B0609020204030204"/>
    <w:charset w:val="00"/>
    <w:family w:val="modern"/>
    <w:pitch w:val="fixed"/>
    <w:sig w:usb0="E00006FF" w:usb1="0000FCFF" w:usb2="00000001"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9E0" w:rsidRPr="00EA1080" w:rsidRDefault="00F409E0" w:rsidP="00035C0A">
    <w:pPr>
      <w:pStyle w:val="Piedepgina"/>
      <w:rPr>
        <w:rFonts w:ascii="Times New Roman" w:hAnsi="Times New Roman"/>
        <w:sz w:val="16"/>
        <w:szCs w:val="16"/>
      </w:rPr>
    </w:pPr>
    <w:r w:rsidRPr="00EA1080">
      <w:rPr>
        <w:rFonts w:ascii="Times New Roman" w:hAnsi="Times New Roman"/>
        <w:noProof/>
        <w:sz w:val="16"/>
        <w:szCs w:val="16"/>
      </w:rPr>
      <w:fldChar w:fldCharType="begin"/>
    </w:r>
    <w:r w:rsidRPr="00EA1080">
      <w:rPr>
        <w:rFonts w:ascii="Times New Roman" w:hAnsi="Times New Roman"/>
        <w:noProof/>
        <w:sz w:val="16"/>
        <w:szCs w:val="16"/>
      </w:rPr>
      <w:instrText xml:space="preserve"> PAGE   \* MERGEFORMAT </w:instrText>
    </w:r>
    <w:r w:rsidRPr="00EA1080">
      <w:rPr>
        <w:rFonts w:ascii="Times New Roman" w:hAnsi="Times New Roman"/>
        <w:noProof/>
        <w:sz w:val="16"/>
        <w:szCs w:val="16"/>
      </w:rPr>
      <w:fldChar w:fldCharType="separate"/>
    </w:r>
    <w:r w:rsidR="00425ACF">
      <w:rPr>
        <w:rFonts w:ascii="Times New Roman" w:hAnsi="Times New Roman"/>
        <w:noProof/>
        <w:sz w:val="16"/>
        <w:szCs w:val="16"/>
      </w:rPr>
      <w:t>13</w:t>
    </w:r>
    <w:r w:rsidRPr="00EA1080">
      <w:rPr>
        <w:rFonts w:ascii="Times New Roman" w:hAnsi="Times New Roman"/>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0EBF" w:rsidRDefault="00780EBF" w:rsidP="00F579FF">
      <w:r>
        <w:separator/>
      </w:r>
    </w:p>
  </w:footnote>
  <w:footnote w:type="continuationSeparator" w:id="0">
    <w:p w:rsidR="00780EBF" w:rsidRDefault="00780EBF" w:rsidP="00F579FF">
      <w:r>
        <w:continuationSeparator/>
      </w:r>
    </w:p>
  </w:footnote>
  <w:footnote w:type="continuationNotice" w:id="1">
    <w:p w:rsidR="00780EBF" w:rsidRDefault="00780E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9E0" w:rsidRDefault="00F409E0">
    <w:pPr>
      <w:pStyle w:val="Encabezado"/>
    </w:pPr>
  </w:p>
  <w:p w:rsidR="00F409E0" w:rsidRDefault="00F409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638AF"/>
    <w:multiLevelType w:val="hybridMultilevel"/>
    <w:tmpl w:val="FE4AF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1A3A5F"/>
    <w:multiLevelType w:val="hybridMultilevel"/>
    <w:tmpl w:val="6B82FD18"/>
    <w:lvl w:ilvl="0" w:tplc="4E60227C">
      <w:start w:val="1"/>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Aria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Arial"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Arial"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5C8412B"/>
    <w:multiLevelType w:val="hybridMultilevel"/>
    <w:tmpl w:val="A900DF0E"/>
    <w:lvl w:ilvl="0" w:tplc="2C0A000F">
      <w:start w:val="1"/>
      <w:numFmt w:val="decimal"/>
      <w:lvlText w:val="%1."/>
      <w:lvlJc w:val="left"/>
      <w:pPr>
        <w:ind w:left="720" w:hanging="360"/>
      </w:pPr>
    </w:lvl>
    <w:lvl w:ilvl="1" w:tplc="2C0A0019">
      <w:start w:val="1"/>
      <w:numFmt w:val="decimal"/>
      <w:lvlText w:val="%2."/>
      <w:lvlJc w:val="left"/>
      <w:pPr>
        <w:tabs>
          <w:tab w:val="num" w:pos="1440"/>
        </w:tabs>
        <w:ind w:left="1440" w:hanging="360"/>
      </w:pPr>
    </w:lvl>
    <w:lvl w:ilvl="2" w:tplc="2C0A001B">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3" w15:restartNumberingAfterBreak="0">
    <w:nsid w:val="15E40DE4"/>
    <w:multiLevelType w:val="hybridMultilevel"/>
    <w:tmpl w:val="17D471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1196B30"/>
    <w:multiLevelType w:val="hybridMultilevel"/>
    <w:tmpl w:val="354401EA"/>
    <w:lvl w:ilvl="0" w:tplc="2466E5D2">
      <w:start w:val="1"/>
      <w:numFmt w:val="decimal"/>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5" w15:restartNumberingAfterBreak="0">
    <w:nsid w:val="2BDC467A"/>
    <w:multiLevelType w:val="hybridMultilevel"/>
    <w:tmpl w:val="4DE23F4A"/>
    <w:lvl w:ilvl="0" w:tplc="4A12FE08">
      <w:start w:val="1"/>
      <w:numFmt w:val="lowerRoman"/>
      <w:lvlText w:val="(%1)"/>
      <w:lvlJc w:val="left"/>
      <w:pPr>
        <w:ind w:left="720" w:hanging="360"/>
      </w:pPr>
      <w:rPr>
        <w:rFonts w:hint="default"/>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A800A1F"/>
    <w:multiLevelType w:val="hybridMultilevel"/>
    <w:tmpl w:val="1118098A"/>
    <w:lvl w:ilvl="0" w:tplc="9B1C20C8">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3B172BB8"/>
    <w:multiLevelType w:val="hybridMultilevel"/>
    <w:tmpl w:val="314A3996"/>
    <w:lvl w:ilvl="0" w:tplc="5D9E12D0">
      <w:start w:val="5"/>
      <w:numFmt w:val="bullet"/>
      <w:lvlText w:val="-"/>
      <w:lvlJc w:val="left"/>
      <w:pPr>
        <w:ind w:left="720" w:hanging="360"/>
      </w:pPr>
      <w:rPr>
        <w:rFonts w:ascii="Times New Roman" w:eastAsia="Times New Roman" w:hAnsi="Times New Roman" w:cs="Times New Roman"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42B976A5"/>
    <w:multiLevelType w:val="hybridMultilevel"/>
    <w:tmpl w:val="3C82CFF8"/>
    <w:lvl w:ilvl="0" w:tplc="B868233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A905AE8"/>
    <w:multiLevelType w:val="hybridMultilevel"/>
    <w:tmpl w:val="75BAC93A"/>
    <w:lvl w:ilvl="0" w:tplc="462C82FC">
      <w:start w:val="4"/>
      <w:numFmt w:val="bullet"/>
      <w:lvlText w:val="-"/>
      <w:lvlJc w:val="left"/>
      <w:pPr>
        <w:ind w:left="720" w:hanging="360"/>
      </w:pPr>
      <w:rPr>
        <w:rFonts w:ascii="Palatino Linotype" w:eastAsia="Calibri" w:hAnsi="Palatino Linotype" w:cs="Times New Roman" w:hint="default"/>
      </w:rPr>
    </w:lvl>
    <w:lvl w:ilvl="1" w:tplc="0C0A0003" w:tentative="1">
      <w:start w:val="1"/>
      <w:numFmt w:val="bullet"/>
      <w:lvlText w:val="o"/>
      <w:lvlJc w:val="left"/>
      <w:pPr>
        <w:ind w:left="1440" w:hanging="360"/>
      </w:pPr>
      <w:rPr>
        <w:rFonts w:ascii="Courier New" w:hAnsi="Courier New" w:cs="Arial" w:hint="default"/>
      </w:rPr>
    </w:lvl>
    <w:lvl w:ilvl="2" w:tplc="FD569408">
      <w:start w:val="1"/>
      <w:numFmt w:val="lowerRoman"/>
      <w:lvlText w:val="%3."/>
      <w:lvlJc w:val="left"/>
      <w:pPr>
        <w:ind w:left="2160" w:hanging="360"/>
      </w:pPr>
      <w:rPr>
        <w:rFont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B1429D7"/>
    <w:multiLevelType w:val="hybridMultilevel"/>
    <w:tmpl w:val="8C54EB84"/>
    <w:lvl w:ilvl="0" w:tplc="E0C6B44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BCE123C"/>
    <w:multiLevelType w:val="hybridMultilevel"/>
    <w:tmpl w:val="7B641DCA"/>
    <w:lvl w:ilvl="0" w:tplc="BE26369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4F11477"/>
    <w:multiLevelType w:val="hybridMultilevel"/>
    <w:tmpl w:val="DCD8C6DA"/>
    <w:lvl w:ilvl="0" w:tplc="38941764">
      <w:start w:val="1"/>
      <w:numFmt w:val="lowerRoman"/>
      <w:lvlText w:val="(%1)"/>
      <w:lvlJc w:val="left"/>
      <w:pPr>
        <w:ind w:left="857" w:hanging="720"/>
      </w:pPr>
      <w:rPr>
        <w:rFonts w:hint="default"/>
      </w:rPr>
    </w:lvl>
    <w:lvl w:ilvl="1" w:tplc="2C0A0019" w:tentative="1">
      <w:start w:val="1"/>
      <w:numFmt w:val="lowerLetter"/>
      <w:lvlText w:val="%2."/>
      <w:lvlJc w:val="left"/>
      <w:pPr>
        <w:ind w:left="1217" w:hanging="360"/>
      </w:pPr>
    </w:lvl>
    <w:lvl w:ilvl="2" w:tplc="2C0A001B" w:tentative="1">
      <w:start w:val="1"/>
      <w:numFmt w:val="lowerRoman"/>
      <w:lvlText w:val="%3."/>
      <w:lvlJc w:val="right"/>
      <w:pPr>
        <w:ind w:left="1937" w:hanging="180"/>
      </w:pPr>
    </w:lvl>
    <w:lvl w:ilvl="3" w:tplc="2C0A000F" w:tentative="1">
      <w:start w:val="1"/>
      <w:numFmt w:val="decimal"/>
      <w:lvlText w:val="%4."/>
      <w:lvlJc w:val="left"/>
      <w:pPr>
        <w:ind w:left="2657" w:hanging="360"/>
      </w:pPr>
    </w:lvl>
    <w:lvl w:ilvl="4" w:tplc="2C0A0019" w:tentative="1">
      <w:start w:val="1"/>
      <w:numFmt w:val="lowerLetter"/>
      <w:lvlText w:val="%5."/>
      <w:lvlJc w:val="left"/>
      <w:pPr>
        <w:ind w:left="3377" w:hanging="360"/>
      </w:pPr>
    </w:lvl>
    <w:lvl w:ilvl="5" w:tplc="2C0A001B" w:tentative="1">
      <w:start w:val="1"/>
      <w:numFmt w:val="lowerRoman"/>
      <w:lvlText w:val="%6."/>
      <w:lvlJc w:val="right"/>
      <w:pPr>
        <w:ind w:left="4097" w:hanging="180"/>
      </w:pPr>
    </w:lvl>
    <w:lvl w:ilvl="6" w:tplc="2C0A000F" w:tentative="1">
      <w:start w:val="1"/>
      <w:numFmt w:val="decimal"/>
      <w:lvlText w:val="%7."/>
      <w:lvlJc w:val="left"/>
      <w:pPr>
        <w:ind w:left="4817" w:hanging="360"/>
      </w:pPr>
    </w:lvl>
    <w:lvl w:ilvl="7" w:tplc="2C0A0019" w:tentative="1">
      <w:start w:val="1"/>
      <w:numFmt w:val="lowerLetter"/>
      <w:lvlText w:val="%8."/>
      <w:lvlJc w:val="left"/>
      <w:pPr>
        <w:ind w:left="5537" w:hanging="360"/>
      </w:pPr>
    </w:lvl>
    <w:lvl w:ilvl="8" w:tplc="2C0A001B" w:tentative="1">
      <w:start w:val="1"/>
      <w:numFmt w:val="lowerRoman"/>
      <w:lvlText w:val="%9."/>
      <w:lvlJc w:val="right"/>
      <w:pPr>
        <w:ind w:left="6257" w:hanging="180"/>
      </w:pPr>
    </w:lvl>
  </w:abstractNum>
  <w:abstractNum w:abstractNumId="13" w15:restartNumberingAfterBreak="0">
    <w:nsid w:val="7919EFF8"/>
    <w:multiLevelType w:val="hybridMultilevel"/>
    <w:tmpl w:val="96764A9C"/>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BA53BC7"/>
    <w:multiLevelType w:val="hybridMultilevel"/>
    <w:tmpl w:val="0D4EBDCC"/>
    <w:lvl w:ilvl="0" w:tplc="0C0A0001">
      <w:start w:val="1"/>
      <w:numFmt w:val="bullet"/>
      <w:lvlText w:val=""/>
      <w:lvlJc w:val="left"/>
      <w:pPr>
        <w:tabs>
          <w:tab w:val="num" w:pos="720"/>
        </w:tabs>
        <w:ind w:left="720" w:hanging="360"/>
      </w:pPr>
      <w:rPr>
        <w:rFonts w:ascii="Symbol" w:hAnsi="Symbol" w:hint="default"/>
      </w:rPr>
    </w:lvl>
    <w:lvl w:ilvl="1" w:tplc="0C0A0019">
      <w:start w:val="1"/>
      <w:numFmt w:val="lowerLetter"/>
      <w:lvlText w:val="%2."/>
      <w:lvlJc w:val="left"/>
      <w:pPr>
        <w:tabs>
          <w:tab w:val="num" w:pos="1440"/>
        </w:tabs>
        <w:ind w:left="1440" w:hanging="360"/>
      </w:pPr>
    </w:lvl>
    <w:lvl w:ilvl="2" w:tplc="FD569408">
      <w:start w:val="1"/>
      <w:numFmt w:val="lowerRoman"/>
      <w:lvlText w:val="%3."/>
      <w:lvlJc w:val="left"/>
      <w:pPr>
        <w:ind w:left="2700" w:hanging="72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11"/>
  </w:num>
  <w:num w:numId="4">
    <w:abstractNumId w:val="8"/>
  </w:num>
  <w:num w:numId="5">
    <w:abstractNumId w:val="0"/>
  </w:num>
  <w:num w:numId="6">
    <w:abstractNumId w:val="2"/>
  </w:num>
  <w:num w:numId="7">
    <w:abstractNumId w:val="14"/>
  </w:num>
  <w:num w:numId="8">
    <w:abstractNumId w:val="10"/>
  </w:num>
  <w:num w:numId="9">
    <w:abstractNumId w:val="9"/>
  </w:num>
  <w:num w:numId="10">
    <w:abstractNumId w:val="4"/>
  </w:num>
  <w:num w:numId="11">
    <w:abstractNumId w:val="11"/>
  </w:num>
  <w:num w:numId="12">
    <w:abstractNumId w:val="5"/>
  </w:num>
  <w:num w:numId="13">
    <w:abstractNumId w:val="6"/>
  </w:num>
  <w:num w:numId="14">
    <w:abstractNumId w:val="12"/>
  </w:num>
  <w:num w:numId="15">
    <w:abstractNumId w:val="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756"/>
    <w:rsid w:val="0000214F"/>
    <w:rsid w:val="00003D7F"/>
    <w:rsid w:val="00004F60"/>
    <w:rsid w:val="00006037"/>
    <w:rsid w:val="00007EDD"/>
    <w:rsid w:val="00010D5A"/>
    <w:rsid w:val="0001234E"/>
    <w:rsid w:val="0001353A"/>
    <w:rsid w:val="00013F30"/>
    <w:rsid w:val="00016BB0"/>
    <w:rsid w:val="00023BD7"/>
    <w:rsid w:val="0003205B"/>
    <w:rsid w:val="00033F00"/>
    <w:rsid w:val="00035C0A"/>
    <w:rsid w:val="00036D87"/>
    <w:rsid w:val="000452E1"/>
    <w:rsid w:val="000453D9"/>
    <w:rsid w:val="00045B6B"/>
    <w:rsid w:val="000506DD"/>
    <w:rsid w:val="00052211"/>
    <w:rsid w:val="00053149"/>
    <w:rsid w:val="000533ED"/>
    <w:rsid w:val="00055ED0"/>
    <w:rsid w:val="00057F0A"/>
    <w:rsid w:val="00064188"/>
    <w:rsid w:val="00071A6F"/>
    <w:rsid w:val="00072EEB"/>
    <w:rsid w:val="00074563"/>
    <w:rsid w:val="000809E0"/>
    <w:rsid w:val="00082B92"/>
    <w:rsid w:val="00087CCE"/>
    <w:rsid w:val="000918AE"/>
    <w:rsid w:val="00094C73"/>
    <w:rsid w:val="000B7826"/>
    <w:rsid w:val="000C0DA4"/>
    <w:rsid w:val="000C0E61"/>
    <w:rsid w:val="000C29CA"/>
    <w:rsid w:val="000C5014"/>
    <w:rsid w:val="000D175D"/>
    <w:rsid w:val="000D17B7"/>
    <w:rsid w:val="000D2B4D"/>
    <w:rsid w:val="000D2C32"/>
    <w:rsid w:val="000D2DFA"/>
    <w:rsid w:val="000D6A74"/>
    <w:rsid w:val="000D6A7B"/>
    <w:rsid w:val="000E110B"/>
    <w:rsid w:val="000E144F"/>
    <w:rsid w:val="000E1BFF"/>
    <w:rsid w:val="000E2687"/>
    <w:rsid w:val="000E2F7A"/>
    <w:rsid w:val="000E315A"/>
    <w:rsid w:val="000E366C"/>
    <w:rsid w:val="000F2F8F"/>
    <w:rsid w:val="000F3C33"/>
    <w:rsid w:val="00100DDD"/>
    <w:rsid w:val="001015CB"/>
    <w:rsid w:val="001053B7"/>
    <w:rsid w:val="00107E5C"/>
    <w:rsid w:val="00111CCC"/>
    <w:rsid w:val="00112058"/>
    <w:rsid w:val="00123417"/>
    <w:rsid w:val="00124395"/>
    <w:rsid w:val="00130F43"/>
    <w:rsid w:val="00133628"/>
    <w:rsid w:val="00136E94"/>
    <w:rsid w:val="00140334"/>
    <w:rsid w:val="0014329C"/>
    <w:rsid w:val="0014358D"/>
    <w:rsid w:val="00144A30"/>
    <w:rsid w:val="0014595F"/>
    <w:rsid w:val="0014707A"/>
    <w:rsid w:val="00155D88"/>
    <w:rsid w:val="00156840"/>
    <w:rsid w:val="0016050F"/>
    <w:rsid w:val="00161683"/>
    <w:rsid w:val="00161C21"/>
    <w:rsid w:val="0016323F"/>
    <w:rsid w:val="001633B5"/>
    <w:rsid w:val="0016657B"/>
    <w:rsid w:val="0017020E"/>
    <w:rsid w:val="001706FB"/>
    <w:rsid w:val="00172788"/>
    <w:rsid w:val="0017285F"/>
    <w:rsid w:val="00172BC9"/>
    <w:rsid w:val="00173F77"/>
    <w:rsid w:val="001750CF"/>
    <w:rsid w:val="00175C5B"/>
    <w:rsid w:val="001762F0"/>
    <w:rsid w:val="00177BF2"/>
    <w:rsid w:val="001800B7"/>
    <w:rsid w:val="001801BC"/>
    <w:rsid w:val="00181FBE"/>
    <w:rsid w:val="00185034"/>
    <w:rsid w:val="00186B95"/>
    <w:rsid w:val="00190C34"/>
    <w:rsid w:val="00191F89"/>
    <w:rsid w:val="00192E04"/>
    <w:rsid w:val="0019694D"/>
    <w:rsid w:val="00196B90"/>
    <w:rsid w:val="00197B11"/>
    <w:rsid w:val="001A2A0C"/>
    <w:rsid w:val="001A2FAF"/>
    <w:rsid w:val="001A7224"/>
    <w:rsid w:val="001B36F9"/>
    <w:rsid w:val="001B3C8A"/>
    <w:rsid w:val="001C2A4C"/>
    <w:rsid w:val="001C7802"/>
    <w:rsid w:val="001C7893"/>
    <w:rsid w:val="001D1221"/>
    <w:rsid w:val="001D24D4"/>
    <w:rsid w:val="001D461A"/>
    <w:rsid w:val="001F1C98"/>
    <w:rsid w:val="001F62D0"/>
    <w:rsid w:val="00200253"/>
    <w:rsid w:val="00200667"/>
    <w:rsid w:val="00200B5A"/>
    <w:rsid w:val="00201F23"/>
    <w:rsid w:val="00202253"/>
    <w:rsid w:val="0020311A"/>
    <w:rsid w:val="0020667A"/>
    <w:rsid w:val="002125B4"/>
    <w:rsid w:val="00215A98"/>
    <w:rsid w:val="00220C24"/>
    <w:rsid w:val="002217AD"/>
    <w:rsid w:val="00221A1F"/>
    <w:rsid w:val="0022755E"/>
    <w:rsid w:val="00227A36"/>
    <w:rsid w:val="00227BF8"/>
    <w:rsid w:val="002303DC"/>
    <w:rsid w:val="002303E1"/>
    <w:rsid w:val="00230A8D"/>
    <w:rsid w:val="00230D5E"/>
    <w:rsid w:val="0023199D"/>
    <w:rsid w:val="002332BB"/>
    <w:rsid w:val="00233A26"/>
    <w:rsid w:val="00235EAC"/>
    <w:rsid w:val="00247068"/>
    <w:rsid w:val="00251FDB"/>
    <w:rsid w:val="00254AD2"/>
    <w:rsid w:val="0025549C"/>
    <w:rsid w:val="00257828"/>
    <w:rsid w:val="002703E0"/>
    <w:rsid w:val="00270CE5"/>
    <w:rsid w:val="00271A28"/>
    <w:rsid w:val="00271E19"/>
    <w:rsid w:val="0027239E"/>
    <w:rsid w:val="00274121"/>
    <w:rsid w:val="00275A09"/>
    <w:rsid w:val="002816AF"/>
    <w:rsid w:val="0029085A"/>
    <w:rsid w:val="00290A32"/>
    <w:rsid w:val="00290A58"/>
    <w:rsid w:val="00291761"/>
    <w:rsid w:val="00292D05"/>
    <w:rsid w:val="0029701A"/>
    <w:rsid w:val="002A2A7F"/>
    <w:rsid w:val="002A4A50"/>
    <w:rsid w:val="002A6705"/>
    <w:rsid w:val="002B1805"/>
    <w:rsid w:val="002B2DF3"/>
    <w:rsid w:val="002B312B"/>
    <w:rsid w:val="002B56C5"/>
    <w:rsid w:val="002C0238"/>
    <w:rsid w:val="002C3787"/>
    <w:rsid w:val="002C57B8"/>
    <w:rsid w:val="002D1CA9"/>
    <w:rsid w:val="002E100B"/>
    <w:rsid w:val="002E59DD"/>
    <w:rsid w:val="002F04F0"/>
    <w:rsid w:val="002F1D2A"/>
    <w:rsid w:val="002F3321"/>
    <w:rsid w:val="002F5CD3"/>
    <w:rsid w:val="002F6A4A"/>
    <w:rsid w:val="003012C8"/>
    <w:rsid w:val="00301F88"/>
    <w:rsid w:val="003024EA"/>
    <w:rsid w:val="00306027"/>
    <w:rsid w:val="00306426"/>
    <w:rsid w:val="003079F0"/>
    <w:rsid w:val="0031091F"/>
    <w:rsid w:val="003130A0"/>
    <w:rsid w:val="0031581B"/>
    <w:rsid w:val="00315FA2"/>
    <w:rsid w:val="003233F9"/>
    <w:rsid w:val="0033272B"/>
    <w:rsid w:val="00332BB1"/>
    <w:rsid w:val="00334BDE"/>
    <w:rsid w:val="0034066C"/>
    <w:rsid w:val="0034070E"/>
    <w:rsid w:val="00340B56"/>
    <w:rsid w:val="00342082"/>
    <w:rsid w:val="00342316"/>
    <w:rsid w:val="003426D3"/>
    <w:rsid w:val="00345505"/>
    <w:rsid w:val="0034620A"/>
    <w:rsid w:val="003469B6"/>
    <w:rsid w:val="00347C45"/>
    <w:rsid w:val="003522B0"/>
    <w:rsid w:val="003533A4"/>
    <w:rsid w:val="00353B4D"/>
    <w:rsid w:val="00356E41"/>
    <w:rsid w:val="003602BD"/>
    <w:rsid w:val="0036139A"/>
    <w:rsid w:val="003638EC"/>
    <w:rsid w:val="003707F1"/>
    <w:rsid w:val="003715BD"/>
    <w:rsid w:val="00371C6F"/>
    <w:rsid w:val="003731FC"/>
    <w:rsid w:val="00374887"/>
    <w:rsid w:val="0038194B"/>
    <w:rsid w:val="00384759"/>
    <w:rsid w:val="00396D4A"/>
    <w:rsid w:val="00397D06"/>
    <w:rsid w:val="003A08C1"/>
    <w:rsid w:val="003A42D4"/>
    <w:rsid w:val="003A46F0"/>
    <w:rsid w:val="003A598D"/>
    <w:rsid w:val="003B25F1"/>
    <w:rsid w:val="003B517D"/>
    <w:rsid w:val="003C1326"/>
    <w:rsid w:val="003C155C"/>
    <w:rsid w:val="003C255A"/>
    <w:rsid w:val="003C6431"/>
    <w:rsid w:val="003C69E5"/>
    <w:rsid w:val="003C76C1"/>
    <w:rsid w:val="003D1A19"/>
    <w:rsid w:val="003D1E33"/>
    <w:rsid w:val="003D24CC"/>
    <w:rsid w:val="003D2FA7"/>
    <w:rsid w:val="003D4844"/>
    <w:rsid w:val="003D537E"/>
    <w:rsid w:val="003D600C"/>
    <w:rsid w:val="003D6E1B"/>
    <w:rsid w:val="003E13C5"/>
    <w:rsid w:val="003E1A47"/>
    <w:rsid w:val="003E3C06"/>
    <w:rsid w:val="003F0B3A"/>
    <w:rsid w:val="003F5628"/>
    <w:rsid w:val="003F5803"/>
    <w:rsid w:val="004013FA"/>
    <w:rsid w:val="00403BC9"/>
    <w:rsid w:val="00403F4D"/>
    <w:rsid w:val="00403FC1"/>
    <w:rsid w:val="00413F31"/>
    <w:rsid w:val="004202B6"/>
    <w:rsid w:val="004202D5"/>
    <w:rsid w:val="00422CE7"/>
    <w:rsid w:val="00425ACF"/>
    <w:rsid w:val="004274CA"/>
    <w:rsid w:val="004278ED"/>
    <w:rsid w:val="00427C91"/>
    <w:rsid w:val="004317A8"/>
    <w:rsid w:val="00433DBA"/>
    <w:rsid w:val="00434652"/>
    <w:rsid w:val="00435859"/>
    <w:rsid w:val="00436F73"/>
    <w:rsid w:val="004414C8"/>
    <w:rsid w:val="00441EEE"/>
    <w:rsid w:val="00442010"/>
    <w:rsid w:val="00443070"/>
    <w:rsid w:val="004463AF"/>
    <w:rsid w:val="00450FAA"/>
    <w:rsid w:val="00451F29"/>
    <w:rsid w:val="00452E72"/>
    <w:rsid w:val="0045381E"/>
    <w:rsid w:val="00453B21"/>
    <w:rsid w:val="00455B60"/>
    <w:rsid w:val="0046094F"/>
    <w:rsid w:val="00461612"/>
    <w:rsid w:val="0046167E"/>
    <w:rsid w:val="00463A4C"/>
    <w:rsid w:val="00465169"/>
    <w:rsid w:val="00466851"/>
    <w:rsid w:val="00470117"/>
    <w:rsid w:val="00470AA2"/>
    <w:rsid w:val="0047554A"/>
    <w:rsid w:val="00476FB3"/>
    <w:rsid w:val="0048683A"/>
    <w:rsid w:val="00490CF8"/>
    <w:rsid w:val="004929FC"/>
    <w:rsid w:val="004931A7"/>
    <w:rsid w:val="0049449D"/>
    <w:rsid w:val="00497F31"/>
    <w:rsid w:val="004A1EAB"/>
    <w:rsid w:val="004A28BC"/>
    <w:rsid w:val="004A5768"/>
    <w:rsid w:val="004A6312"/>
    <w:rsid w:val="004A64D7"/>
    <w:rsid w:val="004B4DE0"/>
    <w:rsid w:val="004C31A3"/>
    <w:rsid w:val="004C597A"/>
    <w:rsid w:val="004D1145"/>
    <w:rsid w:val="004D22FD"/>
    <w:rsid w:val="004D275F"/>
    <w:rsid w:val="004D4AE7"/>
    <w:rsid w:val="004D5FBC"/>
    <w:rsid w:val="004D6DD6"/>
    <w:rsid w:val="004D7443"/>
    <w:rsid w:val="004E1496"/>
    <w:rsid w:val="004E6F67"/>
    <w:rsid w:val="004E7213"/>
    <w:rsid w:val="004F0E56"/>
    <w:rsid w:val="004F13C2"/>
    <w:rsid w:val="004F355E"/>
    <w:rsid w:val="004F4245"/>
    <w:rsid w:val="004F6A19"/>
    <w:rsid w:val="004F778E"/>
    <w:rsid w:val="00501142"/>
    <w:rsid w:val="005019EE"/>
    <w:rsid w:val="00503092"/>
    <w:rsid w:val="00504812"/>
    <w:rsid w:val="005064F8"/>
    <w:rsid w:val="00510A7F"/>
    <w:rsid w:val="0051487E"/>
    <w:rsid w:val="005172FA"/>
    <w:rsid w:val="005229CA"/>
    <w:rsid w:val="00535C22"/>
    <w:rsid w:val="005433DF"/>
    <w:rsid w:val="00546B90"/>
    <w:rsid w:val="00547046"/>
    <w:rsid w:val="005473E9"/>
    <w:rsid w:val="00550097"/>
    <w:rsid w:val="00551863"/>
    <w:rsid w:val="00552C7B"/>
    <w:rsid w:val="00554DEC"/>
    <w:rsid w:val="00567492"/>
    <w:rsid w:val="00567A4C"/>
    <w:rsid w:val="00570D31"/>
    <w:rsid w:val="005729A5"/>
    <w:rsid w:val="0057380E"/>
    <w:rsid w:val="005756A0"/>
    <w:rsid w:val="00575C3F"/>
    <w:rsid w:val="005774FC"/>
    <w:rsid w:val="00580897"/>
    <w:rsid w:val="00581916"/>
    <w:rsid w:val="005829DE"/>
    <w:rsid w:val="005901E0"/>
    <w:rsid w:val="00591ECE"/>
    <w:rsid w:val="005922AE"/>
    <w:rsid w:val="00592C8F"/>
    <w:rsid w:val="005958A9"/>
    <w:rsid w:val="00595BA7"/>
    <w:rsid w:val="005A0560"/>
    <w:rsid w:val="005A459F"/>
    <w:rsid w:val="005A5F2A"/>
    <w:rsid w:val="005B329F"/>
    <w:rsid w:val="005B6277"/>
    <w:rsid w:val="005B7F0B"/>
    <w:rsid w:val="005C2C85"/>
    <w:rsid w:val="005C4DD6"/>
    <w:rsid w:val="005C6881"/>
    <w:rsid w:val="005C69C5"/>
    <w:rsid w:val="005E0DB0"/>
    <w:rsid w:val="005E69FB"/>
    <w:rsid w:val="005F1FBA"/>
    <w:rsid w:val="005F3283"/>
    <w:rsid w:val="005F407E"/>
    <w:rsid w:val="005F4110"/>
    <w:rsid w:val="005F7AB0"/>
    <w:rsid w:val="0060060A"/>
    <w:rsid w:val="006017CD"/>
    <w:rsid w:val="00603CE4"/>
    <w:rsid w:val="00610443"/>
    <w:rsid w:val="0061322A"/>
    <w:rsid w:val="00613E28"/>
    <w:rsid w:val="00614958"/>
    <w:rsid w:val="00614C0C"/>
    <w:rsid w:val="00615AB1"/>
    <w:rsid w:val="0061799F"/>
    <w:rsid w:val="00622EF9"/>
    <w:rsid w:val="006248E8"/>
    <w:rsid w:val="00625EE6"/>
    <w:rsid w:val="00632F27"/>
    <w:rsid w:val="00636D76"/>
    <w:rsid w:val="0064752C"/>
    <w:rsid w:val="006502B1"/>
    <w:rsid w:val="0065322F"/>
    <w:rsid w:val="00654451"/>
    <w:rsid w:val="00655594"/>
    <w:rsid w:val="00656C7F"/>
    <w:rsid w:val="00660DA1"/>
    <w:rsid w:val="00661C1B"/>
    <w:rsid w:val="00663F14"/>
    <w:rsid w:val="00665D33"/>
    <w:rsid w:val="00665D51"/>
    <w:rsid w:val="0067071F"/>
    <w:rsid w:val="00672B79"/>
    <w:rsid w:val="00677040"/>
    <w:rsid w:val="006905F4"/>
    <w:rsid w:val="00690BC5"/>
    <w:rsid w:val="00690E8B"/>
    <w:rsid w:val="00690F56"/>
    <w:rsid w:val="0069173D"/>
    <w:rsid w:val="0069391F"/>
    <w:rsid w:val="0069597A"/>
    <w:rsid w:val="00697134"/>
    <w:rsid w:val="006A017A"/>
    <w:rsid w:val="006A1ADE"/>
    <w:rsid w:val="006A25E5"/>
    <w:rsid w:val="006A2914"/>
    <w:rsid w:val="006A2EB9"/>
    <w:rsid w:val="006A3908"/>
    <w:rsid w:val="006A5709"/>
    <w:rsid w:val="006A6E83"/>
    <w:rsid w:val="006A78C1"/>
    <w:rsid w:val="006B0357"/>
    <w:rsid w:val="006B4403"/>
    <w:rsid w:val="006C36BB"/>
    <w:rsid w:val="006D4C84"/>
    <w:rsid w:val="006D5430"/>
    <w:rsid w:val="006E049A"/>
    <w:rsid w:val="006E13EB"/>
    <w:rsid w:val="006E4C5C"/>
    <w:rsid w:val="006E5A5B"/>
    <w:rsid w:val="006E7772"/>
    <w:rsid w:val="006F0503"/>
    <w:rsid w:val="006F7A64"/>
    <w:rsid w:val="00701EEB"/>
    <w:rsid w:val="007060C9"/>
    <w:rsid w:val="007072FB"/>
    <w:rsid w:val="00713A76"/>
    <w:rsid w:val="00713DC6"/>
    <w:rsid w:val="00714BF5"/>
    <w:rsid w:val="0071561B"/>
    <w:rsid w:val="0072067B"/>
    <w:rsid w:val="00720DBA"/>
    <w:rsid w:val="00723DE4"/>
    <w:rsid w:val="00724FE9"/>
    <w:rsid w:val="007313B7"/>
    <w:rsid w:val="00734829"/>
    <w:rsid w:val="00741638"/>
    <w:rsid w:val="007417B5"/>
    <w:rsid w:val="00747373"/>
    <w:rsid w:val="00754772"/>
    <w:rsid w:val="007556F9"/>
    <w:rsid w:val="00761899"/>
    <w:rsid w:val="007638F1"/>
    <w:rsid w:val="00766530"/>
    <w:rsid w:val="00776039"/>
    <w:rsid w:val="0078084B"/>
    <w:rsid w:val="00780EBF"/>
    <w:rsid w:val="00783030"/>
    <w:rsid w:val="007853E1"/>
    <w:rsid w:val="00791E88"/>
    <w:rsid w:val="0079275A"/>
    <w:rsid w:val="00792DC4"/>
    <w:rsid w:val="00794507"/>
    <w:rsid w:val="007A4005"/>
    <w:rsid w:val="007A4DCE"/>
    <w:rsid w:val="007A5468"/>
    <w:rsid w:val="007A56C8"/>
    <w:rsid w:val="007B2062"/>
    <w:rsid w:val="007C01CD"/>
    <w:rsid w:val="007C09E7"/>
    <w:rsid w:val="007C2E1A"/>
    <w:rsid w:val="007C429D"/>
    <w:rsid w:val="007C566C"/>
    <w:rsid w:val="007C7D4B"/>
    <w:rsid w:val="007D4D28"/>
    <w:rsid w:val="007D658D"/>
    <w:rsid w:val="007D697B"/>
    <w:rsid w:val="007E0D7C"/>
    <w:rsid w:val="007E13F0"/>
    <w:rsid w:val="007F5D66"/>
    <w:rsid w:val="007F656A"/>
    <w:rsid w:val="008031A7"/>
    <w:rsid w:val="00803C0B"/>
    <w:rsid w:val="00803C38"/>
    <w:rsid w:val="008061B4"/>
    <w:rsid w:val="00806207"/>
    <w:rsid w:val="00806557"/>
    <w:rsid w:val="0081042A"/>
    <w:rsid w:val="00813491"/>
    <w:rsid w:val="008143CF"/>
    <w:rsid w:val="0081662D"/>
    <w:rsid w:val="008217D8"/>
    <w:rsid w:val="008222D2"/>
    <w:rsid w:val="0082634E"/>
    <w:rsid w:val="008317DD"/>
    <w:rsid w:val="00832E4D"/>
    <w:rsid w:val="0083350E"/>
    <w:rsid w:val="00835343"/>
    <w:rsid w:val="00835AC8"/>
    <w:rsid w:val="00836821"/>
    <w:rsid w:val="00837181"/>
    <w:rsid w:val="0083772A"/>
    <w:rsid w:val="00840FA0"/>
    <w:rsid w:val="0084333E"/>
    <w:rsid w:val="00844EC8"/>
    <w:rsid w:val="00853272"/>
    <w:rsid w:val="00857910"/>
    <w:rsid w:val="008602D2"/>
    <w:rsid w:val="008616BB"/>
    <w:rsid w:val="008624FF"/>
    <w:rsid w:val="00865D82"/>
    <w:rsid w:val="0086707A"/>
    <w:rsid w:val="00870AD0"/>
    <w:rsid w:val="008730A0"/>
    <w:rsid w:val="00874014"/>
    <w:rsid w:val="00874553"/>
    <w:rsid w:val="00875127"/>
    <w:rsid w:val="00881483"/>
    <w:rsid w:val="00884C77"/>
    <w:rsid w:val="00887A6B"/>
    <w:rsid w:val="008919DC"/>
    <w:rsid w:val="00892994"/>
    <w:rsid w:val="008936B2"/>
    <w:rsid w:val="00893BB8"/>
    <w:rsid w:val="00894558"/>
    <w:rsid w:val="00895C5C"/>
    <w:rsid w:val="008A30BD"/>
    <w:rsid w:val="008A6E83"/>
    <w:rsid w:val="008B3BE0"/>
    <w:rsid w:val="008B451A"/>
    <w:rsid w:val="008B5C2B"/>
    <w:rsid w:val="008C1E20"/>
    <w:rsid w:val="008C5F08"/>
    <w:rsid w:val="008D06DF"/>
    <w:rsid w:val="008D2D94"/>
    <w:rsid w:val="008D491D"/>
    <w:rsid w:val="008D54D1"/>
    <w:rsid w:val="008E063D"/>
    <w:rsid w:val="008E3523"/>
    <w:rsid w:val="008E4F93"/>
    <w:rsid w:val="008E6B81"/>
    <w:rsid w:val="008F2C84"/>
    <w:rsid w:val="008F3A42"/>
    <w:rsid w:val="008F6336"/>
    <w:rsid w:val="008F68A9"/>
    <w:rsid w:val="00902297"/>
    <w:rsid w:val="00902D84"/>
    <w:rsid w:val="00904DF2"/>
    <w:rsid w:val="0090716F"/>
    <w:rsid w:val="009073F6"/>
    <w:rsid w:val="00910125"/>
    <w:rsid w:val="009113AF"/>
    <w:rsid w:val="009128BA"/>
    <w:rsid w:val="00912F4A"/>
    <w:rsid w:val="00916BCF"/>
    <w:rsid w:val="00916F07"/>
    <w:rsid w:val="00917ED9"/>
    <w:rsid w:val="00921E0F"/>
    <w:rsid w:val="00930831"/>
    <w:rsid w:val="009326B4"/>
    <w:rsid w:val="00935B0B"/>
    <w:rsid w:val="009364F7"/>
    <w:rsid w:val="00936728"/>
    <w:rsid w:val="00937BC9"/>
    <w:rsid w:val="00940001"/>
    <w:rsid w:val="00946471"/>
    <w:rsid w:val="00947D1A"/>
    <w:rsid w:val="00950007"/>
    <w:rsid w:val="00952BEF"/>
    <w:rsid w:val="00955698"/>
    <w:rsid w:val="009559B0"/>
    <w:rsid w:val="00961145"/>
    <w:rsid w:val="009669C2"/>
    <w:rsid w:val="00967100"/>
    <w:rsid w:val="0096769E"/>
    <w:rsid w:val="0097014D"/>
    <w:rsid w:val="00970A5C"/>
    <w:rsid w:val="00970B93"/>
    <w:rsid w:val="00970E24"/>
    <w:rsid w:val="00970E8A"/>
    <w:rsid w:val="00973F82"/>
    <w:rsid w:val="00982BB8"/>
    <w:rsid w:val="00983B80"/>
    <w:rsid w:val="009864D7"/>
    <w:rsid w:val="0099015B"/>
    <w:rsid w:val="00991655"/>
    <w:rsid w:val="009A04FE"/>
    <w:rsid w:val="009A2373"/>
    <w:rsid w:val="009A23CA"/>
    <w:rsid w:val="009A4C80"/>
    <w:rsid w:val="009A6499"/>
    <w:rsid w:val="009A7F65"/>
    <w:rsid w:val="009B26F9"/>
    <w:rsid w:val="009B4A69"/>
    <w:rsid w:val="009B6180"/>
    <w:rsid w:val="009B7B62"/>
    <w:rsid w:val="009C078F"/>
    <w:rsid w:val="009C1946"/>
    <w:rsid w:val="009C2E35"/>
    <w:rsid w:val="009C5C8E"/>
    <w:rsid w:val="009C7BB8"/>
    <w:rsid w:val="009D35CC"/>
    <w:rsid w:val="009D3620"/>
    <w:rsid w:val="009D6621"/>
    <w:rsid w:val="009E02FC"/>
    <w:rsid w:val="009E2D08"/>
    <w:rsid w:val="009E3197"/>
    <w:rsid w:val="009E3CEE"/>
    <w:rsid w:val="009F01DC"/>
    <w:rsid w:val="009F1474"/>
    <w:rsid w:val="009F3F29"/>
    <w:rsid w:val="009F51CA"/>
    <w:rsid w:val="009F79E9"/>
    <w:rsid w:val="00A02522"/>
    <w:rsid w:val="00A04E0A"/>
    <w:rsid w:val="00A06E30"/>
    <w:rsid w:val="00A06F2D"/>
    <w:rsid w:val="00A07761"/>
    <w:rsid w:val="00A1778E"/>
    <w:rsid w:val="00A20D3B"/>
    <w:rsid w:val="00A20DE4"/>
    <w:rsid w:val="00A2575F"/>
    <w:rsid w:val="00A25D22"/>
    <w:rsid w:val="00A3246C"/>
    <w:rsid w:val="00A32BCB"/>
    <w:rsid w:val="00A3627F"/>
    <w:rsid w:val="00A37640"/>
    <w:rsid w:val="00A40775"/>
    <w:rsid w:val="00A40921"/>
    <w:rsid w:val="00A46B7C"/>
    <w:rsid w:val="00A50538"/>
    <w:rsid w:val="00A54394"/>
    <w:rsid w:val="00A55A3B"/>
    <w:rsid w:val="00A5626E"/>
    <w:rsid w:val="00A56F2E"/>
    <w:rsid w:val="00A5779C"/>
    <w:rsid w:val="00A57902"/>
    <w:rsid w:val="00A60DD2"/>
    <w:rsid w:val="00A62994"/>
    <w:rsid w:val="00A65C8F"/>
    <w:rsid w:val="00A660BB"/>
    <w:rsid w:val="00A70231"/>
    <w:rsid w:val="00A726A4"/>
    <w:rsid w:val="00A74D80"/>
    <w:rsid w:val="00A82997"/>
    <w:rsid w:val="00A84257"/>
    <w:rsid w:val="00A9277B"/>
    <w:rsid w:val="00A9277E"/>
    <w:rsid w:val="00A937BC"/>
    <w:rsid w:val="00A966C4"/>
    <w:rsid w:val="00AA02A0"/>
    <w:rsid w:val="00AA21A8"/>
    <w:rsid w:val="00AA265D"/>
    <w:rsid w:val="00AA37AB"/>
    <w:rsid w:val="00AA4093"/>
    <w:rsid w:val="00AA7427"/>
    <w:rsid w:val="00AA7E32"/>
    <w:rsid w:val="00AB2E3E"/>
    <w:rsid w:val="00AB39B8"/>
    <w:rsid w:val="00AB493D"/>
    <w:rsid w:val="00AB661E"/>
    <w:rsid w:val="00AC0620"/>
    <w:rsid w:val="00AC4C1E"/>
    <w:rsid w:val="00AC5AA6"/>
    <w:rsid w:val="00AD0012"/>
    <w:rsid w:val="00AD09DC"/>
    <w:rsid w:val="00AD1C0B"/>
    <w:rsid w:val="00AE0688"/>
    <w:rsid w:val="00AE1803"/>
    <w:rsid w:val="00AE2E75"/>
    <w:rsid w:val="00AE505E"/>
    <w:rsid w:val="00AF1657"/>
    <w:rsid w:val="00AF2F57"/>
    <w:rsid w:val="00AF315D"/>
    <w:rsid w:val="00AF3DDC"/>
    <w:rsid w:val="00AF5510"/>
    <w:rsid w:val="00B01CBC"/>
    <w:rsid w:val="00B11AC6"/>
    <w:rsid w:val="00B15C7D"/>
    <w:rsid w:val="00B15F73"/>
    <w:rsid w:val="00B16017"/>
    <w:rsid w:val="00B17603"/>
    <w:rsid w:val="00B241F4"/>
    <w:rsid w:val="00B27D0E"/>
    <w:rsid w:val="00B30215"/>
    <w:rsid w:val="00B317A0"/>
    <w:rsid w:val="00B31B2C"/>
    <w:rsid w:val="00B32010"/>
    <w:rsid w:val="00B33023"/>
    <w:rsid w:val="00B33F02"/>
    <w:rsid w:val="00B34411"/>
    <w:rsid w:val="00B3470F"/>
    <w:rsid w:val="00B37C4D"/>
    <w:rsid w:val="00B37E3A"/>
    <w:rsid w:val="00B40BD2"/>
    <w:rsid w:val="00B414EC"/>
    <w:rsid w:val="00B41B9D"/>
    <w:rsid w:val="00B42ABF"/>
    <w:rsid w:val="00B44A82"/>
    <w:rsid w:val="00B4671F"/>
    <w:rsid w:val="00B51C58"/>
    <w:rsid w:val="00B600D7"/>
    <w:rsid w:val="00B60940"/>
    <w:rsid w:val="00B60A6E"/>
    <w:rsid w:val="00B629B6"/>
    <w:rsid w:val="00B64AD4"/>
    <w:rsid w:val="00B650BA"/>
    <w:rsid w:val="00B70AD6"/>
    <w:rsid w:val="00B70B8E"/>
    <w:rsid w:val="00B813A7"/>
    <w:rsid w:val="00B81E9D"/>
    <w:rsid w:val="00B83881"/>
    <w:rsid w:val="00B83E64"/>
    <w:rsid w:val="00B9204E"/>
    <w:rsid w:val="00B9516D"/>
    <w:rsid w:val="00BA0A2D"/>
    <w:rsid w:val="00BA3429"/>
    <w:rsid w:val="00BA6386"/>
    <w:rsid w:val="00BA7C16"/>
    <w:rsid w:val="00BB2B2C"/>
    <w:rsid w:val="00BB7D81"/>
    <w:rsid w:val="00BC1324"/>
    <w:rsid w:val="00BC4D24"/>
    <w:rsid w:val="00BC67CA"/>
    <w:rsid w:val="00BD0C4A"/>
    <w:rsid w:val="00BD56DD"/>
    <w:rsid w:val="00BE658D"/>
    <w:rsid w:val="00BF1DA7"/>
    <w:rsid w:val="00BF7E85"/>
    <w:rsid w:val="00C04C7C"/>
    <w:rsid w:val="00C10129"/>
    <w:rsid w:val="00C116A3"/>
    <w:rsid w:val="00C1188D"/>
    <w:rsid w:val="00C12A51"/>
    <w:rsid w:val="00C13D41"/>
    <w:rsid w:val="00C15F96"/>
    <w:rsid w:val="00C259DD"/>
    <w:rsid w:val="00C260A2"/>
    <w:rsid w:val="00C314B7"/>
    <w:rsid w:val="00C3255E"/>
    <w:rsid w:val="00C37A26"/>
    <w:rsid w:val="00C46190"/>
    <w:rsid w:val="00C47C90"/>
    <w:rsid w:val="00C53983"/>
    <w:rsid w:val="00C663EF"/>
    <w:rsid w:val="00C678EE"/>
    <w:rsid w:val="00C71383"/>
    <w:rsid w:val="00C73776"/>
    <w:rsid w:val="00C818F1"/>
    <w:rsid w:val="00C81DB9"/>
    <w:rsid w:val="00C8581A"/>
    <w:rsid w:val="00C930E1"/>
    <w:rsid w:val="00CA635A"/>
    <w:rsid w:val="00CA6525"/>
    <w:rsid w:val="00CB10B3"/>
    <w:rsid w:val="00CB142D"/>
    <w:rsid w:val="00CB28E6"/>
    <w:rsid w:val="00CB545A"/>
    <w:rsid w:val="00CB6D50"/>
    <w:rsid w:val="00CB7214"/>
    <w:rsid w:val="00CC0352"/>
    <w:rsid w:val="00CC29CC"/>
    <w:rsid w:val="00CC505D"/>
    <w:rsid w:val="00CC7F26"/>
    <w:rsid w:val="00CD091C"/>
    <w:rsid w:val="00CD0D36"/>
    <w:rsid w:val="00CD2BC4"/>
    <w:rsid w:val="00CD53D0"/>
    <w:rsid w:val="00CD57EF"/>
    <w:rsid w:val="00CD6EB0"/>
    <w:rsid w:val="00CE6EF2"/>
    <w:rsid w:val="00CF034C"/>
    <w:rsid w:val="00CF7953"/>
    <w:rsid w:val="00CF7F72"/>
    <w:rsid w:val="00D006C2"/>
    <w:rsid w:val="00D00E77"/>
    <w:rsid w:val="00D06988"/>
    <w:rsid w:val="00D10669"/>
    <w:rsid w:val="00D106E0"/>
    <w:rsid w:val="00D1531F"/>
    <w:rsid w:val="00D169E5"/>
    <w:rsid w:val="00D1747A"/>
    <w:rsid w:val="00D211D9"/>
    <w:rsid w:val="00D21D68"/>
    <w:rsid w:val="00D221F6"/>
    <w:rsid w:val="00D2600B"/>
    <w:rsid w:val="00D26439"/>
    <w:rsid w:val="00D31AE2"/>
    <w:rsid w:val="00D32A77"/>
    <w:rsid w:val="00D330E0"/>
    <w:rsid w:val="00D40FAC"/>
    <w:rsid w:val="00D44B3B"/>
    <w:rsid w:val="00D46CE3"/>
    <w:rsid w:val="00D47E1F"/>
    <w:rsid w:val="00D50756"/>
    <w:rsid w:val="00D5384E"/>
    <w:rsid w:val="00D53924"/>
    <w:rsid w:val="00D53B63"/>
    <w:rsid w:val="00D53F9D"/>
    <w:rsid w:val="00D55D0B"/>
    <w:rsid w:val="00D6129D"/>
    <w:rsid w:val="00D61ECB"/>
    <w:rsid w:val="00D65D86"/>
    <w:rsid w:val="00D70AF2"/>
    <w:rsid w:val="00D71676"/>
    <w:rsid w:val="00D74177"/>
    <w:rsid w:val="00D75504"/>
    <w:rsid w:val="00D95396"/>
    <w:rsid w:val="00D976A6"/>
    <w:rsid w:val="00D97E76"/>
    <w:rsid w:val="00DA580C"/>
    <w:rsid w:val="00DA607D"/>
    <w:rsid w:val="00DB1650"/>
    <w:rsid w:val="00DB3CD6"/>
    <w:rsid w:val="00DB3FC8"/>
    <w:rsid w:val="00DC10A8"/>
    <w:rsid w:val="00DC721C"/>
    <w:rsid w:val="00DC7A5E"/>
    <w:rsid w:val="00DD24B5"/>
    <w:rsid w:val="00DD2A5F"/>
    <w:rsid w:val="00DD5F44"/>
    <w:rsid w:val="00DD6739"/>
    <w:rsid w:val="00DD69DD"/>
    <w:rsid w:val="00DD784F"/>
    <w:rsid w:val="00DE1698"/>
    <w:rsid w:val="00DE5A3C"/>
    <w:rsid w:val="00DE5CD4"/>
    <w:rsid w:val="00DF18C0"/>
    <w:rsid w:val="00DF3BFA"/>
    <w:rsid w:val="00DF431E"/>
    <w:rsid w:val="00DF5359"/>
    <w:rsid w:val="00DF58DF"/>
    <w:rsid w:val="00DF5F4A"/>
    <w:rsid w:val="00DF72F7"/>
    <w:rsid w:val="00E0059B"/>
    <w:rsid w:val="00E00D5C"/>
    <w:rsid w:val="00E01B9C"/>
    <w:rsid w:val="00E02EA0"/>
    <w:rsid w:val="00E0551E"/>
    <w:rsid w:val="00E0591B"/>
    <w:rsid w:val="00E12DC8"/>
    <w:rsid w:val="00E131AE"/>
    <w:rsid w:val="00E13C2B"/>
    <w:rsid w:val="00E14910"/>
    <w:rsid w:val="00E15AE9"/>
    <w:rsid w:val="00E2163B"/>
    <w:rsid w:val="00E2288F"/>
    <w:rsid w:val="00E25A79"/>
    <w:rsid w:val="00E26927"/>
    <w:rsid w:val="00E27E5F"/>
    <w:rsid w:val="00E32F63"/>
    <w:rsid w:val="00E35CDC"/>
    <w:rsid w:val="00E370DE"/>
    <w:rsid w:val="00E3712E"/>
    <w:rsid w:val="00E4353C"/>
    <w:rsid w:val="00E47CA2"/>
    <w:rsid w:val="00E47D90"/>
    <w:rsid w:val="00E515BE"/>
    <w:rsid w:val="00E54D27"/>
    <w:rsid w:val="00E5583D"/>
    <w:rsid w:val="00E56DAE"/>
    <w:rsid w:val="00E61351"/>
    <w:rsid w:val="00E616BF"/>
    <w:rsid w:val="00E622B4"/>
    <w:rsid w:val="00E65884"/>
    <w:rsid w:val="00E70D86"/>
    <w:rsid w:val="00E71AAE"/>
    <w:rsid w:val="00E74B58"/>
    <w:rsid w:val="00E75F24"/>
    <w:rsid w:val="00E77879"/>
    <w:rsid w:val="00E82CCB"/>
    <w:rsid w:val="00E86F1C"/>
    <w:rsid w:val="00E870AA"/>
    <w:rsid w:val="00E95844"/>
    <w:rsid w:val="00E9782A"/>
    <w:rsid w:val="00EA1080"/>
    <w:rsid w:val="00EA5BC9"/>
    <w:rsid w:val="00EB010D"/>
    <w:rsid w:val="00EB09EE"/>
    <w:rsid w:val="00EB16A2"/>
    <w:rsid w:val="00EB2AAC"/>
    <w:rsid w:val="00EB7B5E"/>
    <w:rsid w:val="00EB7F06"/>
    <w:rsid w:val="00EB7FCC"/>
    <w:rsid w:val="00EC3603"/>
    <w:rsid w:val="00ED11F8"/>
    <w:rsid w:val="00ED3A44"/>
    <w:rsid w:val="00ED5649"/>
    <w:rsid w:val="00ED746E"/>
    <w:rsid w:val="00ED74C0"/>
    <w:rsid w:val="00EE3B76"/>
    <w:rsid w:val="00EE4F01"/>
    <w:rsid w:val="00EE5825"/>
    <w:rsid w:val="00EE586E"/>
    <w:rsid w:val="00EE5E22"/>
    <w:rsid w:val="00EE69E6"/>
    <w:rsid w:val="00EE6BC3"/>
    <w:rsid w:val="00EE708E"/>
    <w:rsid w:val="00EF041E"/>
    <w:rsid w:val="00EF43FF"/>
    <w:rsid w:val="00EF476C"/>
    <w:rsid w:val="00EF5C62"/>
    <w:rsid w:val="00EF6633"/>
    <w:rsid w:val="00EF6A2A"/>
    <w:rsid w:val="00EF7EEC"/>
    <w:rsid w:val="00F00D55"/>
    <w:rsid w:val="00F07C1F"/>
    <w:rsid w:val="00F07F45"/>
    <w:rsid w:val="00F116E8"/>
    <w:rsid w:val="00F11C14"/>
    <w:rsid w:val="00F139EE"/>
    <w:rsid w:val="00F1474A"/>
    <w:rsid w:val="00F14968"/>
    <w:rsid w:val="00F158BF"/>
    <w:rsid w:val="00F20B07"/>
    <w:rsid w:val="00F23EF0"/>
    <w:rsid w:val="00F2786E"/>
    <w:rsid w:val="00F300CF"/>
    <w:rsid w:val="00F33483"/>
    <w:rsid w:val="00F348AB"/>
    <w:rsid w:val="00F36D7D"/>
    <w:rsid w:val="00F37245"/>
    <w:rsid w:val="00F4085C"/>
    <w:rsid w:val="00F409E0"/>
    <w:rsid w:val="00F45080"/>
    <w:rsid w:val="00F45599"/>
    <w:rsid w:val="00F46477"/>
    <w:rsid w:val="00F468E6"/>
    <w:rsid w:val="00F46A27"/>
    <w:rsid w:val="00F529E8"/>
    <w:rsid w:val="00F52EF5"/>
    <w:rsid w:val="00F53911"/>
    <w:rsid w:val="00F54780"/>
    <w:rsid w:val="00F54930"/>
    <w:rsid w:val="00F579FF"/>
    <w:rsid w:val="00F61205"/>
    <w:rsid w:val="00F616DA"/>
    <w:rsid w:val="00F630D1"/>
    <w:rsid w:val="00F655E1"/>
    <w:rsid w:val="00F66420"/>
    <w:rsid w:val="00F673E4"/>
    <w:rsid w:val="00F70E95"/>
    <w:rsid w:val="00F75367"/>
    <w:rsid w:val="00F75593"/>
    <w:rsid w:val="00F75D5C"/>
    <w:rsid w:val="00F76B1F"/>
    <w:rsid w:val="00F8102E"/>
    <w:rsid w:val="00F817C0"/>
    <w:rsid w:val="00F817F8"/>
    <w:rsid w:val="00F81CE8"/>
    <w:rsid w:val="00F83DD6"/>
    <w:rsid w:val="00F83E06"/>
    <w:rsid w:val="00F853ED"/>
    <w:rsid w:val="00F91D0E"/>
    <w:rsid w:val="00F970EC"/>
    <w:rsid w:val="00FA1E9F"/>
    <w:rsid w:val="00FA34CF"/>
    <w:rsid w:val="00FA6C95"/>
    <w:rsid w:val="00FA7A89"/>
    <w:rsid w:val="00FB04A6"/>
    <w:rsid w:val="00FB197A"/>
    <w:rsid w:val="00FB4FF5"/>
    <w:rsid w:val="00FC2205"/>
    <w:rsid w:val="00FC6617"/>
    <w:rsid w:val="00FC799C"/>
    <w:rsid w:val="00FC7F9E"/>
    <w:rsid w:val="00FE5EC7"/>
    <w:rsid w:val="00FE6710"/>
    <w:rsid w:val="00FE7558"/>
    <w:rsid w:val="00FE7FA6"/>
    <w:rsid w:val="00FF04B3"/>
    <w:rsid w:val="00FF175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C912657"/>
  <w15:docId w15:val="{0E4693AC-CA03-4854-A020-CA4EA96D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257"/>
    <w:pPr>
      <w:spacing w:after="0" w:line="240" w:lineRule="auto"/>
      <w:jc w:val="center"/>
    </w:pPr>
    <w:rPr>
      <w:rFonts w:ascii="Times New Roman" w:eastAsia="Times New Roman" w:hAnsi="Times New Roman" w:cs="Times New Roman"/>
      <w:sz w:val="24"/>
      <w:szCs w:val="24"/>
      <w:lang w:val="en-US"/>
    </w:rPr>
  </w:style>
  <w:style w:type="paragraph" w:styleId="Ttulo1">
    <w:name w:val="heading 1"/>
    <w:aliases w:val="título 1"/>
    <w:basedOn w:val="Normal"/>
    <w:next w:val="Normal"/>
    <w:link w:val="Ttulo1Car"/>
    <w:qFormat/>
    <w:rsid w:val="00D50756"/>
    <w:pPr>
      <w:keepNext/>
      <w:ind w:right="2"/>
      <w:outlineLvl w:val="0"/>
    </w:pPr>
    <w:rPr>
      <w:b/>
      <w:smallCaps/>
      <w:sz w:val="18"/>
      <w:szCs w:val="18"/>
      <w:lang w:val="es-ES"/>
    </w:rPr>
  </w:style>
  <w:style w:type="paragraph" w:styleId="Ttulo2">
    <w:name w:val="heading 2"/>
    <w:basedOn w:val="Normal"/>
    <w:next w:val="Normal"/>
    <w:link w:val="Ttulo2Car"/>
    <w:qFormat/>
    <w:rsid w:val="00D50756"/>
    <w:pPr>
      <w:keepNext/>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outlineLvl w:val="1"/>
    </w:pPr>
    <w:rPr>
      <w:b/>
      <w:smallCaps/>
      <w:sz w:val="20"/>
      <w:szCs w:val="20"/>
      <w:lang w:val="es-ES"/>
    </w:rPr>
  </w:style>
  <w:style w:type="paragraph" w:styleId="Ttulo3">
    <w:name w:val="heading 3"/>
    <w:basedOn w:val="Normal"/>
    <w:next w:val="Normal"/>
    <w:link w:val="Ttulo3Car"/>
    <w:qFormat/>
    <w:rsid w:val="00D50756"/>
    <w:pPr>
      <w:keepNext/>
      <w:jc w:val="both"/>
      <w:outlineLvl w:val="2"/>
    </w:pPr>
    <w:rPr>
      <w:b/>
      <w:bCs/>
      <w:sz w:val="20"/>
      <w:szCs w:val="20"/>
    </w:rPr>
  </w:style>
  <w:style w:type="paragraph" w:styleId="Ttulo4">
    <w:name w:val="heading 4"/>
    <w:basedOn w:val="Normal"/>
    <w:next w:val="Normal"/>
    <w:link w:val="Ttulo4Car"/>
    <w:qFormat/>
    <w:rsid w:val="00D50756"/>
    <w:pPr>
      <w:keepNext/>
      <w:outlineLvl w:val="3"/>
    </w:pPr>
    <w:rPr>
      <w:b/>
      <w:bCs/>
      <w:sz w:val="20"/>
    </w:rPr>
  </w:style>
  <w:style w:type="paragraph" w:styleId="Ttulo5">
    <w:name w:val="heading 5"/>
    <w:basedOn w:val="Normal"/>
    <w:next w:val="Normal"/>
    <w:link w:val="Ttulo5Car"/>
    <w:qFormat/>
    <w:rsid w:val="00D50756"/>
    <w:pPr>
      <w:keepNext/>
      <w:spacing w:after="120"/>
      <w:outlineLvl w:val="4"/>
    </w:pPr>
    <w:rPr>
      <w:sz w:val="28"/>
    </w:rPr>
  </w:style>
  <w:style w:type="paragraph" w:styleId="Ttulo6">
    <w:name w:val="heading 6"/>
    <w:basedOn w:val="Normal"/>
    <w:next w:val="Normal"/>
    <w:link w:val="Ttulo6Car"/>
    <w:qFormat/>
    <w:rsid w:val="00D50756"/>
    <w:pPr>
      <w:keepNext/>
      <w:spacing w:after="120"/>
      <w:outlineLvl w:val="5"/>
    </w:pPr>
    <w:rPr>
      <w:b/>
      <w:bCs/>
      <w:smallCaps/>
      <w:szCs w:val="20"/>
    </w:rPr>
  </w:style>
  <w:style w:type="paragraph" w:styleId="Ttulo7">
    <w:name w:val="heading 7"/>
    <w:basedOn w:val="Normal"/>
    <w:next w:val="Normal"/>
    <w:link w:val="Ttulo7Car"/>
    <w:qFormat/>
    <w:rsid w:val="00D50756"/>
    <w:pPr>
      <w:keepNext/>
      <w:jc w:val="both"/>
      <w:outlineLvl w:val="6"/>
    </w:pPr>
    <w:rPr>
      <w:i/>
      <w:iCs/>
      <w:noProof/>
      <w:snapToGrid w:val="0"/>
      <w:sz w:val="20"/>
      <w:u w:val="single"/>
    </w:rPr>
  </w:style>
  <w:style w:type="paragraph" w:styleId="Ttulo8">
    <w:name w:val="heading 8"/>
    <w:basedOn w:val="Normal"/>
    <w:next w:val="Normal"/>
    <w:link w:val="Ttulo8Car"/>
    <w:qFormat/>
    <w:rsid w:val="00D50756"/>
    <w:pPr>
      <w:keepNext/>
      <w:ind w:firstLine="187"/>
      <w:outlineLvl w:val="7"/>
    </w:pPr>
    <w:rPr>
      <w:rFonts w:ascii="Times New Roman Bold" w:hAnsi="Times New Roman Bold"/>
      <w:b/>
      <w:bCs/>
      <w:sz w:val="20"/>
    </w:rPr>
  </w:style>
  <w:style w:type="paragraph" w:styleId="Ttulo9">
    <w:name w:val="heading 9"/>
    <w:basedOn w:val="Normal"/>
    <w:next w:val="Normal"/>
    <w:link w:val="Ttulo9Car"/>
    <w:qFormat/>
    <w:rsid w:val="00D50756"/>
    <w:pPr>
      <w:keepNext/>
      <w:outlineLvl w:val="8"/>
    </w:pPr>
    <w:rPr>
      <w:rFonts w:ascii="Arial" w:hAnsi="Arial"/>
      <w:b/>
      <w:bCs/>
      <w:sz w:val="20"/>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Car"/>
    <w:basedOn w:val="Fuentedeprrafopredeter"/>
    <w:link w:val="Ttulo1"/>
    <w:rsid w:val="00D50756"/>
    <w:rPr>
      <w:rFonts w:ascii="Times New Roman" w:eastAsia="Times New Roman" w:hAnsi="Times New Roman" w:cs="Times New Roman"/>
      <w:b/>
      <w:smallCaps/>
      <w:sz w:val="18"/>
      <w:szCs w:val="18"/>
    </w:rPr>
  </w:style>
  <w:style w:type="character" w:customStyle="1" w:styleId="Ttulo2Car">
    <w:name w:val="Título 2 Car"/>
    <w:basedOn w:val="Fuentedeprrafopredeter"/>
    <w:link w:val="Ttulo2"/>
    <w:rsid w:val="00D50756"/>
    <w:rPr>
      <w:rFonts w:ascii="Times New Roman" w:eastAsia="Times New Roman" w:hAnsi="Times New Roman" w:cs="Times New Roman"/>
      <w:b/>
      <w:smallCaps/>
      <w:sz w:val="20"/>
      <w:szCs w:val="20"/>
    </w:rPr>
  </w:style>
  <w:style w:type="character" w:customStyle="1" w:styleId="Ttulo3Car">
    <w:name w:val="Título 3 Car"/>
    <w:basedOn w:val="Fuentedeprrafopredeter"/>
    <w:link w:val="Ttulo3"/>
    <w:rsid w:val="00D50756"/>
    <w:rPr>
      <w:rFonts w:ascii="Times New Roman" w:eastAsia="Times New Roman" w:hAnsi="Times New Roman" w:cs="Times New Roman"/>
      <w:b/>
      <w:bCs/>
      <w:sz w:val="20"/>
      <w:szCs w:val="20"/>
      <w:lang w:val="en-US"/>
    </w:rPr>
  </w:style>
  <w:style w:type="character" w:customStyle="1" w:styleId="Ttulo4Car">
    <w:name w:val="Título 4 Car"/>
    <w:basedOn w:val="Fuentedeprrafopredeter"/>
    <w:link w:val="Ttulo4"/>
    <w:rsid w:val="00D50756"/>
    <w:rPr>
      <w:rFonts w:ascii="Times New Roman" w:eastAsia="Times New Roman" w:hAnsi="Times New Roman" w:cs="Times New Roman"/>
      <w:b/>
      <w:bCs/>
      <w:sz w:val="20"/>
      <w:szCs w:val="24"/>
      <w:lang w:val="en-US"/>
    </w:rPr>
  </w:style>
  <w:style w:type="character" w:customStyle="1" w:styleId="Ttulo5Car">
    <w:name w:val="Título 5 Car"/>
    <w:basedOn w:val="Fuentedeprrafopredeter"/>
    <w:link w:val="Ttulo5"/>
    <w:rsid w:val="00D50756"/>
    <w:rPr>
      <w:rFonts w:ascii="Times New Roman" w:eastAsia="Times New Roman" w:hAnsi="Times New Roman" w:cs="Times New Roman"/>
      <w:sz w:val="28"/>
      <w:szCs w:val="24"/>
      <w:lang w:val="en-US"/>
    </w:rPr>
  </w:style>
  <w:style w:type="character" w:customStyle="1" w:styleId="Ttulo6Car">
    <w:name w:val="Título 6 Car"/>
    <w:basedOn w:val="Fuentedeprrafopredeter"/>
    <w:link w:val="Ttulo6"/>
    <w:rsid w:val="00D50756"/>
    <w:rPr>
      <w:rFonts w:ascii="Times New Roman" w:eastAsia="Times New Roman" w:hAnsi="Times New Roman" w:cs="Times New Roman"/>
      <w:b/>
      <w:bCs/>
      <w:smallCaps/>
      <w:sz w:val="24"/>
      <w:szCs w:val="20"/>
      <w:lang w:val="en-US"/>
    </w:rPr>
  </w:style>
  <w:style w:type="character" w:customStyle="1" w:styleId="Ttulo7Car">
    <w:name w:val="Título 7 Car"/>
    <w:basedOn w:val="Fuentedeprrafopredeter"/>
    <w:link w:val="Ttulo7"/>
    <w:rsid w:val="00D50756"/>
    <w:rPr>
      <w:rFonts w:ascii="Times New Roman" w:eastAsia="Times New Roman" w:hAnsi="Times New Roman" w:cs="Times New Roman"/>
      <w:i/>
      <w:iCs/>
      <w:noProof/>
      <w:snapToGrid w:val="0"/>
      <w:sz w:val="20"/>
      <w:szCs w:val="24"/>
      <w:u w:val="single"/>
      <w:lang w:val="en-US"/>
    </w:rPr>
  </w:style>
  <w:style w:type="character" w:customStyle="1" w:styleId="Ttulo8Car">
    <w:name w:val="Título 8 Car"/>
    <w:basedOn w:val="Fuentedeprrafopredeter"/>
    <w:link w:val="Ttulo8"/>
    <w:rsid w:val="00D50756"/>
    <w:rPr>
      <w:rFonts w:ascii="Times New Roman Bold" w:eastAsia="Times New Roman" w:hAnsi="Times New Roman Bold" w:cs="Times New Roman"/>
      <w:b/>
      <w:bCs/>
      <w:sz w:val="20"/>
      <w:szCs w:val="24"/>
      <w:lang w:val="en-US"/>
    </w:rPr>
  </w:style>
  <w:style w:type="character" w:customStyle="1" w:styleId="Ttulo9Car">
    <w:name w:val="Título 9 Car"/>
    <w:basedOn w:val="Fuentedeprrafopredeter"/>
    <w:link w:val="Ttulo9"/>
    <w:rsid w:val="00D50756"/>
    <w:rPr>
      <w:rFonts w:ascii="Arial" w:eastAsia="Times New Roman" w:hAnsi="Arial" w:cs="Times New Roman"/>
      <w:b/>
      <w:bCs/>
      <w:sz w:val="20"/>
      <w:szCs w:val="20"/>
      <w:lang w:val="es-MX" w:eastAsia="es-ES"/>
    </w:rPr>
  </w:style>
  <w:style w:type="paragraph" w:styleId="Textoindependiente">
    <w:name w:val="Body Text"/>
    <w:aliases w:val="body text,bt,Texto independienteR,Body Text1,b,bt wide,Body Text Char1,Body Text Char Char,b Char Char,b Char1,Ctrl+1,CG-Single Sp 0.5,s2,!Body Text .5(J),!Body Text .5s2(J),5,bb,Body Bullet,Second Heading 2,Second Heading,!Body Text"/>
    <w:basedOn w:val="Normal"/>
    <w:link w:val="TextoindependienteCar1"/>
    <w:rsid w:val="00D50756"/>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jc w:val="both"/>
    </w:pPr>
    <w:rPr>
      <w:sz w:val="20"/>
      <w:szCs w:val="20"/>
    </w:rPr>
  </w:style>
  <w:style w:type="character" w:customStyle="1" w:styleId="TextoindependienteCar">
    <w:name w:val="Texto independiente Car"/>
    <w:aliases w:val="body text Car,bt Car,Texto independienteR Car,Body Text1 Car,b Car,bt wide Car,Body Text Char1 Car,Body Text Char Char Car,b Char Char Car,b Char1 Car,Ctrl+1 Car,CG-Single Sp 0.5 Car,s2 Car,!Body Text .5(J) Car,5 Car,bb Car"/>
    <w:basedOn w:val="Fuentedeprrafopredeter"/>
    <w:rsid w:val="00D50756"/>
    <w:rPr>
      <w:rFonts w:ascii="Times New Roman" w:eastAsia="Times New Roman" w:hAnsi="Times New Roman" w:cs="Times New Roman"/>
      <w:sz w:val="24"/>
      <w:szCs w:val="24"/>
      <w:lang w:val="en-US"/>
    </w:rPr>
  </w:style>
  <w:style w:type="character" w:customStyle="1" w:styleId="TextoindependienteCar1">
    <w:name w:val="Texto independiente Car1"/>
    <w:aliases w:val="body text Car1,bt Car1,Texto independienteR Car1,Body Text1 Car1,b Car1,bt wide Car1,Body Text Char1 Car1,Body Text Char Char Car1,b Char Char Car1,b Char1 Car1,Ctrl+1 Car1,CG-Single Sp 0.5 Car1,s2 Car1,!Body Text .5(J) Car1"/>
    <w:link w:val="Textoindependiente"/>
    <w:locked/>
    <w:rsid w:val="00D50756"/>
    <w:rPr>
      <w:rFonts w:ascii="Times New Roman" w:eastAsia="Times New Roman" w:hAnsi="Times New Roman" w:cs="Times New Roman"/>
      <w:sz w:val="20"/>
      <w:szCs w:val="20"/>
      <w:lang w:val="en-US"/>
    </w:rPr>
  </w:style>
  <w:style w:type="character" w:customStyle="1" w:styleId="Sangra3detindependienteCar">
    <w:name w:val="Sangría 3 de t. independiente Car"/>
    <w:link w:val="Sangra3detindependiente"/>
    <w:semiHidden/>
    <w:rsid w:val="00D50756"/>
    <w:rPr>
      <w:rFonts w:ascii="Palatino" w:eastAsia="Times New Roman" w:hAnsi="Palatino" w:cs="Times New Roman"/>
      <w:sz w:val="20"/>
      <w:szCs w:val="20"/>
    </w:rPr>
  </w:style>
  <w:style w:type="paragraph" w:styleId="Sangra3detindependiente">
    <w:name w:val="Body Text Indent 3"/>
    <w:basedOn w:val="Normal"/>
    <w:link w:val="Sangra3detindependienteCar"/>
    <w:semiHidden/>
    <w:rsid w:val="00D50756"/>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ind w:left="2835" w:hanging="2835"/>
      <w:jc w:val="both"/>
    </w:pPr>
    <w:rPr>
      <w:rFonts w:ascii="Palatino" w:hAnsi="Palatino"/>
      <w:sz w:val="20"/>
      <w:szCs w:val="20"/>
      <w:lang w:val="es-ES"/>
    </w:rPr>
  </w:style>
  <w:style w:type="character" w:customStyle="1" w:styleId="Sangra3detindependienteCar1">
    <w:name w:val="Sangría 3 de t. independiente Car1"/>
    <w:basedOn w:val="Fuentedeprrafopredeter"/>
    <w:uiPriority w:val="99"/>
    <w:semiHidden/>
    <w:rsid w:val="00D50756"/>
    <w:rPr>
      <w:rFonts w:ascii="Times New Roman" w:eastAsia="Times New Roman" w:hAnsi="Times New Roman" w:cs="Times New Roman"/>
      <w:sz w:val="16"/>
      <w:szCs w:val="16"/>
      <w:lang w:val="en-US"/>
    </w:rPr>
  </w:style>
  <w:style w:type="paragraph" w:styleId="Piedepgina">
    <w:name w:val="footer"/>
    <w:basedOn w:val="Normal"/>
    <w:link w:val="PiedepginaCar"/>
    <w:uiPriority w:val="99"/>
    <w:rsid w:val="00D50756"/>
    <w:pPr>
      <w:tabs>
        <w:tab w:val="center" w:pos="4320"/>
        <w:tab w:val="right" w:pos="8640"/>
      </w:tabs>
    </w:pPr>
    <w:rPr>
      <w:rFonts w:ascii="New York" w:hAnsi="New York"/>
      <w:sz w:val="20"/>
      <w:szCs w:val="20"/>
    </w:rPr>
  </w:style>
  <w:style w:type="character" w:customStyle="1" w:styleId="PiedepginaCar">
    <w:name w:val="Pie de página Car"/>
    <w:basedOn w:val="Fuentedeprrafopredeter"/>
    <w:link w:val="Piedepgina"/>
    <w:uiPriority w:val="99"/>
    <w:rsid w:val="00D50756"/>
    <w:rPr>
      <w:rFonts w:ascii="New York" w:eastAsia="Times New Roman" w:hAnsi="New York" w:cs="Times New Roman"/>
      <w:sz w:val="20"/>
      <w:szCs w:val="20"/>
      <w:lang w:val="en-US"/>
    </w:rPr>
  </w:style>
  <w:style w:type="character" w:customStyle="1" w:styleId="TextonotapieCar">
    <w:name w:val="Texto nota pie Car"/>
    <w:link w:val="Textonotapie"/>
    <w:semiHidden/>
    <w:rsid w:val="00D50756"/>
    <w:rPr>
      <w:rFonts w:eastAsia="Times New Roman" w:cs="Times New Roman"/>
      <w:sz w:val="20"/>
      <w:szCs w:val="20"/>
      <w:lang w:val="en-US"/>
    </w:rPr>
  </w:style>
  <w:style w:type="paragraph" w:styleId="Textonotapie">
    <w:name w:val="footnote text"/>
    <w:basedOn w:val="Normal"/>
    <w:link w:val="TextonotapieCar"/>
    <w:semiHidden/>
    <w:rsid w:val="00D50756"/>
    <w:rPr>
      <w:rFonts w:asciiTheme="minorHAnsi" w:hAnsiTheme="minorHAnsi"/>
      <w:sz w:val="20"/>
      <w:szCs w:val="20"/>
    </w:rPr>
  </w:style>
  <w:style w:type="character" w:customStyle="1" w:styleId="TextonotapieCar1">
    <w:name w:val="Texto nota pie Car1"/>
    <w:basedOn w:val="Fuentedeprrafopredeter"/>
    <w:uiPriority w:val="99"/>
    <w:semiHidden/>
    <w:rsid w:val="00D50756"/>
    <w:rPr>
      <w:rFonts w:ascii="Times New Roman" w:eastAsia="Times New Roman" w:hAnsi="Times New Roman" w:cs="Times New Roman"/>
      <w:sz w:val="20"/>
      <w:szCs w:val="20"/>
      <w:lang w:val="en-US"/>
    </w:rPr>
  </w:style>
  <w:style w:type="character" w:customStyle="1" w:styleId="Textoindependiente2Car">
    <w:name w:val="Texto independiente 2 Car"/>
    <w:aliases w:val="b2 Car"/>
    <w:link w:val="Textoindependiente2"/>
    <w:semiHidden/>
    <w:rsid w:val="00D50756"/>
    <w:rPr>
      <w:rFonts w:eastAsia="Times New Roman" w:cs="Times New Roman"/>
      <w:b/>
      <w:bCs/>
      <w:sz w:val="20"/>
      <w:szCs w:val="20"/>
    </w:rPr>
  </w:style>
  <w:style w:type="paragraph" w:styleId="Textoindependiente2">
    <w:name w:val="Body Text 2"/>
    <w:aliases w:val="b2"/>
    <w:basedOn w:val="Normal"/>
    <w:link w:val="Textoindependiente2Car"/>
    <w:semiHidden/>
    <w:rsid w:val="00D50756"/>
    <w:pPr>
      <w:jc w:val="both"/>
    </w:pPr>
    <w:rPr>
      <w:rFonts w:asciiTheme="minorHAnsi" w:hAnsiTheme="minorHAnsi"/>
      <w:b/>
      <w:bCs/>
      <w:sz w:val="20"/>
      <w:szCs w:val="20"/>
      <w:lang w:val="es-ES"/>
    </w:rPr>
  </w:style>
  <w:style w:type="character" w:customStyle="1" w:styleId="Textoindependiente2Car1">
    <w:name w:val="Texto independiente 2 Car1"/>
    <w:basedOn w:val="Fuentedeprrafopredeter"/>
    <w:uiPriority w:val="99"/>
    <w:semiHidden/>
    <w:rsid w:val="00D50756"/>
    <w:rPr>
      <w:rFonts w:ascii="Times New Roman" w:eastAsia="Times New Roman" w:hAnsi="Times New Roman" w:cs="Times New Roman"/>
      <w:sz w:val="24"/>
      <w:szCs w:val="24"/>
      <w:lang w:val="en-US"/>
    </w:rPr>
  </w:style>
  <w:style w:type="paragraph" w:styleId="Ttulo">
    <w:name w:val="Title"/>
    <w:basedOn w:val="Normal"/>
    <w:link w:val="TtuloCar"/>
    <w:qFormat/>
    <w:rsid w:val="00D50756"/>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ind w:left="397" w:right="19"/>
    </w:pPr>
    <w:rPr>
      <w:b/>
      <w:smallCaps/>
      <w:sz w:val="20"/>
      <w:szCs w:val="20"/>
      <w:lang w:val="es-ES"/>
    </w:rPr>
  </w:style>
  <w:style w:type="character" w:customStyle="1" w:styleId="TtuloCar">
    <w:name w:val="Título Car"/>
    <w:basedOn w:val="Fuentedeprrafopredeter"/>
    <w:link w:val="Ttulo"/>
    <w:rsid w:val="00D50756"/>
    <w:rPr>
      <w:rFonts w:ascii="Times New Roman" w:eastAsia="Times New Roman" w:hAnsi="Times New Roman" w:cs="Times New Roman"/>
      <w:b/>
      <w:smallCaps/>
      <w:sz w:val="20"/>
      <w:szCs w:val="20"/>
    </w:rPr>
  </w:style>
  <w:style w:type="paragraph" w:styleId="Textoindependiente3">
    <w:name w:val="Body Text 3"/>
    <w:basedOn w:val="Normal"/>
    <w:link w:val="Textoindependiente3Car"/>
    <w:uiPriority w:val="99"/>
    <w:rsid w:val="00D50756"/>
    <w:pPr>
      <w:jc w:val="both"/>
    </w:pPr>
    <w:rPr>
      <w:bCs/>
      <w:color w:val="FF0000"/>
      <w:sz w:val="20"/>
      <w:lang w:val="es-ES"/>
    </w:rPr>
  </w:style>
  <w:style w:type="character" w:customStyle="1" w:styleId="Textoindependiente3Car">
    <w:name w:val="Texto independiente 3 Car"/>
    <w:basedOn w:val="Fuentedeprrafopredeter"/>
    <w:link w:val="Textoindependiente3"/>
    <w:uiPriority w:val="99"/>
    <w:rsid w:val="00D50756"/>
    <w:rPr>
      <w:rFonts w:ascii="Times New Roman" w:eastAsia="Times New Roman" w:hAnsi="Times New Roman" w:cs="Times New Roman"/>
      <w:bCs/>
      <w:color w:val="FF0000"/>
      <w:sz w:val="20"/>
      <w:szCs w:val="24"/>
    </w:rPr>
  </w:style>
  <w:style w:type="paragraph" w:styleId="Encabezado">
    <w:name w:val="header"/>
    <w:aliases w:val="encabezado"/>
    <w:basedOn w:val="Normal"/>
    <w:link w:val="EncabezadoCar"/>
    <w:rsid w:val="00D50756"/>
    <w:pPr>
      <w:tabs>
        <w:tab w:val="center" w:pos="4419"/>
        <w:tab w:val="right" w:pos="8838"/>
      </w:tabs>
    </w:pPr>
  </w:style>
  <w:style w:type="character" w:customStyle="1" w:styleId="EncabezadoCar">
    <w:name w:val="Encabezado Car"/>
    <w:aliases w:val="encabezado Car"/>
    <w:basedOn w:val="Fuentedeprrafopredeter"/>
    <w:link w:val="Encabezado"/>
    <w:rsid w:val="00D50756"/>
    <w:rPr>
      <w:rFonts w:ascii="Times New Roman" w:eastAsia="Times New Roman" w:hAnsi="Times New Roman" w:cs="Times New Roman"/>
      <w:sz w:val="24"/>
      <w:szCs w:val="24"/>
      <w:lang w:val="en-US"/>
    </w:rPr>
  </w:style>
  <w:style w:type="character" w:customStyle="1" w:styleId="TextonotaalfinalCar">
    <w:name w:val="Texto nota al final Car"/>
    <w:link w:val="Textonotaalfinal"/>
    <w:semiHidden/>
    <w:rsid w:val="00D50756"/>
    <w:rPr>
      <w:rFonts w:eastAsia="Times New Roman" w:cs="Times New Roman"/>
      <w:sz w:val="20"/>
      <w:szCs w:val="20"/>
      <w:lang w:val="en-US"/>
    </w:rPr>
  </w:style>
  <w:style w:type="paragraph" w:styleId="Textonotaalfinal">
    <w:name w:val="endnote text"/>
    <w:basedOn w:val="Normal"/>
    <w:link w:val="TextonotaalfinalCar"/>
    <w:semiHidden/>
    <w:rsid w:val="00D50756"/>
    <w:rPr>
      <w:rFonts w:asciiTheme="minorHAnsi" w:hAnsiTheme="minorHAnsi"/>
      <w:sz w:val="20"/>
      <w:szCs w:val="20"/>
    </w:rPr>
  </w:style>
  <w:style w:type="character" w:customStyle="1" w:styleId="TextonotaalfinalCar1">
    <w:name w:val="Texto nota al final Car1"/>
    <w:basedOn w:val="Fuentedeprrafopredeter"/>
    <w:uiPriority w:val="99"/>
    <w:semiHidden/>
    <w:rsid w:val="00D50756"/>
    <w:rPr>
      <w:rFonts w:ascii="Times New Roman" w:eastAsia="Times New Roman" w:hAnsi="Times New Roman" w:cs="Times New Roman"/>
      <w:sz w:val="20"/>
      <w:szCs w:val="20"/>
      <w:lang w:val="en-US"/>
    </w:rPr>
  </w:style>
  <w:style w:type="paragraph" w:styleId="Sangradetextonormal">
    <w:name w:val="Body Text Indent"/>
    <w:basedOn w:val="Normal"/>
    <w:link w:val="SangradetextonormalCar1"/>
    <w:uiPriority w:val="99"/>
    <w:semiHidden/>
    <w:rsid w:val="00D50756"/>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jc w:val="both"/>
    </w:pPr>
    <w:rPr>
      <w:rFonts w:ascii="Palatino" w:hAnsi="Palatino"/>
      <w:sz w:val="20"/>
      <w:szCs w:val="20"/>
    </w:rPr>
  </w:style>
  <w:style w:type="character" w:customStyle="1" w:styleId="SangradetextonormalCar">
    <w:name w:val="Sangría de texto normal Car"/>
    <w:basedOn w:val="Fuentedeprrafopredeter"/>
    <w:semiHidden/>
    <w:rsid w:val="00D50756"/>
    <w:rPr>
      <w:rFonts w:ascii="Times New Roman" w:eastAsia="Times New Roman" w:hAnsi="Times New Roman" w:cs="Times New Roman"/>
      <w:sz w:val="24"/>
      <w:szCs w:val="24"/>
      <w:lang w:val="en-US"/>
    </w:rPr>
  </w:style>
  <w:style w:type="character" w:customStyle="1" w:styleId="SangradetextonormalCar1">
    <w:name w:val="Sangría de texto normal Car1"/>
    <w:link w:val="Sangradetextonormal"/>
    <w:uiPriority w:val="99"/>
    <w:semiHidden/>
    <w:locked/>
    <w:rsid w:val="00D50756"/>
    <w:rPr>
      <w:rFonts w:ascii="Palatino" w:eastAsia="Times New Roman" w:hAnsi="Palatino" w:cs="Times New Roman"/>
      <w:sz w:val="20"/>
      <w:szCs w:val="20"/>
      <w:lang w:val="en-US"/>
    </w:rPr>
  </w:style>
  <w:style w:type="character" w:customStyle="1" w:styleId="DeltaViewInsertion">
    <w:name w:val="DeltaView Insertion"/>
    <w:rsid w:val="00D50756"/>
    <w:rPr>
      <w:color w:val="0000FF"/>
      <w:spacing w:val="0"/>
      <w:u w:val="double"/>
    </w:rPr>
  </w:style>
  <w:style w:type="character" w:styleId="Hipervnculo">
    <w:name w:val="Hyperlink"/>
    <w:uiPriority w:val="99"/>
    <w:rsid w:val="00D50756"/>
    <w:rPr>
      <w:color w:val="0000FF"/>
      <w:u w:val="single"/>
    </w:rPr>
  </w:style>
  <w:style w:type="character" w:styleId="nfasis">
    <w:name w:val="Emphasis"/>
    <w:uiPriority w:val="20"/>
    <w:qFormat/>
    <w:rsid w:val="00D50756"/>
    <w:rPr>
      <w:i/>
      <w:iCs/>
    </w:rPr>
  </w:style>
  <w:style w:type="character" w:customStyle="1" w:styleId="TextodegloboCar">
    <w:name w:val="Texto de globo Car"/>
    <w:link w:val="Textodeglobo"/>
    <w:semiHidden/>
    <w:rsid w:val="00D50756"/>
    <w:rPr>
      <w:rFonts w:ascii="Tahoma" w:eastAsia="Times New Roman" w:hAnsi="Tahoma" w:cs="Tahoma"/>
      <w:sz w:val="16"/>
      <w:szCs w:val="16"/>
      <w:lang w:val="en-US"/>
    </w:rPr>
  </w:style>
  <w:style w:type="paragraph" w:styleId="Textodeglobo">
    <w:name w:val="Balloon Text"/>
    <w:basedOn w:val="Normal"/>
    <w:link w:val="TextodegloboCar"/>
    <w:semiHidden/>
    <w:rsid w:val="00D50756"/>
    <w:rPr>
      <w:rFonts w:ascii="Tahoma" w:hAnsi="Tahoma" w:cs="Tahoma"/>
      <w:sz w:val="16"/>
      <w:szCs w:val="16"/>
    </w:rPr>
  </w:style>
  <w:style w:type="character" w:customStyle="1" w:styleId="TextodegloboCar1">
    <w:name w:val="Texto de globo Car1"/>
    <w:basedOn w:val="Fuentedeprrafopredeter"/>
    <w:uiPriority w:val="99"/>
    <w:semiHidden/>
    <w:rsid w:val="00D50756"/>
    <w:rPr>
      <w:rFonts w:ascii="Tahoma" w:eastAsia="Times New Roman" w:hAnsi="Tahoma" w:cs="Tahoma"/>
      <w:sz w:val="16"/>
      <w:szCs w:val="16"/>
      <w:lang w:val="en-US"/>
    </w:rPr>
  </w:style>
  <w:style w:type="character" w:customStyle="1" w:styleId="Sangra2detindependienteCar">
    <w:name w:val="Sangría 2 de t. independiente Car"/>
    <w:link w:val="Sangra2detindependiente"/>
    <w:semiHidden/>
    <w:rsid w:val="00D50756"/>
    <w:rPr>
      <w:rFonts w:ascii="Arial" w:eastAsia="Times New Roman" w:hAnsi="Arial" w:cs="Arial"/>
      <w:lang w:val="es-MX" w:eastAsia="es-ES"/>
    </w:rPr>
  </w:style>
  <w:style w:type="paragraph" w:styleId="Sangra2detindependiente">
    <w:name w:val="Body Text Indent 2"/>
    <w:basedOn w:val="Normal"/>
    <w:link w:val="Sangra2detindependienteCar"/>
    <w:semiHidden/>
    <w:rsid w:val="00D50756"/>
    <w:pPr>
      <w:tabs>
        <w:tab w:val="left" w:pos="284"/>
      </w:tabs>
      <w:ind w:left="284" w:hanging="284"/>
      <w:jc w:val="both"/>
    </w:pPr>
    <w:rPr>
      <w:rFonts w:ascii="Arial" w:hAnsi="Arial" w:cs="Arial"/>
      <w:sz w:val="22"/>
      <w:szCs w:val="22"/>
      <w:lang w:val="es-MX" w:eastAsia="es-ES"/>
    </w:rPr>
  </w:style>
  <w:style w:type="character" w:customStyle="1" w:styleId="Sangra2detindependienteCar1">
    <w:name w:val="Sangría 2 de t. independiente Car1"/>
    <w:basedOn w:val="Fuentedeprrafopredeter"/>
    <w:uiPriority w:val="99"/>
    <w:semiHidden/>
    <w:rsid w:val="00D50756"/>
    <w:rPr>
      <w:rFonts w:ascii="Times New Roman" w:eastAsia="Times New Roman" w:hAnsi="Times New Roman" w:cs="Times New Roman"/>
      <w:sz w:val="24"/>
      <w:szCs w:val="24"/>
      <w:lang w:val="en-US"/>
    </w:rPr>
  </w:style>
  <w:style w:type="paragraph" w:customStyle="1" w:styleId="OmniPage770">
    <w:name w:val="OmniPage #770"/>
    <w:rsid w:val="00D50756"/>
    <w:pPr>
      <w:widowControl w:val="0"/>
      <w:tabs>
        <w:tab w:val="left" w:pos="162"/>
        <w:tab w:val="right" w:pos="10668"/>
      </w:tabs>
      <w:autoSpaceDE w:val="0"/>
      <w:autoSpaceDN w:val="0"/>
      <w:adjustRightInd w:val="0"/>
      <w:spacing w:after="0" w:line="240" w:lineRule="auto"/>
      <w:jc w:val="both"/>
    </w:pPr>
    <w:rPr>
      <w:rFonts w:ascii="Times New Roman" w:eastAsia="Times New Roman" w:hAnsi="Times New Roman" w:cs="Times New Roman"/>
      <w:sz w:val="18"/>
      <w:szCs w:val="18"/>
      <w:lang w:val="en-US"/>
    </w:rPr>
  </w:style>
  <w:style w:type="character" w:customStyle="1" w:styleId="TextocomentarioCar">
    <w:name w:val="Texto comentario Car"/>
    <w:link w:val="Textocomentario"/>
    <w:rsid w:val="00D50756"/>
    <w:rPr>
      <w:rFonts w:eastAsia="Times New Roman" w:cs="Times New Roman"/>
      <w:sz w:val="20"/>
      <w:szCs w:val="20"/>
      <w:lang w:val="en-US"/>
    </w:rPr>
  </w:style>
  <w:style w:type="paragraph" w:styleId="Textocomentario">
    <w:name w:val="annotation text"/>
    <w:basedOn w:val="Normal"/>
    <w:link w:val="TextocomentarioCar"/>
    <w:unhideWhenUsed/>
    <w:rsid w:val="00D50756"/>
    <w:rPr>
      <w:rFonts w:asciiTheme="minorHAnsi" w:hAnsiTheme="minorHAnsi"/>
      <w:sz w:val="20"/>
      <w:szCs w:val="20"/>
    </w:rPr>
  </w:style>
  <w:style w:type="character" w:customStyle="1" w:styleId="TextocomentarioCar1">
    <w:name w:val="Texto comentario Car1"/>
    <w:basedOn w:val="Fuentedeprrafopredeter"/>
    <w:uiPriority w:val="99"/>
    <w:semiHidden/>
    <w:rsid w:val="00D50756"/>
    <w:rPr>
      <w:rFonts w:ascii="Times New Roman" w:eastAsia="Times New Roman" w:hAnsi="Times New Roman" w:cs="Times New Roman"/>
      <w:sz w:val="20"/>
      <w:szCs w:val="20"/>
      <w:lang w:val="en-US"/>
    </w:rPr>
  </w:style>
  <w:style w:type="character" w:customStyle="1" w:styleId="AsuntodelcomentarioCar">
    <w:name w:val="Asunto del comentario Car"/>
    <w:link w:val="Asuntodelcomentario"/>
    <w:semiHidden/>
    <w:rsid w:val="00D50756"/>
    <w:rPr>
      <w:rFonts w:eastAsia="Times New Roman" w:cs="Times New Roman"/>
      <w:b/>
      <w:bCs/>
      <w:sz w:val="20"/>
      <w:szCs w:val="20"/>
      <w:lang w:val="en-US"/>
    </w:rPr>
  </w:style>
  <w:style w:type="paragraph" w:styleId="Asuntodelcomentario">
    <w:name w:val="annotation subject"/>
    <w:basedOn w:val="Textocomentario"/>
    <w:next w:val="Textocomentario"/>
    <w:link w:val="AsuntodelcomentarioCar"/>
    <w:semiHidden/>
    <w:unhideWhenUsed/>
    <w:rsid w:val="00D50756"/>
    <w:rPr>
      <w:b/>
      <w:bCs/>
    </w:rPr>
  </w:style>
  <w:style w:type="character" w:customStyle="1" w:styleId="AsuntodelcomentarioCar1">
    <w:name w:val="Asunto del comentario Car1"/>
    <w:basedOn w:val="TextocomentarioCar1"/>
    <w:uiPriority w:val="99"/>
    <w:semiHidden/>
    <w:rsid w:val="00D50756"/>
    <w:rPr>
      <w:rFonts w:ascii="Times New Roman" w:eastAsia="Times New Roman" w:hAnsi="Times New Roman" w:cs="Times New Roman"/>
      <w:b/>
      <w:bCs/>
      <w:sz w:val="20"/>
      <w:szCs w:val="20"/>
      <w:lang w:val="en-US"/>
    </w:rPr>
  </w:style>
  <w:style w:type="paragraph" w:styleId="TDC1">
    <w:name w:val="toc 1"/>
    <w:next w:val="Normal"/>
    <w:autoRedefine/>
    <w:uiPriority w:val="39"/>
    <w:unhideWhenUsed/>
    <w:qFormat/>
    <w:rsid w:val="00D50756"/>
    <w:pPr>
      <w:widowControl w:val="0"/>
      <w:tabs>
        <w:tab w:val="right" w:leader="dot" w:pos="9629"/>
      </w:tabs>
      <w:spacing w:before="120" w:after="120" w:line="240" w:lineRule="auto"/>
      <w:jc w:val="both"/>
    </w:pPr>
    <w:rPr>
      <w:rFonts w:ascii="Calibri" w:eastAsia="Times New Roman" w:hAnsi="Calibri" w:cs="Times New Roman"/>
      <w:b/>
      <w:sz w:val="20"/>
      <w:szCs w:val="24"/>
      <w:lang w:val="en-US"/>
    </w:rPr>
  </w:style>
  <w:style w:type="paragraph" w:customStyle="1" w:styleId="Textpara">
    <w:name w:val="Textpara"/>
    <w:basedOn w:val="Normal"/>
    <w:rsid w:val="00D50756"/>
    <w:pPr>
      <w:widowControl w:val="0"/>
      <w:tabs>
        <w:tab w:val="center" w:pos="9000"/>
      </w:tabs>
      <w:autoSpaceDE w:val="0"/>
      <w:autoSpaceDN w:val="0"/>
      <w:adjustRightInd w:val="0"/>
      <w:spacing w:after="240"/>
      <w:jc w:val="both"/>
    </w:pPr>
    <w:rPr>
      <w:sz w:val="20"/>
      <w:szCs w:val="20"/>
      <w:lang w:val="es-ES"/>
    </w:rPr>
  </w:style>
  <w:style w:type="paragraph" w:customStyle="1" w:styleId="Listavistosa-nfasis11">
    <w:name w:val="Lista vistosa - Énfasis 11"/>
    <w:basedOn w:val="Normal"/>
    <w:uiPriority w:val="34"/>
    <w:qFormat/>
    <w:rsid w:val="00D50756"/>
    <w:pPr>
      <w:ind w:left="720"/>
      <w:contextualSpacing/>
    </w:pPr>
  </w:style>
  <w:style w:type="paragraph" w:customStyle="1" w:styleId="footnotetex">
    <w:name w:val="footnote tex"/>
    <w:rsid w:val="00D50756"/>
    <w:pPr>
      <w:widowControl w:val="0"/>
      <w:tabs>
        <w:tab w:val="left" w:pos="-720"/>
      </w:tabs>
      <w:suppressAutoHyphens/>
      <w:autoSpaceDE w:val="0"/>
      <w:autoSpaceDN w:val="0"/>
      <w:adjustRightInd w:val="0"/>
      <w:spacing w:after="0" w:line="240" w:lineRule="atLeast"/>
      <w:jc w:val="both"/>
    </w:pPr>
    <w:rPr>
      <w:rFonts w:ascii="Times New Roman" w:eastAsia="Times New Roman" w:hAnsi="Times New Roman" w:cs="Times New Roman"/>
      <w:b/>
      <w:bCs/>
      <w:sz w:val="20"/>
      <w:szCs w:val="20"/>
      <w:lang w:val="es-ES_tradnl" w:eastAsia="es-ES"/>
    </w:rPr>
  </w:style>
  <w:style w:type="paragraph" w:customStyle="1" w:styleId="FR1">
    <w:name w:val="FR1"/>
    <w:rsid w:val="00D50756"/>
    <w:pPr>
      <w:widowControl w:val="0"/>
      <w:autoSpaceDE w:val="0"/>
      <w:autoSpaceDN w:val="0"/>
      <w:adjustRightInd w:val="0"/>
      <w:spacing w:after="0" w:line="320" w:lineRule="auto"/>
      <w:jc w:val="both"/>
    </w:pPr>
    <w:rPr>
      <w:rFonts w:ascii="Arial" w:eastAsia="Times New Roman" w:hAnsi="Arial" w:cs="Times New Roman"/>
      <w:sz w:val="18"/>
      <w:szCs w:val="18"/>
      <w:lang w:val="en-US" w:eastAsia="es-ES"/>
    </w:rPr>
  </w:style>
  <w:style w:type="paragraph" w:customStyle="1" w:styleId="Default">
    <w:name w:val="Default"/>
    <w:rsid w:val="00D50756"/>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paragraph" w:styleId="Prrafodelista">
    <w:name w:val="List Paragraph"/>
    <w:basedOn w:val="Normal"/>
    <w:link w:val="PrrafodelistaCar"/>
    <w:uiPriority w:val="34"/>
    <w:qFormat/>
    <w:rsid w:val="00D50756"/>
    <w:pPr>
      <w:ind w:left="720"/>
      <w:contextualSpacing/>
    </w:pPr>
  </w:style>
  <w:style w:type="paragraph" w:customStyle="1" w:styleId="Estndar">
    <w:name w:val="Estándar"/>
    <w:basedOn w:val="Normal"/>
    <w:rsid w:val="00D50756"/>
    <w:rPr>
      <w:rFonts w:ascii="Arial" w:hAnsi="Arial" w:cs="Arial"/>
      <w:sz w:val="14"/>
      <w:szCs w:val="14"/>
      <w:lang w:val="es-AR" w:eastAsia="es-ES"/>
    </w:rPr>
  </w:style>
  <w:style w:type="paragraph" w:customStyle="1" w:styleId="Notacuerpo">
    <w:name w:val="Nota cuerpo"/>
    <w:basedOn w:val="Normal"/>
    <w:rsid w:val="00D50756"/>
    <w:pPr>
      <w:widowControl w:val="0"/>
      <w:ind w:left="1418"/>
      <w:jc w:val="both"/>
    </w:pPr>
    <w:rPr>
      <w:rFonts w:ascii="Arial" w:hAnsi="Arial" w:cs="Arial"/>
      <w:lang w:val="es-AR" w:eastAsia="es-ES"/>
    </w:rPr>
  </w:style>
  <w:style w:type="paragraph" w:customStyle="1" w:styleId="Cabecera">
    <w:name w:val="Cabecera"/>
    <w:basedOn w:val="Normal"/>
    <w:rsid w:val="00D50756"/>
    <w:rPr>
      <w:lang w:val="es-AR" w:eastAsia="es-ES"/>
    </w:rPr>
  </w:style>
  <w:style w:type="paragraph" w:styleId="Textodebloque">
    <w:name w:val="Block Text"/>
    <w:aliases w:val="blk,MBP_Bd Single t6 .5 L,MBP_Bd Single Sp .5 L,CG-Single Sp 0,CG-Single Sp 0.51,s21,5(J),5s2(J),s9,Second Heading 9"/>
    <w:basedOn w:val="Normal"/>
    <w:rsid w:val="00D50756"/>
    <w:pPr>
      <w:spacing w:after="240"/>
      <w:jc w:val="both"/>
    </w:pPr>
    <w:rPr>
      <w:rFonts w:cs="Arial"/>
      <w:sz w:val="20"/>
      <w:lang w:val="es-AR"/>
    </w:rPr>
  </w:style>
  <w:style w:type="paragraph" w:customStyle="1" w:styleId="Texto">
    <w:name w:val="Texto"/>
    <w:basedOn w:val="Normal"/>
    <w:qFormat/>
    <w:rsid w:val="00D50756"/>
    <w:pPr>
      <w:jc w:val="left"/>
    </w:pPr>
    <w:rPr>
      <w:rFonts w:ascii="Arial" w:hAnsi="Arial"/>
      <w:sz w:val="19"/>
      <w:szCs w:val="20"/>
      <w:lang w:val="es-ES_tradnl"/>
    </w:rPr>
  </w:style>
  <w:style w:type="paragraph" w:customStyle="1" w:styleId="NotaN">
    <w:name w:val="Nota Nº"/>
    <w:basedOn w:val="Estndar"/>
    <w:rsid w:val="00D50756"/>
    <w:pPr>
      <w:ind w:left="1440" w:hanging="1440"/>
      <w:jc w:val="both"/>
    </w:pPr>
    <w:rPr>
      <w:rFonts w:cs="Times New Roman"/>
      <w:b/>
      <w:sz w:val="24"/>
      <w:szCs w:val="20"/>
      <w:u w:val="single"/>
    </w:rPr>
  </w:style>
  <w:style w:type="character" w:customStyle="1" w:styleId="TextosinformatoCar">
    <w:name w:val="Texto sin formato Car"/>
    <w:link w:val="Textosinformato"/>
    <w:uiPriority w:val="99"/>
    <w:rsid w:val="00D50756"/>
    <w:rPr>
      <w:rFonts w:ascii="Consolas" w:hAnsi="Consolas"/>
      <w:sz w:val="21"/>
      <w:szCs w:val="21"/>
    </w:rPr>
  </w:style>
  <w:style w:type="paragraph" w:styleId="Textosinformato">
    <w:name w:val="Plain Text"/>
    <w:basedOn w:val="Normal"/>
    <w:link w:val="TextosinformatoCar"/>
    <w:uiPriority w:val="99"/>
    <w:unhideWhenUsed/>
    <w:rsid w:val="00D50756"/>
    <w:pPr>
      <w:jc w:val="left"/>
    </w:pPr>
    <w:rPr>
      <w:rFonts w:ascii="Consolas" w:eastAsiaTheme="minorHAnsi" w:hAnsi="Consolas" w:cstheme="minorBidi"/>
      <w:sz w:val="21"/>
      <w:szCs w:val="21"/>
      <w:lang w:val="es-ES"/>
    </w:rPr>
  </w:style>
  <w:style w:type="character" w:customStyle="1" w:styleId="TextosinformatoCar1">
    <w:name w:val="Texto sin formato Car1"/>
    <w:basedOn w:val="Fuentedeprrafopredeter"/>
    <w:uiPriority w:val="99"/>
    <w:semiHidden/>
    <w:rsid w:val="00D50756"/>
    <w:rPr>
      <w:rFonts w:ascii="Consolas" w:eastAsia="Times New Roman" w:hAnsi="Consolas" w:cs="Times New Roman"/>
      <w:sz w:val="21"/>
      <w:szCs w:val="21"/>
      <w:lang w:val="en-US"/>
    </w:rPr>
  </w:style>
  <w:style w:type="paragraph" w:customStyle="1" w:styleId="Sombreadovistoso-nfasis11">
    <w:name w:val="Sombreado vistoso - Énfasis 11"/>
    <w:hidden/>
    <w:semiHidden/>
    <w:rsid w:val="00D50756"/>
    <w:pPr>
      <w:spacing w:after="0" w:line="240" w:lineRule="auto"/>
      <w:jc w:val="center"/>
    </w:pPr>
    <w:rPr>
      <w:rFonts w:ascii="Times New Roman" w:eastAsia="Times New Roman" w:hAnsi="Times New Roman" w:cs="Times New Roman"/>
      <w:sz w:val="24"/>
      <w:szCs w:val="24"/>
      <w:lang w:val="en-US"/>
    </w:rPr>
  </w:style>
  <w:style w:type="paragraph" w:styleId="Revisin">
    <w:name w:val="Revision"/>
    <w:hidden/>
    <w:semiHidden/>
    <w:rsid w:val="00D50756"/>
    <w:pPr>
      <w:spacing w:after="0" w:line="240" w:lineRule="auto"/>
    </w:pPr>
    <w:rPr>
      <w:rFonts w:ascii="Times New Roman" w:eastAsia="Times New Roman" w:hAnsi="Times New Roman" w:cs="Times New Roman"/>
      <w:sz w:val="24"/>
      <w:szCs w:val="24"/>
      <w:lang w:val="en-US"/>
    </w:rPr>
  </w:style>
  <w:style w:type="character" w:styleId="Refdecomentario">
    <w:name w:val="annotation reference"/>
    <w:unhideWhenUsed/>
    <w:rsid w:val="00D50756"/>
    <w:rPr>
      <w:sz w:val="16"/>
      <w:szCs w:val="16"/>
    </w:rPr>
  </w:style>
  <w:style w:type="paragraph" w:customStyle="1" w:styleId="Textopredeterminado">
    <w:name w:val="Texto predeterminado"/>
    <w:basedOn w:val="Normal"/>
    <w:rsid w:val="00D507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rPr>
      <w:rFonts w:ascii="Arial" w:hAnsi="Arial"/>
      <w:lang w:val="es-AR"/>
    </w:rPr>
  </w:style>
  <w:style w:type="character" w:styleId="Hipervnculovisitado">
    <w:name w:val="FollowedHyperlink"/>
    <w:uiPriority w:val="99"/>
    <w:semiHidden/>
    <w:unhideWhenUsed/>
    <w:rsid w:val="00D50756"/>
    <w:rPr>
      <w:color w:val="800080"/>
      <w:u w:val="single"/>
    </w:rPr>
  </w:style>
  <w:style w:type="table" w:styleId="Tablaconcuadrcula">
    <w:name w:val="Table Grid"/>
    <w:basedOn w:val="Tablanormal"/>
    <w:uiPriority w:val="39"/>
    <w:rsid w:val="00C32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
    <w:name w:val="Tabla"/>
    <w:basedOn w:val="Normal"/>
    <w:uiPriority w:val="99"/>
    <w:rsid w:val="0064752C"/>
    <w:pPr>
      <w:widowControl w:val="0"/>
      <w:tabs>
        <w:tab w:val="left" w:pos="664"/>
      </w:tabs>
      <w:spacing w:before="120" w:after="60"/>
      <w:ind w:right="357"/>
      <w:jc w:val="both"/>
    </w:pPr>
    <w:rPr>
      <w:rFonts w:ascii="CG Times (W1)" w:hAnsi="CG Times (W1)"/>
      <w:szCs w:val="20"/>
      <w:lang w:val="es-AR"/>
    </w:rPr>
  </w:style>
  <w:style w:type="paragraph" w:customStyle="1" w:styleId="bti">
    <w:name w:val="bti"/>
    <w:aliases w:val="BodyTextInd"/>
    <w:basedOn w:val="Sangradetextonormal"/>
    <w:uiPriority w:val="99"/>
    <w:rsid w:val="00EF041E"/>
    <w:p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autoSpaceDE w:val="0"/>
      <w:autoSpaceDN w:val="0"/>
      <w:adjustRightInd w:val="0"/>
      <w:spacing w:after="240"/>
      <w:ind w:firstLine="360"/>
    </w:pPr>
    <w:rPr>
      <w:rFonts w:ascii="Times New Roman" w:hAnsi="Times New Roman"/>
      <w:color w:val="000000"/>
      <w:szCs w:val="18"/>
      <w:lang w:eastAsia="pt-BR"/>
    </w:rPr>
  </w:style>
  <w:style w:type="paragraph" w:customStyle="1" w:styleId="DPWfdPF">
    <w:name w:val="DPW fd PF"/>
    <w:aliases w:val="p,f,pf,DPW PF,f Car"/>
    <w:basedOn w:val="Normal"/>
    <w:link w:val="DPWfdPFChar"/>
    <w:rsid w:val="00EF041E"/>
    <w:pPr>
      <w:spacing w:after="240"/>
      <w:ind w:firstLine="360"/>
      <w:jc w:val="both"/>
    </w:pPr>
    <w:rPr>
      <w:sz w:val="20"/>
      <w:szCs w:val="20"/>
    </w:rPr>
  </w:style>
  <w:style w:type="character" w:customStyle="1" w:styleId="DPWfdPFChar">
    <w:name w:val="DPW fd PF Char"/>
    <w:aliases w:val="p Char,p Char Char,p Char1,f Char,DPW fd PF Char1"/>
    <w:link w:val="DPWfdPF"/>
    <w:locked/>
    <w:rsid w:val="00EF041E"/>
    <w:rPr>
      <w:rFonts w:ascii="Times New Roman" w:eastAsia="Times New Roman" w:hAnsi="Times New Roman" w:cs="Times New Roman"/>
      <w:sz w:val="20"/>
      <w:szCs w:val="20"/>
      <w:lang w:val="en-US"/>
    </w:rPr>
  </w:style>
  <w:style w:type="paragraph" w:customStyle="1" w:styleId="HPCarta">
    <w:name w:val="HP Carta"/>
    <w:uiPriority w:val="99"/>
    <w:rsid w:val="00EF041E"/>
    <w:pPr>
      <w:widowControl w:val="0"/>
      <w:tabs>
        <w:tab w:val="left" w:pos="-720"/>
      </w:tabs>
      <w:suppressAutoHyphens/>
      <w:spacing w:after="0" w:line="360" w:lineRule="auto"/>
    </w:pPr>
    <w:rPr>
      <w:rFonts w:ascii="Courier" w:eastAsia="Times New Roman" w:hAnsi="Courier" w:cs="Times New Roman"/>
      <w:sz w:val="24"/>
      <w:szCs w:val="20"/>
      <w:lang w:val="en-US" w:eastAsia="es-ES"/>
    </w:rPr>
  </w:style>
  <w:style w:type="paragraph" w:customStyle="1" w:styleId="RightPar8a">
    <w:name w:val="Right Par 8a"/>
    <w:uiPriority w:val="99"/>
    <w:rsid w:val="00EF041E"/>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spacing w:after="0" w:line="240" w:lineRule="auto"/>
    </w:pPr>
    <w:rPr>
      <w:rFonts w:ascii="Courier" w:eastAsia="Times New Roman" w:hAnsi="Courier" w:cs="Times New Roman"/>
      <w:sz w:val="24"/>
      <w:szCs w:val="20"/>
      <w:lang w:val="en-US"/>
    </w:rPr>
  </w:style>
  <w:style w:type="paragraph" w:customStyle="1" w:styleId="Piedepgina0">
    <w:name w:val="Pie de p‡gina"/>
    <w:basedOn w:val="Normal"/>
    <w:uiPriority w:val="99"/>
    <w:rsid w:val="00EF041E"/>
    <w:pPr>
      <w:widowControl w:val="0"/>
      <w:tabs>
        <w:tab w:val="left" w:pos="-720"/>
        <w:tab w:val="left" w:pos="0"/>
        <w:tab w:val="center" w:pos="4252"/>
        <w:tab w:val="right" w:pos="8504"/>
      </w:tabs>
      <w:overflowPunct w:val="0"/>
      <w:autoSpaceDE w:val="0"/>
      <w:autoSpaceDN w:val="0"/>
      <w:adjustRightInd w:val="0"/>
      <w:jc w:val="left"/>
      <w:textAlignment w:val="baseline"/>
    </w:pPr>
    <w:rPr>
      <w:spacing w:val="-2"/>
      <w:sz w:val="20"/>
      <w:szCs w:val="20"/>
      <w:lang w:val="es-ES" w:eastAsia="es-ES"/>
    </w:rPr>
  </w:style>
  <w:style w:type="paragraph" w:customStyle="1" w:styleId="hpcarta0">
    <w:name w:val="hpcarta"/>
    <w:basedOn w:val="Normal"/>
    <w:uiPriority w:val="99"/>
    <w:rsid w:val="00EF041E"/>
    <w:pPr>
      <w:spacing w:line="360" w:lineRule="auto"/>
      <w:jc w:val="left"/>
    </w:pPr>
    <w:rPr>
      <w:rFonts w:ascii="Courier" w:hAnsi="Courier"/>
      <w:lang w:val="es-ES" w:eastAsia="es-ES"/>
    </w:rPr>
  </w:style>
  <w:style w:type="character" w:customStyle="1" w:styleId="PrrafodelistaCar">
    <w:name w:val="Párrafo de lista Car"/>
    <w:link w:val="Prrafodelista"/>
    <w:uiPriority w:val="34"/>
    <w:locked/>
    <w:rsid w:val="00EF041E"/>
    <w:rPr>
      <w:rFonts w:ascii="Times New Roman" w:eastAsia="Times New Roman" w:hAnsi="Times New Roman" w:cs="Times New Roman"/>
      <w:sz w:val="24"/>
      <w:szCs w:val="24"/>
      <w:lang w:val="en-US"/>
    </w:rPr>
  </w:style>
  <w:style w:type="paragraph" w:styleId="NormalWeb">
    <w:name w:val="Normal (Web)"/>
    <w:basedOn w:val="Normal"/>
    <w:uiPriority w:val="99"/>
    <w:rsid w:val="00C53983"/>
    <w:pPr>
      <w:spacing w:before="100" w:beforeAutospacing="1" w:after="100" w:afterAutospacing="1"/>
      <w:jc w:val="left"/>
    </w:pPr>
    <w:rPr>
      <w:lang w:val="es-ES" w:eastAsia="es-ES"/>
    </w:rPr>
  </w:style>
  <w:style w:type="paragraph" w:customStyle="1" w:styleId="Normal0">
    <w:name w:val="Normal_0"/>
    <w:qFormat/>
    <w:rsid w:val="00C53983"/>
    <w:pPr>
      <w:spacing w:after="120" w:line="240" w:lineRule="auto"/>
      <w:ind w:firstLine="720"/>
    </w:pPr>
    <w:rPr>
      <w:rFonts w:ascii="Times New Roman" w:eastAsia="MS Mincho" w:hAnsi="Times New Roman" w:cs="Times New Roman"/>
      <w:sz w:val="20"/>
      <w:szCs w:val="24"/>
      <w:lang w:val="en-US" w:eastAsia="zh-CN"/>
    </w:rPr>
  </w:style>
  <w:style w:type="character" w:customStyle="1" w:styleId="DeltaViewDeletion">
    <w:name w:val="DeltaView Deletion"/>
    <w:rsid w:val="00C04C7C"/>
    <w:rPr>
      <w:strike/>
      <w:color w:val="FF0000"/>
      <w:spacing w:val="0"/>
    </w:rPr>
  </w:style>
  <w:style w:type="paragraph" w:customStyle="1" w:styleId="Textomacro1">
    <w:name w:val="Texto macro1"/>
    <w:basedOn w:val="Normal"/>
    <w:rsid w:val="00870AD0"/>
    <w:pPr>
      <w:jc w:val="left"/>
    </w:pPr>
    <w:rPr>
      <w:rFonts w:ascii="Palatino" w:hAnsi="Palatino"/>
      <w:sz w:val="20"/>
      <w:szCs w:val="20"/>
    </w:rPr>
  </w:style>
  <w:style w:type="paragraph" w:customStyle="1" w:styleId="Textodenotaalfinal">
    <w:name w:val="Texto de nota al final"/>
    <w:basedOn w:val="Normal"/>
    <w:rsid w:val="001B3C8A"/>
    <w:pPr>
      <w:widowControl w:val="0"/>
      <w:autoSpaceDE w:val="0"/>
      <w:autoSpaceDN w:val="0"/>
      <w:adjustRightInd w:val="0"/>
      <w:jc w:val="left"/>
    </w:pPr>
    <w:rPr>
      <w:rFonts w:ascii="Courier" w:hAnsi="Courier"/>
      <w:sz w:val="20"/>
      <w:szCs w:val="20"/>
      <w:lang w:val="es-AR" w:eastAsia="es-ES"/>
    </w:rPr>
  </w:style>
  <w:style w:type="paragraph" w:customStyle="1" w:styleId="Textodeglobo1">
    <w:name w:val="Texto de globo1"/>
    <w:basedOn w:val="Normal"/>
    <w:semiHidden/>
    <w:rsid w:val="001B3C8A"/>
    <w:pPr>
      <w:jc w:val="left"/>
    </w:pPr>
    <w:rPr>
      <w:rFonts w:ascii="Tahoma" w:hAnsi="Tahoma" w:cs="Tahoma"/>
      <w:sz w:val="16"/>
      <w:szCs w:val="16"/>
      <w:lang w:val="es-AR"/>
    </w:rPr>
  </w:style>
  <w:style w:type="paragraph" w:customStyle="1" w:styleId="BHTexto">
    <w:name w:val="BH Texto"/>
    <w:basedOn w:val="Normal"/>
    <w:link w:val="BHTextoCar"/>
    <w:qFormat/>
    <w:rsid w:val="0045381E"/>
    <w:pPr>
      <w:autoSpaceDE w:val="0"/>
      <w:autoSpaceDN w:val="0"/>
      <w:adjustRightInd w:val="0"/>
      <w:spacing w:before="120" w:after="120"/>
      <w:jc w:val="both"/>
    </w:pPr>
    <w:rPr>
      <w:rFonts w:eastAsia="Calibri"/>
      <w:sz w:val="20"/>
      <w:szCs w:val="20"/>
      <w:lang w:val="es-ES" w:eastAsia="es-ES"/>
    </w:rPr>
  </w:style>
  <w:style w:type="character" w:customStyle="1" w:styleId="BHTextoCar">
    <w:name w:val="BH Texto Car"/>
    <w:link w:val="BHTexto"/>
    <w:rsid w:val="0045381E"/>
    <w:rPr>
      <w:rFonts w:ascii="Times New Roman" w:eastAsia="Calibri" w:hAnsi="Times New Roman" w:cs="Times New Roman"/>
      <w:sz w:val="20"/>
      <w:szCs w:val="20"/>
      <w:lang w:eastAsia="es-ES"/>
    </w:rPr>
  </w:style>
  <w:style w:type="character" w:styleId="Refdenotaalpie">
    <w:name w:val="footnote reference"/>
    <w:basedOn w:val="Fuentedeprrafopredeter"/>
    <w:uiPriority w:val="99"/>
    <w:semiHidden/>
    <w:unhideWhenUsed/>
    <w:rsid w:val="003F5628"/>
    <w:rPr>
      <w:vertAlign w:val="superscript"/>
    </w:rPr>
  </w:style>
  <w:style w:type="character" w:styleId="Textoennegrita">
    <w:name w:val="Strong"/>
    <w:basedOn w:val="Fuentedeprrafopredeter"/>
    <w:uiPriority w:val="22"/>
    <w:qFormat/>
    <w:rsid w:val="00A726A4"/>
    <w:rPr>
      <w:b/>
      <w:bCs/>
    </w:rPr>
  </w:style>
  <w:style w:type="character" w:customStyle="1" w:styleId="Mencinsinresolver1">
    <w:name w:val="Mención sin resolver1"/>
    <w:basedOn w:val="Fuentedeprrafopredeter"/>
    <w:uiPriority w:val="99"/>
    <w:semiHidden/>
    <w:unhideWhenUsed/>
    <w:rsid w:val="00DD24B5"/>
    <w:rPr>
      <w:color w:val="605E5C"/>
      <w:shd w:val="clear" w:color="auto" w:fill="E1DFDD"/>
    </w:rPr>
  </w:style>
  <w:style w:type="character" w:customStyle="1" w:styleId="Ttulo1Car1">
    <w:name w:val="Título 1 Car1"/>
    <w:aliases w:val="l1 Car,app heading 1 Car,1 Car1,Hoofdstukkop Car1,h1 Car1"/>
    <w:rsid w:val="0086707A"/>
    <w:rPr>
      <w:rFonts w:ascii="Arial" w:hAnsi="Arial"/>
      <w:b/>
      <w:caps/>
      <w:kern w:val="28"/>
      <w:sz w:val="52"/>
      <w:lang w:val="en-US" w:eastAsia="en-US"/>
    </w:rPr>
  </w:style>
  <w:style w:type="paragraph" w:customStyle="1" w:styleId="martu1">
    <w:name w:val="martu1"/>
    <w:basedOn w:val="Normal"/>
    <w:link w:val="martu1Car"/>
    <w:qFormat/>
    <w:rsid w:val="0086707A"/>
    <w:rPr>
      <w:rFonts w:ascii="Garamond" w:hAnsi="Garamond"/>
      <w:sz w:val="20"/>
      <w:szCs w:val="20"/>
      <w:lang w:val="es-AR"/>
    </w:rPr>
  </w:style>
  <w:style w:type="character" w:customStyle="1" w:styleId="martu1Car">
    <w:name w:val="martu1 Car"/>
    <w:link w:val="martu1"/>
    <w:rsid w:val="0086707A"/>
    <w:rPr>
      <w:rFonts w:ascii="Garamond" w:eastAsia="Times New Roman" w:hAnsi="Garamond" w:cs="Times New Roman"/>
      <w:sz w:val="20"/>
      <w:szCs w:val="20"/>
      <w:lang w:val="es-AR"/>
    </w:rPr>
  </w:style>
  <w:style w:type="paragraph" w:customStyle="1" w:styleId="m-854248101397979065msobodytext">
    <w:name w:val="m_-854248101397979065msobodytext"/>
    <w:basedOn w:val="Normal"/>
    <w:rsid w:val="00C116A3"/>
    <w:pPr>
      <w:spacing w:before="100" w:beforeAutospacing="1" w:after="100" w:afterAutospacing="1"/>
      <w:jc w:val="left"/>
    </w:pPr>
    <w:rPr>
      <w:rFonts w:ascii="Calibri" w:eastAsia="Calibri" w:hAnsi="Calibri" w:cs="Calibri"/>
      <w:sz w:val="22"/>
      <w:szCs w:val="22"/>
      <w:lang w:val="es-AR" w:eastAsia="es-AR"/>
    </w:rPr>
  </w:style>
  <w:style w:type="character" w:customStyle="1" w:styleId="Mencinsinresolver2">
    <w:name w:val="Mención sin resolver2"/>
    <w:basedOn w:val="Fuentedeprrafopredeter"/>
    <w:uiPriority w:val="99"/>
    <w:semiHidden/>
    <w:unhideWhenUsed/>
    <w:rsid w:val="00270CE5"/>
    <w:rPr>
      <w:color w:val="605E5C"/>
      <w:shd w:val="clear" w:color="auto" w:fill="E1DFDD"/>
    </w:rPr>
  </w:style>
  <w:style w:type="paragraph" w:customStyle="1" w:styleId="RiskFactor">
    <w:name w:val="Risk Factor"/>
    <w:basedOn w:val="Normal"/>
    <w:rsid w:val="001053B7"/>
    <w:pPr>
      <w:keepNext/>
      <w:spacing w:after="240"/>
      <w:ind w:firstLine="720"/>
      <w:jc w:val="both"/>
    </w:pPr>
    <w:rPr>
      <w:rFonts w:eastAsia="Arial Unicode MS"/>
      <w:b/>
      <w:i/>
      <w:w w:val="0"/>
      <w:sz w:val="20"/>
    </w:rPr>
  </w:style>
  <w:style w:type="paragraph" w:customStyle="1" w:styleId="Titulo8R">
    <w:name w:val="Titulo 8R"/>
    <w:basedOn w:val="Ttulo8"/>
    <w:autoRedefine/>
    <w:rsid w:val="001053B7"/>
    <w:pPr>
      <w:keepNext w:val="0"/>
      <w:widowControl w:val="0"/>
      <w:autoSpaceDE w:val="0"/>
      <w:autoSpaceDN w:val="0"/>
      <w:adjustRightInd w:val="0"/>
      <w:ind w:firstLine="0"/>
      <w:jc w:val="both"/>
      <w:outlineLvl w:val="9"/>
    </w:pPr>
    <w:rPr>
      <w:rFonts w:ascii="Times New Roman" w:eastAsia="Arial Unicode MS" w:hAnsi="Times New Roman"/>
      <w:b w:val="0"/>
      <w:bCs w:val="0"/>
      <w:i/>
      <w:szCs w:val="20"/>
      <w:lang w:val="es-AR" w:eastAsia="es-ES"/>
    </w:rPr>
  </w:style>
  <w:style w:type="paragraph" w:styleId="HTMLconformatoprevio">
    <w:name w:val="HTML Preformatted"/>
    <w:basedOn w:val="Normal"/>
    <w:link w:val="HTMLconformatoprevioCar"/>
    <w:uiPriority w:val="99"/>
    <w:unhideWhenUsed/>
    <w:rsid w:val="00105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szCs w:val="20"/>
      <w:lang w:val="es-AR" w:eastAsia="es-AR"/>
    </w:rPr>
  </w:style>
  <w:style w:type="character" w:customStyle="1" w:styleId="HTMLconformatoprevioCar">
    <w:name w:val="HTML con formato previo Car"/>
    <w:basedOn w:val="Fuentedeprrafopredeter"/>
    <w:link w:val="HTMLconformatoprevio"/>
    <w:uiPriority w:val="99"/>
    <w:rsid w:val="001053B7"/>
    <w:rPr>
      <w:rFonts w:ascii="Courier New" w:eastAsia="Times New Roman" w:hAnsi="Courier New" w:cs="Times New Roman"/>
      <w:sz w:val="20"/>
      <w:szCs w:val="20"/>
      <w:lang w:val="es-AR" w:eastAsia="es-AR"/>
    </w:rPr>
  </w:style>
  <w:style w:type="paragraph" w:customStyle="1" w:styleId="Cuerpo">
    <w:name w:val="Cuerpo"/>
    <w:rsid w:val="001053B7"/>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s-ES_tradnl" w:eastAsia="es-ES_tradnl"/>
    </w:rPr>
  </w:style>
  <w:style w:type="character" w:customStyle="1" w:styleId="NingunoA">
    <w:name w:val="Ninguno A"/>
    <w:rsid w:val="001053B7"/>
    <w:rPr>
      <w:lang w:val="es-ES_tradnl"/>
    </w:rPr>
  </w:style>
  <w:style w:type="paragraph" w:customStyle="1" w:styleId="xmsonormal">
    <w:name w:val="x_msonormal"/>
    <w:basedOn w:val="Normal"/>
    <w:rsid w:val="009E3197"/>
    <w:pPr>
      <w:spacing w:before="100" w:beforeAutospacing="1" w:after="100" w:afterAutospacing="1"/>
      <w:jc w:val="left"/>
    </w:pPr>
  </w:style>
  <w:style w:type="character" w:customStyle="1" w:styleId="deltaviewinsertion0">
    <w:name w:val="deltaviewinsertion"/>
    <w:basedOn w:val="Fuentedeprrafopredeter"/>
    <w:rsid w:val="001702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729521">
      <w:bodyDiv w:val="1"/>
      <w:marLeft w:val="0"/>
      <w:marRight w:val="0"/>
      <w:marTop w:val="0"/>
      <w:marBottom w:val="0"/>
      <w:divBdr>
        <w:top w:val="none" w:sz="0" w:space="0" w:color="auto"/>
        <w:left w:val="none" w:sz="0" w:space="0" w:color="auto"/>
        <w:bottom w:val="none" w:sz="0" w:space="0" w:color="auto"/>
        <w:right w:val="none" w:sz="0" w:space="0" w:color="auto"/>
      </w:divBdr>
    </w:div>
    <w:div w:id="109011156">
      <w:bodyDiv w:val="1"/>
      <w:marLeft w:val="0"/>
      <w:marRight w:val="0"/>
      <w:marTop w:val="0"/>
      <w:marBottom w:val="0"/>
      <w:divBdr>
        <w:top w:val="none" w:sz="0" w:space="0" w:color="auto"/>
        <w:left w:val="none" w:sz="0" w:space="0" w:color="auto"/>
        <w:bottom w:val="none" w:sz="0" w:space="0" w:color="auto"/>
        <w:right w:val="none" w:sz="0" w:space="0" w:color="auto"/>
      </w:divBdr>
    </w:div>
    <w:div w:id="152183467">
      <w:bodyDiv w:val="1"/>
      <w:marLeft w:val="0"/>
      <w:marRight w:val="0"/>
      <w:marTop w:val="0"/>
      <w:marBottom w:val="0"/>
      <w:divBdr>
        <w:top w:val="none" w:sz="0" w:space="0" w:color="auto"/>
        <w:left w:val="none" w:sz="0" w:space="0" w:color="auto"/>
        <w:bottom w:val="none" w:sz="0" w:space="0" w:color="auto"/>
        <w:right w:val="none" w:sz="0" w:space="0" w:color="auto"/>
      </w:divBdr>
    </w:div>
    <w:div w:id="239563722">
      <w:bodyDiv w:val="1"/>
      <w:marLeft w:val="0"/>
      <w:marRight w:val="0"/>
      <w:marTop w:val="0"/>
      <w:marBottom w:val="0"/>
      <w:divBdr>
        <w:top w:val="none" w:sz="0" w:space="0" w:color="auto"/>
        <w:left w:val="none" w:sz="0" w:space="0" w:color="auto"/>
        <w:bottom w:val="none" w:sz="0" w:space="0" w:color="auto"/>
        <w:right w:val="none" w:sz="0" w:space="0" w:color="auto"/>
      </w:divBdr>
    </w:div>
    <w:div w:id="279066816">
      <w:bodyDiv w:val="1"/>
      <w:marLeft w:val="0"/>
      <w:marRight w:val="0"/>
      <w:marTop w:val="0"/>
      <w:marBottom w:val="0"/>
      <w:divBdr>
        <w:top w:val="none" w:sz="0" w:space="0" w:color="auto"/>
        <w:left w:val="none" w:sz="0" w:space="0" w:color="auto"/>
        <w:bottom w:val="none" w:sz="0" w:space="0" w:color="auto"/>
        <w:right w:val="none" w:sz="0" w:space="0" w:color="auto"/>
      </w:divBdr>
    </w:div>
    <w:div w:id="558366901">
      <w:bodyDiv w:val="1"/>
      <w:marLeft w:val="0"/>
      <w:marRight w:val="0"/>
      <w:marTop w:val="0"/>
      <w:marBottom w:val="0"/>
      <w:divBdr>
        <w:top w:val="none" w:sz="0" w:space="0" w:color="auto"/>
        <w:left w:val="none" w:sz="0" w:space="0" w:color="auto"/>
        <w:bottom w:val="none" w:sz="0" w:space="0" w:color="auto"/>
        <w:right w:val="none" w:sz="0" w:space="0" w:color="auto"/>
      </w:divBdr>
    </w:div>
    <w:div w:id="708536097">
      <w:bodyDiv w:val="1"/>
      <w:marLeft w:val="0"/>
      <w:marRight w:val="0"/>
      <w:marTop w:val="0"/>
      <w:marBottom w:val="0"/>
      <w:divBdr>
        <w:top w:val="none" w:sz="0" w:space="0" w:color="auto"/>
        <w:left w:val="none" w:sz="0" w:space="0" w:color="auto"/>
        <w:bottom w:val="none" w:sz="0" w:space="0" w:color="auto"/>
        <w:right w:val="none" w:sz="0" w:space="0" w:color="auto"/>
      </w:divBdr>
    </w:div>
    <w:div w:id="750153857">
      <w:bodyDiv w:val="1"/>
      <w:marLeft w:val="0"/>
      <w:marRight w:val="0"/>
      <w:marTop w:val="0"/>
      <w:marBottom w:val="0"/>
      <w:divBdr>
        <w:top w:val="none" w:sz="0" w:space="0" w:color="auto"/>
        <w:left w:val="none" w:sz="0" w:space="0" w:color="auto"/>
        <w:bottom w:val="none" w:sz="0" w:space="0" w:color="auto"/>
        <w:right w:val="none" w:sz="0" w:space="0" w:color="auto"/>
      </w:divBdr>
    </w:div>
    <w:div w:id="767316458">
      <w:bodyDiv w:val="1"/>
      <w:marLeft w:val="0"/>
      <w:marRight w:val="0"/>
      <w:marTop w:val="0"/>
      <w:marBottom w:val="0"/>
      <w:divBdr>
        <w:top w:val="none" w:sz="0" w:space="0" w:color="auto"/>
        <w:left w:val="none" w:sz="0" w:space="0" w:color="auto"/>
        <w:bottom w:val="none" w:sz="0" w:space="0" w:color="auto"/>
        <w:right w:val="none" w:sz="0" w:space="0" w:color="auto"/>
      </w:divBdr>
    </w:div>
    <w:div w:id="777219925">
      <w:bodyDiv w:val="1"/>
      <w:marLeft w:val="0"/>
      <w:marRight w:val="0"/>
      <w:marTop w:val="0"/>
      <w:marBottom w:val="0"/>
      <w:divBdr>
        <w:top w:val="none" w:sz="0" w:space="0" w:color="auto"/>
        <w:left w:val="none" w:sz="0" w:space="0" w:color="auto"/>
        <w:bottom w:val="none" w:sz="0" w:space="0" w:color="auto"/>
        <w:right w:val="none" w:sz="0" w:space="0" w:color="auto"/>
      </w:divBdr>
    </w:div>
    <w:div w:id="954605592">
      <w:bodyDiv w:val="1"/>
      <w:marLeft w:val="0"/>
      <w:marRight w:val="0"/>
      <w:marTop w:val="0"/>
      <w:marBottom w:val="0"/>
      <w:divBdr>
        <w:top w:val="none" w:sz="0" w:space="0" w:color="auto"/>
        <w:left w:val="none" w:sz="0" w:space="0" w:color="auto"/>
        <w:bottom w:val="none" w:sz="0" w:space="0" w:color="auto"/>
        <w:right w:val="none" w:sz="0" w:space="0" w:color="auto"/>
      </w:divBdr>
    </w:div>
    <w:div w:id="990910593">
      <w:bodyDiv w:val="1"/>
      <w:marLeft w:val="0"/>
      <w:marRight w:val="0"/>
      <w:marTop w:val="0"/>
      <w:marBottom w:val="0"/>
      <w:divBdr>
        <w:top w:val="none" w:sz="0" w:space="0" w:color="auto"/>
        <w:left w:val="none" w:sz="0" w:space="0" w:color="auto"/>
        <w:bottom w:val="none" w:sz="0" w:space="0" w:color="auto"/>
        <w:right w:val="none" w:sz="0" w:space="0" w:color="auto"/>
      </w:divBdr>
    </w:div>
    <w:div w:id="1038899668">
      <w:bodyDiv w:val="1"/>
      <w:marLeft w:val="0"/>
      <w:marRight w:val="0"/>
      <w:marTop w:val="0"/>
      <w:marBottom w:val="0"/>
      <w:divBdr>
        <w:top w:val="none" w:sz="0" w:space="0" w:color="auto"/>
        <w:left w:val="none" w:sz="0" w:space="0" w:color="auto"/>
        <w:bottom w:val="none" w:sz="0" w:space="0" w:color="auto"/>
        <w:right w:val="none" w:sz="0" w:space="0" w:color="auto"/>
      </w:divBdr>
    </w:div>
    <w:div w:id="1052583691">
      <w:bodyDiv w:val="1"/>
      <w:marLeft w:val="0"/>
      <w:marRight w:val="0"/>
      <w:marTop w:val="0"/>
      <w:marBottom w:val="0"/>
      <w:divBdr>
        <w:top w:val="none" w:sz="0" w:space="0" w:color="auto"/>
        <w:left w:val="none" w:sz="0" w:space="0" w:color="auto"/>
        <w:bottom w:val="none" w:sz="0" w:space="0" w:color="auto"/>
        <w:right w:val="none" w:sz="0" w:space="0" w:color="auto"/>
      </w:divBdr>
    </w:div>
    <w:div w:id="1252546862">
      <w:bodyDiv w:val="1"/>
      <w:marLeft w:val="0"/>
      <w:marRight w:val="0"/>
      <w:marTop w:val="0"/>
      <w:marBottom w:val="0"/>
      <w:divBdr>
        <w:top w:val="none" w:sz="0" w:space="0" w:color="auto"/>
        <w:left w:val="none" w:sz="0" w:space="0" w:color="auto"/>
        <w:bottom w:val="none" w:sz="0" w:space="0" w:color="auto"/>
        <w:right w:val="none" w:sz="0" w:space="0" w:color="auto"/>
      </w:divBdr>
    </w:div>
    <w:div w:id="1260143552">
      <w:bodyDiv w:val="1"/>
      <w:marLeft w:val="0"/>
      <w:marRight w:val="0"/>
      <w:marTop w:val="0"/>
      <w:marBottom w:val="0"/>
      <w:divBdr>
        <w:top w:val="none" w:sz="0" w:space="0" w:color="auto"/>
        <w:left w:val="none" w:sz="0" w:space="0" w:color="auto"/>
        <w:bottom w:val="none" w:sz="0" w:space="0" w:color="auto"/>
        <w:right w:val="none" w:sz="0" w:space="0" w:color="auto"/>
      </w:divBdr>
    </w:div>
    <w:div w:id="1262908437">
      <w:bodyDiv w:val="1"/>
      <w:marLeft w:val="0"/>
      <w:marRight w:val="0"/>
      <w:marTop w:val="0"/>
      <w:marBottom w:val="0"/>
      <w:divBdr>
        <w:top w:val="none" w:sz="0" w:space="0" w:color="auto"/>
        <w:left w:val="none" w:sz="0" w:space="0" w:color="auto"/>
        <w:bottom w:val="none" w:sz="0" w:space="0" w:color="auto"/>
        <w:right w:val="none" w:sz="0" w:space="0" w:color="auto"/>
      </w:divBdr>
    </w:div>
    <w:div w:id="1281305196">
      <w:bodyDiv w:val="1"/>
      <w:marLeft w:val="0"/>
      <w:marRight w:val="0"/>
      <w:marTop w:val="0"/>
      <w:marBottom w:val="0"/>
      <w:divBdr>
        <w:top w:val="none" w:sz="0" w:space="0" w:color="auto"/>
        <w:left w:val="none" w:sz="0" w:space="0" w:color="auto"/>
        <w:bottom w:val="none" w:sz="0" w:space="0" w:color="auto"/>
        <w:right w:val="none" w:sz="0" w:space="0" w:color="auto"/>
      </w:divBdr>
    </w:div>
    <w:div w:id="1304457872">
      <w:bodyDiv w:val="1"/>
      <w:marLeft w:val="0"/>
      <w:marRight w:val="0"/>
      <w:marTop w:val="0"/>
      <w:marBottom w:val="0"/>
      <w:divBdr>
        <w:top w:val="none" w:sz="0" w:space="0" w:color="auto"/>
        <w:left w:val="none" w:sz="0" w:space="0" w:color="auto"/>
        <w:bottom w:val="none" w:sz="0" w:space="0" w:color="auto"/>
        <w:right w:val="none" w:sz="0" w:space="0" w:color="auto"/>
      </w:divBdr>
    </w:div>
    <w:div w:id="1376731698">
      <w:bodyDiv w:val="1"/>
      <w:marLeft w:val="0"/>
      <w:marRight w:val="0"/>
      <w:marTop w:val="0"/>
      <w:marBottom w:val="0"/>
      <w:divBdr>
        <w:top w:val="none" w:sz="0" w:space="0" w:color="auto"/>
        <w:left w:val="none" w:sz="0" w:space="0" w:color="auto"/>
        <w:bottom w:val="none" w:sz="0" w:space="0" w:color="auto"/>
        <w:right w:val="none" w:sz="0" w:space="0" w:color="auto"/>
      </w:divBdr>
    </w:div>
    <w:div w:id="1619948815">
      <w:bodyDiv w:val="1"/>
      <w:marLeft w:val="0"/>
      <w:marRight w:val="0"/>
      <w:marTop w:val="0"/>
      <w:marBottom w:val="0"/>
      <w:divBdr>
        <w:top w:val="none" w:sz="0" w:space="0" w:color="auto"/>
        <w:left w:val="none" w:sz="0" w:space="0" w:color="auto"/>
        <w:bottom w:val="none" w:sz="0" w:space="0" w:color="auto"/>
        <w:right w:val="none" w:sz="0" w:space="0" w:color="auto"/>
      </w:divBdr>
    </w:div>
    <w:div w:id="1701054822">
      <w:bodyDiv w:val="1"/>
      <w:marLeft w:val="0"/>
      <w:marRight w:val="0"/>
      <w:marTop w:val="0"/>
      <w:marBottom w:val="0"/>
      <w:divBdr>
        <w:top w:val="none" w:sz="0" w:space="0" w:color="auto"/>
        <w:left w:val="none" w:sz="0" w:space="0" w:color="auto"/>
        <w:bottom w:val="none" w:sz="0" w:space="0" w:color="auto"/>
        <w:right w:val="none" w:sz="0" w:space="0" w:color="auto"/>
      </w:divBdr>
    </w:div>
    <w:div w:id="1728606025">
      <w:bodyDiv w:val="1"/>
      <w:marLeft w:val="0"/>
      <w:marRight w:val="0"/>
      <w:marTop w:val="0"/>
      <w:marBottom w:val="0"/>
      <w:divBdr>
        <w:top w:val="none" w:sz="0" w:space="0" w:color="auto"/>
        <w:left w:val="none" w:sz="0" w:space="0" w:color="auto"/>
        <w:bottom w:val="none" w:sz="0" w:space="0" w:color="auto"/>
        <w:right w:val="none" w:sz="0" w:space="0" w:color="auto"/>
      </w:divBdr>
    </w:div>
    <w:div w:id="1812675146">
      <w:bodyDiv w:val="1"/>
      <w:marLeft w:val="0"/>
      <w:marRight w:val="0"/>
      <w:marTop w:val="0"/>
      <w:marBottom w:val="0"/>
      <w:divBdr>
        <w:top w:val="none" w:sz="0" w:space="0" w:color="auto"/>
        <w:left w:val="none" w:sz="0" w:space="0" w:color="auto"/>
        <w:bottom w:val="none" w:sz="0" w:space="0" w:color="auto"/>
        <w:right w:val="none" w:sz="0" w:space="0" w:color="auto"/>
      </w:divBdr>
    </w:div>
    <w:div w:id="1869489286">
      <w:bodyDiv w:val="1"/>
      <w:marLeft w:val="0"/>
      <w:marRight w:val="0"/>
      <w:marTop w:val="0"/>
      <w:marBottom w:val="0"/>
      <w:divBdr>
        <w:top w:val="none" w:sz="0" w:space="0" w:color="auto"/>
        <w:left w:val="none" w:sz="0" w:space="0" w:color="auto"/>
        <w:bottom w:val="none" w:sz="0" w:space="0" w:color="auto"/>
        <w:right w:val="none" w:sz="0" w:space="0" w:color="auto"/>
      </w:divBdr>
    </w:div>
    <w:div w:id="1963949935">
      <w:bodyDiv w:val="1"/>
      <w:marLeft w:val="0"/>
      <w:marRight w:val="0"/>
      <w:marTop w:val="0"/>
      <w:marBottom w:val="0"/>
      <w:divBdr>
        <w:top w:val="none" w:sz="0" w:space="0" w:color="auto"/>
        <w:left w:val="none" w:sz="0" w:space="0" w:color="auto"/>
        <w:bottom w:val="none" w:sz="0" w:space="0" w:color="auto"/>
        <w:right w:val="none" w:sz="0" w:space="0" w:color="auto"/>
      </w:divBdr>
    </w:div>
    <w:div w:id="1993829419">
      <w:bodyDiv w:val="1"/>
      <w:marLeft w:val="0"/>
      <w:marRight w:val="0"/>
      <w:marTop w:val="0"/>
      <w:marBottom w:val="0"/>
      <w:divBdr>
        <w:top w:val="none" w:sz="0" w:space="0" w:color="auto"/>
        <w:left w:val="none" w:sz="0" w:space="0" w:color="auto"/>
        <w:bottom w:val="none" w:sz="0" w:space="0" w:color="auto"/>
        <w:right w:val="none" w:sz="0" w:space="0" w:color="auto"/>
      </w:divBdr>
    </w:div>
    <w:div w:id="1995336671">
      <w:bodyDiv w:val="1"/>
      <w:marLeft w:val="0"/>
      <w:marRight w:val="0"/>
      <w:marTop w:val="0"/>
      <w:marBottom w:val="0"/>
      <w:divBdr>
        <w:top w:val="none" w:sz="0" w:space="0" w:color="auto"/>
        <w:left w:val="none" w:sz="0" w:space="0" w:color="auto"/>
        <w:bottom w:val="none" w:sz="0" w:space="0" w:color="auto"/>
        <w:right w:val="none" w:sz="0" w:space="0" w:color="auto"/>
      </w:divBdr>
    </w:div>
    <w:div w:id="1997225420">
      <w:bodyDiv w:val="1"/>
      <w:marLeft w:val="0"/>
      <w:marRight w:val="0"/>
      <w:marTop w:val="0"/>
      <w:marBottom w:val="0"/>
      <w:divBdr>
        <w:top w:val="none" w:sz="0" w:space="0" w:color="auto"/>
        <w:left w:val="none" w:sz="0" w:space="0" w:color="auto"/>
        <w:bottom w:val="none" w:sz="0" w:space="0" w:color="auto"/>
        <w:right w:val="none" w:sz="0" w:space="0" w:color="auto"/>
      </w:divBdr>
    </w:div>
    <w:div w:id="200227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digo-postal.co/argentina/cpa/C1063AB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cnv.gov.ar"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35E6A3-40E9-4674-AD32-490090893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26359</Words>
  <Characters>144976</Characters>
  <Application>Microsoft Office Word</Application>
  <DocSecurity>0</DocSecurity>
  <Lines>1208</Lines>
  <Paragraphs>341</Paragraphs>
  <ScaleCrop>false</ScaleCrop>
  <HeadingPairs>
    <vt:vector size="2" baseType="variant">
      <vt:variant>
        <vt:lpstr>Título</vt:lpstr>
      </vt:variant>
      <vt:variant>
        <vt:i4>1</vt:i4>
      </vt:variant>
    </vt:vector>
  </HeadingPairs>
  <TitlesOfParts>
    <vt:vector size="1" baseType="lpstr">
      <vt:lpstr/>
    </vt:vector>
  </TitlesOfParts>
  <Company>Estudio Beccar Varela</Company>
  <LinksUpToDate>false</LinksUpToDate>
  <CharactersWithSpaces>170994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mtutzer</dc:creator>
  <cp:lastModifiedBy>Maria Victoria Pavani</cp:lastModifiedBy>
  <cp:revision>3</cp:revision>
  <cp:lastPrinted>2019-02-07T18:22:00Z</cp:lastPrinted>
  <dcterms:created xsi:type="dcterms:W3CDTF">2020-06-30T21:27:00Z</dcterms:created>
  <dcterms:modified xsi:type="dcterms:W3CDTF">2020-06-30T21:28:00Z</dcterms:modified>
</cp:coreProperties>
</file>