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u w:val="single"/>
          <w:rtl w:val="0"/>
        </w:rPr>
        <w:t xml:space="preserve">TARJETA  NARANJA  S.A.U. - ACTA NUMERO  TRESCIENTOS CUATRO:</w:t>
      </w:r>
      <w:r w:rsidDel="00000000" w:rsidR="00000000" w:rsidRPr="00000000">
        <w:rPr>
          <w:rFonts w:ascii="Times New Roman" w:cs="Times New Roman" w:eastAsia="Times New Roman" w:hAnsi="Times New Roman"/>
          <w:rtl w:val="0"/>
        </w:rPr>
        <w:t xml:space="preserve">   A veintinueve días del mes de noviembre del año dos mil veintitrés,  se reúnen mediante sistema de videoconferencia, los señores Síndicos Titulares de  la Comisión Fiscalizadora de Tarjeta Naranja S.A.U.  Cr. Omar Severini,  Cr. Antonio Roberto Garcés y Cr. José Luis Gentile, quienes en forma expresa constatan que el sistema de videoconferencia utilizado, permite la acreditación fehaciente de la identidad de todos los concurrentes,  la deliberación y transmisión en forma simultánea, de sonido, imágenes y palabras durante todo el desarrollo de la sesión. Se deja constancia que la presente Acta será suscripta por todos los comparecientes  una vez que la misma sea impresa en el Libro de Actas de Comisión Fiscalizadora de Tarjeta Naranja S.A.U.  Se declara abierta la sesión siendo las 9  horas y se pasa  a considerar los siguientes asuntos a saber:</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after="240" w:before="24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w:t>
      </w:r>
      <w:r w:rsidDel="00000000" w:rsidR="00000000" w:rsidRPr="00000000">
        <w:rPr>
          <w:rFonts w:ascii="Times New Roman" w:cs="Times New Roman" w:eastAsia="Times New Roman" w:hAnsi="Times New Roman"/>
          <w:b w:val="1"/>
          <w:color w:val="222222"/>
          <w:highlight w:val="white"/>
          <w:u w:val="single"/>
          <w:rtl w:val="0"/>
        </w:rPr>
        <w:t xml:space="preserve">1. FUSIÓN POR ABSORCIÓN CON COBRANZAS REGIONALES S.A. – ESTADO DE SITUACIÓN FINANCIERA ESPECIAL INTERMEDIO</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Manifiesta  el  Cr. Omar Severini, que tal como es de conocimiento de los señores Síndicos Titulares por haber estado trabajando sobre ellos, el Directorio de la Sociedad, hizo llegar oportunamente, para su estudio e Informe, los Estados Financieros Especiales Intermedios al 30 de septiembre de 2023, que comprenden : Estado de Situación Financiera Especial Intermedio, Notas al Estado de Situación Financiera Especial Intermedio,I nforme de los Auditores Independientes. Expresa el Cr. Omar Severini que luego de su análisis y consideración de los documentos en cuestión,  la Comisión Fiscalizadora tras un cambio de opiniones sobre el particular, por unanimidad, ha emitido el siguiente Informe, el que transcripto literalmente dice:</w:t>
      </w:r>
    </w:p>
    <w:p w:rsidR="00000000" w:rsidDel="00000000" w:rsidP="00000000" w:rsidRDefault="00000000" w:rsidRPr="00000000" w14:paraId="00000004">
      <w:pPr>
        <w:spacing w:after="240" w:before="240"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line="240" w:lineRule="auto"/>
        <w:ind w:left="360" w:right="5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INFORME DE LA COMISION FISCALIZADORA</w:t>
      </w:r>
    </w:p>
    <w:p w:rsidR="00000000" w:rsidDel="00000000" w:rsidP="00000000" w:rsidRDefault="00000000" w:rsidRPr="00000000" w14:paraId="00000006">
      <w:pPr>
        <w:spacing w:line="240" w:lineRule="auto"/>
        <w:ind w:left="360" w:right="580" w:firstLine="0"/>
        <w:jc w:val="both"/>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007">
      <w:pPr>
        <w:spacing w:line="240" w:lineRule="auto"/>
        <w:ind w:left="360" w:right="580" w:firstLine="0"/>
        <w:jc w:val="both"/>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008">
      <w:pPr>
        <w:spacing w:line="240" w:lineRule="auto"/>
        <w:ind w:left="360" w:right="5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A los señores Accionistas y Directores de:</w:t>
      </w:r>
    </w:p>
    <w:p w:rsidR="00000000" w:rsidDel="00000000" w:rsidP="00000000" w:rsidRDefault="00000000" w:rsidRPr="00000000" w14:paraId="00000009">
      <w:pPr>
        <w:spacing w:line="240" w:lineRule="auto"/>
        <w:ind w:left="360" w:right="5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Tarjeta Naranja S.A.U.</w:t>
      </w:r>
    </w:p>
    <w:p w:rsidR="00000000" w:rsidDel="00000000" w:rsidP="00000000" w:rsidRDefault="00000000" w:rsidRPr="00000000" w14:paraId="0000000A">
      <w:pPr>
        <w:spacing w:line="240" w:lineRule="auto"/>
        <w:ind w:left="360" w:right="5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Domicilio legal: La Tablada 451</w:t>
      </w:r>
    </w:p>
    <w:p w:rsidR="00000000" w:rsidDel="00000000" w:rsidP="00000000" w:rsidRDefault="00000000" w:rsidRPr="00000000" w14:paraId="0000000B">
      <w:pPr>
        <w:spacing w:line="240" w:lineRule="auto"/>
        <w:ind w:left="360" w:right="5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CORDOBA-ARGENTINA</w:t>
      </w:r>
    </w:p>
    <w:p w:rsidR="00000000" w:rsidDel="00000000" w:rsidP="00000000" w:rsidRDefault="00000000" w:rsidRPr="00000000" w14:paraId="0000000C">
      <w:pPr>
        <w:spacing w:line="240" w:lineRule="auto"/>
        <w:ind w:left="360" w:right="5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CUIT: 30-68537634-9</w:t>
      </w:r>
    </w:p>
    <w:p w:rsidR="00000000" w:rsidDel="00000000" w:rsidP="00000000" w:rsidRDefault="00000000" w:rsidRPr="00000000" w14:paraId="0000000D">
      <w:pPr>
        <w:spacing w:line="240" w:lineRule="auto"/>
        <w:ind w:left="360" w:right="5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 </w:t>
      </w:r>
    </w:p>
    <w:p w:rsidR="00000000" w:rsidDel="00000000" w:rsidP="00000000" w:rsidRDefault="00000000" w:rsidRPr="00000000" w14:paraId="0000000E">
      <w:pPr>
        <w:spacing w:line="240" w:lineRule="auto"/>
        <w:ind w:left="360" w:right="-280" w:firstLine="0"/>
        <w:jc w:val="both"/>
        <w:rPr>
          <w:rFonts w:ascii="Georgia" w:cs="Georgia" w:eastAsia="Georgia" w:hAnsi="Georgia"/>
          <w:b w:val="1"/>
          <w:sz w:val="18"/>
          <w:szCs w:val="18"/>
          <w:u w:val="single"/>
        </w:rPr>
      </w:pPr>
      <w:r w:rsidDel="00000000" w:rsidR="00000000" w:rsidRPr="00000000">
        <w:rPr>
          <w:rFonts w:ascii="Georgia" w:cs="Georgia" w:eastAsia="Georgia" w:hAnsi="Georgia"/>
          <w:b w:val="1"/>
          <w:sz w:val="18"/>
          <w:szCs w:val="18"/>
          <w:u w:val="single"/>
          <w:rtl w:val="0"/>
        </w:rPr>
        <w:t xml:space="preserve">DOCUMENTOS OBJETO DE REVISIÓN</w:t>
      </w:r>
    </w:p>
    <w:p w:rsidR="00000000" w:rsidDel="00000000" w:rsidP="00000000" w:rsidRDefault="00000000" w:rsidRPr="00000000" w14:paraId="0000000F">
      <w:pPr>
        <w:spacing w:line="240" w:lineRule="auto"/>
        <w:ind w:left="360" w:right="-280" w:firstLine="0"/>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 </w:t>
      </w:r>
    </w:p>
    <w:p w:rsidR="00000000" w:rsidDel="00000000" w:rsidP="00000000" w:rsidRDefault="00000000" w:rsidRPr="00000000" w14:paraId="00000010">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1.</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En nuestro carácter de síndicos de Tarjeta Naranja S.A.U., de acuerdo con lo dispuesto por el inciso 5to. del</w:t>
        <w:br w:type="textWrapping"/>
        <w:t xml:space="preserve"> art. 294 de la Ley General de Sociedades, hemos revisado el estado de situación financiera especial intermedio adjunto de Tarjeta Naranja S.A.U. (en adelante “la Entidad”) que comprende:</w:t>
      </w:r>
    </w:p>
    <w:p w:rsidR="00000000" w:rsidDel="00000000" w:rsidP="00000000" w:rsidRDefault="00000000" w:rsidRPr="00000000" w14:paraId="00000011">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12">
      <w:pPr>
        <w:spacing w:line="240" w:lineRule="auto"/>
        <w:ind w:left="1140" w:right="-280" w:hanging="36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el estado de situación financiera especial intermedio al 30 de septiembre de 2023,</w:t>
      </w:r>
    </w:p>
    <w:p w:rsidR="00000000" w:rsidDel="00000000" w:rsidP="00000000" w:rsidRDefault="00000000" w:rsidRPr="00000000" w14:paraId="00000013">
      <w:pPr>
        <w:spacing w:line="240" w:lineRule="auto"/>
        <w:ind w:left="1140" w:right="-280" w:hanging="36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resumen de las políticas contables significativas y otra información explicativa incluida en las notas que los complementan;</w:t>
      </w:r>
    </w:p>
    <w:p w:rsidR="00000000" w:rsidDel="00000000" w:rsidP="00000000" w:rsidRDefault="00000000" w:rsidRPr="00000000" w14:paraId="00000014">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15">
      <w:pPr>
        <w:spacing w:line="240"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RESPONSABILIDAD DE LA DIRECCION EN RELACION CON EL ESTADO FINANCIERO</w:t>
      </w:r>
    </w:p>
    <w:p w:rsidR="00000000" w:rsidDel="00000000" w:rsidP="00000000" w:rsidRDefault="00000000" w:rsidRPr="00000000" w14:paraId="00000016">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17">
      <w:pPr>
        <w:spacing w:line="240" w:lineRule="auto"/>
        <w:ind w:left="580" w:right="-280" w:hanging="22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El Directorio de la Sociedad es responsable por la preparación y presentación razonable del estado financiero de acuerdo con las Normas Internacionales de Información Financiera (NIIF), y en particular, con la Norma Internacional de Contabilidad 34 (NIC 34), tal y como fueron aprobadas por el Consejo de Normas Internacionales de Contabilidad (IASB por sus siglas en inglés). Dichas normas fueron adoptadas por la Federación Argentina de Consejos Profesionales de Ciencias Económicas (FACPCE), y fueron utilizadas en la preparación del estado financiero.</w:t>
      </w:r>
    </w:p>
    <w:p w:rsidR="00000000" w:rsidDel="00000000" w:rsidP="00000000" w:rsidRDefault="00000000" w:rsidRPr="00000000" w14:paraId="00000018">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Asimismo, el Directorio es responsable de la existencia del control interno que considere necesario para posibilitar la preparación del estado financiero libres de incorrecciones significativas originadas en errores o en irregularidades.</w:t>
      </w:r>
    </w:p>
    <w:p w:rsidR="00000000" w:rsidDel="00000000" w:rsidP="00000000" w:rsidRDefault="00000000" w:rsidRPr="00000000" w14:paraId="00000019">
      <w:pPr>
        <w:spacing w:line="256.8"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 </w:t>
      </w:r>
    </w:p>
    <w:p w:rsidR="00000000" w:rsidDel="00000000" w:rsidP="00000000" w:rsidRDefault="00000000" w:rsidRPr="00000000" w14:paraId="0000001A">
      <w:pPr>
        <w:spacing w:after="160" w:line="256.8"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RESPONSABILIDAD DEL SÍNDICO</w:t>
      </w:r>
    </w:p>
    <w:p w:rsidR="00000000" w:rsidDel="00000000" w:rsidP="00000000" w:rsidRDefault="00000000" w:rsidRPr="00000000" w14:paraId="0000001B">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Fonts w:ascii="Georgia" w:cs="Georgia" w:eastAsia="Georgia" w:hAnsi="Georgia"/>
          <w:sz w:val="18"/>
          <w:szCs w:val="18"/>
          <w:rtl w:val="0"/>
        </w:rPr>
        <w:t xml:space="preserve">Nuestra responsabilidad consiste en expresar una conclusión sobre los documentos examinados en el punto 1., en base a las revisiones que efectuamos con el alcance detallado en el punto 4.</w:t>
      </w:r>
    </w:p>
    <w:p w:rsidR="00000000" w:rsidDel="00000000" w:rsidP="00000000" w:rsidRDefault="00000000" w:rsidRPr="00000000" w14:paraId="0000001C">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1D">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4.</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Nuestro trabajo fue realizado de acuerdo con las normas legales de sindicatura vigentes y por las establecidas en la Resolución Técnica N° 15 y modificatorias de la Federación Argentina de Consejos Profesionales de Ciencias Económicas (FACPCE). Dichas normas requieren que el examen del estado financiero se efectué de acuerdo a las normas de auditoría vigentes e incluyan la verificación de la congruencia de los documentos revisados con la información sobre las decisiones societarias expuestas en actas, y la adecuación de dichas decisiones a la ley y a los estatutos en lo relativo a sus aspectos formales y documentales.</w:t>
      </w:r>
    </w:p>
    <w:p w:rsidR="00000000" w:rsidDel="00000000" w:rsidP="00000000" w:rsidRDefault="00000000" w:rsidRPr="00000000" w14:paraId="0000001E">
      <w:pPr>
        <w:spacing w:after="240" w:before="240" w:line="240" w:lineRule="auto"/>
        <w:ind w:right="-280"/>
        <w:jc w:val="both"/>
        <w:rPr>
          <w:rFonts w:ascii="Georgia" w:cs="Georgia" w:eastAsia="Georgia" w:hAnsi="Georgia"/>
          <w:strike w:val="1"/>
          <w:sz w:val="18"/>
          <w:szCs w:val="18"/>
        </w:rPr>
      </w:pPr>
      <w:r w:rsidDel="00000000" w:rsidR="00000000" w:rsidRPr="00000000">
        <w:rPr>
          <w:rFonts w:ascii="Georgia" w:cs="Georgia" w:eastAsia="Georgia" w:hAnsi="Georgia"/>
          <w:strike w:val="1"/>
          <w:sz w:val="18"/>
          <w:szCs w:val="18"/>
          <w:rtl w:val="0"/>
        </w:rPr>
        <w:t xml:space="preserve"> </w:t>
      </w:r>
    </w:p>
    <w:p w:rsidR="00000000" w:rsidDel="00000000" w:rsidP="00000000" w:rsidRDefault="00000000" w:rsidRPr="00000000" w14:paraId="0000001F">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Para realizar nuestra tarea profesional sobre los documentos detallados precedentemente, hemos tenido en cuenta la auditoría  efectuada por el auditor externo Price Waterhouse &amp; Co. S.R.L., quienes emitieron su informe de auditoría con fecha 28 de noviembre de 2023 con salvedades, el que fue llevado a cabo de conformidad con las Normas Internacionales de Auditoría (NIAs), como fueron adoptadas en Argentina por la FACPCE mediante la Resolución Técnica N° 32 y sus respectivas Circulares de Adopción.</w:t>
      </w:r>
    </w:p>
    <w:p w:rsidR="00000000" w:rsidDel="00000000" w:rsidP="00000000" w:rsidRDefault="00000000" w:rsidRPr="00000000" w14:paraId="00000020">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21">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Dicha revisión incluyó la verificación de la planificación del trabajo, de la naturaleza, alcance y oportunidad de los procedimientos aplicados y de los resultados de la auditoría efectuada por dichos profesionales. Dichas normas exigen que cumplan los requerimientos de ética, así como que planifique y ejecute la auditoría con el fin de obtener una seguridad razonable sobre si el estado financiero se encuentra libres de incorrecciones significativas.</w:t>
      </w:r>
    </w:p>
    <w:p w:rsidR="00000000" w:rsidDel="00000000" w:rsidP="00000000" w:rsidRDefault="00000000" w:rsidRPr="00000000" w14:paraId="00000022">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23">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Una auditoría conlleva la aplicación de procedimientos para obtener elementos de juicio sobre las cifras y otra información presentada en el estado financiero. Los procedimientos seleccionados dependen del juicio del auditor, incluyendo la valoración del riesgo de incorrecciones significativas en el estado financiero debidas a fraude o error.</w:t>
        <w:br w:type="textWrapping"/>
        <w:t xml:space="preserve"> Al efectuar dicha valoración del riesgo, el auditor debe tener en consideración el control interno pertinente para la preparación y presentación razonable por parte de la Sociedad del estado financiero, con el fin de diseñar los procedimientos de auditoría que sean adecuados, en función a las circunstancias, y no con la finalidad de expresar una opinión sobre la eficacia del control interno de la Sociedad.</w:t>
      </w:r>
    </w:p>
    <w:p w:rsidR="00000000" w:rsidDel="00000000" w:rsidP="00000000" w:rsidRDefault="00000000" w:rsidRPr="00000000" w14:paraId="00000024">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25">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Una auditoría también comprende una evaluación de la adecuación de las políticas contables aplicadas, de la razonabilidad de las estimaciones significativas realizadas por la Dirección de la Sociedad y de la presentación del estado financiero en su conjunto.</w:t>
      </w:r>
    </w:p>
    <w:p w:rsidR="00000000" w:rsidDel="00000000" w:rsidP="00000000" w:rsidRDefault="00000000" w:rsidRPr="00000000" w14:paraId="00000026">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27">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Dado que no es nuestra responsabilidad efectuar un control de gestión, el examen no se extendió a los criterios y decisiones empresarias de las diversas áreas de la Entidad, cuestiones que son de responsabilidad exclusiva del Directorio.</w:t>
      </w:r>
    </w:p>
    <w:p w:rsidR="00000000" w:rsidDel="00000000" w:rsidP="00000000" w:rsidRDefault="00000000" w:rsidRPr="00000000" w14:paraId="00000028">
      <w:pPr>
        <w:spacing w:line="240" w:lineRule="auto"/>
        <w:ind w:left="360" w:right="-280" w:firstLine="0"/>
        <w:jc w:val="both"/>
        <w:rPr>
          <w:sz w:val="18"/>
          <w:szCs w:val="18"/>
        </w:rPr>
      </w:pPr>
      <w:r w:rsidDel="00000000" w:rsidR="00000000" w:rsidRPr="00000000">
        <w:rPr>
          <w:sz w:val="18"/>
          <w:szCs w:val="18"/>
          <w:rtl w:val="0"/>
        </w:rPr>
        <w:t xml:space="preserve"> </w:t>
      </w:r>
    </w:p>
    <w:p w:rsidR="00000000" w:rsidDel="00000000" w:rsidP="00000000" w:rsidRDefault="00000000" w:rsidRPr="00000000" w14:paraId="00000029">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Informamos además que en cumplimiento del ejercicio de control de legalidad que nos compete, hemos aplicado durante el ejercicio los restantes procedimientos descriptos en el art. 294 de la Ley 19.550 que consideramos necesarios de acuerdo con las circunstancias.</w:t>
      </w:r>
    </w:p>
    <w:p w:rsidR="00000000" w:rsidDel="00000000" w:rsidP="00000000" w:rsidRDefault="00000000" w:rsidRPr="00000000" w14:paraId="0000002A">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2B">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Dejamos expresa mención que somos independientes de Tarjeta Naranja S.A.U. y hemos cumplido con los demás requisitos de ética de conformidad con el código de ética y de las RT N° 15 y 37 de FACPCE. Consideramos que los elementos de juicio que hemos obtenido proporcionan una base suficiente y adecuada para nuestra opinión.</w:t>
      </w:r>
    </w:p>
    <w:p w:rsidR="00000000" w:rsidDel="00000000" w:rsidP="00000000" w:rsidRDefault="00000000" w:rsidRPr="00000000" w14:paraId="0000002C">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2D">
      <w:pPr>
        <w:spacing w:line="240"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2E">
      <w:pPr>
        <w:spacing w:after="160" w:line="256.8"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FUNDAMENTOS DE LA CONCLUSIÓN CON SALVEDADES</w:t>
      </w:r>
    </w:p>
    <w:p w:rsidR="00000000" w:rsidDel="00000000" w:rsidP="00000000" w:rsidRDefault="00000000" w:rsidRPr="00000000" w14:paraId="0000002F">
      <w:pPr>
        <w:spacing w:line="240" w:lineRule="auto"/>
        <w:ind w:left="280" w:right="-28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Debido al propósito específico que se detalla en nota 2, el estado de situación financiera especial intermedio adjunto fue preparado por la Dirección de la Sociedad sin incluir la información comparativa ni toda la información requerida por las NIIF. En razón de ello, no cumple con lo exigido por la NIC 34, empleada para la preparación del estado de situación financiera especial intermedio.</w:t>
      </w:r>
    </w:p>
    <w:p w:rsidR="00000000" w:rsidDel="00000000" w:rsidP="00000000" w:rsidRDefault="00000000" w:rsidRPr="00000000" w14:paraId="00000030">
      <w:pPr>
        <w:spacing w:after="160" w:line="256.8"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 </w:t>
      </w:r>
    </w:p>
    <w:p w:rsidR="00000000" w:rsidDel="00000000" w:rsidP="00000000" w:rsidRDefault="00000000" w:rsidRPr="00000000" w14:paraId="00000031">
      <w:pPr>
        <w:spacing w:after="160" w:line="256.8"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CONCLUSION</w:t>
      </w:r>
    </w:p>
    <w:p w:rsidR="00000000" w:rsidDel="00000000" w:rsidP="00000000" w:rsidRDefault="00000000" w:rsidRPr="00000000" w14:paraId="00000032">
      <w:pPr>
        <w:spacing w:line="228" w:lineRule="auto"/>
        <w:ind w:left="1160" w:right="-280" w:hanging="20"/>
        <w:jc w:val="both"/>
        <w:rPr>
          <w:rFonts w:ascii="Georgia" w:cs="Georgia" w:eastAsia="Georgia" w:hAnsi="Georgia"/>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Sobre la base de nuestras revisiones, con el alcance descripto en el punto 4. precedente, y teniendo en cuenta el informe de auditoría del Auditor Externo, </w:t>
      </w:r>
      <w:r w:rsidDel="00000000" w:rsidR="00000000" w:rsidRPr="00000000">
        <w:rPr>
          <w:rFonts w:ascii="Times New Roman" w:cs="Times New Roman" w:eastAsia="Times New Roman" w:hAnsi="Times New Roman"/>
          <w:rtl w:val="0"/>
        </w:rPr>
        <w:t xml:space="preserve">excepto por el efecto de la situación detallada en el párrafo “Fundamentos de la conclusión con salvedades”, </w:t>
      </w:r>
      <w:r w:rsidDel="00000000" w:rsidR="00000000" w:rsidRPr="00000000">
        <w:rPr>
          <w:rFonts w:ascii="Georgia" w:cs="Georgia" w:eastAsia="Georgia" w:hAnsi="Georgia"/>
          <w:sz w:val="18"/>
          <w:szCs w:val="18"/>
          <w:rtl w:val="0"/>
        </w:rPr>
        <w:t xml:space="preserve">en nuestra opinión, el estado financiero mencionado en el</w:t>
        <w:br w:type="textWrapping"/>
        <w:t xml:space="preserve"> punto 1, se presenta en todos sus aspectos significativos, en forma razonable y en conformidad con las Normas Internacionales de Información Financiera (NIIF), en particular, con la Norma Internacional de Contabilidad 34 (NIC 34).</w:t>
      </w:r>
    </w:p>
    <w:p w:rsidR="00000000" w:rsidDel="00000000" w:rsidP="00000000" w:rsidRDefault="00000000" w:rsidRPr="00000000" w14:paraId="00000033">
      <w:pPr>
        <w:spacing w:line="228" w:lineRule="auto"/>
        <w:ind w:left="1160" w:right="-280" w:hanging="20"/>
        <w:jc w:val="both"/>
        <w:rPr>
          <w:rFonts w:ascii="Georgia" w:cs="Georgia" w:eastAsia="Georgia" w:hAnsi="Georgia"/>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34">
      <w:pPr>
        <w:spacing w:line="228" w:lineRule="auto"/>
        <w:ind w:left="1160" w:right="-280" w:hanging="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rtl w:val="0"/>
        </w:rPr>
        <w:t xml:space="preserve">Sin modificar nuestra opinión, enfatizamos que, tal como se menciona en la nota 2 al estado de situación financiera especial intermedio, éste ha sido preparado sólo con fines societarios, en el marco del proceso de reorganización descripto en dicha nota. Por tal razón, no ha sido necesaria la preparación de los demás estados financieros condensados intermedios básicos ni de la restante información complementaria que requiere la NIC 34 para la presentación de un juego completo de información financiera de períodos intermedios.</w:t>
      </w:r>
    </w:p>
    <w:p w:rsidR="00000000" w:rsidDel="00000000" w:rsidP="00000000" w:rsidRDefault="00000000" w:rsidRPr="00000000" w14:paraId="00000035">
      <w:pPr>
        <w:spacing w:line="228" w:lineRule="auto"/>
        <w:ind w:left="114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36">
      <w:pPr>
        <w:spacing w:line="228" w:lineRule="auto"/>
        <w:ind w:left="1160" w:right="-280" w:hanging="20"/>
        <w:jc w:val="both"/>
        <w:rPr>
          <w:rFonts w:ascii="Georgia" w:cs="Georgia" w:eastAsia="Georgia" w:hAnsi="Georgia"/>
          <w:sz w:val="18"/>
          <w:szCs w:val="18"/>
        </w:rPr>
      </w:pPr>
      <w:r w:rsidDel="00000000" w:rsidR="00000000" w:rsidRPr="00000000">
        <w:rPr>
          <w:rFonts w:ascii="Times New Roman" w:cs="Times New Roman" w:eastAsia="Times New Roman" w:hAnsi="Times New Roman"/>
          <w:sz w:val="18"/>
          <w:szCs w:val="18"/>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En cumplimiento del ejercicio de control de legalidad que nos compete, no tenemos objeciones que formular.</w:t>
      </w:r>
    </w:p>
    <w:p w:rsidR="00000000" w:rsidDel="00000000" w:rsidP="00000000" w:rsidRDefault="00000000" w:rsidRPr="00000000" w14:paraId="00000037">
      <w:pPr>
        <w:spacing w:line="240"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 </w:t>
      </w:r>
    </w:p>
    <w:p w:rsidR="00000000" w:rsidDel="00000000" w:rsidP="00000000" w:rsidRDefault="00000000" w:rsidRPr="00000000" w14:paraId="00000038">
      <w:pPr>
        <w:spacing w:line="240" w:lineRule="auto"/>
        <w:ind w:left="360" w:right="-280" w:firstLine="0"/>
        <w:jc w:val="both"/>
        <w:rPr>
          <w:rFonts w:ascii="Georgia" w:cs="Georgia" w:eastAsia="Georgia" w:hAnsi="Georgia"/>
          <w:sz w:val="18"/>
          <w:szCs w:val="18"/>
          <w:u w:val="single"/>
        </w:rPr>
      </w:pPr>
      <w:r w:rsidDel="00000000" w:rsidR="00000000" w:rsidRPr="00000000">
        <w:rPr>
          <w:rFonts w:ascii="Georgia" w:cs="Georgia" w:eastAsia="Georgia" w:hAnsi="Georgia"/>
          <w:sz w:val="18"/>
          <w:szCs w:val="18"/>
          <w:u w:val="single"/>
          <w:rtl w:val="0"/>
        </w:rPr>
        <w:t xml:space="preserve">INFORME SOBRE OTROS REQUERIMIENTOS LEGALES Y REGLAMENTARIOS</w:t>
      </w:r>
    </w:p>
    <w:p w:rsidR="00000000" w:rsidDel="00000000" w:rsidP="00000000" w:rsidRDefault="00000000" w:rsidRPr="00000000" w14:paraId="00000039">
      <w:pPr>
        <w:spacing w:line="228"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3A">
      <w:pPr>
        <w:spacing w:line="228" w:lineRule="auto"/>
        <w:ind w:left="36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Informamos que:</w:t>
      </w:r>
    </w:p>
    <w:p w:rsidR="00000000" w:rsidDel="00000000" w:rsidP="00000000" w:rsidRDefault="00000000" w:rsidRPr="00000000" w14:paraId="0000003B">
      <w:pPr>
        <w:spacing w:line="228" w:lineRule="auto"/>
        <w:ind w:left="1120" w:right="-280" w:firstLine="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3C">
      <w:pPr>
        <w:spacing w:line="228" w:lineRule="auto"/>
        <w:ind w:left="2240" w:right="-280" w:hanging="1120"/>
        <w:jc w:val="both"/>
        <w:rPr>
          <w:rFonts w:ascii="Georgia" w:cs="Georgia" w:eastAsia="Georgia" w:hAnsi="Georgia"/>
          <w:sz w:val="18"/>
          <w:szCs w:val="18"/>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El estado de situación financiera especial condensado intermedio de Tarjeta Naranja S.A.U. al</w:t>
        <w:br w:type="textWrapping"/>
        <w:t xml:space="preserve"> 30 de septiembre de 2023 surgen de registros contables llevados en sus aspectos formales de conformidad con normas legales, excepto en cuanto a que se encuentran pendientes de ser incorporados a su Libro  de “Inventarios y Balances” considerando que la Sociedad lleva sus registros en forma digital;</w:t>
      </w:r>
    </w:p>
    <w:p w:rsidR="00000000" w:rsidDel="00000000" w:rsidP="00000000" w:rsidRDefault="00000000" w:rsidRPr="00000000" w14:paraId="0000003D">
      <w:pPr>
        <w:spacing w:after="240" w:before="240" w:line="240" w:lineRule="auto"/>
        <w:ind w:right="-280"/>
        <w:jc w:val="both"/>
        <w:rPr>
          <w:rFonts w:ascii="Georgia" w:cs="Georgia" w:eastAsia="Georgia" w:hAnsi="Georgia"/>
          <w:sz w:val="18"/>
          <w:szCs w:val="18"/>
        </w:rPr>
      </w:pPr>
      <w:r w:rsidDel="00000000" w:rsidR="00000000" w:rsidRPr="00000000">
        <w:rPr>
          <w:rFonts w:ascii="Georgia" w:cs="Georgia" w:eastAsia="Georgia" w:hAnsi="Georgia"/>
          <w:sz w:val="18"/>
          <w:szCs w:val="18"/>
          <w:rtl w:val="0"/>
        </w:rPr>
        <w:t xml:space="preserve"> </w:t>
      </w:r>
    </w:p>
    <w:p w:rsidR="00000000" w:rsidDel="00000000" w:rsidP="00000000" w:rsidRDefault="00000000" w:rsidRPr="00000000" w14:paraId="0000003E">
      <w:pPr>
        <w:spacing w:line="228" w:lineRule="auto"/>
        <w:ind w:left="2240" w:right="-280" w:hanging="1120"/>
        <w:jc w:val="both"/>
        <w:rPr>
          <w:rFonts w:ascii="Georgia" w:cs="Georgia" w:eastAsia="Georgia" w:hAnsi="Georgia"/>
          <w:sz w:val="18"/>
          <w:szCs w:val="18"/>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eorgia" w:cs="Georgia" w:eastAsia="Georgia" w:hAnsi="Georgia"/>
          <w:sz w:val="18"/>
          <w:szCs w:val="18"/>
          <w:rtl w:val="0"/>
        </w:rPr>
        <w:t xml:space="preserve">De acuerdo a lo requerido por el artículo 21, Sección VI, Capítulo III, Título II de la normativa de la Comisión Nacional de Valores sobre la independencia del auditor externo, sobre la calidad de las políticas de auditoría aplicadas por el mismo y de las políticas contables de la Sociedad, el informe del auditor externo mencionado anteriormente incluye la manifestación de haber aplicado las normas de auditoría vigentes,  y no contiene salvedades en relación con la aplicación de dichas normas contables profesionales. Declaran en su informe ser Independientes de la Sociedad;</w:t>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b w:val="1"/>
          <w:sz w:val="18"/>
          <w:szCs w:val="18"/>
        </w:rPr>
      </w:pPr>
      <w:r w:rsidDel="00000000" w:rsidR="00000000" w:rsidRPr="00000000">
        <w:rPr>
          <w:rFonts w:ascii="Georgia" w:cs="Georgia" w:eastAsia="Georgia" w:hAnsi="Georgia"/>
          <w:i w:val="1"/>
          <w:sz w:val="18"/>
          <w:szCs w:val="18"/>
          <w:rtl w:val="0"/>
        </w:rPr>
        <w:t xml:space="preserve"> </w:t>
      </w:r>
      <w:r w:rsidDel="00000000" w:rsidR="00000000" w:rsidRPr="00000000">
        <w:rPr>
          <w:rFonts w:ascii="Times New Roman" w:cs="Times New Roman" w:eastAsia="Times New Roman" w:hAnsi="Times New Roman"/>
          <w:b w:val="1"/>
          <w:sz w:val="18"/>
          <w:szCs w:val="18"/>
          <w:rtl w:val="0"/>
        </w:rPr>
        <w:t xml:space="preserve">  </w:t>
      </w:r>
    </w:p>
    <w:p w:rsidR="00000000" w:rsidDel="00000000" w:rsidP="00000000" w:rsidRDefault="00000000" w:rsidRPr="00000000" w14:paraId="00000040">
      <w:pPr>
        <w:spacing w:line="240" w:lineRule="auto"/>
        <w:jc w:val="both"/>
        <w:rPr>
          <w:rFonts w:ascii="Georgia" w:cs="Georgia" w:eastAsia="Georgia" w:hAnsi="Georgia"/>
          <w:b w:val="1"/>
          <w:sz w:val="18"/>
          <w:szCs w:val="18"/>
        </w:rPr>
      </w:pPr>
      <w:r w:rsidDel="00000000" w:rsidR="00000000" w:rsidRPr="00000000">
        <w:rPr>
          <w:rFonts w:ascii="Georgia" w:cs="Georgia" w:eastAsia="Georgia" w:hAnsi="Georgia"/>
          <w:b w:val="1"/>
          <w:sz w:val="18"/>
          <w:szCs w:val="18"/>
          <w:rtl w:val="0"/>
        </w:rPr>
        <w:t xml:space="preserve">Córdoba, 29 de noviembre de 2023</w:t>
      </w:r>
    </w:p>
    <w:p w:rsidR="00000000" w:rsidDel="00000000" w:rsidP="00000000" w:rsidRDefault="00000000" w:rsidRPr="00000000" w14:paraId="00000041">
      <w:pPr>
        <w:spacing w:line="240" w:lineRule="auto"/>
        <w:jc w:val="both"/>
        <w:rPr>
          <w:rFonts w:ascii="Georgia" w:cs="Georgia" w:eastAsia="Georgia" w:hAnsi="Georgia"/>
          <w:b w:val="1"/>
          <w:sz w:val="18"/>
          <w:szCs w:val="18"/>
        </w:rPr>
      </w:pPr>
      <w:r w:rsidDel="00000000" w:rsidR="00000000" w:rsidRPr="00000000">
        <w:rPr>
          <w:rtl w:val="0"/>
        </w:rPr>
      </w:r>
    </w:p>
    <w:p w:rsidR="00000000" w:rsidDel="00000000" w:rsidP="00000000" w:rsidRDefault="00000000" w:rsidRPr="00000000" w14:paraId="00000042">
      <w:pPr>
        <w:spacing w:line="240" w:lineRule="auto"/>
        <w:jc w:val="both"/>
        <w:rPr>
          <w:rFonts w:ascii="Georgia" w:cs="Georgia" w:eastAsia="Georgia" w:hAnsi="Georgia"/>
          <w:b w:val="1"/>
          <w:sz w:val="18"/>
          <w:szCs w:val="18"/>
        </w:rPr>
      </w:pP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habiendo más asuntos que tratar y siendo las 9:30  horas,  se da por finalizada  la reunión, previa  lectura y aprobación  de  la presente  acta que suscribirán los asistentes en prueba de conformidad una vez obtenida su transcripción en el Libro de Actas de Comisión Fiscalizadora.-</w:t>
      </w:r>
    </w:p>
    <w:p w:rsidR="00000000" w:rsidDel="00000000" w:rsidP="00000000" w:rsidRDefault="00000000" w:rsidRPr="00000000" w14:paraId="00000044">
      <w:pPr>
        <w:spacing w:line="240" w:lineRule="auto"/>
        <w:jc w:val="both"/>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6">
      <w:pPr>
        <w:spacing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8">
      <w:pPr>
        <w:spacing w:line="36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9">
      <w:pPr>
        <w:spacing w:line="36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A">
      <w:pPr>
        <w:spacing w:line="36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B">
      <w:pPr>
        <w:spacing w:line="36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C">
      <w:pPr>
        <w:spacing w:line="36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b w:val="1"/>
          <w:i w:val="1"/>
          <w:rtl w:val="0"/>
        </w:rPr>
        <w:t xml:space="preserve">               </w:t>
      </w:r>
      <w:r w:rsidDel="00000000" w:rsidR="00000000" w:rsidRPr="00000000">
        <w:rPr>
          <w:rtl w:val="0"/>
        </w:rPr>
      </w:r>
    </w:p>
    <w:p w:rsidR="00000000" w:rsidDel="00000000" w:rsidP="00000000" w:rsidRDefault="00000000" w:rsidRPr="00000000" w14:paraId="0000004D">
      <w:pPr>
        <w:spacing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