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7F1D6" w14:textId="77777777" w:rsidR="00772AC8" w:rsidRDefault="00772AC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3"/>
          <w:szCs w:val="3"/>
        </w:rPr>
      </w:pPr>
    </w:p>
    <w:p w14:paraId="3FB58731" w14:textId="77777777" w:rsidR="00772AC8" w:rsidRDefault="0058095E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123"/>
        <w:rPr>
          <w:rFonts w:ascii="Times New Roman" w:eastAsia="Times New Roman" w:hAnsi="Times New Roman" w:cs="Times New Roman"/>
          <w:color w:val="000000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color w:val="000000"/>
          <w:sz w:val="2"/>
          <w:szCs w:val="2"/>
        </w:rPr>
        <mc:AlternateContent>
          <mc:Choice Requires="wpg">
            <w:drawing>
              <wp:inline distT="0" distB="0" distL="0" distR="0" wp14:anchorId="4ACB00F5" wp14:editId="68F0860D">
                <wp:extent cx="6128385" cy="5080"/>
                <wp:effectExtent l="0" t="0" r="0" b="0"/>
                <wp:docPr id="20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8385" cy="5080"/>
                          <a:chOff x="2281800" y="3774975"/>
                          <a:chExt cx="6128400" cy="955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2281808" y="3777460"/>
                            <a:ext cx="6128375" cy="5080"/>
                            <a:chOff x="0" y="0"/>
                            <a:chExt cx="6128375" cy="508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0" y="0"/>
                              <a:ext cx="612837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71271D" w14:textId="77777777" w:rsidR="00772AC8" w:rsidRDefault="00772AC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orma libre: forma 3"/>
                          <wps:cNvSpPr/>
                          <wps:spPr>
                            <a:xfrm>
                              <a:off x="0" y="2286"/>
                              <a:ext cx="43281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328160" h="120000" extrusionOk="0">
                                  <a:moveTo>
                                    <a:pt x="0" y="0"/>
                                  </a:moveTo>
                                  <a:lnTo>
                                    <a:pt x="4328159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61616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Forma libre: forma 4"/>
                          <wps:cNvSpPr/>
                          <wps:spPr>
                            <a:xfrm>
                              <a:off x="4319778" y="0"/>
                              <a:ext cx="5080" cy="50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080" h="5080" extrusionOk="0">
                                  <a:moveTo>
                                    <a:pt x="457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572"/>
                                  </a:lnTo>
                                  <a:lnTo>
                                    <a:pt x="4571" y="457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616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Forma libre: forma 5"/>
                          <wps:cNvSpPr/>
                          <wps:spPr>
                            <a:xfrm>
                              <a:off x="4326635" y="2286"/>
                              <a:ext cx="180149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01495" h="120000" extrusionOk="0">
                                  <a:moveTo>
                                    <a:pt x="0" y="0"/>
                                  </a:moveTo>
                                  <a:lnTo>
                                    <a:pt x="1801494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61616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128385" cy="5080"/>
                <wp:effectExtent b="0" l="0" r="0" t="0"/>
                <wp:docPr id="2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8385" cy="50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32104495" w14:textId="77777777" w:rsidR="00772AC8" w:rsidRDefault="00772AC8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14:paraId="3523E38B" w14:textId="77777777" w:rsidR="00772AC8" w:rsidRDefault="00772AC8">
      <w:pPr>
        <w:pBdr>
          <w:top w:val="nil"/>
          <w:left w:val="nil"/>
          <w:bottom w:val="nil"/>
          <w:right w:val="nil"/>
          <w:between w:val="nil"/>
        </w:pBdr>
        <w:spacing w:before="37"/>
        <w:rPr>
          <w:rFonts w:ascii="Arial" w:eastAsia="Arial" w:hAnsi="Arial" w:cs="Arial"/>
          <w:b/>
          <w:color w:val="000000"/>
        </w:rPr>
      </w:pPr>
    </w:p>
    <w:p w14:paraId="3CDD160D" w14:textId="77777777" w:rsidR="00772AC8" w:rsidRDefault="0058095E">
      <w:pPr>
        <w:pStyle w:val="Ttulo1"/>
        <w:spacing w:line="360" w:lineRule="auto"/>
        <w:ind w:right="2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 xml:space="preserve">CERTIFICADO DE GARANTÍA </w:t>
      </w:r>
      <w:proofErr w:type="spellStart"/>
      <w:r>
        <w:rPr>
          <w:rFonts w:ascii="Roboto" w:eastAsia="Roboto" w:hAnsi="Roboto" w:cs="Roboto"/>
          <w:sz w:val="22"/>
          <w:szCs w:val="22"/>
        </w:rPr>
        <w:t>N°</w:t>
      </w:r>
      <w:proofErr w:type="spellEnd"/>
      <w:r>
        <w:rPr>
          <w:rFonts w:ascii="Roboto" w:eastAsia="Roboto" w:hAnsi="Roboto" w:cs="Roboto"/>
          <w:sz w:val="22"/>
          <w:szCs w:val="22"/>
        </w:rPr>
        <w:t xml:space="preserve"> __ </w:t>
      </w:r>
    </w:p>
    <w:p w14:paraId="08A3C04D" w14:textId="77777777" w:rsidR="00772AC8" w:rsidRDefault="0058095E">
      <w:pPr>
        <w:pBdr>
          <w:top w:val="nil"/>
          <w:left w:val="nil"/>
          <w:bottom w:val="nil"/>
          <w:right w:val="nil"/>
          <w:between w:val="nil"/>
        </w:pBdr>
        <w:tabs>
          <w:tab w:val="left" w:pos="3304"/>
          <w:tab w:val="left" w:pos="4060"/>
          <w:tab w:val="left" w:pos="5695"/>
          <w:tab w:val="left" w:pos="7822"/>
          <w:tab w:val="left" w:pos="8333"/>
          <w:tab w:val="left" w:pos="8463"/>
        </w:tabs>
        <w:spacing w:before="141" w:line="360" w:lineRule="auto"/>
        <w:ind w:left="141" w:right="129"/>
        <w:jc w:val="both"/>
        <w:rPr>
          <w:rFonts w:ascii="Roboto" w:eastAsia="Roboto" w:hAnsi="Roboto" w:cs="Roboto"/>
        </w:rPr>
      </w:pPr>
      <w:bookmarkStart w:id="0" w:name="_heading=h.9kayb1bbmyby" w:colFirst="0" w:colLast="0"/>
      <w:bookmarkEnd w:id="0"/>
      <w:r>
        <w:rPr>
          <w:rFonts w:ascii="Roboto" w:eastAsia="Roboto" w:hAnsi="Roboto" w:cs="Roboto"/>
          <w:color w:val="000000"/>
        </w:rPr>
        <w:t xml:space="preserve">En la Ciudad de Córdoba, a los 10 días del mes de junio de 2025, </w:t>
      </w:r>
      <w:r>
        <w:rPr>
          <w:rFonts w:ascii="Roboto" w:eastAsia="Roboto" w:hAnsi="Roboto" w:cs="Roboto"/>
          <w:b/>
          <w:color w:val="000000"/>
        </w:rPr>
        <w:t>AVALES DEL CENTRO S.G.R. - CUIT 30715434969,</w:t>
      </w:r>
      <w:r>
        <w:rPr>
          <w:rFonts w:ascii="Roboto" w:eastAsia="Roboto" w:hAnsi="Roboto" w:cs="Roboto"/>
          <w:color w:val="000000"/>
        </w:rPr>
        <w:t xml:space="preserve"> con domicilio en Av. La Voz del Interior 8821</w:t>
      </w:r>
      <w:r>
        <w:rPr>
          <w:rFonts w:ascii="Roboto" w:eastAsia="Roboto" w:hAnsi="Roboto" w:cs="Roboto"/>
        </w:rPr>
        <w:t xml:space="preserve"> -</w:t>
      </w:r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Miralejos</w:t>
      </w:r>
      <w:proofErr w:type="spellEnd"/>
      <w:r>
        <w:rPr>
          <w:rFonts w:ascii="Roboto" w:eastAsia="Roboto" w:hAnsi="Roboto" w:cs="Roboto"/>
          <w:color w:val="000000"/>
        </w:rPr>
        <w:t xml:space="preserve"> Office Center</w:t>
      </w:r>
      <w:r>
        <w:rPr>
          <w:rFonts w:ascii="Roboto" w:eastAsia="Roboto" w:hAnsi="Roboto" w:cs="Roboto"/>
        </w:rPr>
        <w:t xml:space="preserve"> -</w:t>
      </w:r>
      <w:r>
        <w:rPr>
          <w:rFonts w:ascii="Roboto" w:eastAsia="Roboto" w:hAnsi="Roboto" w:cs="Roboto"/>
          <w:color w:val="000000"/>
        </w:rPr>
        <w:t xml:space="preserve"> Torre Sur</w:t>
      </w:r>
      <w:r>
        <w:rPr>
          <w:rFonts w:ascii="Roboto" w:eastAsia="Roboto" w:hAnsi="Roboto" w:cs="Roboto"/>
        </w:rPr>
        <w:t xml:space="preserve"> - Piso 1° de la</w:t>
      </w:r>
      <w:r>
        <w:rPr>
          <w:rFonts w:ascii="Roboto" w:eastAsia="Roboto" w:hAnsi="Roboto" w:cs="Roboto"/>
          <w:color w:val="000000"/>
        </w:rPr>
        <w:t xml:space="preserve"> Ciudad de Córdoba, Provincia de Córdoba, representada en este acto por el Sr.  Ignacio Del Boca - DNI </w:t>
      </w:r>
      <w:proofErr w:type="spellStart"/>
      <w:r>
        <w:rPr>
          <w:rFonts w:ascii="Roboto" w:eastAsia="Roboto" w:hAnsi="Roboto" w:cs="Roboto"/>
          <w:color w:val="000000"/>
        </w:rPr>
        <w:t>N°</w:t>
      </w:r>
      <w:proofErr w:type="spellEnd"/>
      <w:r>
        <w:rPr>
          <w:rFonts w:ascii="Roboto" w:eastAsia="Roboto" w:hAnsi="Roboto" w:cs="Roboto"/>
          <w:color w:val="000000"/>
        </w:rPr>
        <w:t xml:space="preserve"> 31057135 en su carácter de Apoderado </w:t>
      </w:r>
      <w:r>
        <w:rPr>
          <w:rFonts w:ascii="Roboto" w:eastAsia="Roboto" w:hAnsi="Roboto" w:cs="Roboto"/>
        </w:rPr>
        <w:t>con facultades suficientes</w:t>
      </w:r>
      <w:r>
        <w:rPr>
          <w:rFonts w:ascii="Roboto" w:eastAsia="Roboto" w:hAnsi="Roboto" w:cs="Roboto"/>
          <w:color w:val="000000"/>
        </w:rPr>
        <w:t>, se constituye en fiador solidario liso, llano y principal pagador, en</w:t>
      </w:r>
      <w:r>
        <w:rPr>
          <w:rFonts w:ascii="Roboto" w:eastAsia="Roboto" w:hAnsi="Roboto" w:cs="Roboto"/>
          <w:color w:val="000000"/>
        </w:rPr>
        <w:t xml:space="preserve"> los términos del Libro Tercero, Título IV, Capítulo 23, Sección 1°, Art. 1574, siguientes </w:t>
      </w:r>
      <w:r>
        <w:rPr>
          <w:rFonts w:ascii="Roboto" w:eastAsia="Roboto" w:hAnsi="Roboto" w:cs="Roboto"/>
        </w:rPr>
        <w:t>y</w:t>
      </w:r>
      <w:r>
        <w:rPr>
          <w:rFonts w:ascii="Roboto" w:eastAsia="Roboto" w:hAnsi="Roboto" w:cs="Roboto"/>
          <w:color w:val="000000"/>
        </w:rPr>
        <w:t xml:space="preserve"> concordantes</w:t>
      </w:r>
      <w:r>
        <w:rPr>
          <w:rFonts w:ascii="Roboto" w:eastAsia="Roboto" w:hAnsi="Roboto" w:cs="Roboto"/>
        </w:rPr>
        <w:t xml:space="preserve"> d</w:t>
      </w:r>
      <w:r>
        <w:rPr>
          <w:rFonts w:ascii="Roboto" w:eastAsia="Roboto" w:hAnsi="Roboto" w:cs="Roboto"/>
          <w:color w:val="000000"/>
        </w:rPr>
        <w:t xml:space="preserve">el Código Civil y Comercial de la Nación, hasta la suma de </w:t>
      </w:r>
      <w:r>
        <w:rPr>
          <w:rFonts w:ascii="Roboto" w:eastAsia="Roboto" w:hAnsi="Roboto" w:cs="Roboto"/>
          <w:b/>
          <w:color w:val="000000"/>
        </w:rPr>
        <w:t>Dólares estadounidenses ciento cincuenta mil</w:t>
      </w:r>
      <w:r>
        <w:rPr>
          <w:rFonts w:ascii="Roboto" w:eastAsia="Roboto" w:hAnsi="Roboto" w:cs="Roboto"/>
          <w:b/>
        </w:rPr>
        <w:t xml:space="preserve"> (U$S 150.000)</w:t>
      </w:r>
      <w:r>
        <w:rPr>
          <w:rFonts w:ascii="Roboto" w:eastAsia="Roboto" w:hAnsi="Roboto" w:cs="Roboto"/>
          <w:color w:val="000000"/>
        </w:rPr>
        <w:t xml:space="preserve"> (en adelante el </w:t>
      </w:r>
      <w:r>
        <w:rPr>
          <w:rFonts w:ascii="Roboto" w:eastAsia="Roboto" w:hAnsi="Roboto" w:cs="Roboto"/>
          <w:b/>
          <w:color w:val="000000"/>
        </w:rPr>
        <w:t>“Monto Máximo”</w:t>
      </w:r>
      <w:r>
        <w:rPr>
          <w:rFonts w:ascii="Roboto" w:eastAsia="Roboto" w:hAnsi="Roboto" w:cs="Roboto"/>
          <w:color w:val="000000"/>
        </w:rPr>
        <w:t>)</w:t>
      </w:r>
      <w:r>
        <w:rPr>
          <w:rFonts w:ascii="Roboto" w:eastAsia="Roboto" w:hAnsi="Roboto" w:cs="Roboto"/>
          <w:color w:val="000000"/>
        </w:rPr>
        <w:t xml:space="preserve"> en concepto de capital y a favor de todo tenedor de la siguiente operación: </w:t>
      </w:r>
      <w:r>
        <w:rPr>
          <w:rFonts w:ascii="Roboto" w:eastAsia="Roboto" w:hAnsi="Roboto" w:cs="Roboto"/>
        </w:rPr>
        <w:t>o</w:t>
      </w:r>
      <w:r>
        <w:rPr>
          <w:rFonts w:ascii="Roboto" w:eastAsia="Roboto" w:hAnsi="Roboto" w:cs="Roboto"/>
          <w:color w:val="000000"/>
        </w:rPr>
        <w:t>bligaci</w:t>
      </w:r>
      <w:r>
        <w:rPr>
          <w:rFonts w:ascii="Roboto" w:eastAsia="Roboto" w:hAnsi="Roboto" w:cs="Roboto"/>
        </w:rPr>
        <w:t>ones</w:t>
      </w:r>
      <w:r>
        <w:rPr>
          <w:rFonts w:ascii="Roboto" w:eastAsia="Roboto" w:hAnsi="Roboto" w:cs="Roboto"/>
          <w:color w:val="000000"/>
        </w:rPr>
        <w:t xml:space="preserve"> </w:t>
      </w:r>
      <w:r>
        <w:rPr>
          <w:rFonts w:ascii="Roboto" w:eastAsia="Roboto" w:hAnsi="Roboto" w:cs="Roboto"/>
        </w:rPr>
        <w:t>n</w:t>
      </w:r>
      <w:r>
        <w:rPr>
          <w:rFonts w:ascii="Roboto" w:eastAsia="Roboto" w:hAnsi="Roboto" w:cs="Roboto"/>
          <w:color w:val="000000"/>
        </w:rPr>
        <w:t xml:space="preserve">egociables emitidas por la firma </w:t>
      </w:r>
      <w:r>
        <w:rPr>
          <w:rFonts w:ascii="Roboto" w:eastAsia="Roboto" w:hAnsi="Roboto" w:cs="Roboto"/>
          <w:b/>
          <w:color w:val="000000"/>
        </w:rPr>
        <w:t xml:space="preserve">ITALAR S.R.L. - </w:t>
      </w:r>
      <w:r>
        <w:rPr>
          <w:rFonts w:ascii="Roboto" w:eastAsia="Roboto" w:hAnsi="Roboto" w:cs="Roboto"/>
          <w:b/>
        </w:rPr>
        <w:t xml:space="preserve">CUIT 33708929579 </w:t>
      </w:r>
      <w:r>
        <w:rPr>
          <w:rFonts w:ascii="Roboto" w:eastAsia="Roboto" w:hAnsi="Roboto" w:cs="Roboto"/>
          <w:color w:val="000000"/>
        </w:rPr>
        <w:t xml:space="preserve"> (el “deudor”) bajo el Régimen PYME CNV GARANTIZADA según el Capítulo VI del Título II “Emisoras” d</w:t>
      </w:r>
      <w:r>
        <w:rPr>
          <w:rFonts w:ascii="Roboto" w:eastAsia="Roboto" w:hAnsi="Roboto" w:cs="Roboto"/>
          <w:color w:val="000000"/>
        </w:rPr>
        <w:t xml:space="preserve">e las NORMAS de la Comisión Nacional de Valores autorizada según Resolución </w:t>
      </w:r>
      <w:r>
        <w:rPr>
          <w:rFonts w:ascii="Roboto" w:eastAsia="Roboto" w:hAnsi="Roboto" w:cs="Roboto"/>
          <w:b/>
          <w:color w:val="000000"/>
        </w:rPr>
        <w:t xml:space="preserve">CNV </w:t>
      </w:r>
      <w:proofErr w:type="spellStart"/>
      <w:r>
        <w:rPr>
          <w:rFonts w:ascii="Roboto" w:eastAsia="Roboto" w:hAnsi="Roboto" w:cs="Roboto"/>
          <w:b/>
          <w:color w:val="000000"/>
        </w:rPr>
        <w:t>N°</w:t>
      </w:r>
      <w:proofErr w:type="spellEnd"/>
      <w:r>
        <w:rPr>
          <w:rFonts w:ascii="Roboto" w:eastAsia="Roboto" w:hAnsi="Roboto" w:cs="Roboto"/>
          <w:b/>
          <w:color w:val="000000"/>
        </w:rPr>
        <w:t xml:space="preserve"> </w:t>
      </w:r>
      <w:r>
        <w:rPr>
          <w:rFonts w:ascii="Roboto" w:eastAsia="Roboto" w:hAnsi="Roboto" w:cs="Roboto"/>
          <w:b/>
        </w:rPr>
        <w:t>___</w:t>
      </w:r>
      <w:r>
        <w:rPr>
          <w:rFonts w:ascii="Roboto" w:eastAsia="Roboto" w:hAnsi="Roboto" w:cs="Roboto"/>
          <w:b/>
          <w:color w:val="000000"/>
        </w:rPr>
        <w:t xml:space="preserve"> de fecha </w:t>
      </w:r>
      <w:r>
        <w:rPr>
          <w:rFonts w:ascii="Roboto" w:eastAsia="Roboto" w:hAnsi="Roboto" w:cs="Roboto"/>
          <w:b/>
        </w:rPr>
        <w:t xml:space="preserve">___; </w:t>
      </w:r>
      <w:r>
        <w:rPr>
          <w:rFonts w:ascii="Roboto" w:eastAsia="Roboto" w:hAnsi="Roboto" w:cs="Roboto"/>
          <w:color w:val="000000"/>
        </w:rPr>
        <w:t xml:space="preserve"> denominadas como </w:t>
      </w:r>
      <w:r>
        <w:rPr>
          <w:rFonts w:ascii="Roboto" w:eastAsia="Roboto" w:hAnsi="Roboto" w:cs="Roboto"/>
          <w:b/>
          <w:color w:val="000000"/>
        </w:rPr>
        <w:t xml:space="preserve">Obligaciones Negociables </w:t>
      </w:r>
      <w:r>
        <w:rPr>
          <w:rFonts w:ascii="Roboto" w:eastAsia="Roboto" w:hAnsi="Roboto" w:cs="Roboto"/>
          <w:b/>
        </w:rPr>
        <w:t>RÉGIMEN</w:t>
      </w:r>
      <w:r>
        <w:rPr>
          <w:rFonts w:ascii="Roboto" w:eastAsia="Roboto" w:hAnsi="Roboto" w:cs="Roboto"/>
          <w:b/>
          <w:color w:val="000000"/>
        </w:rPr>
        <w:t xml:space="preserve"> PYME CNV GARANTIZADA ITALAR S.R.L SERIE II</w:t>
      </w:r>
      <w:r>
        <w:rPr>
          <w:rFonts w:ascii="Roboto" w:eastAsia="Roboto" w:hAnsi="Roboto" w:cs="Roboto"/>
          <w:color w:val="000000"/>
        </w:rPr>
        <w:t xml:space="preserve"> (las </w:t>
      </w:r>
      <w:r>
        <w:rPr>
          <w:rFonts w:ascii="Roboto" w:eastAsia="Roboto" w:hAnsi="Roboto" w:cs="Roboto"/>
          <w:b/>
          <w:color w:val="000000"/>
        </w:rPr>
        <w:t xml:space="preserve">“Obligaciones </w:t>
      </w:r>
      <w:r>
        <w:rPr>
          <w:rFonts w:ascii="Roboto" w:eastAsia="Roboto" w:hAnsi="Roboto" w:cs="Roboto"/>
          <w:b/>
        </w:rPr>
        <w:t>Negociables</w:t>
      </w:r>
      <w:r>
        <w:rPr>
          <w:rFonts w:ascii="Roboto" w:eastAsia="Roboto" w:hAnsi="Roboto" w:cs="Roboto"/>
          <w:b/>
          <w:color w:val="000000"/>
        </w:rPr>
        <w:t>”</w:t>
      </w:r>
      <w:r>
        <w:rPr>
          <w:rFonts w:ascii="Roboto" w:eastAsia="Roboto" w:hAnsi="Roboto" w:cs="Roboto"/>
          <w:color w:val="000000"/>
        </w:rPr>
        <w:t xml:space="preserve">) por hasta la suma de </w:t>
      </w:r>
      <w:r>
        <w:rPr>
          <w:rFonts w:ascii="Roboto" w:eastAsia="Roboto" w:hAnsi="Roboto" w:cs="Roboto"/>
        </w:rPr>
        <w:t>Dólares</w:t>
      </w:r>
      <w:r>
        <w:rPr>
          <w:rFonts w:ascii="Roboto" w:eastAsia="Roboto" w:hAnsi="Roboto" w:cs="Roboto"/>
        </w:rPr>
        <w:t xml:space="preserve"> Esta</w:t>
      </w:r>
      <w:r>
        <w:rPr>
          <w:rFonts w:ascii="Roboto" w:eastAsia="Roboto" w:hAnsi="Roboto" w:cs="Roboto"/>
          <w:color w:val="000000"/>
        </w:rPr>
        <w:t xml:space="preserve">dounidenses </w:t>
      </w:r>
      <w:r>
        <w:rPr>
          <w:rFonts w:ascii="Roboto" w:eastAsia="Roboto" w:hAnsi="Roboto" w:cs="Roboto"/>
        </w:rPr>
        <w:t>cuatrocientos</w:t>
      </w:r>
      <w:r>
        <w:rPr>
          <w:rFonts w:ascii="Roboto" w:eastAsia="Roboto" w:hAnsi="Roboto" w:cs="Roboto"/>
          <w:color w:val="000000"/>
        </w:rPr>
        <w:t xml:space="preserve"> cincuenta mil (U$S</w:t>
      </w:r>
      <w:r>
        <w:rPr>
          <w:rFonts w:ascii="Roboto" w:eastAsia="Roboto" w:hAnsi="Roboto" w:cs="Roboto"/>
        </w:rPr>
        <w:t>4</w:t>
      </w:r>
      <w:r>
        <w:rPr>
          <w:rFonts w:ascii="Roboto" w:eastAsia="Roboto" w:hAnsi="Roboto" w:cs="Roboto"/>
          <w:color w:val="000000"/>
        </w:rPr>
        <w:t xml:space="preserve">50.000) de capital, </w:t>
      </w:r>
      <w:r>
        <w:rPr>
          <w:rFonts w:ascii="Roboto" w:eastAsia="Roboto" w:hAnsi="Roboto" w:cs="Roboto"/>
        </w:rPr>
        <w:t>con fecha de vencimiento</w:t>
      </w:r>
      <w:r>
        <w:rPr>
          <w:rFonts w:ascii="Roboto" w:eastAsia="Roboto" w:hAnsi="Roboto" w:cs="Roboto"/>
          <w:color w:val="000000"/>
        </w:rPr>
        <w:t xml:space="preserve"> a los veinticuatro meses de la Fecha de Emisión y pagadero en tres (3) cuotas de la siguiente manera: </w:t>
      </w:r>
      <w:r>
        <w:rPr>
          <w:rFonts w:ascii="Roboto" w:eastAsia="Roboto" w:hAnsi="Roboto" w:cs="Roboto"/>
        </w:rPr>
        <w:t>amortizará</w:t>
      </w:r>
      <w:r>
        <w:rPr>
          <w:rFonts w:ascii="Roboto" w:eastAsia="Roboto" w:hAnsi="Roboto" w:cs="Roboto"/>
          <w:color w:val="000000"/>
        </w:rPr>
        <w:t xml:space="preserve"> e</w:t>
      </w:r>
      <w:r>
        <w:rPr>
          <w:rFonts w:ascii="Roboto" w:eastAsia="Roboto" w:hAnsi="Roboto" w:cs="Roboto"/>
        </w:rPr>
        <w:t xml:space="preserve">l </w:t>
      </w:r>
      <w:r>
        <w:rPr>
          <w:rFonts w:ascii="Roboto" w:eastAsia="Roboto" w:hAnsi="Roboto" w:cs="Roboto"/>
          <w:color w:val="000000"/>
        </w:rPr>
        <w:t>treinta por ciento (30%) del monto de la emis</w:t>
      </w:r>
      <w:r>
        <w:rPr>
          <w:rFonts w:ascii="Roboto" w:eastAsia="Roboto" w:hAnsi="Roboto" w:cs="Roboto"/>
          <w:color w:val="000000"/>
        </w:rPr>
        <w:t>ión a los doce (12) meses, el treinta por ciento (30%) a los dieciocho (18) meses y el restante cuarenta por ciento (40%) a los veinticuatro (24) meses. El capital no amortizado de las Obligaciones Negociables devengará intereses a la tasa fija nominal anu</w:t>
      </w:r>
      <w:r>
        <w:rPr>
          <w:rFonts w:ascii="Roboto" w:eastAsia="Roboto" w:hAnsi="Roboto" w:cs="Roboto"/>
          <w:color w:val="000000"/>
        </w:rPr>
        <w:t xml:space="preserve">al truncada a dos decimales, que surja del proceso </w:t>
      </w:r>
      <w:r>
        <w:rPr>
          <w:rFonts w:ascii="Roboto" w:eastAsia="Roboto" w:hAnsi="Roboto" w:cs="Roboto"/>
        </w:rPr>
        <w:t xml:space="preserve">para </w:t>
      </w:r>
      <w:proofErr w:type="gramStart"/>
      <w:r>
        <w:rPr>
          <w:rFonts w:ascii="Roboto" w:eastAsia="Roboto" w:hAnsi="Roboto" w:cs="Roboto"/>
        </w:rPr>
        <w:t xml:space="preserve">su </w:t>
      </w:r>
      <w:r>
        <w:rPr>
          <w:rFonts w:ascii="Roboto" w:eastAsia="Roboto" w:hAnsi="Roboto" w:cs="Roboto"/>
          <w:color w:val="000000"/>
        </w:rPr>
        <w:t xml:space="preserve"> determinación</w:t>
      </w:r>
      <w:proofErr w:type="gramEnd"/>
      <w:r>
        <w:rPr>
          <w:rFonts w:ascii="Roboto" w:eastAsia="Roboto" w:hAnsi="Roboto" w:cs="Roboto"/>
          <w:color w:val="000000"/>
        </w:rPr>
        <w:t xml:space="preserve"> </w:t>
      </w:r>
      <w:r>
        <w:rPr>
          <w:rFonts w:ascii="Roboto" w:eastAsia="Roboto" w:hAnsi="Roboto" w:cs="Roboto"/>
        </w:rPr>
        <w:t xml:space="preserve">de la forma que se detalla en </w:t>
      </w:r>
      <w:proofErr w:type="spellStart"/>
      <w:r>
        <w:rPr>
          <w:rFonts w:ascii="Roboto" w:eastAsia="Roboto" w:hAnsi="Roboto" w:cs="Roboto"/>
        </w:rPr>
        <w:t>la</w:t>
      </w:r>
      <w:r>
        <w:rPr>
          <w:rFonts w:ascii="Roboto" w:eastAsia="Roboto" w:hAnsi="Roboto" w:cs="Roboto"/>
          <w:color w:val="000000"/>
        </w:rPr>
        <w:t>“FORMA</w:t>
      </w:r>
      <w:proofErr w:type="spellEnd"/>
      <w:r>
        <w:rPr>
          <w:rFonts w:ascii="Roboto" w:eastAsia="Roboto" w:hAnsi="Roboto" w:cs="Roboto"/>
          <w:color w:val="000000"/>
        </w:rPr>
        <w:t xml:space="preserve"> DE COLOCACIÓN Y PLAZO” del </w:t>
      </w:r>
      <w:r>
        <w:rPr>
          <w:rFonts w:ascii="Roboto" w:eastAsia="Roboto" w:hAnsi="Roboto" w:cs="Roboto"/>
        </w:rPr>
        <w:t>Prospecto de las Obligaciones Negociables,</w:t>
      </w:r>
      <w:r>
        <w:rPr>
          <w:rFonts w:ascii="Roboto" w:eastAsia="Roboto" w:hAnsi="Roboto" w:cs="Roboto"/>
          <w:color w:val="000000"/>
        </w:rPr>
        <w:t xml:space="preserve"> y será oportu</w:t>
      </w:r>
      <w:r>
        <w:rPr>
          <w:rFonts w:ascii="Roboto" w:eastAsia="Roboto" w:hAnsi="Roboto" w:cs="Roboto"/>
        </w:rPr>
        <w:t xml:space="preserve">namente </w:t>
      </w:r>
      <w:r>
        <w:rPr>
          <w:rFonts w:ascii="Roboto" w:eastAsia="Roboto" w:hAnsi="Roboto" w:cs="Roboto"/>
          <w:color w:val="000000"/>
        </w:rPr>
        <w:t xml:space="preserve">informada </w:t>
      </w:r>
      <w:r>
        <w:rPr>
          <w:rFonts w:ascii="Roboto" w:eastAsia="Roboto" w:hAnsi="Roboto" w:cs="Roboto"/>
        </w:rPr>
        <w:t>en e</w:t>
      </w:r>
      <w:r>
        <w:rPr>
          <w:rFonts w:ascii="Roboto" w:eastAsia="Roboto" w:hAnsi="Roboto" w:cs="Roboto"/>
          <w:color w:val="000000"/>
        </w:rPr>
        <w:t xml:space="preserve">l Aviso de Resultados (el </w:t>
      </w:r>
      <w:r>
        <w:rPr>
          <w:rFonts w:ascii="Roboto" w:eastAsia="Roboto" w:hAnsi="Roboto" w:cs="Roboto"/>
        </w:rPr>
        <w:t>“Aviso de Re</w:t>
      </w:r>
      <w:r>
        <w:rPr>
          <w:rFonts w:ascii="Roboto" w:eastAsia="Roboto" w:hAnsi="Roboto" w:cs="Roboto"/>
        </w:rPr>
        <w:t>sultados”)</w:t>
      </w:r>
      <w:r>
        <w:rPr>
          <w:rFonts w:ascii="Roboto" w:eastAsia="Roboto" w:hAnsi="Roboto" w:cs="Roboto"/>
          <w:color w:val="000000"/>
        </w:rPr>
        <w:t xml:space="preserve">. Las fechas de pago de los intereses serán informadas en el </w:t>
      </w:r>
      <w:r>
        <w:rPr>
          <w:rFonts w:ascii="Roboto" w:eastAsia="Roboto" w:hAnsi="Roboto" w:cs="Roboto"/>
        </w:rPr>
        <w:t>Aviso de Resultado</w:t>
      </w:r>
      <w:r>
        <w:rPr>
          <w:rFonts w:ascii="Roboto" w:eastAsia="Roboto" w:hAnsi="Roboto" w:cs="Roboto"/>
          <w:color w:val="000000"/>
        </w:rPr>
        <w:t>. Los pagos de los intereses serán semestrales (período de interés) y la primera fecha de pago de intereses vencerá a los seis (</w:t>
      </w:r>
      <w:r>
        <w:rPr>
          <w:rFonts w:ascii="Roboto" w:eastAsia="Roboto" w:hAnsi="Roboto" w:cs="Roboto"/>
        </w:rPr>
        <w:t>6</w:t>
      </w:r>
      <w:r>
        <w:rPr>
          <w:rFonts w:ascii="Roboto" w:eastAsia="Roboto" w:hAnsi="Roboto" w:cs="Roboto"/>
          <w:color w:val="000000"/>
        </w:rPr>
        <w:t xml:space="preserve">) meses de la </w:t>
      </w:r>
      <w:r>
        <w:rPr>
          <w:rFonts w:ascii="Roboto" w:eastAsia="Roboto" w:hAnsi="Roboto" w:cs="Roboto"/>
        </w:rPr>
        <w:t>F</w:t>
      </w:r>
      <w:r>
        <w:rPr>
          <w:rFonts w:ascii="Roboto" w:eastAsia="Roboto" w:hAnsi="Roboto" w:cs="Roboto"/>
          <w:color w:val="000000"/>
        </w:rPr>
        <w:t xml:space="preserve">echa de </w:t>
      </w:r>
      <w:r>
        <w:rPr>
          <w:rFonts w:ascii="Roboto" w:eastAsia="Roboto" w:hAnsi="Roboto" w:cs="Roboto"/>
        </w:rPr>
        <w:t>E</w:t>
      </w:r>
      <w:r>
        <w:rPr>
          <w:rFonts w:ascii="Roboto" w:eastAsia="Roboto" w:hAnsi="Roboto" w:cs="Roboto"/>
          <w:color w:val="000000"/>
        </w:rPr>
        <w:t xml:space="preserve">misión. Para el cálculo de los intereses a pagar se tomarán los días efectivos de cada período de interés y se utilizará el divisor 365 (las </w:t>
      </w:r>
      <w:r>
        <w:rPr>
          <w:rFonts w:ascii="Roboto" w:eastAsia="Roboto" w:hAnsi="Roboto" w:cs="Roboto"/>
          <w:b/>
        </w:rPr>
        <w:t>“Obligaciones Garantizadas”</w:t>
      </w:r>
      <w:r>
        <w:rPr>
          <w:rFonts w:ascii="Roboto" w:eastAsia="Roboto" w:hAnsi="Roboto" w:cs="Roboto"/>
        </w:rPr>
        <w:t>)</w:t>
      </w:r>
      <w:r>
        <w:rPr>
          <w:rFonts w:ascii="Roboto" w:eastAsia="Roboto" w:hAnsi="Roboto" w:cs="Roboto"/>
          <w:color w:val="000000"/>
        </w:rPr>
        <w:t xml:space="preserve">. 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6E5392C3" wp14:editId="17322E37">
                <wp:simplePos x="0" y="0"/>
                <wp:positionH relativeFrom="column">
                  <wp:posOffset>1206500</wp:posOffset>
                </wp:positionH>
                <wp:positionV relativeFrom="paragraph">
                  <wp:posOffset>457200</wp:posOffset>
                </wp:positionV>
                <wp:extent cx="10795" cy="12700"/>
                <wp:effectExtent l="0" t="0" r="0" b="0"/>
                <wp:wrapNone/>
                <wp:docPr id="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0600" y="3774603"/>
                          <a:ext cx="508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10795" extrusionOk="0">
                              <a:moveTo>
                                <a:pt x="50292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50292" y="10668"/>
                              </a:lnTo>
                              <a:lnTo>
                                <a:pt x="50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1206500</wp:posOffset>
                </wp:positionH>
                <wp:positionV relativeFrom="paragraph">
                  <wp:posOffset>457200</wp:posOffset>
                </wp:positionV>
                <wp:extent cx="10795" cy="12700"/>
                <wp:effectExtent b="0" l="0" r="0" t="0"/>
                <wp:wrapNone/>
                <wp:docPr id="2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D14F9B5" w14:textId="77777777" w:rsidR="00772AC8" w:rsidRPr="0058095E" w:rsidRDefault="0058095E">
      <w:pPr>
        <w:pBdr>
          <w:top w:val="nil"/>
          <w:left w:val="nil"/>
          <w:bottom w:val="nil"/>
          <w:right w:val="nil"/>
          <w:between w:val="nil"/>
        </w:pBdr>
        <w:tabs>
          <w:tab w:val="left" w:pos="3304"/>
          <w:tab w:val="left" w:pos="4060"/>
          <w:tab w:val="left" w:pos="5695"/>
          <w:tab w:val="left" w:pos="7822"/>
          <w:tab w:val="left" w:pos="8333"/>
          <w:tab w:val="left" w:pos="8463"/>
        </w:tabs>
        <w:spacing w:before="141" w:line="360" w:lineRule="auto"/>
        <w:ind w:left="141" w:right="129"/>
        <w:jc w:val="both"/>
        <w:rPr>
          <w:rFonts w:ascii="Roboto" w:eastAsia="Roboto" w:hAnsi="Roboto" w:cs="Roboto"/>
          <w:color w:val="000000"/>
        </w:rPr>
      </w:pPr>
      <w:bookmarkStart w:id="1" w:name="_heading=h.d7z8nvi4stzz" w:colFirst="0" w:colLast="0"/>
      <w:bookmarkEnd w:id="1"/>
      <w:r>
        <w:rPr>
          <w:rFonts w:ascii="Roboto" w:eastAsia="Roboto" w:hAnsi="Roboto" w:cs="Roboto"/>
          <w:color w:val="000000"/>
        </w:rPr>
        <w:t>La presente garantía comprende los intereses compensatorios pactados, así como todo</w:t>
      </w:r>
      <w:r>
        <w:rPr>
          <w:rFonts w:ascii="Roboto" w:eastAsia="Roboto" w:hAnsi="Roboto" w:cs="Roboto"/>
          <w:color w:val="000000"/>
        </w:rPr>
        <w:t xml:space="preserve"> otro accesorio de las Obligaciones Garantizadas y los gastos que razonablemente demande su cobro, incluidas las costas judiciales cuyos montos se adicionarán al Monto Máximo. Asimismo, la presente garantía se emite con renuncia a los beneficios de excusió</w:t>
      </w:r>
      <w:r>
        <w:rPr>
          <w:rFonts w:ascii="Roboto" w:eastAsia="Roboto" w:hAnsi="Roboto" w:cs="Roboto"/>
          <w:color w:val="000000"/>
        </w:rPr>
        <w:t xml:space="preserve">n y de división, en este último caso sólo respecto del deudor y no así respecto de otros </w:t>
      </w:r>
      <w:proofErr w:type="spellStart"/>
      <w:r>
        <w:rPr>
          <w:rFonts w:ascii="Roboto" w:eastAsia="Roboto" w:hAnsi="Roboto" w:cs="Roboto"/>
          <w:color w:val="000000"/>
        </w:rPr>
        <w:t>co-fiadores</w:t>
      </w:r>
      <w:proofErr w:type="spellEnd"/>
      <w:r>
        <w:rPr>
          <w:rFonts w:ascii="Roboto" w:eastAsia="Roboto" w:hAnsi="Roboto" w:cs="Roboto"/>
          <w:color w:val="000000"/>
        </w:rPr>
        <w:t>, de existir, como así también de la posibilidad de subrogarse en los derechos del tenedor contra el deudor hasta tanto el crédito del tenedor de las Obliga</w:t>
      </w:r>
      <w:r>
        <w:rPr>
          <w:rFonts w:ascii="Roboto" w:eastAsia="Roboto" w:hAnsi="Roboto" w:cs="Roboto"/>
          <w:color w:val="000000"/>
        </w:rPr>
        <w:t>ciones Garantizadas haya sido totalmente satisfecho. Las prórrogas, renovaciones, modificaciones o novaciones que pudieran otorgarse con relación a las obligaciones contraídas como consecuencia de las Obligaciones Garantizadas deberán contar con el consent</w:t>
      </w:r>
      <w:r>
        <w:rPr>
          <w:rFonts w:ascii="Roboto" w:eastAsia="Roboto" w:hAnsi="Roboto" w:cs="Roboto"/>
          <w:color w:val="000000"/>
        </w:rPr>
        <w:t xml:space="preserve">imiento expreso </w:t>
      </w:r>
      <w:r>
        <w:rPr>
          <w:rFonts w:ascii="Roboto" w:eastAsia="Roboto" w:hAnsi="Roboto" w:cs="Roboto"/>
          <w:b/>
          <w:color w:val="000000"/>
        </w:rPr>
        <w:t>y por escrito de AVALES DEL CENTRO S.G.R.</w:t>
      </w:r>
      <w:r>
        <w:rPr>
          <w:rFonts w:ascii="Roboto" w:eastAsia="Roboto" w:hAnsi="Roboto" w:cs="Roboto"/>
          <w:color w:val="000000"/>
        </w:rPr>
        <w:t xml:space="preserve"> Consiguientemente </w:t>
      </w:r>
      <w:r>
        <w:rPr>
          <w:rFonts w:ascii="Roboto" w:eastAsia="Roboto" w:hAnsi="Roboto" w:cs="Roboto"/>
          <w:b/>
          <w:color w:val="000000"/>
        </w:rPr>
        <w:t>AVALES DEL CENTRO S.G.R.</w:t>
      </w:r>
      <w:r>
        <w:rPr>
          <w:rFonts w:ascii="Roboto" w:eastAsia="Roboto" w:hAnsi="Roboto" w:cs="Roboto"/>
          <w:b/>
        </w:rPr>
        <w:t xml:space="preserve"> </w:t>
      </w:r>
      <w:r>
        <w:rPr>
          <w:rFonts w:ascii="Roboto" w:eastAsia="Roboto" w:hAnsi="Roboto" w:cs="Roboto"/>
          <w:color w:val="000000"/>
        </w:rPr>
        <w:t xml:space="preserve">se obliga, ante el primer requerimiento del tenedor efectuado al domicilio </w:t>
      </w:r>
      <w:r>
        <w:rPr>
          <w:rFonts w:ascii="Roboto" w:eastAsia="Roboto" w:hAnsi="Roboto" w:cs="Roboto"/>
          <w:color w:val="000000"/>
        </w:rPr>
        <w:lastRenderedPageBreak/>
        <w:t>indicado precedentemente mediante notificación fehaciente, a abonar dentro de lo</w:t>
      </w:r>
      <w:r>
        <w:rPr>
          <w:rFonts w:ascii="Roboto" w:eastAsia="Roboto" w:hAnsi="Roboto" w:cs="Roboto"/>
          <w:color w:val="000000"/>
        </w:rPr>
        <w:t xml:space="preserve">s CINCO (5) días </w:t>
      </w:r>
      <w:r w:rsidRPr="0058095E">
        <w:rPr>
          <w:rFonts w:ascii="Roboto" w:eastAsia="Roboto" w:hAnsi="Roboto" w:cs="Roboto"/>
          <w:color w:val="000000"/>
        </w:rPr>
        <w:t xml:space="preserve">hábiles cualquier suma adeudada bajo las Obligaciones Garantizadas hasta su efectiva cancelación. </w:t>
      </w:r>
    </w:p>
    <w:p w14:paraId="78BC3CEA" w14:textId="77777777" w:rsidR="00772AC8" w:rsidRPr="0058095E" w:rsidRDefault="0058095E">
      <w:pPr>
        <w:pBdr>
          <w:top w:val="nil"/>
          <w:left w:val="nil"/>
          <w:bottom w:val="nil"/>
          <w:right w:val="nil"/>
          <w:between w:val="nil"/>
        </w:pBdr>
        <w:tabs>
          <w:tab w:val="left" w:pos="3304"/>
          <w:tab w:val="left" w:pos="4060"/>
          <w:tab w:val="left" w:pos="5695"/>
          <w:tab w:val="left" w:pos="7822"/>
          <w:tab w:val="left" w:pos="8333"/>
          <w:tab w:val="left" w:pos="8463"/>
        </w:tabs>
        <w:spacing w:before="141" w:line="360" w:lineRule="auto"/>
        <w:ind w:left="141" w:right="129"/>
        <w:jc w:val="both"/>
        <w:rPr>
          <w:rFonts w:ascii="Roboto" w:eastAsia="Roboto" w:hAnsi="Roboto" w:cs="Roboto"/>
        </w:rPr>
      </w:pPr>
      <w:bookmarkStart w:id="2" w:name="_heading=h.d7nzgkdgqpyl" w:colFirst="0" w:colLast="0"/>
      <w:bookmarkEnd w:id="2"/>
      <w:r w:rsidRPr="0058095E">
        <w:rPr>
          <w:rFonts w:ascii="Roboto" w:eastAsia="Roboto" w:hAnsi="Roboto" w:cs="Roboto"/>
        </w:rPr>
        <w:t>En atención a que las Obligaciones Garantizadas se encuentran nominadas en Dólares Estadounidenses -al igual que sus servicios de renta y am</w:t>
      </w:r>
      <w:r w:rsidRPr="0058095E">
        <w:rPr>
          <w:rFonts w:ascii="Roboto" w:eastAsia="Roboto" w:hAnsi="Roboto" w:cs="Roboto"/>
        </w:rPr>
        <w:t xml:space="preserve">ortización- </w:t>
      </w:r>
      <w:r w:rsidRPr="0058095E">
        <w:rPr>
          <w:rFonts w:ascii="Roboto" w:eastAsia="Roboto" w:hAnsi="Roboto" w:cs="Roboto"/>
          <w:b/>
        </w:rPr>
        <w:t xml:space="preserve">AVALES DEL CENTRO S.G.R. </w:t>
      </w:r>
      <w:r w:rsidRPr="0058095E">
        <w:rPr>
          <w:rFonts w:ascii="Roboto" w:eastAsia="Roboto" w:hAnsi="Roboto" w:cs="Roboto"/>
        </w:rPr>
        <w:t xml:space="preserve">renuncia expresamente a las facultades establecidas en el Artículo 765 del Código Civil y Comercial de la Nación y manifiesta que la obligación de pago en dólares estadounidenses asumida por </w:t>
      </w:r>
      <w:r w:rsidRPr="0058095E">
        <w:rPr>
          <w:rFonts w:ascii="Roboto" w:eastAsia="Roboto" w:hAnsi="Roboto" w:cs="Roboto"/>
          <w:b/>
        </w:rPr>
        <w:t xml:space="preserve">AVALES DEL CENTRO S.G.R. </w:t>
      </w:r>
      <w:r w:rsidRPr="0058095E">
        <w:rPr>
          <w:rFonts w:ascii="Roboto" w:eastAsia="Roboto" w:hAnsi="Roboto" w:cs="Roboto"/>
        </w:rPr>
        <w:t>con</w:t>
      </w:r>
      <w:r w:rsidRPr="0058095E">
        <w:rPr>
          <w:rFonts w:ascii="Roboto" w:eastAsia="Roboto" w:hAnsi="Roboto" w:cs="Roboto"/>
        </w:rPr>
        <w:t xml:space="preserve"> relación al pago de capital e intereses de las Obligaciones Garantizadas deberá ser considerada como una “obligación de dar dinero” y no podrá ni deberá ser considerada como “de dar cantidades de cosas” según se menciona en dicho artículo.</w:t>
      </w:r>
    </w:p>
    <w:p w14:paraId="6879C4A2" w14:textId="77777777" w:rsidR="00772AC8" w:rsidRPr="0058095E" w:rsidRDefault="0058095E">
      <w:pPr>
        <w:pBdr>
          <w:top w:val="nil"/>
          <w:left w:val="nil"/>
          <w:bottom w:val="nil"/>
          <w:right w:val="nil"/>
          <w:between w:val="nil"/>
        </w:pBdr>
        <w:tabs>
          <w:tab w:val="left" w:pos="3304"/>
          <w:tab w:val="left" w:pos="4060"/>
          <w:tab w:val="left" w:pos="5695"/>
          <w:tab w:val="left" w:pos="7822"/>
          <w:tab w:val="left" w:pos="8333"/>
          <w:tab w:val="left" w:pos="8463"/>
        </w:tabs>
        <w:spacing w:before="141" w:line="360" w:lineRule="auto"/>
        <w:ind w:left="141" w:right="129"/>
        <w:jc w:val="both"/>
        <w:rPr>
          <w:rFonts w:ascii="Roboto" w:eastAsia="Roboto" w:hAnsi="Roboto" w:cs="Roboto"/>
          <w:color w:val="000000"/>
        </w:rPr>
      </w:pPr>
      <w:bookmarkStart w:id="3" w:name="_heading=h.dufzeltvrcvv" w:colFirst="0" w:colLast="0"/>
      <w:bookmarkEnd w:id="3"/>
      <w:r w:rsidRPr="0058095E">
        <w:rPr>
          <w:rFonts w:ascii="Roboto" w:eastAsia="Roboto" w:hAnsi="Roboto" w:cs="Roboto"/>
          <w:color w:val="000000"/>
        </w:rPr>
        <w:t>Esta garantía p</w:t>
      </w:r>
      <w:r w:rsidRPr="0058095E">
        <w:rPr>
          <w:rFonts w:ascii="Roboto" w:eastAsia="Roboto" w:hAnsi="Roboto" w:cs="Roboto"/>
          <w:color w:val="000000"/>
        </w:rPr>
        <w:t xml:space="preserve">ermanecerá plenamente vigente y operativa hasta tanto se produzca la total cancelación de las Obligaciones Garantizadas. El monto máximo fijado en el presente certificado de garantía determina la cuantía total de la obligación asumida, y deberán deducirse </w:t>
      </w:r>
      <w:r w:rsidRPr="0058095E">
        <w:rPr>
          <w:rFonts w:ascii="Roboto" w:eastAsia="Roboto" w:hAnsi="Roboto" w:cs="Roboto"/>
          <w:color w:val="000000"/>
        </w:rPr>
        <w:t xml:space="preserve">de ese monto los pagos efectuados por el deudor. La presente garantía se otorga para ser cumplida en los mismos términos, plazos y condiciones que los previstos en las condiciones de emisión de las Obligaciones Garantizadas. Se deja expresa constancia que </w:t>
      </w:r>
      <w:r w:rsidRPr="0058095E">
        <w:rPr>
          <w:rFonts w:ascii="Roboto" w:eastAsia="Roboto" w:hAnsi="Roboto" w:cs="Roboto"/>
          <w:color w:val="000000"/>
        </w:rPr>
        <w:t xml:space="preserve">cualquier impuesto, tasa o contribución que deba abonarse con motivo de la firma, mantenimiento y ejecución de esta garantía será a cargo de </w:t>
      </w:r>
      <w:r w:rsidRPr="0058095E">
        <w:rPr>
          <w:rFonts w:ascii="Roboto" w:eastAsia="Roboto" w:hAnsi="Roboto" w:cs="Roboto"/>
          <w:b/>
          <w:color w:val="000000"/>
        </w:rPr>
        <w:t>AVALES DEL CENTRO S.G.R.</w:t>
      </w:r>
      <w:r w:rsidRPr="0058095E">
        <w:rPr>
          <w:rFonts w:ascii="Roboto" w:eastAsia="Roboto" w:hAnsi="Roboto" w:cs="Roboto"/>
          <w:color w:val="000000"/>
        </w:rPr>
        <w:t xml:space="preserve"> El presente instrumento es emitido a favor de todo tenedor de las Obligaciones Garantizada</w:t>
      </w:r>
      <w:r w:rsidRPr="0058095E">
        <w:rPr>
          <w:rFonts w:ascii="Roboto" w:eastAsia="Roboto" w:hAnsi="Roboto" w:cs="Roboto"/>
          <w:color w:val="000000"/>
        </w:rPr>
        <w:t xml:space="preserve">s y será </w:t>
      </w:r>
      <w:r w:rsidRPr="0058095E">
        <w:rPr>
          <w:rFonts w:ascii="Roboto" w:eastAsia="Roboto" w:hAnsi="Roboto" w:cs="Roboto"/>
          <w:color w:val="000000"/>
        </w:rPr>
        <w:t xml:space="preserve">título ejecutivo por el monto y las condiciones arriba expresadas, conforme a lo previsto por el </w:t>
      </w:r>
      <w:r w:rsidRPr="0058095E">
        <w:rPr>
          <w:rFonts w:ascii="Roboto" w:eastAsia="Roboto" w:hAnsi="Roboto" w:cs="Roboto"/>
        </w:rPr>
        <w:t xml:space="preserve">Artículo </w:t>
      </w:r>
      <w:r w:rsidRPr="0058095E">
        <w:rPr>
          <w:rFonts w:ascii="Roboto" w:eastAsia="Roboto" w:hAnsi="Roboto" w:cs="Roboto"/>
          <w:color w:val="000000"/>
        </w:rPr>
        <w:t xml:space="preserve">70 de la </w:t>
      </w:r>
      <w:r w:rsidRPr="0058095E">
        <w:rPr>
          <w:rFonts w:ascii="Roboto" w:eastAsia="Roboto" w:hAnsi="Roboto" w:cs="Roboto"/>
        </w:rPr>
        <w:t>L</w:t>
      </w:r>
      <w:r w:rsidRPr="0058095E">
        <w:rPr>
          <w:rFonts w:ascii="Roboto" w:eastAsia="Roboto" w:hAnsi="Roboto" w:cs="Roboto"/>
          <w:color w:val="000000"/>
        </w:rPr>
        <w:t xml:space="preserve">ey 24.467 (T.O. Ley 25.300). </w:t>
      </w:r>
    </w:p>
    <w:p w14:paraId="22795CC9" w14:textId="77777777" w:rsidR="00772AC8" w:rsidRPr="0058095E" w:rsidRDefault="0058095E">
      <w:pPr>
        <w:pBdr>
          <w:top w:val="nil"/>
          <w:left w:val="nil"/>
          <w:bottom w:val="nil"/>
          <w:right w:val="nil"/>
          <w:between w:val="nil"/>
        </w:pBdr>
        <w:tabs>
          <w:tab w:val="left" w:pos="3304"/>
          <w:tab w:val="left" w:pos="4060"/>
          <w:tab w:val="left" w:pos="5695"/>
          <w:tab w:val="left" w:pos="7822"/>
          <w:tab w:val="left" w:pos="8333"/>
          <w:tab w:val="left" w:pos="8463"/>
        </w:tabs>
        <w:spacing w:before="141" w:line="360" w:lineRule="auto"/>
        <w:ind w:left="141" w:right="129"/>
        <w:jc w:val="both"/>
        <w:rPr>
          <w:rFonts w:ascii="Roboto" w:eastAsia="Roboto" w:hAnsi="Roboto" w:cs="Roboto"/>
          <w:color w:val="000000"/>
        </w:rPr>
      </w:pPr>
      <w:bookmarkStart w:id="4" w:name="_heading=h.6mtvspsulklx" w:colFirst="0" w:colLast="0"/>
      <w:bookmarkEnd w:id="4"/>
      <w:r w:rsidRPr="0058095E">
        <w:rPr>
          <w:rFonts w:ascii="Roboto" w:eastAsia="Roboto" w:hAnsi="Roboto" w:cs="Roboto"/>
          <w:color w:val="000000"/>
        </w:rPr>
        <w:t>Aceptamos expresamente someternos para cualquier cuestión judicial que se suscitare entre las Partes,</w:t>
      </w:r>
      <w:r w:rsidRPr="0058095E">
        <w:rPr>
          <w:rFonts w:ascii="Roboto" w:eastAsia="Roboto" w:hAnsi="Roboto" w:cs="Roboto"/>
        </w:rPr>
        <w:t xml:space="preserve"> a la jurisdicción exclusiva del Tribunal de Arbitraje General de la Bolsa de Comercio de Córdoba de acuerdo a la reglamentación y procedimientos vigentes y aprobados para la misma para el Arbitraje de Derecho, </w:t>
      </w:r>
      <w:r w:rsidRPr="0058095E">
        <w:rPr>
          <w:rFonts w:ascii="Roboto" w:eastAsia="Roboto" w:hAnsi="Roboto" w:cs="Roboto"/>
          <w:color w:val="000000"/>
        </w:rPr>
        <w:t>con renuncia expresa a cualquier otro fuero o</w:t>
      </w:r>
      <w:r w:rsidRPr="0058095E">
        <w:rPr>
          <w:rFonts w:ascii="Roboto" w:eastAsia="Roboto" w:hAnsi="Roboto" w:cs="Roboto"/>
          <w:color w:val="000000"/>
        </w:rPr>
        <w:t xml:space="preserve"> jurisdicción.</w:t>
      </w:r>
    </w:p>
    <w:p w14:paraId="24E94E02" w14:textId="77777777" w:rsidR="00772AC8" w:rsidRDefault="00772AC8">
      <w:pPr>
        <w:pBdr>
          <w:top w:val="nil"/>
          <w:left w:val="nil"/>
          <w:bottom w:val="nil"/>
          <w:right w:val="nil"/>
          <w:between w:val="nil"/>
        </w:pBdr>
        <w:spacing w:before="125" w:line="360" w:lineRule="auto"/>
        <w:rPr>
          <w:rFonts w:ascii="Roboto" w:eastAsia="Roboto" w:hAnsi="Roboto" w:cs="Roboto"/>
          <w:color w:val="000000"/>
        </w:rPr>
      </w:pPr>
    </w:p>
    <w:p w14:paraId="2562650A" w14:textId="77777777" w:rsidR="00772AC8" w:rsidRDefault="005809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" w:right="139" w:firstLine="60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</w:rPr>
        <w:t xml:space="preserve"> </w:t>
      </w:r>
    </w:p>
    <w:sectPr w:rsidR="00772AC8">
      <w:headerReference w:type="default" r:id="rId8"/>
      <w:footerReference w:type="default" r:id="rId9"/>
      <w:pgSz w:w="11920" w:h="16850"/>
      <w:pgMar w:top="660" w:right="992" w:bottom="800" w:left="992" w:header="446" w:footer="6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E4992" w14:textId="77777777" w:rsidR="00000000" w:rsidRDefault="0058095E">
      <w:r>
        <w:separator/>
      </w:r>
    </w:p>
  </w:endnote>
  <w:endnote w:type="continuationSeparator" w:id="0">
    <w:p w14:paraId="044F09D8" w14:textId="77777777" w:rsidR="00000000" w:rsidRDefault="0058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17FF3" w14:textId="77777777" w:rsidR="00772AC8" w:rsidRDefault="0058095E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3B2B1" w14:textId="77777777" w:rsidR="00000000" w:rsidRDefault="0058095E">
      <w:r>
        <w:separator/>
      </w:r>
    </w:p>
  </w:footnote>
  <w:footnote w:type="continuationSeparator" w:id="0">
    <w:p w14:paraId="2E017457" w14:textId="77777777" w:rsidR="00000000" w:rsidRDefault="00580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0528E" w14:textId="77777777" w:rsidR="00772AC8" w:rsidRDefault="00772AC8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AC8"/>
    <w:rsid w:val="0058095E"/>
    <w:rsid w:val="0077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7224"/>
  <w15:docId w15:val="{4C65B9DF-EF4E-407B-9606-1C97A391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E72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72F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72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72F9"/>
    <w:rPr>
      <w:rFonts w:ascii="Arial MT" w:eastAsia="Arial MT" w:hAnsi="Arial MT" w:cs="Arial MT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1d54PAa70I/W+xeX0e2V8Z9WcA==">CgMxLjAyDmguOWtheWIxYmJteWJ5Mg5oLmQ3ejhudmk0c3R6ejIOaC5kN256Z2tkZ3FweWwyDmguZHVmemVsdHZyY3Z2Mg5oLjZtdHZzcHN1bGtseDgAciExamxlLW9tWF80REx5RXMxMk0zYU9aSWQzTVFucnRJNW8=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862</Words>
  <Characters>4747</Characters>
  <Application>Microsoft Office Word</Application>
  <DocSecurity>0</DocSecurity>
  <Lines>39</Lines>
  <Paragraphs>11</Paragraphs>
  <ScaleCrop>false</ScaleCrop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Francisco Maine</cp:lastModifiedBy>
  <cp:revision>2</cp:revision>
  <cp:lastPrinted>2025-06-25T19:01:00Z</cp:lastPrinted>
  <dcterms:created xsi:type="dcterms:W3CDTF">2025-01-10T15:25:00Z</dcterms:created>
  <dcterms:modified xsi:type="dcterms:W3CDTF">2025-06-25T19:01:00Z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2025-01-10T00:00:00Z</vt:filetime>
  </property>
</Properties>
</file>