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87" w:rsidRDefault="00727787" w:rsidP="00727787">
      <w:pPr>
        <w:pStyle w:val="Textoindependiente2"/>
        <w:tabs>
          <w:tab w:val="left" w:pos="3119"/>
          <w:tab w:val="left" w:pos="8789"/>
        </w:tabs>
        <w:spacing w:after="0" w:line="240" w:lineRule="auto"/>
        <w:ind w:left="4111" w:right="992"/>
        <w:jc w:val="center"/>
        <w:rPr>
          <w:rFonts w:ascii="Verdana" w:hAnsi="Verdana"/>
          <w:b/>
          <w:snapToGrid w:val="0"/>
          <w:sz w:val="20"/>
          <w:szCs w:val="20"/>
          <w:lang w:eastAsia="es-ES"/>
        </w:rPr>
      </w:pPr>
      <w:bookmarkStart w:id="0" w:name="_GoBack"/>
      <w:bookmarkEnd w:id="0"/>
    </w:p>
    <w:p w:rsidR="00727787" w:rsidRDefault="00727787" w:rsidP="00727787">
      <w:pPr>
        <w:pStyle w:val="Ttulo7"/>
        <w:rPr>
          <w:rFonts w:ascii="Verdana" w:hAnsi="Verdana"/>
          <w:sz w:val="28"/>
          <w:szCs w:val="28"/>
        </w:rPr>
      </w:pPr>
      <w:r w:rsidRPr="00DA29A7">
        <w:rPr>
          <w:rFonts w:ascii="Verdana" w:hAnsi="Verdana"/>
          <w:noProof/>
          <w:sz w:val="28"/>
          <w:szCs w:val="28"/>
          <w:lang w:val="es-AR"/>
        </w:rPr>
        <w:drawing>
          <wp:inline distT="0" distB="0" distL="0" distR="0" wp14:anchorId="2C3E37FD" wp14:editId="69F6A5CC">
            <wp:extent cx="971070" cy="352425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942" cy="3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87" w:rsidRDefault="00727787" w:rsidP="00727787">
      <w:pPr>
        <w:spacing w:after="0"/>
        <w:rPr>
          <w:b/>
          <w:lang w:val="es-ES" w:eastAsia="es-AR"/>
        </w:rPr>
      </w:pPr>
      <w:r w:rsidRPr="00C103E4">
        <w:rPr>
          <w:b/>
          <w:lang w:val="es-ES" w:eastAsia="es-AR"/>
        </w:rPr>
        <w:t xml:space="preserve">Generación Costanera S.A. </w:t>
      </w:r>
    </w:p>
    <w:p w:rsidR="00C103E4" w:rsidRPr="00C103E4" w:rsidRDefault="00C103E4" w:rsidP="00C103E4">
      <w:pPr>
        <w:spacing w:after="0"/>
        <w:rPr>
          <w:b/>
          <w:lang w:val="es-ES" w:eastAsia="es-AR"/>
        </w:rPr>
      </w:pPr>
    </w:p>
    <w:p w:rsidR="000F5AB0" w:rsidRPr="00C103E4" w:rsidRDefault="000F5AB0" w:rsidP="007B10F6">
      <w:pPr>
        <w:spacing w:after="0"/>
        <w:jc w:val="right"/>
        <w:rPr>
          <w:rFonts w:ascii="Verdana" w:hAnsi="Verdana"/>
          <w:b/>
          <w:sz w:val="20"/>
          <w:szCs w:val="20"/>
          <w:lang w:val="es-ES"/>
        </w:rPr>
      </w:pPr>
    </w:p>
    <w:p w:rsidR="00BB582B" w:rsidRDefault="00470821" w:rsidP="0040583B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8A3F10">
        <w:rPr>
          <w:rFonts w:ascii="Verdana" w:hAnsi="Verdana"/>
          <w:b/>
          <w:sz w:val="20"/>
          <w:szCs w:val="20"/>
        </w:rPr>
        <w:t xml:space="preserve">Buenos Aires, </w:t>
      </w:r>
      <w:r w:rsidR="005A11A9">
        <w:rPr>
          <w:rFonts w:ascii="Verdana" w:hAnsi="Verdana"/>
          <w:b/>
          <w:sz w:val="20"/>
          <w:szCs w:val="20"/>
        </w:rPr>
        <w:t>24</w:t>
      </w:r>
      <w:r>
        <w:rPr>
          <w:rFonts w:ascii="Verdana" w:hAnsi="Verdana"/>
          <w:b/>
          <w:sz w:val="20"/>
          <w:szCs w:val="20"/>
        </w:rPr>
        <w:t xml:space="preserve"> de </w:t>
      </w:r>
      <w:r w:rsidR="005A11A9">
        <w:rPr>
          <w:rFonts w:ascii="Verdana" w:hAnsi="Verdana"/>
          <w:b/>
          <w:sz w:val="20"/>
          <w:szCs w:val="20"/>
        </w:rPr>
        <w:t>abril</w:t>
      </w:r>
      <w:r>
        <w:rPr>
          <w:rFonts w:ascii="Verdana" w:hAnsi="Verdana"/>
          <w:b/>
          <w:sz w:val="20"/>
          <w:szCs w:val="20"/>
        </w:rPr>
        <w:t xml:space="preserve"> de</w:t>
      </w:r>
      <w:r w:rsidR="003A739D">
        <w:rPr>
          <w:rFonts w:ascii="Verdana" w:hAnsi="Verdana"/>
          <w:b/>
          <w:sz w:val="20"/>
          <w:szCs w:val="20"/>
        </w:rPr>
        <w:t xml:space="preserve"> 201</w:t>
      </w:r>
      <w:r w:rsidR="005A11A9">
        <w:rPr>
          <w:rFonts w:ascii="Verdana" w:hAnsi="Verdana"/>
          <w:b/>
          <w:sz w:val="20"/>
          <w:szCs w:val="20"/>
        </w:rPr>
        <w:t>9</w:t>
      </w:r>
    </w:p>
    <w:p w:rsidR="0040583B" w:rsidRDefault="0040583B" w:rsidP="0040583B">
      <w:pPr>
        <w:spacing w:after="0"/>
        <w:rPr>
          <w:rFonts w:ascii="Verdana" w:hAnsi="Verdana"/>
          <w:b/>
          <w:sz w:val="20"/>
          <w:szCs w:val="20"/>
        </w:rPr>
      </w:pPr>
    </w:p>
    <w:p w:rsidR="0040583B" w:rsidRPr="008A3F10" w:rsidRDefault="0040583B" w:rsidP="00BB582B">
      <w:pPr>
        <w:spacing w:after="0"/>
        <w:rPr>
          <w:rFonts w:ascii="Verdana" w:hAnsi="Verdana"/>
          <w:b/>
          <w:sz w:val="20"/>
          <w:szCs w:val="20"/>
        </w:rPr>
      </w:pPr>
      <w:r w:rsidRPr="00446A9F">
        <w:rPr>
          <w:rFonts w:ascii="Verdana" w:hAnsi="Verdana"/>
          <w:b/>
          <w:sz w:val="20"/>
          <w:szCs w:val="20"/>
        </w:rPr>
        <w:t>Al Honorable Directorio de la</w:t>
      </w:r>
    </w:p>
    <w:p w:rsidR="00E650A2" w:rsidRDefault="00E650A2" w:rsidP="00BB582B">
      <w:pPr>
        <w:pStyle w:val="Ttulo8"/>
        <w:spacing w:before="0" w:after="0"/>
        <w:rPr>
          <w:rFonts w:ascii="Verdana" w:hAnsi="Verdana"/>
          <w:b/>
          <w:i w:val="0"/>
          <w:color w:val="auto"/>
          <w:sz w:val="20"/>
          <w:szCs w:val="20"/>
          <w:u w:val="single"/>
        </w:rPr>
      </w:pPr>
      <w:r w:rsidRPr="00446A9F">
        <w:rPr>
          <w:rFonts w:ascii="Verdana" w:eastAsiaTheme="minorHAnsi" w:hAnsi="Verdana" w:cstheme="minorBidi"/>
          <w:b/>
          <w:i w:val="0"/>
          <w:iCs w:val="0"/>
          <w:color w:val="auto"/>
          <w:sz w:val="20"/>
          <w:szCs w:val="20"/>
          <w:lang w:val="es-AR" w:eastAsia="en-US"/>
        </w:rPr>
        <w:t>Comisión Nacional de Valores</w:t>
      </w:r>
      <w:r w:rsidRPr="008A3F10">
        <w:rPr>
          <w:rFonts w:ascii="Verdana" w:hAnsi="Verdana"/>
          <w:b/>
          <w:i w:val="0"/>
          <w:color w:val="auto"/>
          <w:sz w:val="20"/>
          <w:szCs w:val="20"/>
          <w:u w:val="single"/>
        </w:rPr>
        <w:t xml:space="preserve"> </w:t>
      </w:r>
    </w:p>
    <w:p w:rsidR="00BB582B" w:rsidRPr="008A3F10" w:rsidRDefault="00BB582B" w:rsidP="00BB582B">
      <w:pPr>
        <w:pStyle w:val="Ttulo8"/>
        <w:spacing w:before="0" w:after="0"/>
        <w:rPr>
          <w:rFonts w:ascii="Verdana" w:hAnsi="Verdana"/>
          <w:b/>
          <w:i w:val="0"/>
          <w:color w:val="auto"/>
          <w:sz w:val="20"/>
          <w:szCs w:val="20"/>
          <w:u w:val="single"/>
        </w:rPr>
      </w:pPr>
      <w:r w:rsidRPr="008A3F10">
        <w:rPr>
          <w:rFonts w:ascii="Verdana" w:hAnsi="Verdana"/>
          <w:b/>
          <w:i w:val="0"/>
          <w:color w:val="auto"/>
          <w:sz w:val="20"/>
          <w:szCs w:val="20"/>
          <w:u w:val="single"/>
        </w:rPr>
        <w:t>S / D</w:t>
      </w:r>
    </w:p>
    <w:p w:rsidR="00BB582B" w:rsidRPr="008A3F10" w:rsidRDefault="00BB582B" w:rsidP="00BB582B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8A3F10">
        <w:rPr>
          <w:rFonts w:ascii="Verdana" w:hAnsi="Verdana"/>
          <w:sz w:val="20"/>
          <w:szCs w:val="20"/>
        </w:rPr>
        <w:tab/>
      </w:r>
      <w:r w:rsidRPr="008A3F10">
        <w:rPr>
          <w:rFonts w:ascii="Verdana" w:hAnsi="Verdana"/>
          <w:b/>
          <w:sz w:val="20"/>
          <w:szCs w:val="20"/>
          <w:u w:val="single"/>
        </w:rPr>
        <w:t>Ref.</w:t>
      </w:r>
      <w:r w:rsidRPr="008A3F10">
        <w:rPr>
          <w:rFonts w:ascii="Verdana" w:hAnsi="Verdana"/>
          <w:b/>
          <w:sz w:val="20"/>
          <w:szCs w:val="20"/>
        </w:rPr>
        <w:t>:</w:t>
      </w:r>
      <w:r w:rsidRPr="008A3F10">
        <w:rPr>
          <w:rFonts w:ascii="Verdana" w:hAnsi="Verdana"/>
          <w:b/>
          <w:sz w:val="20"/>
          <w:szCs w:val="20"/>
        </w:rPr>
        <w:tab/>
        <w:t xml:space="preserve">Estados </w:t>
      </w:r>
      <w:r>
        <w:rPr>
          <w:rFonts w:ascii="Verdana" w:hAnsi="Verdana"/>
          <w:b/>
          <w:sz w:val="20"/>
          <w:szCs w:val="20"/>
        </w:rPr>
        <w:t>financiero</w:t>
      </w:r>
      <w:r w:rsidRPr="008A3F10">
        <w:rPr>
          <w:rFonts w:ascii="Verdana" w:hAnsi="Verdana"/>
          <w:b/>
          <w:sz w:val="20"/>
          <w:szCs w:val="20"/>
        </w:rPr>
        <w:t xml:space="preserve">s </w:t>
      </w:r>
      <w:r w:rsidR="0078705E">
        <w:rPr>
          <w:rFonts w:ascii="Verdana" w:hAnsi="Verdana"/>
          <w:b/>
          <w:sz w:val="20"/>
          <w:szCs w:val="20"/>
        </w:rPr>
        <w:t>intermedios condensados</w:t>
      </w:r>
      <w:r w:rsidRPr="008A3F10">
        <w:rPr>
          <w:rFonts w:ascii="Verdana" w:hAnsi="Verdana"/>
          <w:b/>
          <w:sz w:val="20"/>
          <w:szCs w:val="20"/>
        </w:rPr>
        <w:t xml:space="preserve"> de</w:t>
      </w:r>
    </w:p>
    <w:p w:rsidR="00BB582B" w:rsidRPr="008A3F10" w:rsidRDefault="00DA29A7" w:rsidP="0040583B">
      <w:pPr>
        <w:pStyle w:val="Sangra3detindependiente"/>
        <w:spacing w:after="0"/>
        <w:ind w:left="0" w:hanging="2552"/>
        <w:jc w:val="right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Enel Generación</w:t>
      </w:r>
      <w:r w:rsidR="00BB582B" w:rsidRPr="008A3F10">
        <w:rPr>
          <w:b/>
          <w:color w:val="auto"/>
          <w:sz w:val="20"/>
          <w:szCs w:val="20"/>
        </w:rPr>
        <w:t xml:space="preserve"> Costanera S.A. al 3</w:t>
      </w:r>
      <w:r>
        <w:rPr>
          <w:b/>
          <w:color w:val="auto"/>
          <w:sz w:val="20"/>
          <w:szCs w:val="20"/>
        </w:rPr>
        <w:t>1</w:t>
      </w:r>
      <w:r w:rsidR="00BB582B" w:rsidRPr="008A3F10">
        <w:rPr>
          <w:b/>
          <w:color w:val="auto"/>
          <w:sz w:val="20"/>
          <w:szCs w:val="20"/>
        </w:rPr>
        <w:t>/0</w:t>
      </w:r>
      <w:r>
        <w:rPr>
          <w:b/>
          <w:color w:val="auto"/>
          <w:sz w:val="20"/>
          <w:szCs w:val="20"/>
        </w:rPr>
        <w:t>3</w:t>
      </w:r>
      <w:r w:rsidR="00BB582B" w:rsidRPr="008A3F10">
        <w:rPr>
          <w:b/>
          <w:color w:val="auto"/>
          <w:sz w:val="20"/>
          <w:szCs w:val="20"/>
        </w:rPr>
        <w:t>/1</w:t>
      </w:r>
      <w:r w:rsidR="005A11A9">
        <w:rPr>
          <w:b/>
          <w:color w:val="auto"/>
          <w:sz w:val="20"/>
          <w:szCs w:val="20"/>
        </w:rPr>
        <w:t>9</w:t>
      </w:r>
    </w:p>
    <w:p w:rsidR="00BB582B" w:rsidRPr="0023646A" w:rsidRDefault="00BB582B" w:rsidP="00BB582B">
      <w:pPr>
        <w:rPr>
          <w:rFonts w:ascii="Verdana" w:hAnsi="Verdana"/>
          <w:b/>
          <w:sz w:val="12"/>
          <w:szCs w:val="12"/>
          <w:lang w:val="es-ES"/>
        </w:rPr>
      </w:pPr>
    </w:p>
    <w:p w:rsidR="00BB582B" w:rsidRPr="008A3F10" w:rsidRDefault="00BB582B" w:rsidP="00BB582B">
      <w:pPr>
        <w:rPr>
          <w:rFonts w:ascii="Verdana" w:hAnsi="Verdana"/>
          <w:sz w:val="20"/>
          <w:szCs w:val="20"/>
        </w:rPr>
      </w:pPr>
      <w:r w:rsidRPr="008A3F10">
        <w:rPr>
          <w:rFonts w:ascii="Verdana" w:hAnsi="Verdana"/>
          <w:sz w:val="20"/>
          <w:szCs w:val="20"/>
        </w:rPr>
        <w:t>De mi mayor consideración:</w:t>
      </w:r>
    </w:p>
    <w:p w:rsidR="00DA29A7" w:rsidRDefault="00DA29A7" w:rsidP="00DA29A7">
      <w:pPr>
        <w:ind w:firstLine="27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 dirijo a Uds. en relación a los estados financieros intermedios condensados correspondientes al período de tres meses finalizado el 31 de marzo de 201</w:t>
      </w:r>
      <w:r w:rsidR="005A11A9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de Enel Generación Costanera S.A., aprobados en la reunión de directorio celebrada el </w:t>
      </w:r>
      <w:r w:rsidR="005A11A9">
        <w:rPr>
          <w:rFonts w:ascii="Verdana" w:hAnsi="Verdana"/>
          <w:sz w:val="20"/>
          <w:szCs w:val="20"/>
        </w:rPr>
        <w:t>24</w:t>
      </w:r>
      <w:r>
        <w:rPr>
          <w:rFonts w:ascii="Verdana" w:hAnsi="Verdana"/>
          <w:sz w:val="20"/>
          <w:szCs w:val="20"/>
        </w:rPr>
        <w:t xml:space="preserve"> de </w:t>
      </w:r>
      <w:r w:rsidR="005A11A9">
        <w:rPr>
          <w:rFonts w:ascii="Verdana" w:hAnsi="Verdana"/>
          <w:sz w:val="20"/>
          <w:szCs w:val="20"/>
        </w:rPr>
        <w:t>abril</w:t>
      </w:r>
      <w:r>
        <w:rPr>
          <w:rFonts w:ascii="Verdana" w:hAnsi="Verdana"/>
          <w:sz w:val="20"/>
          <w:szCs w:val="20"/>
        </w:rPr>
        <w:t xml:space="preserve"> de 201</w:t>
      </w:r>
      <w:r w:rsidR="005A11A9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</w:t>
      </w:r>
    </w:p>
    <w:p w:rsidR="00BB582B" w:rsidRPr="008A3F10" w:rsidRDefault="00DA29A7" w:rsidP="00DA29A7">
      <w:pPr>
        <w:ind w:right="-1" w:firstLine="27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tal fin acompaño la información prevista en el Artículo 63, último párrafo del </w:t>
      </w:r>
      <w:r w:rsidR="00A85CD0">
        <w:rPr>
          <w:rFonts w:ascii="Verdana" w:hAnsi="Verdana"/>
          <w:sz w:val="20"/>
          <w:szCs w:val="20"/>
        </w:rPr>
        <w:t>Reglamento de Listado de Bolsas y Mercados Argentinos S.A</w:t>
      </w:r>
      <w:r w:rsidR="00A85CD0" w:rsidRPr="008A3F10">
        <w:rPr>
          <w:rFonts w:ascii="Verdana" w:hAnsi="Verdana"/>
          <w:sz w:val="20"/>
          <w:szCs w:val="20"/>
        </w:rPr>
        <w:t>.-</w:t>
      </w:r>
    </w:p>
    <w:p w:rsidR="00BB582B" w:rsidRDefault="00BB582B" w:rsidP="00BB582B">
      <w:pPr>
        <w:rPr>
          <w:b/>
        </w:rPr>
      </w:pPr>
      <w:r w:rsidRPr="008E2400">
        <w:rPr>
          <w:b/>
        </w:rPr>
        <w:t>l.)</w:t>
      </w:r>
      <w:r w:rsidR="00AE609C">
        <w:rPr>
          <w:b/>
        </w:rPr>
        <w:t xml:space="preserve"> </w:t>
      </w:r>
      <w:r w:rsidRPr="008E2400">
        <w:rPr>
          <w:b/>
          <w:u w:val="single"/>
        </w:rPr>
        <w:t>Resultado del período</w:t>
      </w:r>
      <w:r w:rsidRPr="008E2400">
        <w:rPr>
          <w:b/>
        </w:rPr>
        <w:t>:</w:t>
      </w:r>
    </w:p>
    <w:tbl>
      <w:tblPr>
        <w:tblW w:w="70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1720"/>
      </w:tblGrid>
      <w:tr w:rsidR="00592B20" w:rsidRPr="008A3F10" w:rsidTr="00B512A0">
        <w:trPr>
          <w:cantSplit/>
          <w:trHeight w:val="33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B20" w:rsidRPr="008A3F10" w:rsidRDefault="00592B20" w:rsidP="00592B2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8A3F10"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>Rdo. de Operaciones Ordinarias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B20" w:rsidRDefault="005A11A9" w:rsidP="00592B2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>1.126.845.373</w:t>
            </w:r>
          </w:p>
        </w:tc>
      </w:tr>
      <w:tr w:rsidR="00592B20" w:rsidRPr="008A3F10" w:rsidTr="00B512A0">
        <w:trPr>
          <w:cantSplit/>
          <w:trHeight w:val="33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B20" w:rsidRPr="008A3F10" w:rsidRDefault="00592B20" w:rsidP="00592B2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8A3F10"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>Rdo. de Operaciones Extraordinarias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B20" w:rsidRDefault="00592B20" w:rsidP="00592B2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>----</w:t>
            </w:r>
          </w:p>
        </w:tc>
      </w:tr>
      <w:tr w:rsidR="00592B20" w:rsidRPr="008A3F10" w:rsidTr="00B512A0">
        <w:trPr>
          <w:cantSplit/>
          <w:trHeight w:val="33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B20" w:rsidRPr="008A3F10" w:rsidRDefault="00592B20" w:rsidP="00592B2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8A3F10"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>Impuesto a las Ganancias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B20" w:rsidRDefault="005A11A9" w:rsidP="00592B2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>625.449.772</w:t>
            </w:r>
          </w:p>
        </w:tc>
      </w:tr>
      <w:tr w:rsidR="00592B20" w:rsidRPr="008A3F10" w:rsidTr="00B512A0">
        <w:trPr>
          <w:cantSplit/>
          <w:trHeight w:val="27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B20" w:rsidRPr="008A3F10" w:rsidRDefault="00592B20" w:rsidP="00592B2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8A3F10"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 xml:space="preserve">Rdo. Final  </w:t>
            </w:r>
            <w:r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>Ganancia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B20" w:rsidRDefault="005A11A9" w:rsidP="00592B2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s-ES" w:eastAsia="es-AR"/>
              </w:rPr>
              <w:t>1.752.295.145</w:t>
            </w:r>
          </w:p>
        </w:tc>
      </w:tr>
      <w:tr w:rsidR="00592B20" w:rsidRPr="008A3F10" w:rsidTr="00B512A0">
        <w:trPr>
          <w:trHeight w:val="6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20" w:rsidRPr="008A3F10" w:rsidRDefault="00592B20" w:rsidP="00592B2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20" w:rsidRDefault="00592B20" w:rsidP="00592B20">
            <w:pPr>
              <w:spacing w:after="0"/>
              <w:rPr>
                <w:rFonts w:cs="Times New Roman"/>
              </w:rPr>
            </w:pPr>
          </w:p>
        </w:tc>
      </w:tr>
      <w:tr w:rsidR="00592B20" w:rsidRPr="008A3F10" w:rsidTr="00B512A0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B20" w:rsidRPr="008A3F10" w:rsidRDefault="00592B20" w:rsidP="00592B2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 w:rsidRPr="008A3F10">
              <w:rPr>
                <w:rFonts w:ascii="Verdana" w:eastAsia="Times New Roman" w:hAnsi="Verdana" w:cs="Arial"/>
                <w:color w:val="000000"/>
                <w:sz w:val="18"/>
                <w:szCs w:val="24"/>
                <w:lang w:eastAsia="es-AR"/>
              </w:rPr>
              <w:t>Atribuible a los accionistas de la compañía: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B20" w:rsidRDefault="005A11A9" w:rsidP="00592B2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  <w:t>1.752.295.145</w:t>
            </w:r>
          </w:p>
        </w:tc>
      </w:tr>
      <w:tr w:rsidR="00470821" w:rsidRPr="008A3F10" w:rsidTr="00B512A0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821" w:rsidRPr="008A3F10" w:rsidRDefault="00470821" w:rsidP="00470821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 w:rsidRPr="008A3F10">
              <w:rPr>
                <w:rFonts w:ascii="Verdana" w:eastAsia="Times New Roman" w:hAnsi="Verdana" w:cs="Arial"/>
                <w:color w:val="000000"/>
                <w:sz w:val="18"/>
                <w:szCs w:val="24"/>
                <w:lang w:eastAsia="es-AR"/>
              </w:rPr>
              <w:t>Atribuible a las participaciones no controlantes: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821" w:rsidRDefault="005A11A9" w:rsidP="004708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  <w:t>----</w:t>
            </w:r>
          </w:p>
        </w:tc>
      </w:tr>
      <w:tr w:rsidR="00470821" w:rsidRPr="008A3F10" w:rsidTr="00B512A0">
        <w:trPr>
          <w:trHeight w:val="27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21" w:rsidRPr="008A3F10" w:rsidRDefault="00470821" w:rsidP="00E87D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A3F1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AR"/>
              </w:rPr>
              <w:t>Otro resultado integral neto del per</w:t>
            </w:r>
            <w:r w:rsidR="00E87D0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AR"/>
              </w:rPr>
              <w:t>í</w:t>
            </w:r>
            <w:r w:rsidRPr="008A3F1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AR"/>
              </w:rPr>
              <w:t>odo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821" w:rsidRDefault="005A11A9" w:rsidP="004708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AR"/>
              </w:rPr>
              <w:t>13.983.068</w:t>
            </w:r>
          </w:p>
        </w:tc>
      </w:tr>
      <w:tr w:rsidR="003A739D" w:rsidRPr="008A3F10" w:rsidTr="00B512A0">
        <w:trPr>
          <w:trHeight w:val="10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9D" w:rsidRPr="008A3F10" w:rsidRDefault="003A739D" w:rsidP="00B512A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39D" w:rsidRDefault="003A739D">
            <w:pPr>
              <w:spacing w:after="0"/>
              <w:rPr>
                <w:rFonts w:cs="Times New Roman"/>
              </w:rPr>
            </w:pPr>
          </w:p>
        </w:tc>
      </w:tr>
      <w:tr w:rsidR="003A739D" w:rsidRPr="008A3F10" w:rsidTr="00B512A0">
        <w:trPr>
          <w:trHeight w:val="10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9D" w:rsidRPr="008A3F10" w:rsidRDefault="003A739D" w:rsidP="00B512A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39D" w:rsidRDefault="003A739D">
            <w:pPr>
              <w:spacing w:after="0"/>
              <w:rPr>
                <w:rFonts w:cs="Times New Roman"/>
              </w:rPr>
            </w:pPr>
          </w:p>
        </w:tc>
      </w:tr>
      <w:tr w:rsidR="003A739D" w:rsidRPr="008A3F10" w:rsidTr="00B512A0">
        <w:trPr>
          <w:trHeight w:val="27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9D" w:rsidRPr="008A3F10" w:rsidRDefault="003A739D" w:rsidP="00E87D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A3F1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AR"/>
              </w:rPr>
              <w:t>Resultado integral total neto del per</w:t>
            </w:r>
            <w:r w:rsidR="00E87D0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AR"/>
              </w:rPr>
              <w:t>í</w:t>
            </w:r>
            <w:r w:rsidRPr="008A3F1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AR"/>
              </w:rPr>
              <w:t>odo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A739D" w:rsidRDefault="005A11A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AR"/>
              </w:rPr>
              <w:t>1.766.278.213</w:t>
            </w:r>
          </w:p>
        </w:tc>
      </w:tr>
      <w:tr w:rsidR="00697C15" w:rsidRPr="008A3F10" w:rsidTr="00B512A0">
        <w:trPr>
          <w:trHeight w:val="10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15" w:rsidRPr="008A3F10" w:rsidRDefault="00697C15" w:rsidP="00B512A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C15" w:rsidRPr="008A3F10" w:rsidRDefault="00697C15" w:rsidP="002138D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</w:p>
        </w:tc>
      </w:tr>
      <w:tr w:rsidR="00697C15" w:rsidRPr="008A3F10" w:rsidTr="00B512A0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15" w:rsidRPr="008A3F10" w:rsidRDefault="00697C15" w:rsidP="00B512A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 w:rsidRPr="008A3F10">
              <w:rPr>
                <w:rFonts w:ascii="Verdana" w:eastAsia="Times New Roman" w:hAnsi="Verdana" w:cs="Arial"/>
                <w:color w:val="000000"/>
                <w:sz w:val="18"/>
                <w:szCs w:val="24"/>
                <w:lang w:eastAsia="es-AR"/>
              </w:rPr>
              <w:t>Atribuible a los accionistas de la compañía: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C15" w:rsidRPr="008A3F10" w:rsidRDefault="005A11A9" w:rsidP="001863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  <w:t>1.766.278.213</w:t>
            </w:r>
          </w:p>
        </w:tc>
      </w:tr>
      <w:tr w:rsidR="00BB582B" w:rsidRPr="008A3F10" w:rsidTr="00B512A0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82B" w:rsidRPr="008A3F10" w:rsidRDefault="00BB582B" w:rsidP="00B512A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 w:rsidRPr="008A3F10">
              <w:rPr>
                <w:rFonts w:ascii="Verdana" w:eastAsia="Times New Roman" w:hAnsi="Verdana" w:cs="Arial"/>
                <w:color w:val="000000"/>
                <w:sz w:val="18"/>
                <w:szCs w:val="24"/>
                <w:lang w:eastAsia="es-AR"/>
              </w:rPr>
              <w:t>Atribuible a las participaciones no controlantes: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82B" w:rsidRPr="008A3F10" w:rsidRDefault="00BB582B" w:rsidP="00B512A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  <w:t>----</w:t>
            </w:r>
          </w:p>
        </w:tc>
      </w:tr>
    </w:tbl>
    <w:p w:rsidR="00BB582B" w:rsidRPr="004F3BD5" w:rsidRDefault="00BB582B" w:rsidP="0040583B">
      <w:pPr>
        <w:spacing w:after="0"/>
        <w:rPr>
          <w:b/>
          <w:sz w:val="16"/>
          <w:szCs w:val="16"/>
        </w:rPr>
      </w:pPr>
    </w:p>
    <w:p w:rsidR="00BB582B" w:rsidRPr="008E2400" w:rsidRDefault="00BB582B" w:rsidP="00BB582B">
      <w:pPr>
        <w:rPr>
          <w:b/>
        </w:rPr>
      </w:pPr>
      <w:r w:rsidRPr="008E2400">
        <w:rPr>
          <w:b/>
        </w:rPr>
        <w:t>m.)</w:t>
      </w:r>
      <w:r w:rsidRPr="008E2400">
        <w:rPr>
          <w:b/>
          <w:u w:val="single"/>
        </w:rPr>
        <w:t>Detalle del Patrimonio</w:t>
      </w:r>
      <w:r w:rsidRPr="008E2400">
        <w:rPr>
          <w:b/>
        </w:rPr>
        <w:t>:</w:t>
      </w:r>
    </w:p>
    <w:tbl>
      <w:tblPr>
        <w:tblW w:w="70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1720"/>
      </w:tblGrid>
      <w:tr w:rsidR="003A739D" w:rsidRPr="004F3BD5" w:rsidTr="00B512A0">
        <w:trPr>
          <w:cantSplit/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39D" w:rsidRPr="004F3BD5" w:rsidRDefault="003A739D" w:rsidP="00B512A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4F3BD5"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>Capital social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9D" w:rsidRDefault="003A739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  <w:t>701.988.378</w:t>
            </w:r>
          </w:p>
        </w:tc>
      </w:tr>
      <w:tr w:rsidR="003A739D" w:rsidRPr="004F3BD5" w:rsidTr="00B512A0">
        <w:trPr>
          <w:cantSplit/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39D" w:rsidRPr="004F3BD5" w:rsidRDefault="003A739D" w:rsidP="00B512A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4F3BD5"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>Ajuste de Capital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9D" w:rsidRDefault="005A11A9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  <w:t>1.624.829.750</w:t>
            </w:r>
          </w:p>
        </w:tc>
      </w:tr>
      <w:tr w:rsidR="003A739D" w:rsidRPr="004F3BD5" w:rsidTr="00B512A0">
        <w:trPr>
          <w:cantSplit/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39D" w:rsidRPr="004F3BD5" w:rsidRDefault="003A739D" w:rsidP="00B512A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4F3BD5"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>Reserva Legal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9D" w:rsidRDefault="005A11A9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  <w:t>11.797.476</w:t>
            </w:r>
          </w:p>
        </w:tc>
      </w:tr>
      <w:tr w:rsidR="005A11A9" w:rsidRPr="004F3BD5" w:rsidTr="00B512A0">
        <w:trPr>
          <w:cantSplit/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1A9" w:rsidRPr="004F3BD5" w:rsidRDefault="005A11A9" w:rsidP="00B512A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s-ES" w:eastAsia="es-AR"/>
              </w:rPr>
              <w:t>Reserva Facultativa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1A9" w:rsidRPr="005A11A9" w:rsidRDefault="005A11A9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  <w:t>224.151.953</w:t>
            </w:r>
          </w:p>
        </w:tc>
      </w:tr>
      <w:tr w:rsidR="003A739D" w:rsidRPr="004F3BD5" w:rsidTr="00B512A0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39D" w:rsidRPr="004F3BD5" w:rsidRDefault="003A739D" w:rsidP="00B512A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4F3BD5"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  <w:t>Reserva por inversiones en sociedades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9D" w:rsidRDefault="005A11A9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  <w:t>101.946.995</w:t>
            </w:r>
          </w:p>
        </w:tc>
      </w:tr>
      <w:tr w:rsidR="00186374" w:rsidRPr="004F3BD5" w:rsidTr="00B512A0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374" w:rsidRPr="004F3BD5" w:rsidRDefault="00186374" w:rsidP="00B512A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4F3BD5"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  <w:t>Resultados acumulados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374" w:rsidRPr="004F3BD5" w:rsidRDefault="005A11A9" w:rsidP="009214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  <w:t>5.165.621.733</w:t>
            </w:r>
          </w:p>
        </w:tc>
      </w:tr>
      <w:tr w:rsidR="00186374" w:rsidRPr="004F3BD5" w:rsidTr="00B512A0">
        <w:trPr>
          <w:trHeight w:val="27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374" w:rsidRPr="004F3BD5" w:rsidRDefault="00186374" w:rsidP="00B512A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F3BD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Total del Patrimonio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86374" w:rsidRPr="004F3BD5" w:rsidRDefault="005A11A9" w:rsidP="009214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AR"/>
              </w:rPr>
              <w:t>7.830.336.285</w:t>
            </w:r>
          </w:p>
        </w:tc>
      </w:tr>
      <w:tr w:rsidR="00697C15" w:rsidRPr="004F3BD5" w:rsidTr="00B512A0">
        <w:trPr>
          <w:trHeight w:val="27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15" w:rsidRPr="004F3BD5" w:rsidRDefault="00697C15" w:rsidP="00B512A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15" w:rsidRPr="004F3BD5" w:rsidRDefault="00697C15" w:rsidP="002138D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</w:p>
        </w:tc>
      </w:tr>
      <w:tr w:rsidR="00697C15" w:rsidRPr="004F3BD5" w:rsidTr="00B512A0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C15" w:rsidRPr="004F3BD5" w:rsidRDefault="00697C15" w:rsidP="00B512A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 w:rsidRPr="004F3BD5">
              <w:rPr>
                <w:rFonts w:ascii="Verdana" w:eastAsia="Times New Roman" w:hAnsi="Verdana" w:cs="Arial"/>
                <w:color w:val="000000"/>
                <w:sz w:val="18"/>
                <w:szCs w:val="24"/>
                <w:lang w:eastAsia="es-AR"/>
              </w:rPr>
              <w:t>Atribuible a los accionistas de la compañía: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C15" w:rsidRPr="004F3BD5" w:rsidRDefault="005A11A9" w:rsidP="002138D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 w:rsidRPr="005A11A9"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  <w:t>7.830.336.285</w:t>
            </w:r>
          </w:p>
        </w:tc>
      </w:tr>
      <w:tr w:rsidR="00BB582B" w:rsidRPr="004F3BD5" w:rsidTr="00B512A0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82B" w:rsidRPr="004F3BD5" w:rsidRDefault="00BB582B" w:rsidP="00B512A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AR"/>
              </w:rPr>
            </w:pPr>
            <w:r w:rsidRPr="004F3BD5">
              <w:rPr>
                <w:rFonts w:ascii="Verdana" w:eastAsia="Times New Roman" w:hAnsi="Verdana" w:cs="Arial"/>
                <w:color w:val="000000"/>
                <w:sz w:val="18"/>
                <w:szCs w:val="24"/>
                <w:lang w:eastAsia="es-AR"/>
              </w:rPr>
              <w:t>Atribuible a las participaciones no controlantes: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82B" w:rsidRPr="004F3BD5" w:rsidRDefault="00BB582B" w:rsidP="00B512A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s-AR"/>
              </w:rPr>
              <w:t>----</w:t>
            </w:r>
          </w:p>
        </w:tc>
      </w:tr>
    </w:tbl>
    <w:p w:rsidR="006519A8" w:rsidRDefault="006519A8" w:rsidP="00BB582B">
      <w:pPr>
        <w:rPr>
          <w:rFonts w:ascii="Verdana" w:hAnsi="Verdana"/>
          <w:b/>
        </w:rPr>
      </w:pPr>
    </w:p>
    <w:p w:rsidR="00BB582B" w:rsidRPr="006519A8" w:rsidRDefault="006519A8" w:rsidP="00BB582B">
      <w:r>
        <w:br w:type="page"/>
      </w:r>
    </w:p>
    <w:p w:rsidR="00BB582B" w:rsidRDefault="00592B20" w:rsidP="00BB582B">
      <w:pPr>
        <w:rPr>
          <w:rFonts w:ascii="Verdana" w:hAnsi="Verdana"/>
          <w:b/>
        </w:rPr>
      </w:pPr>
      <w:r w:rsidRPr="00DA29A7">
        <w:rPr>
          <w:rFonts w:ascii="Verdana" w:hAnsi="Verdana"/>
          <w:noProof/>
          <w:sz w:val="28"/>
          <w:szCs w:val="28"/>
          <w:lang w:eastAsia="es-AR"/>
        </w:rPr>
        <w:lastRenderedPageBreak/>
        <w:drawing>
          <wp:inline distT="0" distB="0" distL="0" distR="0" wp14:anchorId="4EAE248B" wp14:editId="09BCDA51">
            <wp:extent cx="971070" cy="352425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942" cy="3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0C" w:rsidRDefault="00E87D0C" w:rsidP="00E87D0C">
      <w:pPr>
        <w:spacing w:after="0"/>
        <w:rPr>
          <w:b/>
          <w:lang w:val="es-ES" w:eastAsia="es-AR"/>
        </w:rPr>
      </w:pPr>
      <w:r w:rsidRPr="00C103E4">
        <w:rPr>
          <w:b/>
          <w:lang w:val="es-ES" w:eastAsia="es-AR"/>
        </w:rPr>
        <w:t xml:space="preserve">Generación Costanera S.A. </w:t>
      </w:r>
    </w:p>
    <w:p w:rsidR="000F5AB0" w:rsidRDefault="000F5AB0" w:rsidP="0040583B">
      <w:pPr>
        <w:spacing w:after="120"/>
        <w:rPr>
          <w:rFonts w:ascii="Verdana" w:hAnsi="Verdana"/>
          <w:b/>
        </w:rPr>
      </w:pPr>
    </w:p>
    <w:p w:rsidR="00BB582B" w:rsidRPr="004F3BD5" w:rsidRDefault="00BB582B" w:rsidP="0040583B">
      <w:pPr>
        <w:spacing w:after="120"/>
        <w:rPr>
          <w:rFonts w:ascii="Verdana" w:hAnsi="Verdana"/>
          <w:b/>
        </w:rPr>
      </w:pPr>
      <w:r w:rsidRPr="004F3BD5">
        <w:rPr>
          <w:rFonts w:ascii="Verdana" w:hAnsi="Verdana"/>
          <w:b/>
        </w:rPr>
        <w:t>o.)</w:t>
      </w:r>
      <w:r w:rsidR="00AE609C">
        <w:rPr>
          <w:rFonts w:ascii="Verdana" w:hAnsi="Verdana"/>
          <w:b/>
        </w:rPr>
        <w:t xml:space="preserve"> </w:t>
      </w:r>
      <w:r w:rsidRPr="004F3BD5">
        <w:rPr>
          <w:rFonts w:ascii="Verdana" w:hAnsi="Verdana"/>
          <w:b/>
        </w:rPr>
        <w:t>Cantidad de acciones:</w:t>
      </w:r>
    </w:p>
    <w:tbl>
      <w:tblPr>
        <w:tblW w:w="71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840"/>
        <w:gridCol w:w="1740"/>
      </w:tblGrid>
      <w:tr w:rsidR="00A85CD0" w:rsidRPr="007448E5" w:rsidTr="00CF6EFA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CANTIDAD DE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  <w:tr w:rsidR="00A85CD0" w:rsidRPr="007448E5" w:rsidTr="00CF6EFA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ACCIONISTAS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ACCIONES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PORCENTAJE</w:t>
            </w:r>
          </w:p>
        </w:tc>
      </w:tr>
      <w:tr w:rsidR="00A85CD0" w:rsidRPr="007448E5" w:rsidTr="00CF6EF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  <w:tr w:rsidR="00A85CD0" w:rsidRPr="007448E5" w:rsidTr="00CF6EF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Grupo controlante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  <w:tr w:rsidR="00A85CD0" w:rsidRPr="007448E5" w:rsidTr="00CF6EF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Enel Argentina S.A.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531.273.928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75,681%</w:t>
            </w:r>
          </w:p>
        </w:tc>
      </w:tr>
      <w:tr w:rsidR="00A85CD0" w:rsidRPr="007448E5" w:rsidTr="00CF6EFA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Subtotal grupo controlante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531.273.928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75,681%</w:t>
            </w:r>
          </w:p>
        </w:tc>
      </w:tr>
      <w:tr w:rsidR="00A85CD0" w:rsidRPr="007448E5" w:rsidTr="00CF6EF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  <w:tr w:rsidR="00A85CD0" w:rsidRPr="007448E5" w:rsidTr="00CF6EF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FGS-ANSES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108.011.285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15,387%</w:t>
            </w:r>
          </w:p>
        </w:tc>
      </w:tr>
      <w:tr w:rsidR="00A85CD0" w:rsidRPr="007448E5" w:rsidTr="00CF6EF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Otros inversores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62.703.165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8,932%</w:t>
            </w:r>
          </w:p>
        </w:tc>
      </w:tr>
      <w:tr w:rsidR="00A85CD0" w:rsidRPr="007448E5" w:rsidTr="00CF6EFA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Subtotal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170.714.450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24,319%</w:t>
            </w:r>
          </w:p>
        </w:tc>
      </w:tr>
      <w:tr w:rsidR="00A85CD0" w:rsidRPr="007448E5" w:rsidTr="00CF6EF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  <w:tr w:rsidR="00A85CD0" w:rsidRPr="007448E5" w:rsidTr="00CF6EF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TOTAL  A +  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701.988.378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CD0" w:rsidRPr="007448E5" w:rsidRDefault="00A85CD0" w:rsidP="00CF6E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448E5">
              <w:rPr>
                <w:rFonts w:ascii="Calibri" w:eastAsia="Times New Roman" w:hAnsi="Calibri" w:cs="Times New Roman"/>
                <w:color w:val="000000"/>
                <w:lang w:eastAsia="es-AR"/>
              </w:rPr>
              <w:t>100,000%</w:t>
            </w:r>
          </w:p>
        </w:tc>
      </w:tr>
    </w:tbl>
    <w:p w:rsidR="00BB582B" w:rsidRPr="004F3BD5" w:rsidRDefault="00BB582B" w:rsidP="00BB582B">
      <w:pPr>
        <w:rPr>
          <w:rFonts w:ascii="Verdana" w:hAnsi="Verdana"/>
          <w:b/>
        </w:rPr>
      </w:pPr>
    </w:p>
    <w:p w:rsidR="00BB582B" w:rsidRPr="004F3BD5" w:rsidRDefault="00BB582B" w:rsidP="0040583B">
      <w:pPr>
        <w:spacing w:after="120"/>
        <w:jc w:val="both"/>
        <w:rPr>
          <w:rFonts w:ascii="Verdana" w:hAnsi="Verdana"/>
          <w:sz w:val="20"/>
          <w:szCs w:val="20"/>
        </w:rPr>
      </w:pPr>
      <w:r w:rsidRPr="004F3BD5">
        <w:rPr>
          <w:rFonts w:ascii="Verdana" w:hAnsi="Verdana"/>
          <w:sz w:val="20"/>
          <w:szCs w:val="20"/>
        </w:rPr>
        <w:t>p) No aplicable.</w:t>
      </w:r>
    </w:p>
    <w:p w:rsidR="003A739D" w:rsidRDefault="00BB582B" w:rsidP="003A739D">
      <w:pPr>
        <w:jc w:val="both"/>
      </w:pPr>
      <w:r w:rsidRPr="004F3BD5">
        <w:rPr>
          <w:rFonts w:ascii="Verdana" w:hAnsi="Verdana"/>
          <w:sz w:val="20"/>
          <w:szCs w:val="20"/>
        </w:rPr>
        <w:t>q)</w:t>
      </w:r>
      <w:r w:rsidRPr="00251BAA">
        <w:rPr>
          <w:rFonts w:ascii="Verdana" w:hAnsi="Verdana"/>
          <w:sz w:val="20"/>
          <w:szCs w:val="20"/>
        </w:rPr>
        <w:t xml:space="preserve"> </w:t>
      </w:r>
      <w:r w:rsidR="003A739D">
        <w:t>Identificación del accionista controlante de la sociedad:</w:t>
      </w:r>
    </w:p>
    <w:p w:rsidR="003A739D" w:rsidRDefault="003A739D" w:rsidP="003A739D">
      <w:pPr>
        <w:pStyle w:val="Texto"/>
        <w:widowControl w:val="0"/>
        <w:rPr>
          <w:rFonts w:ascii="Verdana" w:hAnsi="Verdana"/>
        </w:rPr>
      </w:pPr>
      <w:r>
        <w:rPr>
          <w:rFonts w:ascii="Verdana" w:hAnsi="Verdana"/>
        </w:rPr>
        <w:t>Denominación: Enel Argentina S.A. (Directa)</w:t>
      </w:r>
    </w:p>
    <w:p w:rsidR="003A739D" w:rsidRDefault="003A739D" w:rsidP="003A739D">
      <w:pPr>
        <w:pStyle w:val="Texto"/>
        <w:widowControl w:val="0"/>
        <w:rPr>
          <w:rFonts w:ascii="Verdana" w:hAnsi="Verdana"/>
          <w:sz w:val="12"/>
          <w:szCs w:val="12"/>
        </w:rPr>
      </w:pPr>
    </w:p>
    <w:p w:rsidR="003A739D" w:rsidRDefault="003A739D" w:rsidP="003A739D">
      <w:pPr>
        <w:pStyle w:val="Texto"/>
        <w:widowControl w:val="0"/>
        <w:rPr>
          <w:rFonts w:ascii="Verdana" w:hAnsi="Verdana"/>
        </w:rPr>
      </w:pPr>
      <w:r>
        <w:rPr>
          <w:rFonts w:ascii="Verdana" w:hAnsi="Verdana"/>
        </w:rPr>
        <w:t>Porcentaje de participación en el patrimonio y en los votos en poder de la Sociedad: 75,6813%</w:t>
      </w:r>
    </w:p>
    <w:p w:rsidR="003A739D" w:rsidRDefault="003A739D" w:rsidP="003A739D">
      <w:pPr>
        <w:pStyle w:val="Texto"/>
        <w:widowControl w:val="0"/>
        <w:rPr>
          <w:rFonts w:ascii="Verdana" w:hAnsi="Verdana"/>
          <w:sz w:val="12"/>
          <w:szCs w:val="12"/>
        </w:rPr>
      </w:pPr>
    </w:p>
    <w:p w:rsidR="003A739D" w:rsidRDefault="003A739D" w:rsidP="003A739D">
      <w:pPr>
        <w:jc w:val="both"/>
        <w:rPr>
          <w:rFonts w:ascii="Verdana" w:hAnsi="Verdana"/>
          <w:sz w:val="20"/>
          <w:szCs w:val="20"/>
        </w:rPr>
      </w:pPr>
      <w:r>
        <w:t xml:space="preserve">Domicilio: </w:t>
      </w:r>
      <w:r>
        <w:tab/>
        <w:t>Av. España 3301 – Ciudad Autónoma de Buenos Aires.</w:t>
      </w:r>
    </w:p>
    <w:p w:rsidR="003A739D" w:rsidRDefault="003A739D" w:rsidP="003A739D">
      <w:pPr>
        <w:tabs>
          <w:tab w:val="left" w:pos="1418"/>
        </w:tabs>
        <w:ind w:left="1418" w:right="1360" w:hanging="1418"/>
      </w:pPr>
      <w:r>
        <w:t xml:space="preserve">Integración:  </w:t>
      </w:r>
      <w:r>
        <w:tab/>
        <w:t>Enel Américas S.A. (Chile) posee el 99,7476 % de las acciones de Enel Argentina S.A.</w:t>
      </w:r>
    </w:p>
    <w:p w:rsidR="003A739D" w:rsidRDefault="003A739D" w:rsidP="003A739D">
      <w:pPr>
        <w:pStyle w:val="Texto"/>
        <w:widowControl w:val="0"/>
        <w:rPr>
          <w:rFonts w:ascii="Verdana" w:hAnsi="Verdana"/>
        </w:rPr>
      </w:pPr>
      <w:r>
        <w:rPr>
          <w:rFonts w:ascii="Verdana" w:hAnsi="Verdana"/>
        </w:rPr>
        <w:t>Denominación: Enel Américas S.A. (Indirecta)</w:t>
      </w:r>
    </w:p>
    <w:p w:rsidR="003A739D" w:rsidRDefault="003A739D" w:rsidP="003A739D">
      <w:pPr>
        <w:pStyle w:val="Texto"/>
        <w:widowControl w:val="0"/>
        <w:rPr>
          <w:rFonts w:ascii="Verdana" w:hAnsi="Verdana"/>
          <w:sz w:val="12"/>
          <w:szCs w:val="12"/>
        </w:rPr>
      </w:pPr>
    </w:p>
    <w:p w:rsidR="003A739D" w:rsidRDefault="003A739D" w:rsidP="003A739D">
      <w:pPr>
        <w:pStyle w:val="Texto"/>
        <w:widowControl w:val="0"/>
        <w:rPr>
          <w:rFonts w:ascii="Verdana" w:hAnsi="Verdana"/>
          <w:sz w:val="12"/>
          <w:szCs w:val="12"/>
        </w:rPr>
      </w:pPr>
    </w:p>
    <w:p w:rsidR="003A739D" w:rsidRDefault="003A739D" w:rsidP="003A739D">
      <w:pPr>
        <w:pStyle w:val="Texto"/>
        <w:widowControl w:val="0"/>
        <w:rPr>
          <w:rFonts w:ascii="Verdana" w:hAnsi="Verdana"/>
        </w:rPr>
      </w:pPr>
      <w:r>
        <w:rPr>
          <w:rFonts w:ascii="Verdana" w:hAnsi="Verdana"/>
        </w:rPr>
        <w:t>Porcentaje de participación indirecta: 75,533 %</w:t>
      </w:r>
    </w:p>
    <w:p w:rsidR="003A739D" w:rsidRDefault="003A739D" w:rsidP="003A739D">
      <w:pPr>
        <w:pStyle w:val="Texto"/>
        <w:widowControl w:val="0"/>
        <w:rPr>
          <w:rFonts w:ascii="Verdana" w:hAnsi="Verdana"/>
          <w:sz w:val="12"/>
          <w:szCs w:val="12"/>
        </w:rPr>
      </w:pPr>
    </w:p>
    <w:p w:rsidR="003A739D" w:rsidRDefault="003A739D" w:rsidP="003A739D">
      <w:pPr>
        <w:tabs>
          <w:tab w:val="left" w:pos="1418"/>
        </w:tabs>
        <w:spacing w:after="120"/>
        <w:ind w:left="1418" w:right="1360" w:hanging="1418"/>
        <w:rPr>
          <w:rFonts w:ascii="Verdana" w:hAnsi="Verdana"/>
          <w:sz w:val="20"/>
          <w:szCs w:val="20"/>
        </w:rPr>
      </w:pPr>
      <w:r>
        <w:t xml:space="preserve">Domicilio: </w:t>
      </w:r>
      <w:r>
        <w:tab/>
        <w:t>Av. Santa Rosa 76 – Santiago de Chile.</w:t>
      </w:r>
    </w:p>
    <w:p w:rsidR="00BB582B" w:rsidRDefault="003A739D" w:rsidP="003A739D">
      <w:pPr>
        <w:spacing w:after="120"/>
        <w:jc w:val="both"/>
        <w:rPr>
          <w:rFonts w:ascii="Verdana" w:hAnsi="Verdana"/>
          <w:sz w:val="20"/>
          <w:szCs w:val="20"/>
        </w:rPr>
      </w:pPr>
      <w:r>
        <w:t>Adicionalmente se transcribe a continuación el texto del comunicado de prensa que hará público la sociedad en el día de la fecha</w:t>
      </w:r>
      <w:r w:rsidR="00BB582B" w:rsidRPr="004F3BD5">
        <w:rPr>
          <w:rFonts w:ascii="Verdana" w:hAnsi="Verdana"/>
          <w:sz w:val="20"/>
          <w:szCs w:val="20"/>
        </w:rPr>
        <w:t>.</w:t>
      </w:r>
    </w:p>
    <w:p w:rsidR="0040583B" w:rsidRDefault="0040583B" w:rsidP="00521904">
      <w:pPr>
        <w:spacing w:after="240"/>
        <w:rPr>
          <w:b/>
          <w:sz w:val="18"/>
          <w:szCs w:val="18"/>
        </w:rPr>
      </w:pPr>
    </w:p>
    <w:p w:rsidR="00130051" w:rsidRDefault="00130051" w:rsidP="00521904">
      <w:pPr>
        <w:spacing w:after="240"/>
        <w:rPr>
          <w:b/>
          <w:sz w:val="18"/>
          <w:szCs w:val="18"/>
        </w:rPr>
      </w:pPr>
    </w:p>
    <w:p w:rsidR="00130051" w:rsidRDefault="00130051" w:rsidP="00521904">
      <w:pPr>
        <w:spacing w:after="240"/>
        <w:rPr>
          <w:b/>
          <w:sz w:val="18"/>
          <w:szCs w:val="18"/>
        </w:rPr>
      </w:pPr>
    </w:p>
    <w:p w:rsidR="00D41188" w:rsidRPr="00510F9C" w:rsidRDefault="00B1333A" w:rsidP="00D41188">
      <w:pPr>
        <w:pStyle w:val="Ttulo6"/>
        <w:spacing w:before="0" w:after="0"/>
        <w:ind w:left="4956" w:firstLine="289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FERNANDO BOGGINI</w:t>
      </w:r>
    </w:p>
    <w:p w:rsidR="00130051" w:rsidRPr="00130051" w:rsidRDefault="00751833" w:rsidP="00130051">
      <w:pPr>
        <w:pStyle w:val="Textoindependiente2"/>
        <w:tabs>
          <w:tab w:val="left" w:pos="3119"/>
          <w:tab w:val="left" w:pos="8789"/>
        </w:tabs>
        <w:spacing w:after="0" w:line="240" w:lineRule="auto"/>
        <w:ind w:left="4111" w:right="992"/>
        <w:jc w:val="center"/>
        <w:rPr>
          <w:rFonts w:ascii="Verdana" w:hAnsi="Verdana"/>
          <w:b/>
          <w:snapToGrid w:val="0"/>
          <w:sz w:val="20"/>
          <w:szCs w:val="20"/>
          <w:lang w:eastAsia="es-ES"/>
        </w:rPr>
      </w:pPr>
      <w:r w:rsidRPr="00130051">
        <w:rPr>
          <w:rFonts w:ascii="Verdana" w:hAnsi="Verdana"/>
          <w:b/>
          <w:snapToGrid w:val="0"/>
          <w:sz w:val="20"/>
          <w:szCs w:val="20"/>
          <w:lang w:eastAsia="es-ES"/>
        </w:rPr>
        <w:t>Responsable de Relaciones</w:t>
      </w:r>
    </w:p>
    <w:p w:rsidR="004D0148" w:rsidRDefault="00751833" w:rsidP="00130051">
      <w:pPr>
        <w:pStyle w:val="Textoindependiente2"/>
        <w:tabs>
          <w:tab w:val="left" w:pos="3119"/>
          <w:tab w:val="left" w:pos="8789"/>
        </w:tabs>
        <w:spacing w:after="0" w:line="240" w:lineRule="auto"/>
        <w:ind w:left="4111" w:right="992"/>
        <w:jc w:val="center"/>
        <w:rPr>
          <w:rFonts w:ascii="Verdana" w:hAnsi="Verdana"/>
          <w:b/>
          <w:snapToGrid w:val="0"/>
          <w:sz w:val="20"/>
          <w:szCs w:val="20"/>
          <w:lang w:eastAsia="es-ES"/>
        </w:rPr>
      </w:pPr>
      <w:r w:rsidRPr="00130051">
        <w:rPr>
          <w:rFonts w:ascii="Verdana" w:hAnsi="Verdana"/>
          <w:b/>
          <w:snapToGrid w:val="0"/>
          <w:sz w:val="20"/>
          <w:szCs w:val="20"/>
          <w:lang w:eastAsia="es-ES"/>
        </w:rPr>
        <w:t>con el Mercado</w:t>
      </w:r>
    </w:p>
    <w:p w:rsidR="00A0577C" w:rsidRDefault="00A0577C" w:rsidP="00130051">
      <w:pPr>
        <w:pStyle w:val="Textoindependiente2"/>
        <w:tabs>
          <w:tab w:val="left" w:pos="3119"/>
          <w:tab w:val="left" w:pos="8789"/>
        </w:tabs>
        <w:spacing w:after="0" w:line="240" w:lineRule="auto"/>
        <w:ind w:left="4111" w:right="992"/>
        <w:jc w:val="center"/>
        <w:rPr>
          <w:rFonts w:ascii="Verdana" w:hAnsi="Verdana"/>
          <w:b/>
          <w:snapToGrid w:val="0"/>
          <w:sz w:val="20"/>
          <w:szCs w:val="20"/>
          <w:lang w:eastAsia="es-ES"/>
        </w:rPr>
      </w:pPr>
    </w:p>
    <w:p w:rsidR="00A0577C" w:rsidRDefault="00A0577C" w:rsidP="00130051">
      <w:pPr>
        <w:pStyle w:val="Textoindependiente2"/>
        <w:tabs>
          <w:tab w:val="left" w:pos="3119"/>
          <w:tab w:val="left" w:pos="8789"/>
        </w:tabs>
        <w:spacing w:after="0" w:line="240" w:lineRule="auto"/>
        <w:ind w:left="4111" w:right="992"/>
        <w:jc w:val="center"/>
        <w:rPr>
          <w:rFonts w:ascii="Verdana" w:hAnsi="Verdana"/>
          <w:b/>
          <w:snapToGrid w:val="0"/>
          <w:sz w:val="20"/>
          <w:szCs w:val="20"/>
          <w:lang w:eastAsia="es-ES"/>
        </w:rPr>
      </w:pPr>
    </w:p>
    <w:p w:rsidR="00E87D0C" w:rsidRDefault="00E87D0C" w:rsidP="00130051">
      <w:pPr>
        <w:pStyle w:val="Textoindependiente2"/>
        <w:tabs>
          <w:tab w:val="left" w:pos="3119"/>
          <w:tab w:val="left" w:pos="8789"/>
        </w:tabs>
        <w:spacing w:after="0" w:line="240" w:lineRule="auto"/>
        <w:ind w:left="4111" w:right="992"/>
        <w:jc w:val="center"/>
        <w:rPr>
          <w:rFonts w:ascii="Verdana" w:hAnsi="Verdana"/>
          <w:b/>
          <w:snapToGrid w:val="0"/>
          <w:sz w:val="20"/>
          <w:szCs w:val="20"/>
          <w:lang w:eastAsia="es-ES"/>
        </w:rPr>
        <w:sectPr w:rsidR="00E87D0C" w:rsidSect="006519A8">
          <w:pgSz w:w="11907" w:h="16839" w:code="9"/>
          <w:pgMar w:top="284" w:right="1041" w:bottom="993" w:left="1276" w:header="708" w:footer="708" w:gutter="0"/>
          <w:cols w:space="708"/>
          <w:docGrid w:linePitch="360"/>
        </w:sectPr>
      </w:pPr>
    </w:p>
    <w:p w:rsidR="00E87D0C" w:rsidRDefault="00E87D0C" w:rsidP="00E87D0C">
      <w:pPr>
        <w:pStyle w:val="Textoindependiente2"/>
        <w:tabs>
          <w:tab w:val="left" w:pos="3119"/>
          <w:tab w:val="left" w:pos="8789"/>
        </w:tabs>
        <w:spacing w:after="0" w:line="240" w:lineRule="auto"/>
        <w:ind w:left="4111" w:right="992"/>
        <w:jc w:val="center"/>
        <w:rPr>
          <w:rFonts w:ascii="Calibri" w:eastAsia="Calibri" w:hAnsi="Calibri" w:cs="Calibri"/>
          <w:b/>
          <w:bCs/>
          <w:color w:val="808080"/>
          <w:sz w:val="28"/>
          <w:szCs w:val="28"/>
          <w:bdr w:val="nil"/>
        </w:rPr>
      </w:pPr>
    </w:p>
    <w:p w:rsidR="00E87D0C" w:rsidRDefault="00E87D0C" w:rsidP="00E87D0C">
      <w:pPr>
        <w:rPr>
          <w:rFonts w:ascii="Verdana" w:hAnsi="Verdana"/>
          <w:b/>
        </w:rPr>
      </w:pPr>
      <w:r w:rsidRPr="00DA29A7">
        <w:rPr>
          <w:rFonts w:ascii="Verdana" w:hAnsi="Verdana"/>
          <w:noProof/>
          <w:sz w:val="28"/>
          <w:szCs w:val="28"/>
          <w:lang w:eastAsia="es-AR"/>
        </w:rPr>
        <w:drawing>
          <wp:inline distT="0" distB="0" distL="0" distR="0" wp14:anchorId="47C764CE" wp14:editId="47731FDB">
            <wp:extent cx="971070" cy="35242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942" cy="3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0C" w:rsidRDefault="00E87D0C" w:rsidP="00E87D0C">
      <w:pPr>
        <w:spacing w:after="0"/>
        <w:rPr>
          <w:b/>
          <w:lang w:val="es-ES" w:eastAsia="es-AR"/>
        </w:rPr>
      </w:pPr>
      <w:r w:rsidRPr="00C103E4">
        <w:rPr>
          <w:b/>
          <w:lang w:val="es-ES" w:eastAsia="es-AR"/>
        </w:rPr>
        <w:t xml:space="preserve">Generación Costanera S.A. </w:t>
      </w:r>
    </w:p>
    <w:p w:rsidR="00E87D0C" w:rsidRPr="00337D92" w:rsidRDefault="00E87D0C" w:rsidP="00E87D0C">
      <w:pPr>
        <w:rPr>
          <w:rFonts w:ascii="Calibri" w:eastAsia="Calibri" w:hAnsi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808080"/>
          <w:sz w:val="28"/>
          <w:szCs w:val="28"/>
          <w:bdr w:val="nil"/>
        </w:rPr>
        <w:t>COMUNICADO DE PRENSA</w:t>
      </w:r>
    </w:p>
    <w:p w:rsidR="00E87D0C" w:rsidRPr="004C0CB6" w:rsidRDefault="00E87D0C" w:rsidP="00E87D0C">
      <w:pPr>
        <w:jc w:val="center"/>
        <w:rPr>
          <w:rFonts w:ascii="Calibri" w:eastAsia="Calibri" w:hAnsi="Calibri" w:cs="Calibri"/>
          <w:b/>
          <w:bCs/>
          <w:sz w:val="28"/>
          <w:szCs w:val="28"/>
          <w:bdr w:val="nil"/>
          <w:lang w:eastAsia="es-ES"/>
        </w:rPr>
      </w:pPr>
      <w:r w:rsidRPr="004C0CB6">
        <w:rPr>
          <w:rFonts w:ascii="Calibri" w:eastAsia="Calibri" w:hAnsi="Calibri" w:cs="Calibri"/>
          <w:b/>
          <w:bCs/>
          <w:sz w:val="28"/>
          <w:szCs w:val="28"/>
          <w:bdr w:val="nil"/>
          <w:lang w:eastAsia="es-ES"/>
        </w:rPr>
        <w:t>ENEL GENERACIÓN COSTANERA REGISTRÓ RESULTADOS POSITIVOS EN EL PRIMER TRIMESTRE DE 2019</w:t>
      </w:r>
    </w:p>
    <w:p w:rsidR="00E87D0C" w:rsidRDefault="00E87D0C" w:rsidP="00E87D0C">
      <w:pPr>
        <w:jc w:val="both"/>
        <w:rPr>
          <w:rFonts w:ascii="Calibri" w:eastAsia="Calibri" w:hAnsi="Calibri" w:cs="Calibri"/>
          <w:b/>
          <w:bCs/>
          <w:color w:val="000000"/>
          <w:bdr w:val="nil"/>
          <w:lang w:eastAsia="es-ES"/>
        </w:rPr>
      </w:pPr>
      <w:r w:rsidRPr="00337D92">
        <w:rPr>
          <w:rFonts w:ascii="Calibri" w:eastAsia="Calibri" w:hAnsi="Calibri" w:cs="Calibri"/>
          <w:b/>
          <w:bCs/>
          <w:color w:val="000000"/>
          <w:bdr w:val="nil"/>
          <w:lang w:eastAsia="es-ES"/>
        </w:rPr>
        <w:t>PRINCIPALES INDICADORES FINANCIEROS</w:t>
      </w:r>
    </w:p>
    <w:p w:rsidR="00E87D0C" w:rsidRPr="00B31F20" w:rsidRDefault="00E87D0C" w:rsidP="00E87D0C">
      <w:pPr>
        <w:contextualSpacing/>
        <w:rPr>
          <w:rFonts w:ascii="Times New Roman" w:eastAsia="Times New Roman" w:hAnsi="Times New Roman"/>
        </w:rPr>
      </w:pPr>
      <w:r w:rsidRPr="00B31F20">
        <w:rPr>
          <w:rFonts w:ascii="Calibri" w:eastAsia="+mn-ea" w:hAnsi="Calibri" w:cs="+mn-cs"/>
          <w:i/>
          <w:iCs/>
          <w:color w:val="000000"/>
          <w:kern w:val="24"/>
        </w:rPr>
        <w:t>Las cifras al 31-</w:t>
      </w:r>
      <w:r>
        <w:rPr>
          <w:rFonts w:ascii="Calibri" w:eastAsia="+mn-ea" w:hAnsi="Calibri" w:cs="+mn-cs"/>
          <w:i/>
          <w:iCs/>
          <w:color w:val="000000"/>
          <w:kern w:val="24"/>
        </w:rPr>
        <w:t>03</w:t>
      </w:r>
      <w:r w:rsidRPr="00B31F20">
        <w:rPr>
          <w:rFonts w:ascii="Calibri" w:eastAsia="+mn-ea" w:hAnsi="Calibri" w:cs="+mn-cs"/>
          <w:i/>
          <w:iCs/>
          <w:color w:val="000000"/>
          <w:kern w:val="24"/>
        </w:rPr>
        <w:t>-201</w:t>
      </w:r>
      <w:r>
        <w:rPr>
          <w:rFonts w:ascii="Calibri" w:eastAsia="+mn-ea" w:hAnsi="Calibri" w:cs="+mn-cs"/>
          <w:i/>
          <w:iCs/>
          <w:color w:val="000000"/>
          <w:kern w:val="24"/>
        </w:rPr>
        <w:t>9</w:t>
      </w:r>
      <w:r w:rsidRPr="00B31F20">
        <w:rPr>
          <w:rFonts w:ascii="Calibri" w:eastAsia="+mn-ea" w:hAnsi="Calibri" w:cs="+mn-cs"/>
          <w:i/>
          <w:iCs/>
          <w:color w:val="000000"/>
          <w:kern w:val="24"/>
        </w:rPr>
        <w:t xml:space="preserve"> incluyendo las correspondientes al </w:t>
      </w:r>
      <w:r>
        <w:rPr>
          <w:rFonts w:ascii="Calibri" w:eastAsia="+mn-ea" w:hAnsi="Calibri" w:cs="+mn-cs"/>
          <w:i/>
          <w:iCs/>
          <w:color w:val="000000"/>
          <w:kern w:val="24"/>
        </w:rPr>
        <w:t xml:space="preserve">período </w:t>
      </w:r>
      <w:r w:rsidRPr="00B31F20">
        <w:rPr>
          <w:rFonts w:ascii="Calibri" w:eastAsia="+mn-ea" w:hAnsi="Calibri" w:cs="+mn-cs"/>
          <w:i/>
          <w:iCs/>
          <w:color w:val="000000"/>
          <w:kern w:val="24"/>
        </w:rPr>
        <w:t>anterior han sido re</w:t>
      </w:r>
      <w:r>
        <w:rPr>
          <w:rFonts w:ascii="Calibri" w:eastAsia="+mn-ea" w:hAnsi="Calibri" w:cs="+mn-cs"/>
          <w:i/>
          <w:iCs/>
          <w:color w:val="000000"/>
          <w:kern w:val="24"/>
        </w:rPr>
        <w:t>-</w:t>
      </w:r>
      <w:r w:rsidRPr="00B31F20">
        <w:rPr>
          <w:rFonts w:ascii="Calibri" w:eastAsia="+mn-ea" w:hAnsi="Calibri" w:cs="+mn-cs"/>
          <w:i/>
          <w:iCs/>
          <w:color w:val="000000"/>
          <w:kern w:val="24"/>
        </w:rPr>
        <w:t xml:space="preserve">expresadas para considerar los cambios en el poder adquisitivo de la moneda conforme lo establecido en la NIC 29 y en la Resolución General Nº 777/2018 de la Comisión Nacional de Valores (CNV).  </w:t>
      </w:r>
    </w:p>
    <w:p w:rsidR="00E87D0C" w:rsidRPr="00337D92" w:rsidRDefault="00E87D0C" w:rsidP="00E87D0C">
      <w:pPr>
        <w:jc w:val="both"/>
        <w:rPr>
          <w:rFonts w:ascii="Calibri" w:hAnsi="Calibri" w:cs="Arial"/>
          <w:b/>
          <w:snapToGrid w:val="0"/>
          <w:color w:val="000000"/>
          <w:lang w:eastAsia="es-ES"/>
        </w:rPr>
      </w:pPr>
    </w:p>
    <w:tbl>
      <w:tblPr>
        <w:tblW w:w="92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0"/>
        <w:gridCol w:w="1540"/>
        <w:gridCol w:w="190"/>
        <w:gridCol w:w="1540"/>
        <w:gridCol w:w="360"/>
        <w:gridCol w:w="1652"/>
      </w:tblGrid>
      <w:tr w:rsidR="00E87D0C" w:rsidRPr="00337D92" w:rsidTr="00CA25E1">
        <w:trPr>
          <w:trHeight w:val="390"/>
        </w:trPr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87D0C" w:rsidRPr="001224B0" w:rsidRDefault="00E87D0C" w:rsidP="00CA25E1">
            <w:pPr>
              <w:rPr>
                <w:rFonts w:ascii="Calibri" w:eastAsia="Calibri" w:hAnsi="Calibri"/>
                <w:b/>
                <w:bCs/>
                <w:color w:val="000000"/>
                <w:lang w:val="en-US"/>
              </w:rPr>
            </w:pPr>
            <w:r w:rsidRPr="001224B0"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>Millones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 xml:space="preserve"> de pesos</w:t>
            </w:r>
            <w:r w:rsidRPr="00F00693"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>, ARS</w:t>
            </w:r>
            <w:r w:rsidRPr="001224B0"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 xml:space="preserve">) 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87D0C" w:rsidRPr="001224B0" w:rsidRDefault="00E87D0C" w:rsidP="00CA25E1">
            <w:pPr>
              <w:rPr>
                <w:rFonts w:ascii="Calibri" w:eastAsia="Calibri" w:hAnsi="Calibri"/>
                <w:b/>
                <w:bCs/>
                <w:color w:val="000000"/>
                <w:lang w:val="en-US"/>
              </w:rPr>
            </w:pPr>
            <w:r w:rsidRPr="001224B0">
              <w:rPr>
                <w:rFonts w:ascii="Calibri" w:eastAsia="Calibri" w:hAnsi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7D0C" w:rsidRPr="00337D92" w:rsidRDefault="00E87D0C" w:rsidP="00CA25E1">
            <w:pPr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>Ene</w:t>
            </w:r>
            <w:proofErr w:type="spellEnd"/>
            <w:r w:rsidRPr="00337D92"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>Mar</w:t>
            </w:r>
            <w:r w:rsidRPr="00337D92"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 xml:space="preserve"> 201</w:t>
            </w:r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>9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7D0C" w:rsidRPr="00337D92" w:rsidRDefault="00E87D0C" w:rsidP="00CA25E1">
            <w:pPr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 w:rsidRPr="00337D92">
              <w:rPr>
                <w:rFonts w:ascii="Calibri" w:eastAsia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7D0C" w:rsidRPr="00337D92" w:rsidRDefault="00E87D0C" w:rsidP="00CA25E1">
            <w:pPr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>Ene</w:t>
            </w:r>
            <w:proofErr w:type="spellEnd"/>
            <w:r w:rsidRPr="00337D92"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>Mar</w:t>
            </w:r>
            <w:r w:rsidRPr="00337D92"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 xml:space="preserve"> 201</w:t>
            </w:r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n-US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7D0C" w:rsidRPr="00337D92" w:rsidRDefault="00E87D0C" w:rsidP="00CA25E1">
            <w:pPr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 w:rsidRPr="00337D92">
              <w:rPr>
                <w:rFonts w:ascii="Calibri" w:eastAsia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87D0C" w:rsidRPr="00337D92" w:rsidRDefault="00E87D0C" w:rsidP="00CA25E1">
            <w:pPr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</w:rPr>
              <w:t>Variación</w:t>
            </w:r>
          </w:p>
        </w:tc>
      </w:tr>
      <w:tr w:rsidR="00E87D0C" w:rsidRPr="000070A7" w:rsidTr="00CA25E1">
        <w:trPr>
          <w:trHeight w:val="390"/>
        </w:trPr>
        <w:tc>
          <w:tcPr>
            <w:tcW w:w="382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  <w:b/>
                <w:bCs/>
              </w:rPr>
            </w:pPr>
            <w:r w:rsidRPr="000070A7">
              <w:rPr>
                <w:rFonts w:ascii="Calibri" w:eastAsia="Calibri" w:hAnsi="Calibri" w:cs="Calibri"/>
                <w:b/>
                <w:bCs/>
                <w:bdr w:val="nil"/>
              </w:rPr>
              <w:t>Ingresos</w:t>
            </w:r>
          </w:p>
        </w:tc>
        <w:tc>
          <w:tcPr>
            <w:tcW w:w="19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bdr w:val="nil"/>
              </w:rPr>
              <w:t>3.334</w:t>
            </w:r>
            <w:r w:rsidRPr="000070A7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19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bdr w:val="nil"/>
              </w:rPr>
              <w:t>1.043</w:t>
            </w:r>
            <w:r w:rsidRPr="000070A7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36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652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bdr w:val="nil"/>
              </w:rPr>
              <w:t>220</w:t>
            </w:r>
            <w:r w:rsidRPr="000070A7">
              <w:rPr>
                <w:rFonts w:ascii="Calibri" w:eastAsia="Calibri" w:hAnsi="Calibri" w:cs="Calibri"/>
                <w:bdr w:val="nil"/>
              </w:rPr>
              <w:t>%</w:t>
            </w:r>
          </w:p>
        </w:tc>
      </w:tr>
      <w:tr w:rsidR="00E87D0C" w:rsidRPr="000070A7" w:rsidTr="00CA25E1">
        <w:trPr>
          <w:trHeight w:val="390"/>
        </w:trPr>
        <w:tc>
          <w:tcPr>
            <w:tcW w:w="382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  <w:b/>
                <w:bCs/>
              </w:rPr>
            </w:pPr>
            <w:r w:rsidRPr="000070A7">
              <w:rPr>
                <w:rFonts w:ascii="Calibri" w:eastAsia="Calibri" w:hAnsi="Calibri" w:cs="Calibri"/>
                <w:b/>
                <w:bCs/>
                <w:bdr w:val="nil"/>
              </w:rPr>
              <w:t>EBITDA</w:t>
            </w:r>
            <w:r>
              <w:rPr>
                <w:rFonts w:ascii="Calibri" w:eastAsia="Calibri" w:hAnsi="Calibri" w:cs="Calibri"/>
                <w:b/>
                <w:bCs/>
                <w:bdr w:val="nil"/>
              </w:rPr>
              <w:t>*</w:t>
            </w:r>
          </w:p>
        </w:tc>
        <w:tc>
          <w:tcPr>
            <w:tcW w:w="19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bdr w:val="nil"/>
              </w:rPr>
              <w:t>1.383</w:t>
            </w:r>
            <w:r w:rsidRPr="000070A7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19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bdr w:val="nil"/>
              </w:rPr>
              <w:t>541</w:t>
            </w:r>
            <w:r w:rsidRPr="000070A7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36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652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bdr w:val="nil"/>
              </w:rPr>
              <w:t>156</w:t>
            </w:r>
            <w:r w:rsidRPr="000070A7">
              <w:rPr>
                <w:rFonts w:ascii="Calibri" w:eastAsia="Calibri" w:hAnsi="Calibri" w:cs="Calibri"/>
                <w:bdr w:val="nil"/>
              </w:rPr>
              <w:t>%</w:t>
            </w:r>
          </w:p>
        </w:tc>
      </w:tr>
      <w:tr w:rsidR="00E87D0C" w:rsidRPr="000070A7" w:rsidTr="00CA25E1">
        <w:trPr>
          <w:trHeight w:val="390"/>
        </w:trPr>
        <w:tc>
          <w:tcPr>
            <w:tcW w:w="382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  <w:b/>
                <w:bCs/>
              </w:rPr>
            </w:pPr>
            <w:r w:rsidRPr="000070A7">
              <w:rPr>
                <w:rFonts w:ascii="Calibri" w:eastAsia="Calibri" w:hAnsi="Calibri" w:cs="Calibri"/>
                <w:b/>
                <w:bCs/>
                <w:bdr w:val="nil"/>
              </w:rPr>
              <w:t>Resultado operativo (EBIT)</w:t>
            </w:r>
          </w:p>
        </w:tc>
        <w:tc>
          <w:tcPr>
            <w:tcW w:w="19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946</w:t>
            </w:r>
          </w:p>
        </w:tc>
        <w:tc>
          <w:tcPr>
            <w:tcW w:w="19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302</w:t>
            </w:r>
            <w:r w:rsidRPr="000070A7">
              <w:rPr>
                <w:rFonts w:ascii="Calibri" w:eastAsia="Calibri" w:hAnsi="Calibri" w:cs="Calibri"/>
                <w:bdr w:val="none" w:sz="0" w:space="0" w:color="auto" w:frame="1"/>
              </w:rPr>
              <w:t xml:space="preserve"> </w:t>
            </w:r>
          </w:p>
        </w:tc>
        <w:tc>
          <w:tcPr>
            <w:tcW w:w="36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652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213</w:t>
            </w:r>
            <w:r w:rsidRPr="000070A7">
              <w:rPr>
                <w:rFonts w:ascii="Calibri" w:eastAsia="Calibri" w:hAnsi="Calibri"/>
              </w:rPr>
              <w:t>%</w:t>
            </w:r>
          </w:p>
        </w:tc>
      </w:tr>
      <w:tr w:rsidR="00E87D0C" w:rsidRPr="000070A7" w:rsidTr="00CA25E1">
        <w:trPr>
          <w:trHeight w:val="390"/>
        </w:trPr>
        <w:tc>
          <w:tcPr>
            <w:tcW w:w="382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eastAsia="Calibri" w:cs="Arial"/>
                <w:b/>
                <w:bCs/>
              </w:rPr>
            </w:pPr>
            <w:r w:rsidRPr="000070A7">
              <w:rPr>
                <w:rFonts w:ascii="Calibri" w:eastAsia="Calibri" w:hAnsi="Calibri" w:cs="Calibri"/>
                <w:b/>
                <w:bCs/>
                <w:bdr w:val="nil"/>
              </w:rPr>
              <w:t xml:space="preserve">Resultado del </w:t>
            </w:r>
            <w:r>
              <w:rPr>
                <w:rFonts w:ascii="Calibri" w:eastAsia="Calibri" w:hAnsi="Calibri" w:cs="Calibri"/>
                <w:b/>
                <w:bCs/>
                <w:bdr w:val="nil"/>
              </w:rPr>
              <w:t>período</w:t>
            </w:r>
          </w:p>
        </w:tc>
        <w:tc>
          <w:tcPr>
            <w:tcW w:w="19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1.752</w:t>
            </w:r>
          </w:p>
        </w:tc>
        <w:tc>
          <w:tcPr>
            <w:tcW w:w="19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352</w:t>
            </w:r>
          </w:p>
        </w:tc>
        <w:tc>
          <w:tcPr>
            <w:tcW w:w="36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652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 w:cs="Calibri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398</w:t>
            </w:r>
            <w:r w:rsidRPr="000070A7">
              <w:rPr>
                <w:rFonts w:ascii="Calibri" w:eastAsia="Calibri" w:hAnsi="Calibri" w:cs="Calibri"/>
                <w:bdr w:val="none" w:sz="0" w:space="0" w:color="auto" w:frame="1"/>
              </w:rPr>
              <w:t>%</w:t>
            </w:r>
          </w:p>
        </w:tc>
      </w:tr>
      <w:tr w:rsidR="00E87D0C" w:rsidRPr="000070A7" w:rsidTr="00CA25E1">
        <w:trPr>
          <w:trHeight w:val="390"/>
        </w:trPr>
        <w:tc>
          <w:tcPr>
            <w:tcW w:w="382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  <w:b/>
                <w:bCs/>
              </w:rPr>
            </w:pPr>
            <w:r w:rsidRPr="000070A7">
              <w:rPr>
                <w:rFonts w:ascii="Calibri" w:eastAsia="Calibri" w:hAnsi="Calibri" w:cs="Calibri"/>
                <w:b/>
                <w:bCs/>
                <w:bdr w:val="nil"/>
              </w:rPr>
              <w:t>Deuda neta</w:t>
            </w:r>
          </w:p>
        </w:tc>
        <w:tc>
          <w:tcPr>
            <w:tcW w:w="19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 w:cs="Calibri"/>
                <w:bdr w:val="none" w:sz="0" w:space="0" w:color="auto" w:frame="1"/>
              </w:rPr>
              <w:t>(</w:t>
            </w:r>
            <w:r>
              <w:rPr>
                <w:rFonts w:ascii="Calibri" w:eastAsia="Calibri" w:hAnsi="Calibri" w:cs="Calibri"/>
                <w:bdr w:val="none" w:sz="0" w:space="0" w:color="auto" w:frame="1"/>
              </w:rPr>
              <w:t>3.613</w:t>
            </w:r>
            <w:r w:rsidRPr="000070A7">
              <w:rPr>
                <w:rFonts w:ascii="Calibri" w:eastAsia="Calibri" w:hAnsi="Calibri" w:cs="Calibri"/>
                <w:bdr w:val="none" w:sz="0" w:space="0" w:color="auto" w:frame="1"/>
              </w:rPr>
              <w:t xml:space="preserve">) </w:t>
            </w:r>
          </w:p>
        </w:tc>
        <w:tc>
          <w:tcPr>
            <w:tcW w:w="19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 w:cs="Calibri"/>
                <w:bdr w:val="none" w:sz="0" w:space="0" w:color="auto" w:frame="1"/>
              </w:rPr>
              <w:t>(</w:t>
            </w:r>
            <w:r>
              <w:rPr>
                <w:rFonts w:ascii="Calibri" w:eastAsia="Calibri" w:hAnsi="Calibri" w:cs="Calibri"/>
                <w:bdr w:val="none" w:sz="0" w:space="0" w:color="auto" w:frame="1"/>
              </w:rPr>
              <w:t>1.919</w:t>
            </w:r>
            <w:r w:rsidRPr="000070A7">
              <w:rPr>
                <w:rFonts w:ascii="Calibri" w:eastAsia="Calibri" w:hAnsi="Calibri" w:cs="Calibri"/>
                <w:bdr w:val="none" w:sz="0" w:space="0" w:color="auto" w:frame="1"/>
              </w:rPr>
              <w:t xml:space="preserve">) </w:t>
            </w:r>
          </w:p>
        </w:tc>
        <w:tc>
          <w:tcPr>
            <w:tcW w:w="360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**</w:t>
            </w:r>
          </w:p>
        </w:tc>
        <w:tc>
          <w:tcPr>
            <w:tcW w:w="1652" w:type="dxa"/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bdr w:val="nil"/>
              </w:rPr>
              <w:t>88</w:t>
            </w:r>
            <w:r w:rsidRPr="000070A7">
              <w:rPr>
                <w:rFonts w:ascii="Calibri" w:eastAsia="Calibri" w:hAnsi="Calibri" w:cs="Calibri"/>
                <w:bdr w:val="nil"/>
              </w:rPr>
              <w:t>%</w:t>
            </w:r>
          </w:p>
        </w:tc>
      </w:tr>
      <w:tr w:rsidR="00E87D0C" w:rsidRPr="000070A7" w:rsidTr="00CA25E1">
        <w:trPr>
          <w:trHeight w:val="390"/>
        </w:trPr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  <w:b/>
                <w:bCs/>
              </w:rPr>
            </w:pPr>
            <w:r w:rsidRPr="000070A7">
              <w:rPr>
                <w:rFonts w:ascii="Calibri" w:eastAsia="Calibri" w:hAnsi="Calibri" w:cs="Calibri"/>
                <w:b/>
                <w:bCs/>
                <w:bdr w:val="nil"/>
              </w:rPr>
              <w:t>Inversiones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87D0C" w:rsidRPr="0064059D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79</w:t>
            </w:r>
            <w:r w:rsidRPr="0064059D">
              <w:rPr>
                <w:rFonts w:ascii="Calibri" w:eastAsia="Calibri" w:hAnsi="Calibri" w:cs="Calibri"/>
                <w:bdr w:val="none" w:sz="0" w:space="0" w:color="auto" w:frame="1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87D0C" w:rsidRPr="0064059D" w:rsidRDefault="00E87D0C" w:rsidP="00CA25E1">
            <w:pPr>
              <w:rPr>
                <w:rFonts w:ascii="Calibri" w:eastAsia="Calibri" w:hAnsi="Calibri"/>
              </w:rPr>
            </w:pPr>
            <w:r w:rsidRPr="0064059D">
              <w:rPr>
                <w:rFonts w:ascii="Calibri" w:eastAsia="Calibri" w:hAnsi="Calibr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bdr w:val="nil"/>
              </w:rPr>
              <w:t>152</w:t>
            </w:r>
            <w:r w:rsidRPr="000070A7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rPr>
                <w:rFonts w:ascii="Calibri" w:eastAsia="Calibri" w:hAnsi="Calibri"/>
              </w:rPr>
            </w:pPr>
            <w:r w:rsidRPr="000070A7">
              <w:rPr>
                <w:rFonts w:ascii="Calibri" w:eastAsia="Calibri" w:hAnsi="Calibri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87D0C" w:rsidRPr="000070A7" w:rsidRDefault="00E87D0C" w:rsidP="00CA25E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(48</w:t>
            </w:r>
            <w:r w:rsidRPr="000070A7">
              <w:rPr>
                <w:rFonts w:ascii="Calibri" w:eastAsia="Calibri" w:hAnsi="Calibri" w:cs="Calibri"/>
                <w:bdr w:val="none" w:sz="0" w:space="0" w:color="auto" w:frame="1"/>
              </w:rPr>
              <w:t>%</w:t>
            </w:r>
            <w:r>
              <w:rPr>
                <w:rFonts w:ascii="Calibri" w:eastAsia="Calibri" w:hAnsi="Calibri" w:cs="Calibri"/>
                <w:bdr w:val="none" w:sz="0" w:space="0" w:color="auto" w:frame="1"/>
              </w:rPr>
              <w:t>)</w:t>
            </w:r>
          </w:p>
        </w:tc>
      </w:tr>
    </w:tbl>
    <w:p w:rsidR="00E87D0C" w:rsidRDefault="00E87D0C" w:rsidP="00E87D0C">
      <w:pPr>
        <w:jc w:val="both"/>
        <w:rPr>
          <w:rFonts w:ascii="Calibri" w:eastAsia="Calibri" w:hAnsi="Calibri" w:cs="Calibri"/>
          <w:b/>
          <w:bCs/>
          <w:bdr w:val="none" w:sz="0" w:space="0" w:color="auto" w:frame="1"/>
          <w:lang w:eastAsia="es-ES"/>
        </w:rPr>
      </w:pPr>
    </w:p>
    <w:p w:rsidR="00E87D0C" w:rsidRDefault="00E87D0C" w:rsidP="00E87D0C">
      <w:pPr>
        <w:jc w:val="both"/>
        <w:rPr>
          <w:rFonts w:ascii="Calibri" w:eastAsia="Calibri" w:hAnsi="Calibri" w:cs="Calibri"/>
          <w:bCs/>
          <w:bdr w:val="none" w:sz="0" w:space="0" w:color="auto" w:frame="1"/>
          <w:lang w:eastAsia="es-ES"/>
        </w:rPr>
      </w:pPr>
      <w:r>
        <w:rPr>
          <w:rFonts w:ascii="Calibri" w:eastAsia="Calibri" w:hAnsi="Calibri" w:cs="Calibri"/>
          <w:b/>
          <w:bCs/>
          <w:bdr w:val="none" w:sz="0" w:space="0" w:color="auto" w:frame="1"/>
          <w:lang w:eastAsia="es-ES"/>
        </w:rPr>
        <w:t>*</w:t>
      </w:r>
      <w:r w:rsidRPr="00A906D4">
        <w:rPr>
          <w:rFonts w:ascii="Calibri" w:eastAsia="Calibri" w:hAnsi="Calibri" w:cs="Calibri"/>
          <w:bCs/>
          <w:bdr w:val="none" w:sz="0" w:space="0" w:color="auto" w:frame="1"/>
          <w:lang w:eastAsia="es-ES"/>
        </w:rPr>
        <w:t xml:space="preserve">Resultado </w:t>
      </w:r>
      <w:r>
        <w:rPr>
          <w:rFonts w:ascii="Calibri" w:eastAsia="Calibri" w:hAnsi="Calibri" w:cs="Calibri"/>
          <w:bCs/>
          <w:bdr w:val="none" w:sz="0" w:space="0" w:color="auto" w:frame="1"/>
          <w:lang w:eastAsia="es-ES"/>
        </w:rPr>
        <w:t>operativo antes de depreciaciones y amortizaciones.</w:t>
      </w:r>
    </w:p>
    <w:p w:rsidR="00E87D0C" w:rsidRPr="00A906D4" w:rsidRDefault="00E87D0C" w:rsidP="00E87D0C">
      <w:pPr>
        <w:jc w:val="both"/>
        <w:rPr>
          <w:rFonts w:ascii="Calibri" w:eastAsia="Calibri" w:hAnsi="Calibri" w:cs="Calibri"/>
          <w:bCs/>
          <w:bdr w:val="none" w:sz="0" w:space="0" w:color="auto" w:frame="1"/>
          <w:lang w:eastAsia="es-ES"/>
        </w:rPr>
      </w:pPr>
      <w:r>
        <w:rPr>
          <w:rFonts w:ascii="Calibri" w:eastAsia="Calibri" w:hAnsi="Calibri" w:cs="Calibri"/>
          <w:bCs/>
          <w:bdr w:val="none" w:sz="0" w:space="0" w:color="auto" w:frame="1"/>
          <w:lang w:eastAsia="es-ES"/>
        </w:rPr>
        <w:t>**</w:t>
      </w:r>
      <w:r w:rsidRPr="0086046E">
        <w:rPr>
          <w:rFonts w:ascii="Calibri" w:eastAsia="Calibri" w:hAnsi="Calibri" w:cs="Calibri"/>
          <w:bCs/>
          <w:bdr w:val="none" w:sz="0" w:space="0" w:color="auto" w:frame="1"/>
          <w:lang w:eastAsia="es-ES"/>
        </w:rPr>
        <w:t>Valor al 31</w:t>
      </w:r>
      <w:r>
        <w:rPr>
          <w:rFonts w:ascii="Calibri" w:eastAsia="Calibri" w:hAnsi="Calibri" w:cs="Calibri"/>
          <w:bCs/>
          <w:bdr w:val="none" w:sz="0" w:space="0" w:color="auto" w:frame="1"/>
          <w:lang w:eastAsia="es-ES"/>
        </w:rPr>
        <w:t xml:space="preserve"> de diciembre de 2018.</w:t>
      </w:r>
    </w:p>
    <w:p w:rsidR="00E87D0C" w:rsidRPr="000070A7" w:rsidRDefault="00E87D0C" w:rsidP="00E87D0C">
      <w:pPr>
        <w:jc w:val="both"/>
        <w:rPr>
          <w:rFonts w:ascii="Calibri" w:eastAsia="Calibri" w:hAnsi="Calibri" w:cs="Calibri"/>
          <w:bdr w:val="nil"/>
          <w:lang w:eastAsia="es-ES"/>
        </w:rPr>
      </w:pPr>
      <w:r w:rsidRPr="000070A7">
        <w:rPr>
          <w:rFonts w:ascii="Calibri" w:eastAsia="Calibri" w:hAnsi="Calibri" w:cs="Calibri"/>
          <w:b/>
          <w:bCs/>
          <w:bdr w:val="nil"/>
          <w:lang w:eastAsia="es-ES"/>
        </w:rPr>
        <w:t>Buenos Aires, 2</w:t>
      </w:r>
      <w:r>
        <w:rPr>
          <w:rFonts w:ascii="Calibri" w:eastAsia="Calibri" w:hAnsi="Calibri" w:cs="Calibri"/>
          <w:b/>
          <w:bCs/>
          <w:bdr w:val="nil"/>
          <w:lang w:eastAsia="es-ES"/>
        </w:rPr>
        <w:t>4</w:t>
      </w:r>
      <w:r w:rsidRPr="000070A7">
        <w:rPr>
          <w:rFonts w:ascii="Calibri" w:eastAsia="Calibri" w:hAnsi="Calibri" w:cs="Calibri"/>
          <w:b/>
          <w:bCs/>
          <w:bdr w:val="nil"/>
          <w:lang w:eastAsia="es-ES"/>
        </w:rPr>
        <w:t xml:space="preserve"> de </w:t>
      </w:r>
      <w:r>
        <w:rPr>
          <w:rFonts w:ascii="Calibri" w:eastAsia="Calibri" w:hAnsi="Calibri" w:cs="Calibri"/>
          <w:b/>
          <w:bCs/>
          <w:bdr w:val="nil"/>
          <w:lang w:eastAsia="es-ES"/>
        </w:rPr>
        <w:t>abril</w:t>
      </w:r>
      <w:r w:rsidRPr="000070A7">
        <w:rPr>
          <w:rFonts w:ascii="Calibri" w:eastAsia="Calibri" w:hAnsi="Calibri" w:cs="Calibri"/>
          <w:b/>
          <w:bCs/>
          <w:bdr w:val="nil"/>
          <w:lang w:eastAsia="es-ES"/>
        </w:rPr>
        <w:t xml:space="preserve"> de </w:t>
      </w:r>
      <w:r w:rsidRPr="000070A7">
        <w:rPr>
          <w:rFonts w:ascii="Calibri" w:eastAsia="Calibri" w:hAnsi="Calibri" w:cs="Calibri"/>
          <w:b/>
          <w:bdr w:val="nil"/>
          <w:lang w:eastAsia="es-ES"/>
        </w:rPr>
        <w:t xml:space="preserve">2019 </w:t>
      </w:r>
      <w:r w:rsidRPr="000070A7">
        <w:rPr>
          <w:rFonts w:ascii="Calibri" w:eastAsia="Calibri" w:hAnsi="Calibri" w:cs="Calibri"/>
          <w:bdr w:val="nil"/>
          <w:lang w:eastAsia="es-ES"/>
        </w:rPr>
        <w:t xml:space="preserve">– El Directorio de Enel Generación Costanera S.A. (“Costanera”) aprobó sus estados financieros </w:t>
      </w:r>
      <w:r>
        <w:rPr>
          <w:rFonts w:ascii="Calibri" w:eastAsia="Calibri" w:hAnsi="Calibri" w:cs="Calibri"/>
          <w:bdr w:val="nil"/>
          <w:lang w:eastAsia="es-ES"/>
        </w:rPr>
        <w:t>intermedio</w:t>
      </w:r>
      <w:r w:rsidRPr="000070A7">
        <w:rPr>
          <w:rFonts w:ascii="Calibri" w:eastAsia="Calibri" w:hAnsi="Calibri" w:cs="Calibri"/>
          <w:bdr w:val="nil"/>
          <w:lang w:eastAsia="es-ES"/>
        </w:rPr>
        <w:t>s</w:t>
      </w:r>
      <w:r>
        <w:rPr>
          <w:rFonts w:ascii="Calibri" w:eastAsia="Calibri" w:hAnsi="Calibri" w:cs="Calibri"/>
          <w:bdr w:val="nil"/>
          <w:lang w:eastAsia="es-ES"/>
        </w:rPr>
        <w:t xml:space="preserve"> condensados al 31 de marzo de 2019.</w:t>
      </w:r>
    </w:p>
    <w:p w:rsidR="00E87D0C" w:rsidRPr="00632839" w:rsidRDefault="00E87D0C" w:rsidP="00E87D0C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color w:val="FF0000"/>
          <w:bdr w:val="nil"/>
          <w:lang w:eastAsia="es-ES"/>
        </w:rPr>
      </w:pPr>
      <w:r w:rsidRPr="00B8091F">
        <w:rPr>
          <w:rFonts w:ascii="Calibri" w:eastAsia="Calibri" w:hAnsi="Calibri" w:cs="Calibri"/>
          <w:b/>
          <w:bdr w:val="nil"/>
          <w:lang w:eastAsia="es-ES"/>
        </w:rPr>
        <w:t>Los Ingresos</w:t>
      </w:r>
      <w:r>
        <w:rPr>
          <w:rFonts w:ascii="Calibri" w:eastAsia="Calibri" w:hAnsi="Calibri" w:cs="Calibri"/>
          <w:b/>
          <w:bdr w:val="nil"/>
          <w:lang w:eastAsia="es-ES"/>
        </w:rPr>
        <w:t xml:space="preserve"> </w:t>
      </w:r>
      <w:r w:rsidRPr="0086046E">
        <w:rPr>
          <w:rFonts w:ascii="Calibri" w:eastAsia="Calibri" w:hAnsi="Calibri" w:cs="Calibri"/>
          <w:bdr w:val="nil"/>
          <w:lang w:eastAsia="es-ES"/>
        </w:rPr>
        <w:t>aumentaron (+2.291 MM$)</w:t>
      </w:r>
      <w:r w:rsidRPr="0086046E">
        <w:rPr>
          <w:rFonts w:ascii="Calibri" w:eastAsia="Calibri" w:hAnsi="Calibri" w:cs="Calibri"/>
          <w:b/>
          <w:bdr w:val="nil"/>
          <w:lang w:eastAsia="es-ES"/>
        </w:rPr>
        <w:t xml:space="preserve">, </w:t>
      </w:r>
      <w:r w:rsidRPr="0086046E">
        <w:rPr>
          <w:rFonts w:ascii="Calibri" w:eastAsia="Calibri" w:hAnsi="Calibri" w:cs="Calibri"/>
          <w:bdr w:val="nil"/>
          <w:lang w:eastAsia="es-ES"/>
        </w:rPr>
        <w:t>principalmente por la variación del tipo de cambio del período (de acuerdo a lo establecido en la normativa existente para la generación los ingresos son definidos según una tarifa en dólares), y además por mayor disponibilidad y generación de energía con combustibles propios</w:t>
      </w:r>
      <w:r w:rsidRPr="00632839">
        <w:rPr>
          <w:rFonts w:ascii="Calibri" w:eastAsia="Calibri" w:hAnsi="Calibri" w:cs="Calibri"/>
          <w:color w:val="FF0000"/>
          <w:bdr w:val="nil"/>
          <w:lang w:eastAsia="es-ES"/>
        </w:rPr>
        <w:t xml:space="preserve">. </w:t>
      </w:r>
    </w:p>
    <w:p w:rsidR="00E87D0C" w:rsidRDefault="00E87D0C" w:rsidP="00E87D0C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bdr w:val="nil"/>
          <w:lang w:eastAsia="es-ES"/>
        </w:rPr>
      </w:pPr>
      <w:r w:rsidRPr="000070A7">
        <w:rPr>
          <w:rFonts w:ascii="Calibri" w:eastAsia="Calibri" w:hAnsi="Calibri" w:cs="Calibri"/>
          <w:bdr w:val="nil"/>
          <w:lang w:eastAsia="es-ES"/>
        </w:rPr>
        <w:t>El</w:t>
      </w:r>
      <w:r w:rsidRPr="000070A7">
        <w:rPr>
          <w:rFonts w:ascii="Calibri" w:eastAsia="Calibri" w:hAnsi="Calibri" w:cs="Calibri"/>
          <w:b/>
          <w:bdr w:val="nil"/>
          <w:lang w:eastAsia="es-ES"/>
        </w:rPr>
        <w:t xml:space="preserve"> EBITDA </w:t>
      </w:r>
      <w:r w:rsidRPr="000070A7">
        <w:rPr>
          <w:rFonts w:ascii="Calibri" w:eastAsia="Calibri" w:hAnsi="Calibri" w:cs="Calibri"/>
          <w:bdr w:val="nil"/>
          <w:lang w:eastAsia="es-ES"/>
        </w:rPr>
        <w:t>se vio incrementado (+</w:t>
      </w:r>
      <w:r>
        <w:rPr>
          <w:rFonts w:ascii="Calibri" w:eastAsia="Calibri" w:hAnsi="Calibri" w:cs="Calibri"/>
          <w:bdr w:val="nil"/>
          <w:lang w:eastAsia="es-ES"/>
        </w:rPr>
        <w:t>842</w:t>
      </w:r>
      <w:r w:rsidRPr="000070A7">
        <w:rPr>
          <w:rFonts w:ascii="Calibri" w:eastAsia="Calibri" w:hAnsi="Calibri" w:cs="Calibri"/>
          <w:bdr w:val="nil"/>
          <w:lang w:eastAsia="es-ES"/>
        </w:rPr>
        <w:t xml:space="preserve"> MM$) principalmente por </w:t>
      </w:r>
      <w:r>
        <w:rPr>
          <w:rFonts w:ascii="Calibri" w:eastAsia="Calibri" w:hAnsi="Calibri" w:cs="Calibri"/>
          <w:bdr w:val="nil"/>
          <w:lang w:eastAsia="es-ES"/>
        </w:rPr>
        <w:t xml:space="preserve">la mejora </w:t>
      </w:r>
      <w:r w:rsidRPr="000070A7">
        <w:rPr>
          <w:rFonts w:ascii="Calibri" w:eastAsia="Calibri" w:hAnsi="Calibri" w:cs="Calibri"/>
          <w:bdr w:val="nil"/>
          <w:lang w:eastAsia="es-ES"/>
        </w:rPr>
        <w:t>registrad</w:t>
      </w:r>
      <w:r>
        <w:rPr>
          <w:rFonts w:ascii="Calibri" w:eastAsia="Calibri" w:hAnsi="Calibri" w:cs="Calibri"/>
          <w:bdr w:val="nil"/>
          <w:lang w:eastAsia="es-ES"/>
        </w:rPr>
        <w:t>a en los ingreso</w:t>
      </w:r>
      <w:r w:rsidRPr="000070A7">
        <w:rPr>
          <w:rFonts w:ascii="Calibri" w:eastAsia="Calibri" w:hAnsi="Calibri" w:cs="Calibri"/>
          <w:bdr w:val="nil"/>
          <w:lang w:eastAsia="es-ES"/>
        </w:rPr>
        <w:t>s</w:t>
      </w:r>
      <w:r>
        <w:rPr>
          <w:rFonts w:ascii="Calibri" w:eastAsia="Calibri" w:hAnsi="Calibri" w:cs="Calibri"/>
          <w:bdr w:val="nil"/>
          <w:lang w:eastAsia="es-ES"/>
        </w:rPr>
        <w:t>, neto del incremento del costo de los combustibles</w:t>
      </w:r>
      <w:r w:rsidRPr="000070A7">
        <w:rPr>
          <w:rFonts w:ascii="Calibri" w:eastAsia="Calibri" w:hAnsi="Calibri" w:cs="Calibri"/>
          <w:bdr w:val="nil"/>
          <w:lang w:eastAsia="es-ES"/>
        </w:rPr>
        <w:t xml:space="preserve">. </w:t>
      </w:r>
    </w:p>
    <w:p w:rsidR="00E87D0C" w:rsidRPr="00B8091F" w:rsidRDefault="00E87D0C" w:rsidP="00E87D0C">
      <w:pPr>
        <w:numPr>
          <w:ilvl w:val="0"/>
          <w:numId w:val="1"/>
        </w:numPr>
        <w:ind w:left="426"/>
        <w:jc w:val="both"/>
        <w:rPr>
          <w:rFonts w:ascii="Calibri" w:eastAsia="Calibri" w:hAnsi="Calibri" w:cs="Arial"/>
          <w:lang w:eastAsia="es-ES"/>
        </w:rPr>
      </w:pPr>
      <w:r w:rsidRPr="000070A7">
        <w:rPr>
          <w:rFonts w:ascii="Calibri" w:eastAsia="Calibri" w:hAnsi="Calibri" w:cs="Calibri"/>
          <w:bCs/>
          <w:bdr w:val="nil"/>
          <w:lang w:eastAsia="es-ES"/>
        </w:rPr>
        <w:t>El</w:t>
      </w:r>
      <w:r w:rsidRPr="000070A7">
        <w:rPr>
          <w:rFonts w:ascii="Calibri" w:eastAsia="Calibri" w:hAnsi="Calibri" w:cs="Calibri"/>
          <w:b/>
          <w:bCs/>
          <w:bdr w:val="nil"/>
          <w:lang w:eastAsia="es-ES"/>
        </w:rPr>
        <w:t xml:space="preserve"> </w:t>
      </w:r>
      <w:r w:rsidRPr="000070A7">
        <w:rPr>
          <w:rFonts w:ascii="Calibri" w:eastAsia="Calibri" w:hAnsi="Calibri" w:cs="Calibri"/>
          <w:b/>
          <w:bdr w:val="nil"/>
          <w:lang w:eastAsia="es-ES"/>
        </w:rPr>
        <w:t>Resultado operativo (EBIT)</w:t>
      </w:r>
      <w:r w:rsidRPr="000070A7">
        <w:rPr>
          <w:rFonts w:ascii="Calibri" w:eastAsia="Calibri" w:hAnsi="Calibri" w:cs="Calibri"/>
          <w:bdr w:val="nil"/>
          <w:lang w:eastAsia="es-ES"/>
        </w:rPr>
        <w:t xml:space="preserve"> aumentó (+</w:t>
      </w:r>
      <w:r>
        <w:rPr>
          <w:rFonts w:ascii="Calibri" w:eastAsia="Calibri" w:hAnsi="Calibri" w:cs="Calibri"/>
          <w:bdr w:val="nil"/>
          <w:lang w:eastAsia="es-ES"/>
        </w:rPr>
        <w:t xml:space="preserve">644 </w:t>
      </w:r>
      <w:r w:rsidRPr="000070A7">
        <w:rPr>
          <w:rFonts w:ascii="Calibri" w:eastAsia="Calibri" w:hAnsi="Calibri" w:cs="Calibri"/>
          <w:bdr w:val="nil"/>
          <w:lang w:eastAsia="es-ES"/>
        </w:rPr>
        <w:t>MM</w:t>
      </w:r>
      <w:r>
        <w:rPr>
          <w:rFonts w:ascii="Calibri" w:eastAsia="Calibri" w:hAnsi="Calibri" w:cs="Calibri"/>
          <w:bdr w:val="nil"/>
          <w:lang w:eastAsia="es-ES"/>
        </w:rPr>
        <w:t>$</w:t>
      </w:r>
      <w:r w:rsidRPr="000070A7">
        <w:rPr>
          <w:rFonts w:ascii="Calibri" w:eastAsia="Calibri" w:hAnsi="Calibri" w:cs="Calibri"/>
          <w:bdr w:val="nil"/>
          <w:lang w:eastAsia="es-ES"/>
        </w:rPr>
        <w:t xml:space="preserve">) </w:t>
      </w:r>
      <w:r>
        <w:rPr>
          <w:rFonts w:ascii="Calibri" w:eastAsia="Calibri" w:hAnsi="Calibri" w:cs="Calibri"/>
          <w:bdr w:val="nil"/>
          <w:lang w:eastAsia="es-ES"/>
        </w:rPr>
        <w:t>producto del incremento</w:t>
      </w:r>
      <w:r w:rsidRPr="000070A7">
        <w:rPr>
          <w:rFonts w:ascii="Calibri" w:eastAsia="Calibri" w:hAnsi="Calibri" w:cs="Calibri"/>
          <w:bdr w:val="nil"/>
          <w:lang w:eastAsia="es-ES"/>
        </w:rPr>
        <w:t xml:space="preserve"> registrado en los indicadores previos. </w:t>
      </w:r>
      <w:r>
        <w:rPr>
          <w:rFonts w:ascii="Calibri" w:eastAsia="Calibri" w:hAnsi="Calibri" w:cs="Calibri"/>
          <w:bdr w:val="nil"/>
          <w:lang w:eastAsia="es-ES"/>
        </w:rPr>
        <w:t xml:space="preserve"> </w:t>
      </w:r>
    </w:p>
    <w:p w:rsidR="00E87D0C" w:rsidRPr="00B8091F" w:rsidRDefault="00E87D0C" w:rsidP="00E87D0C">
      <w:pPr>
        <w:jc w:val="both"/>
        <w:rPr>
          <w:rFonts w:ascii="Calibri" w:eastAsia="Calibri" w:hAnsi="Calibri" w:cs="Arial"/>
          <w:lang w:eastAsia="es-ES"/>
        </w:rPr>
      </w:pPr>
    </w:p>
    <w:p w:rsidR="00E87D0C" w:rsidRDefault="00E87D0C" w:rsidP="00E87D0C">
      <w:pPr>
        <w:jc w:val="both"/>
        <w:rPr>
          <w:rFonts w:ascii="Calibri" w:eastAsia="Calibri" w:hAnsi="Calibri" w:cs="Calibri"/>
          <w:bdr w:val="nil"/>
          <w:lang w:eastAsia="es-ES"/>
        </w:rPr>
      </w:pPr>
    </w:p>
    <w:p w:rsidR="00E87D0C" w:rsidRDefault="00E87D0C" w:rsidP="00E87D0C">
      <w:pPr>
        <w:jc w:val="both"/>
        <w:rPr>
          <w:rFonts w:ascii="Calibri" w:eastAsia="Calibri" w:hAnsi="Calibri" w:cs="Arial"/>
          <w:lang w:eastAsia="es-ES"/>
        </w:rPr>
      </w:pPr>
    </w:p>
    <w:p w:rsidR="00E87D0C" w:rsidRDefault="00E87D0C" w:rsidP="00E87D0C">
      <w:pPr>
        <w:jc w:val="both"/>
        <w:rPr>
          <w:rFonts w:ascii="Calibri" w:eastAsia="Calibri" w:hAnsi="Calibri" w:cs="Arial"/>
          <w:lang w:eastAsia="es-ES"/>
        </w:rPr>
      </w:pPr>
    </w:p>
    <w:p w:rsidR="00E87D0C" w:rsidRPr="008F052E" w:rsidRDefault="00E87D0C" w:rsidP="00E87D0C">
      <w:pPr>
        <w:jc w:val="both"/>
        <w:rPr>
          <w:rFonts w:ascii="Calibri" w:eastAsia="Calibri" w:hAnsi="Calibri" w:cs="Arial"/>
          <w:lang w:eastAsia="es-ES"/>
        </w:rPr>
      </w:pPr>
    </w:p>
    <w:p w:rsidR="00E87D0C" w:rsidRPr="0086046E" w:rsidRDefault="00E87D0C" w:rsidP="00E87D0C">
      <w:pPr>
        <w:numPr>
          <w:ilvl w:val="0"/>
          <w:numId w:val="1"/>
        </w:numPr>
        <w:ind w:left="426"/>
        <w:jc w:val="both"/>
        <w:rPr>
          <w:rFonts w:ascii="Calibri" w:eastAsia="Calibri" w:hAnsi="Calibri" w:cs="Arial"/>
          <w:b/>
          <w:lang w:eastAsia="es-ES"/>
        </w:rPr>
      </w:pPr>
      <w:r w:rsidRPr="001545B7">
        <w:rPr>
          <w:rFonts w:ascii="Calibri" w:eastAsia="Calibri" w:hAnsi="Calibri" w:cs="Calibri"/>
          <w:bCs/>
          <w:bdr w:val="nil"/>
          <w:lang w:eastAsia="es-ES"/>
        </w:rPr>
        <w:t xml:space="preserve">El </w:t>
      </w:r>
      <w:r w:rsidRPr="001545B7">
        <w:rPr>
          <w:rFonts w:ascii="Calibri" w:eastAsia="Calibri" w:hAnsi="Calibri" w:cs="Calibri"/>
          <w:b/>
          <w:bCs/>
          <w:bdr w:val="nil"/>
          <w:lang w:eastAsia="es-ES"/>
        </w:rPr>
        <w:t xml:space="preserve">Resultado del período </w:t>
      </w:r>
      <w:r w:rsidRPr="001545B7">
        <w:rPr>
          <w:rFonts w:ascii="Calibri" w:eastAsia="Calibri" w:hAnsi="Calibri" w:cs="Calibri"/>
          <w:bCs/>
          <w:bdr w:val="nil"/>
          <w:lang w:eastAsia="es-ES"/>
        </w:rPr>
        <w:t xml:space="preserve">también aumentó (+1.400 MM$), </w:t>
      </w:r>
      <w:r>
        <w:rPr>
          <w:rFonts w:ascii="Calibri" w:eastAsia="Calibri" w:hAnsi="Calibri" w:cs="Calibri"/>
          <w:bCs/>
          <w:bdr w:val="nil"/>
          <w:lang w:eastAsia="es-ES"/>
        </w:rPr>
        <w:t>como consecuencia de l</w:t>
      </w:r>
      <w:r w:rsidRPr="001545B7">
        <w:rPr>
          <w:rFonts w:ascii="Calibri" w:eastAsia="Calibri" w:hAnsi="Calibri" w:cs="Calibri"/>
          <w:bdr w:val="nil"/>
          <w:lang w:eastAsia="es-ES"/>
        </w:rPr>
        <w:t xml:space="preserve">a mayor ganancia operativa registrada, </w:t>
      </w:r>
      <w:r w:rsidRPr="0086046E">
        <w:rPr>
          <w:rFonts w:ascii="Calibri" w:eastAsia="Calibri" w:hAnsi="Calibri" w:cs="Calibri"/>
          <w:bdr w:val="nil"/>
          <w:lang w:eastAsia="es-ES"/>
        </w:rPr>
        <w:t>así como también por el impacto de la variación del cambio con el dólar.</w:t>
      </w:r>
    </w:p>
    <w:p w:rsidR="00E87D0C" w:rsidRPr="0086046E" w:rsidRDefault="00E87D0C" w:rsidP="00E87D0C">
      <w:pPr>
        <w:numPr>
          <w:ilvl w:val="0"/>
          <w:numId w:val="1"/>
        </w:numPr>
        <w:ind w:left="426"/>
        <w:jc w:val="both"/>
        <w:rPr>
          <w:rFonts w:ascii="Calibri" w:hAnsi="Calibri" w:cs="Arial"/>
          <w:b/>
          <w:lang w:eastAsia="es-ES"/>
        </w:rPr>
      </w:pPr>
      <w:r w:rsidRPr="001545B7">
        <w:rPr>
          <w:rFonts w:ascii="Calibri" w:eastAsia="Calibri" w:hAnsi="Calibri" w:cs="Calibri"/>
          <w:bCs/>
          <w:bdr w:val="nil"/>
          <w:lang w:eastAsia="es-ES"/>
        </w:rPr>
        <w:t>La</w:t>
      </w:r>
      <w:r w:rsidRPr="001545B7">
        <w:rPr>
          <w:rFonts w:ascii="Calibri" w:eastAsia="Calibri" w:hAnsi="Calibri" w:cs="Calibri"/>
          <w:b/>
          <w:bCs/>
          <w:bdr w:val="nil"/>
          <w:lang w:eastAsia="es-ES"/>
        </w:rPr>
        <w:t xml:space="preserve"> Deuda neta </w:t>
      </w:r>
      <w:r w:rsidRPr="001545B7">
        <w:rPr>
          <w:rFonts w:ascii="Calibri" w:eastAsia="Calibri" w:hAnsi="Calibri" w:cs="Calibri"/>
          <w:bCs/>
          <w:bdr w:val="nil"/>
          <w:lang w:eastAsia="es-ES"/>
        </w:rPr>
        <w:t>mejoró (+</w:t>
      </w:r>
      <w:r>
        <w:rPr>
          <w:rFonts w:ascii="Calibri" w:eastAsia="Calibri" w:hAnsi="Calibri" w:cs="Calibri"/>
          <w:bCs/>
          <w:bdr w:val="nil"/>
          <w:lang w:eastAsia="es-ES"/>
        </w:rPr>
        <w:t>1692</w:t>
      </w:r>
      <w:r w:rsidRPr="001545B7">
        <w:rPr>
          <w:rFonts w:ascii="Calibri" w:eastAsia="Calibri" w:hAnsi="Calibri" w:cs="Calibri"/>
          <w:bCs/>
          <w:bdr w:val="nil"/>
          <w:lang w:eastAsia="es-ES"/>
        </w:rPr>
        <w:t xml:space="preserve"> MM$) por </w:t>
      </w:r>
      <w:r>
        <w:rPr>
          <w:rFonts w:ascii="Calibri" w:eastAsia="Calibri" w:hAnsi="Calibri" w:cs="Calibri"/>
          <w:bCs/>
          <w:bdr w:val="nil"/>
          <w:lang w:eastAsia="es-ES"/>
        </w:rPr>
        <w:t xml:space="preserve">los </w:t>
      </w:r>
      <w:r w:rsidRPr="001545B7">
        <w:rPr>
          <w:rFonts w:ascii="Calibri" w:eastAsia="Calibri" w:hAnsi="Calibri" w:cs="Calibri"/>
          <w:bCs/>
          <w:bdr w:val="nil"/>
          <w:lang w:eastAsia="es-ES"/>
        </w:rPr>
        <w:t>mayor</w:t>
      </w:r>
      <w:r>
        <w:rPr>
          <w:rFonts w:ascii="Calibri" w:eastAsia="Calibri" w:hAnsi="Calibri" w:cs="Calibri"/>
          <w:bCs/>
          <w:bdr w:val="nil"/>
          <w:lang w:eastAsia="es-ES"/>
        </w:rPr>
        <w:t>es</w:t>
      </w:r>
      <w:r w:rsidRPr="001545B7">
        <w:rPr>
          <w:rFonts w:ascii="Calibri" w:eastAsia="Calibri" w:hAnsi="Calibri" w:cs="Calibri"/>
          <w:bCs/>
          <w:bdr w:val="nil"/>
          <w:lang w:eastAsia="es-ES"/>
        </w:rPr>
        <w:t xml:space="preserve"> saldo</w:t>
      </w:r>
      <w:r>
        <w:rPr>
          <w:rFonts w:ascii="Calibri" w:eastAsia="Calibri" w:hAnsi="Calibri" w:cs="Calibri"/>
          <w:bCs/>
          <w:bdr w:val="nil"/>
          <w:lang w:eastAsia="es-ES"/>
        </w:rPr>
        <w:t>s</w:t>
      </w:r>
      <w:r w:rsidRPr="001545B7">
        <w:rPr>
          <w:rFonts w:ascii="Calibri" w:eastAsia="Calibri" w:hAnsi="Calibri" w:cs="Calibri"/>
          <w:bCs/>
          <w:bdr w:val="nil"/>
          <w:lang w:eastAsia="es-ES"/>
        </w:rPr>
        <w:t xml:space="preserve"> de efectivo y colocaciones a corto plazo </w:t>
      </w:r>
      <w:r>
        <w:rPr>
          <w:rFonts w:ascii="Calibri" w:eastAsia="Calibri" w:hAnsi="Calibri" w:cs="Calibri"/>
          <w:bCs/>
          <w:bdr w:val="nil"/>
          <w:lang w:eastAsia="es-ES"/>
        </w:rPr>
        <w:t xml:space="preserve">como consecuencia de </w:t>
      </w:r>
      <w:r w:rsidRPr="001545B7">
        <w:rPr>
          <w:rFonts w:ascii="Calibri" w:eastAsia="Calibri" w:hAnsi="Calibri" w:cs="Calibri"/>
          <w:bCs/>
          <w:bdr w:val="nil"/>
          <w:lang w:eastAsia="es-ES"/>
        </w:rPr>
        <w:t>l</w:t>
      </w:r>
      <w:r>
        <w:rPr>
          <w:rFonts w:ascii="Calibri" w:eastAsia="Calibri" w:hAnsi="Calibri" w:cs="Calibri"/>
          <w:bCs/>
          <w:bdr w:val="nil"/>
          <w:lang w:eastAsia="es-ES"/>
        </w:rPr>
        <w:t xml:space="preserve">os mayores ingresos, junto con mayores </w:t>
      </w:r>
      <w:r w:rsidRPr="0086046E">
        <w:rPr>
          <w:rFonts w:ascii="Calibri" w:eastAsia="Calibri" w:hAnsi="Calibri" w:cs="Calibri"/>
          <w:bCs/>
          <w:bdr w:val="nil"/>
          <w:lang w:eastAsia="es-ES"/>
        </w:rPr>
        <w:t>activos financieros producto de la variación del cambio con el dólar.</w:t>
      </w:r>
    </w:p>
    <w:p w:rsidR="00E87D0C" w:rsidRPr="00C12813" w:rsidRDefault="00E87D0C" w:rsidP="00E87D0C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bdr w:val="nil"/>
          <w:lang w:eastAsia="es-ES"/>
        </w:rPr>
      </w:pPr>
      <w:r w:rsidRPr="004723E5">
        <w:rPr>
          <w:rFonts w:ascii="Calibri" w:eastAsia="Calibri" w:hAnsi="Calibri" w:cs="Calibri"/>
          <w:bCs/>
          <w:bdr w:val="nil"/>
          <w:lang w:eastAsia="es-ES"/>
        </w:rPr>
        <w:t xml:space="preserve">Las </w:t>
      </w:r>
      <w:r w:rsidRPr="004723E5">
        <w:rPr>
          <w:rFonts w:ascii="Calibri" w:eastAsia="Calibri" w:hAnsi="Calibri" w:cs="Calibri"/>
          <w:b/>
          <w:bCs/>
          <w:bdr w:val="nil"/>
          <w:lang w:eastAsia="es-ES"/>
        </w:rPr>
        <w:t>Inversiones</w:t>
      </w:r>
      <w:r w:rsidRPr="004723E5">
        <w:rPr>
          <w:rFonts w:ascii="Calibri" w:eastAsia="Calibri" w:hAnsi="Calibri" w:cs="Calibri"/>
          <w:bdr w:val="nil"/>
          <w:lang w:eastAsia="es-ES"/>
        </w:rPr>
        <w:t xml:space="preserve"> estuvieron destinadas al mantenimiento de las unidades generadoras, con el propósito de optimizar la disponibilidad y confiabilidad de la planta. Las mismas disminuyeron (-73MM$) con respecto al mismo período de 2018.</w:t>
      </w:r>
      <w:r>
        <w:rPr>
          <w:rFonts w:ascii="Calibri" w:eastAsia="Calibri" w:hAnsi="Calibri" w:cs="Calibri"/>
          <w:bdr w:val="nil"/>
          <w:lang w:eastAsia="es-ES"/>
        </w:rPr>
        <w:t xml:space="preserve"> </w:t>
      </w:r>
      <w:r w:rsidRPr="00C12813">
        <w:rPr>
          <w:rFonts w:ascii="Calibri" w:eastAsia="Calibri" w:hAnsi="Calibri" w:cs="Calibri"/>
          <w:bdr w:val="nil"/>
          <w:lang w:eastAsia="es-ES"/>
        </w:rPr>
        <w:t>Cabe recordar que durante el primer trimestre de 2018 se realizaron obras de mantenimiento sobre ambos ciclos combinados y en las unidades turbo vapor, Nº 6 y 7.</w:t>
      </w:r>
    </w:p>
    <w:p w:rsidR="00E87D0C" w:rsidRDefault="00E87D0C" w:rsidP="00E87D0C">
      <w:pPr>
        <w:ind w:left="426"/>
        <w:jc w:val="both"/>
        <w:rPr>
          <w:rFonts w:ascii="Calibri" w:eastAsia="Calibri" w:hAnsi="Calibri" w:cs="Calibri"/>
          <w:b/>
          <w:bCs/>
          <w:bdr w:val="nil"/>
          <w:lang w:eastAsia="es-ES"/>
        </w:rPr>
      </w:pPr>
      <w:r w:rsidRPr="000070A7">
        <w:rPr>
          <w:rFonts w:ascii="Calibri" w:eastAsia="Calibri" w:hAnsi="Calibri" w:cs="Calibri"/>
          <w:b/>
          <w:bCs/>
          <w:bdr w:val="nil"/>
          <w:lang w:eastAsia="es-ES"/>
        </w:rPr>
        <w:t>PRINCIPALES INDICADORES OPERATIVOS</w:t>
      </w:r>
    </w:p>
    <w:p w:rsidR="00E87D0C" w:rsidRPr="000070A7" w:rsidRDefault="00E87D0C" w:rsidP="00E87D0C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bCs/>
          <w:bdr w:val="nil"/>
          <w:lang w:eastAsia="es-ES"/>
        </w:rPr>
      </w:pPr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La energía generada por Costanera en el </w:t>
      </w:r>
      <w:r>
        <w:rPr>
          <w:rFonts w:ascii="Calibri" w:eastAsia="Calibri" w:hAnsi="Calibri" w:cs="Calibri"/>
          <w:bCs/>
          <w:bdr w:val="nil"/>
          <w:lang w:eastAsia="es-ES"/>
        </w:rPr>
        <w:t>primer</w:t>
      </w:r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 </w:t>
      </w:r>
      <w:r>
        <w:rPr>
          <w:rFonts w:ascii="Calibri" w:eastAsia="Calibri" w:hAnsi="Calibri" w:cs="Calibri"/>
          <w:bCs/>
          <w:bdr w:val="nil"/>
          <w:lang w:eastAsia="es-ES"/>
        </w:rPr>
        <w:t xml:space="preserve">trimestre </w:t>
      </w:r>
      <w:r w:rsidRPr="000070A7">
        <w:rPr>
          <w:rFonts w:ascii="Calibri" w:eastAsia="Calibri" w:hAnsi="Calibri" w:cs="Calibri"/>
          <w:bCs/>
          <w:bdr w:val="nil"/>
          <w:lang w:eastAsia="es-ES"/>
        </w:rPr>
        <w:t>de 201</w:t>
      </w:r>
      <w:r>
        <w:rPr>
          <w:rFonts w:ascii="Calibri" w:eastAsia="Calibri" w:hAnsi="Calibri" w:cs="Calibri"/>
          <w:bCs/>
          <w:bdr w:val="nil"/>
          <w:lang w:eastAsia="es-ES"/>
        </w:rPr>
        <w:t>9</w:t>
      </w:r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, </w:t>
      </w:r>
      <w:r>
        <w:rPr>
          <w:rFonts w:ascii="Calibri" w:eastAsia="Calibri" w:hAnsi="Calibri" w:cs="Calibri"/>
          <w:bCs/>
          <w:bdr w:val="nil"/>
          <w:lang w:eastAsia="es-ES"/>
        </w:rPr>
        <w:t>aumentó</w:t>
      </w:r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 un </w:t>
      </w:r>
      <w:r>
        <w:rPr>
          <w:rFonts w:ascii="Calibri" w:eastAsia="Calibri" w:hAnsi="Calibri" w:cs="Calibri"/>
          <w:bCs/>
          <w:bdr w:val="nil"/>
          <w:lang w:eastAsia="es-ES"/>
        </w:rPr>
        <w:t>18,5</w:t>
      </w:r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%, a </w:t>
      </w:r>
      <w:r>
        <w:rPr>
          <w:rFonts w:ascii="Calibri" w:eastAsia="Calibri" w:hAnsi="Calibri" w:cs="Calibri"/>
          <w:bCs/>
          <w:bdr w:val="nil"/>
          <w:lang w:eastAsia="es-ES"/>
        </w:rPr>
        <w:t>2.005</w:t>
      </w:r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 </w:t>
      </w:r>
      <w:proofErr w:type="spellStart"/>
      <w:r w:rsidRPr="000070A7">
        <w:rPr>
          <w:rFonts w:ascii="Calibri" w:eastAsia="Calibri" w:hAnsi="Calibri" w:cs="Calibri"/>
          <w:bCs/>
          <w:bdr w:val="nil"/>
          <w:lang w:eastAsia="es-ES"/>
        </w:rPr>
        <w:t>GWh</w:t>
      </w:r>
      <w:proofErr w:type="spellEnd"/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, respecto de los </w:t>
      </w:r>
      <w:r>
        <w:rPr>
          <w:rFonts w:ascii="Calibri" w:eastAsia="Calibri" w:hAnsi="Calibri" w:cs="Calibri"/>
          <w:bCs/>
          <w:bdr w:val="nil"/>
          <w:lang w:eastAsia="es-ES"/>
        </w:rPr>
        <w:t xml:space="preserve">1.692 </w:t>
      </w:r>
      <w:proofErr w:type="spellStart"/>
      <w:r w:rsidRPr="000070A7">
        <w:rPr>
          <w:rFonts w:ascii="Calibri" w:eastAsia="Calibri" w:hAnsi="Calibri" w:cs="Calibri"/>
          <w:bCs/>
          <w:bdr w:val="nil"/>
          <w:lang w:eastAsia="es-ES"/>
        </w:rPr>
        <w:t>GWh</w:t>
      </w:r>
      <w:proofErr w:type="spellEnd"/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 generados en el mismo </w:t>
      </w:r>
      <w:r>
        <w:rPr>
          <w:rFonts w:ascii="Calibri" w:eastAsia="Calibri" w:hAnsi="Calibri" w:cs="Calibri"/>
          <w:bCs/>
          <w:bdr w:val="nil"/>
          <w:lang w:eastAsia="es-ES"/>
        </w:rPr>
        <w:t>período</w:t>
      </w:r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 de 201</w:t>
      </w:r>
      <w:r>
        <w:rPr>
          <w:rFonts w:ascii="Calibri" w:eastAsia="Calibri" w:hAnsi="Calibri" w:cs="Calibri"/>
          <w:bCs/>
          <w:bdr w:val="nil"/>
          <w:lang w:eastAsia="es-ES"/>
        </w:rPr>
        <w:t>8</w:t>
      </w:r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 (</w:t>
      </w:r>
      <w:r>
        <w:rPr>
          <w:rFonts w:ascii="Calibri" w:eastAsia="Calibri" w:hAnsi="Calibri" w:cs="Calibri"/>
          <w:bCs/>
          <w:bdr w:val="nil"/>
          <w:lang w:eastAsia="es-ES"/>
        </w:rPr>
        <w:t>+313</w:t>
      </w:r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 </w:t>
      </w:r>
      <w:proofErr w:type="spellStart"/>
      <w:r w:rsidRPr="000070A7">
        <w:rPr>
          <w:rFonts w:ascii="Calibri" w:eastAsia="Calibri" w:hAnsi="Calibri" w:cs="Calibri"/>
          <w:bCs/>
          <w:bdr w:val="nil"/>
          <w:lang w:eastAsia="es-ES"/>
        </w:rPr>
        <w:t>GWh</w:t>
      </w:r>
      <w:proofErr w:type="spellEnd"/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), como </w:t>
      </w:r>
      <w:r>
        <w:rPr>
          <w:rFonts w:ascii="Calibri" w:eastAsia="Calibri" w:hAnsi="Calibri" w:cs="Calibri"/>
          <w:bCs/>
          <w:bdr w:val="nil"/>
          <w:lang w:eastAsia="es-ES"/>
        </w:rPr>
        <w:t xml:space="preserve">resultado </w:t>
      </w:r>
      <w:r w:rsidRPr="000070A7">
        <w:rPr>
          <w:rFonts w:ascii="Calibri" w:eastAsia="Calibri" w:hAnsi="Calibri" w:cs="Calibri"/>
          <w:bCs/>
          <w:bdr w:val="nil"/>
          <w:lang w:eastAsia="es-ES"/>
        </w:rPr>
        <w:t xml:space="preserve">de </w:t>
      </w:r>
      <w:r>
        <w:rPr>
          <w:rFonts w:ascii="Calibri" w:eastAsia="Calibri" w:hAnsi="Calibri" w:cs="Calibri"/>
          <w:bCs/>
          <w:bdr w:val="nil"/>
          <w:lang w:eastAsia="es-ES"/>
        </w:rPr>
        <w:t>la mayor disponibilidad de la planta</w:t>
      </w:r>
      <w:r w:rsidRPr="000070A7">
        <w:rPr>
          <w:rFonts w:ascii="Calibri" w:eastAsia="Calibri" w:hAnsi="Calibri" w:cs="Calibri"/>
          <w:bCs/>
          <w:bdr w:val="nil"/>
          <w:lang w:eastAsia="es-ES"/>
        </w:rPr>
        <w:t>.</w:t>
      </w:r>
      <w:r>
        <w:rPr>
          <w:rFonts w:ascii="Calibri" w:eastAsia="Calibri" w:hAnsi="Calibri" w:cs="Calibri"/>
          <w:bCs/>
          <w:bdr w:val="nil"/>
          <w:lang w:eastAsia="es-ES"/>
        </w:rPr>
        <w:t xml:space="preserve"> </w:t>
      </w:r>
    </w:p>
    <w:p w:rsidR="00E87D0C" w:rsidRDefault="00E87D0C" w:rsidP="00E87D0C">
      <w:pPr>
        <w:jc w:val="both"/>
        <w:rPr>
          <w:rFonts w:ascii="Calibri" w:eastAsia="Calibri" w:hAnsi="Calibri" w:cs="Calibri"/>
          <w:bdr w:val="none" w:sz="0" w:space="0" w:color="auto" w:frame="1"/>
          <w:lang w:eastAsia="es-ES"/>
        </w:rPr>
      </w:pPr>
    </w:p>
    <w:p w:rsidR="00E87D0C" w:rsidRPr="000070A7" w:rsidRDefault="00E87D0C" w:rsidP="00E87D0C">
      <w:pPr>
        <w:jc w:val="both"/>
        <w:rPr>
          <w:rFonts w:eastAsia="Calibri" w:cs="Calibri"/>
          <w:bdr w:val="none" w:sz="0" w:space="0" w:color="auto" w:frame="1"/>
          <w:lang w:eastAsia="es-ES"/>
        </w:rPr>
      </w:pPr>
    </w:p>
    <w:p w:rsidR="00E87D0C" w:rsidRDefault="00E87D0C" w:rsidP="00E87D0C">
      <w:pPr>
        <w:spacing w:after="240"/>
        <w:rPr>
          <w:b/>
          <w:sz w:val="18"/>
          <w:szCs w:val="18"/>
        </w:rPr>
      </w:pPr>
    </w:p>
    <w:p w:rsidR="00E87D0C" w:rsidRPr="00510F9C" w:rsidRDefault="00E87D0C" w:rsidP="00E87D0C">
      <w:pPr>
        <w:pStyle w:val="Ttulo6"/>
        <w:spacing w:before="0" w:after="0"/>
        <w:ind w:left="4956" w:firstLine="289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FERNANDO BOGGINI</w:t>
      </w:r>
    </w:p>
    <w:p w:rsidR="00E87D0C" w:rsidRPr="00130051" w:rsidRDefault="00E87D0C" w:rsidP="00E87D0C">
      <w:pPr>
        <w:pStyle w:val="Textoindependiente2"/>
        <w:tabs>
          <w:tab w:val="left" w:pos="3119"/>
          <w:tab w:val="left" w:pos="8789"/>
        </w:tabs>
        <w:spacing w:after="0" w:line="240" w:lineRule="auto"/>
        <w:ind w:left="4111" w:right="992"/>
        <w:jc w:val="center"/>
        <w:rPr>
          <w:rFonts w:ascii="Verdana" w:hAnsi="Verdana"/>
          <w:b/>
          <w:snapToGrid w:val="0"/>
          <w:sz w:val="20"/>
          <w:szCs w:val="20"/>
          <w:lang w:eastAsia="es-ES"/>
        </w:rPr>
      </w:pPr>
      <w:r w:rsidRPr="00130051">
        <w:rPr>
          <w:rFonts w:ascii="Verdana" w:hAnsi="Verdana"/>
          <w:b/>
          <w:snapToGrid w:val="0"/>
          <w:sz w:val="20"/>
          <w:szCs w:val="20"/>
          <w:lang w:eastAsia="es-ES"/>
        </w:rPr>
        <w:t>Responsable de Relaciones</w:t>
      </w:r>
    </w:p>
    <w:p w:rsidR="00E87D0C" w:rsidRDefault="00E87D0C" w:rsidP="00E87D0C">
      <w:pPr>
        <w:pStyle w:val="Textoindependiente2"/>
        <w:tabs>
          <w:tab w:val="left" w:pos="3119"/>
          <w:tab w:val="left" w:pos="8789"/>
        </w:tabs>
        <w:spacing w:after="0" w:line="240" w:lineRule="auto"/>
        <w:ind w:left="4111" w:right="992"/>
        <w:jc w:val="center"/>
        <w:rPr>
          <w:rFonts w:ascii="Verdana" w:hAnsi="Verdana"/>
          <w:b/>
          <w:snapToGrid w:val="0"/>
          <w:sz w:val="20"/>
          <w:szCs w:val="20"/>
          <w:lang w:eastAsia="es-ES"/>
        </w:rPr>
      </w:pPr>
      <w:r w:rsidRPr="00130051">
        <w:rPr>
          <w:rFonts w:ascii="Verdana" w:hAnsi="Verdana"/>
          <w:b/>
          <w:snapToGrid w:val="0"/>
          <w:sz w:val="20"/>
          <w:szCs w:val="20"/>
          <w:lang w:eastAsia="es-ES"/>
        </w:rPr>
        <w:t>con el Mercado</w:t>
      </w:r>
    </w:p>
    <w:p w:rsidR="00E87D0C" w:rsidRPr="000070A7" w:rsidRDefault="00E87D0C" w:rsidP="00E87D0C">
      <w:pPr>
        <w:tabs>
          <w:tab w:val="left" w:pos="8789"/>
        </w:tabs>
        <w:ind w:left="4253" w:right="992"/>
        <w:jc w:val="center"/>
        <w:rPr>
          <w:b/>
          <w:snapToGrid w:val="0"/>
        </w:rPr>
      </w:pPr>
    </w:p>
    <w:sectPr w:rsidR="00E87D0C" w:rsidRPr="000070A7" w:rsidSect="006519A8">
      <w:pgSz w:w="11907" w:h="16839" w:code="9"/>
      <w:pgMar w:top="284" w:right="104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F8"/>
    <w:multiLevelType w:val="hybridMultilevel"/>
    <w:tmpl w:val="60426080"/>
    <w:lvl w:ilvl="0" w:tplc="08EE03D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A9EA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024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6A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24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E4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20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A7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EF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E7014"/>
    <w:multiLevelType w:val="hybridMultilevel"/>
    <w:tmpl w:val="0E4A7BE8"/>
    <w:lvl w:ilvl="0" w:tplc="8FEA9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DC30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647C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3438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9C89E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3618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D646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7062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10B5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10"/>
    <w:rsid w:val="000162A7"/>
    <w:rsid w:val="00016EC5"/>
    <w:rsid w:val="00036D8E"/>
    <w:rsid w:val="0005232D"/>
    <w:rsid w:val="00075634"/>
    <w:rsid w:val="00094621"/>
    <w:rsid w:val="000F4921"/>
    <w:rsid w:val="000F5AB0"/>
    <w:rsid w:val="00113072"/>
    <w:rsid w:val="00122B70"/>
    <w:rsid w:val="00130051"/>
    <w:rsid w:val="00134404"/>
    <w:rsid w:val="00154878"/>
    <w:rsid w:val="00167129"/>
    <w:rsid w:val="00171CAD"/>
    <w:rsid w:val="00175B3B"/>
    <w:rsid w:val="00186374"/>
    <w:rsid w:val="001F53FD"/>
    <w:rsid w:val="00233B9C"/>
    <w:rsid w:val="0023646A"/>
    <w:rsid w:val="00251BAA"/>
    <w:rsid w:val="00263188"/>
    <w:rsid w:val="00282D87"/>
    <w:rsid w:val="002B18EF"/>
    <w:rsid w:val="002C30B2"/>
    <w:rsid w:val="002C78AB"/>
    <w:rsid w:val="002F6B7E"/>
    <w:rsid w:val="002F6D64"/>
    <w:rsid w:val="00310F92"/>
    <w:rsid w:val="00356205"/>
    <w:rsid w:val="003A739D"/>
    <w:rsid w:val="003A76E6"/>
    <w:rsid w:val="003B4E53"/>
    <w:rsid w:val="003D30D4"/>
    <w:rsid w:val="003E1ECC"/>
    <w:rsid w:val="0040583B"/>
    <w:rsid w:val="00450CE3"/>
    <w:rsid w:val="00452765"/>
    <w:rsid w:val="00464A77"/>
    <w:rsid w:val="00470821"/>
    <w:rsid w:val="004772DE"/>
    <w:rsid w:val="004827D0"/>
    <w:rsid w:val="00494537"/>
    <w:rsid w:val="004C1D55"/>
    <w:rsid w:val="004D0148"/>
    <w:rsid w:val="004F3BD5"/>
    <w:rsid w:val="00510F9C"/>
    <w:rsid w:val="00521904"/>
    <w:rsid w:val="005737FC"/>
    <w:rsid w:val="00581FD4"/>
    <w:rsid w:val="00592B20"/>
    <w:rsid w:val="005A11A9"/>
    <w:rsid w:val="00615C63"/>
    <w:rsid w:val="006519A8"/>
    <w:rsid w:val="00686B53"/>
    <w:rsid w:val="00694729"/>
    <w:rsid w:val="00697C15"/>
    <w:rsid w:val="006A14C3"/>
    <w:rsid w:val="006E0E4B"/>
    <w:rsid w:val="006F28BA"/>
    <w:rsid w:val="00727787"/>
    <w:rsid w:val="00751833"/>
    <w:rsid w:val="0078423D"/>
    <w:rsid w:val="00786582"/>
    <w:rsid w:val="0078705E"/>
    <w:rsid w:val="007B10F6"/>
    <w:rsid w:val="007C64ED"/>
    <w:rsid w:val="00815D90"/>
    <w:rsid w:val="008426C3"/>
    <w:rsid w:val="00842809"/>
    <w:rsid w:val="008A215D"/>
    <w:rsid w:val="008A3F10"/>
    <w:rsid w:val="008D34B6"/>
    <w:rsid w:val="00904618"/>
    <w:rsid w:val="00912338"/>
    <w:rsid w:val="00923A1C"/>
    <w:rsid w:val="009B5E5F"/>
    <w:rsid w:val="009B683F"/>
    <w:rsid w:val="009C7273"/>
    <w:rsid w:val="009D44C1"/>
    <w:rsid w:val="00A042E2"/>
    <w:rsid w:val="00A0577C"/>
    <w:rsid w:val="00A357A3"/>
    <w:rsid w:val="00A85CD0"/>
    <w:rsid w:val="00AC66DA"/>
    <w:rsid w:val="00AD1C29"/>
    <w:rsid w:val="00AE0971"/>
    <w:rsid w:val="00AE609C"/>
    <w:rsid w:val="00B1333A"/>
    <w:rsid w:val="00B1593B"/>
    <w:rsid w:val="00B20626"/>
    <w:rsid w:val="00B23AA0"/>
    <w:rsid w:val="00B37448"/>
    <w:rsid w:val="00B45A9B"/>
    <w:rsid w:val="00B71845"/>
    <w:rsid w:val="00BB4F16"/>
    <w:rsid w:val="00BB582B"/>
    <w:rsid w:val="00BD6FB4"/>
    <w:rsid w:val="00C02ED4"/>
    <w:rsid w:val="00C103E4"/>
    <w:rsid w:val="00C160F2"/>
    <w:rsid w:val="00C20BEF"/>
    <w:rsid w:val="00C31C80"/>
    <w:rsid w:val="00C43A44"/>
    <w:rsid w:val="00C518CB"/>
    <w:rsid w:val="00C55A05"/>
    <w:rsid w:val="00C846BF"/>
    <w:rsid w:val="00CD059F"/>
    <w:rsid w:val="00CD45EB"/>
    <w:rsid w:val="00CE4315"/>
    <w:rsid w:val="00D334C8"/>
    <w:rsid w:val="00D41188"/>
    <w:rsid w:val="00D73E7B"/>
    <w:rsid w:val="00D846E4"/>
    <w:rsid w:val="00DA29A7"/>
    <w:rsid w:val="00DB7E8C"/>
    <w:rsid w:val="00DE7336"/>
    <w:rsid w:val="00E0474B"/>
    <w:rsid w:val="00E207FB"/>
    <w:rsid w:val="00E44E5C"/>
    <w:rsid w:val="00E650A2"/>
    <w:rsid w:val="00E71C28"/>
    <w:rsid w:val="00E87D0C"/>
    <w:rsid w:val="00E91494"/>
    <w:rsid w:val="00EB3E81"/>
    <w:rsid w:val="00ED2346"/>
    <w:rsid w:val="00EF4876"/>
    <w:rsid w:val="00FB6BD7"/>
    <w:rsid w:val="00FD3125"/>
    <w:rsid w:val="00FE5530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0E6C0-9E04-4E28-8294-0C4E8160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8BA"/>
  </w:style>
  <w:style w:type="paragraph" w:styleId="Ttulo6">
    <w:name w:val="heading 6"/>
    <w:basedOn w:val="Normal"/>
    <w:next w:val="Normal"/>
    <w:link w:val="Ttulo6Car"/>
    <w:qFormat/>
    <w:rsid w:val="004F3BD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lang w:val="es-ES" w:eastAsia="es-AR"/>
    </w:rPr>
  </w:style>
  <w:style w:type="paragraph" w:styleId="Ttulo7">
    <w:name w:val="heading 7"/>
    <w:basedOn w:val="Normal"/>
    <w:next w:val="Normal"/>
    <w:link w:val="Ttulo7Car"/>
    <w:qFormat/>
    <w:rsid w:val="008A3F1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80"/>
      <w:sz w:val="24"/>
      <w:szCs w:val="24"/>
      <w:lang w:val="es-ES" w:eastAsia="es-AR"/>
    </w:rPr>
  </w:style>
  <w:style w:type="paragraph" w:styleId="Ttulo8">
    <w:name w:val="heading 8"/>
    <w:basedOn w:val="Normal"/>
    <w:next w:val="Normal"/>
    <w:link w:val="Ttulo8Car"/>
    <w:qFormat/>
    <w:rsid w:val="008A3F1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80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A3F10"/>
    <w:rPr>
      <w:rFonts w:ascii="Times New Roman" w:eastAsia="Times New Roman" w:hAnsi="Times New Roman" w:cs="Times New Roman"/>
      <w:color w:val="000080"/>
      <w:sz w:val="24"/>
      <w:szCs w:val="24"/>
      <w:lang w:val="es-ES" w:eastAsia="es-AR"/>
    </w:rPr>
  </w:style>
  <w:style w:type="character" w:customStyle="1" w:styleId="Ttulo8Car">
    <w:name w:val="Título 8 Car"/>
    <w:basedOn w:val="Fuentedeprrafopredeter"/>
    <w:link w:val="Ttulo8"/>
    <w:rsid w:val="008A3F10"/>
    <w:rPr>
      <w:rFonts w:ascii="Times New Roman" w:eastAsia="Times New Roman" w:hAnsi="Times New Roman" w:cs="Times New Roman"/>
      <w:i/>
      <w:iCs/>
      <w:color w:val="000080"/>
      <w:sz w:val="24"/>
      <w:szCs w:val="24"/>
      <w:lang w:val="es-ES" w:eastAsia="es-AR"/>
    </w:rPr>
  </w:style>
  <w:style w:type="paragraph" w:styleId="Sangra3detindependiente">
    <w:name w:val="Body Text Indent 3"/>
    <w:basedOn w:val="Normal"/>
    <w:link w:val="Sangra3detindependienteCar"/>
    <w:rsid w:val="008A3F10"/>
    <w:pPr>
      <w:spacing w:after="120" w:line="240" w:lineRule="auto"/>
      <w:ind w:left="283"/>
    </w:pPr>
    <w:rPr>
      <w:rFonts w:ascii="Verdana" w:eastAsia="Times New Roman" w:hAnsi="Verdana" w:cs="Times New Roman"/>
      <w:color w:val="000080"/>
      <w:sz w:val="16"/>
      <w:szCs w:val="16"/>
      <w:lang w:val="es-ES" w:eastAsia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A3F10"/>
    <w:rPr>
      <w:rFonts w:ascii="Verdana" w:eastAsia="Times New Roman" w:hAnsi="Verdana" w:cs="Times New Roman"/>
      <w:color w:val="000080"/>
      <w:sz w:val="16"/>
      <w:szCs w:val="16"/>
      <w:lang w:val="es-ES" w:eastAsia="es-AR"/>
    </w:rPr>
  </w:style>
  <w:style w:type="paragraph" w:customStyle="1" w:styleId="CharChar">
    <w:name w:val="Char Char"/>
    <w:basedOn w:val="Normal"/>
    <w:semiHidden/>
    <w:rsid w:val="008A3F10"/>
    <w:pPr>
      <w:spacing w:after="160" w:line="240" w:lineRule="exact"/>
    </w:pPr>
    <w:rPr>
      <w:rFonts w:ascii="Arial" w:eastAsia="Times New Roman" w:hAnsi="Arial" w:cs="Times New Roman"/>
      <w:kern w:val="28"/>
      <w:szCs w:val="20"/>
    </w:rPr>
  </w:style>
  <w:style w:type="character" w:customStyle="1" w:styleId="Ttulo6Car">
    <w:name w:val="Título 6 Car"/>
    <w:basedOn w:val="Fuentedeprrafopredeter"/>
    <w:link w:val="Ttulo6"/>
    <w:rsid w:val="004F3BD5"/>
    <w:rPr>
      <w:rFonts w:ascii="Times New Roman" w:eastAsia="Times New Roman" w:hAnsi="Times New Roman" w:cs="Times New Roman"/>
      <w:b/>
      <w:bCs/>
      <w:color w:val="000080"/>
      <w:lang w:val="es-ES" w:eastAsia="es-AR"/>
    </w:rPr>
  </w:style>
  <w:style w:type="paragraph" w:customStyle="1" w:styleId="Texto">
    <w:name w:val="Texto"/>
    <w:basedOn w:val="Normal"/>
    <w:rsid w:val="004F3BD5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BD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518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51833"/>
  </w:style>
  <w:style w:type="paragraph" w:styleId="Encabezado">
    <w:name w:val="header"/>
    <w:basedOn w:val="Normal"/>
    <w:link w:val="EncabezadoCar"/>
    <w:rsid w:val="00A0577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pt-BR"/>
    </w:rPr>
  </w:style>
  <w:style w:type="character" w:customStyle="1" w:styleId="EncabezadoCar">
    <w:name w:val="Encabezado Car"/>
    <w:basedOn w:val="Fuentedeprrafopredeter"/>
    <w:link w:val="Encabezado"/>
    <w:rsid w:val="00A0577C"/>
    <w:rPr>
      <w:rFonts w:ascii="Arial" w:eastAsia="Times New Roman" w:hAnsi="Arial" w:cs="Times New Roman"/>
      <w:sz w:val="24"/>
      <w:szCs w:val="24"/>
      <w:lang w:val="es-E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ECD4-DF62-467C-90B7-02A26470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Endesa Costanera S. A.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Lobeira Ignacio (ENCO)</dc:creator>
  <cp:lastModifiedBy>Calo, Hector Javier</cp:lastModifiedBy>
  <cp:revision>7</cp:revision>
  <cp:lastPrinted>2018-05-03T12:24:00Z</cp:lastPrinted>
  <dcterms:created xsi:type="dcterms:W3CDTF">2019-04-24T15:04:00Z</dcterms:created>
  <dcterms:modified xsi:type="dcterms:W3CDTF">2019-04-24T19:27:00Z</dcterms:modified>
</cp:coreProperties>
</file>