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DBE9" w14:textId="77777777" w:rsidR="00F02C48" w:rsidRPr="008F495B" w:rsidRDefault="00F02C48" w:rsidP="00F02C48">
      <w:pPr>
        <w:tabs>
          <w:tab w:val="right" w:pos="9720"/>
        </w:tabs>
        <w:suppressAutoHyphens/>
        <w:jc w:val="center"/>
        <w:rPr>
          <w:b/>
          <w:bCs/>
          <w:i/>
          <w:iCs/>
          <w:spacing w:val="-2"/>
          <w:sz w:val="22"/>
          <w:szCs w:val="22"/>
          <w:lang w:val="es-AR" w:eastAsia="en-US"/>
        </w:rPr>
      </w:pPr>
      <w:r w:rsidRPr="008F495B">
        <w:rPr>
          <w:b/>
          <w:bCs/>
          <w:i/>
          <w:iCs/>
          <w:spacing w:val="-2"/>
          <w:sz w:val="22"/>
          <w:szCs w:val="22"/>
          <w:u w:val="single"/>
          <w:lang w:val="es-AR" w:eastAsia="en-US"/>
        </w:rPr>
        <w:t>RESEÑA INFORMATIVA CORRESPONDIENTE AL BALANCE TRIMESTRAL</w:t>
      </w:r>
    </w:p>
    <w:p w14:paraId="2960495F" w14:textId="77777777" w:rsidR="00F02C48" w:rsidRPr="008F495B" w:rsidRDefault="00F02C48" w:rsidP="00F02C48">
      <w:pPr>
        <w:tabs>
          <w:tab w:val="right" w:pos="9720"/>
        </w:tabs>
        <w:suppressAutoHyphens/>
        <w:jc w:val="center"/>
        <w:rPr>
          <w:b/>
          <w:bCs/>
          <w:i/>
          <w:iCs/>
          <w:spacing w:val="-2"/>
          <w:sz w:val="22"/>
          <w:szCs w:val="22"/>
          <w:lang w:val="es-AR" w:eastAsia="en-US"/>
        </w:rPr>
      </w:pPr>
      <w:r w:rsidRPr="008F495B">
        <w:rPr>
          <w:b/>
          <w:bCs/>
          <w:i/>
          <w:iCs/>
          <w:spacing w:val="-2"/>
          <w:sz w:val="22"/>
          <w:szCs w:val="22"/>
          <w:u w:val="single"/>
          <w:lang w:val="es-AR" w:eastAsia="en-US"/>
        </w:rPr>
        <w:t xml:space="preserve">FINALIZADO EL </w:t>
      </w:r>
      <w:r>
        <w:rPr>
          <w:b/>
          <w:bCs/>
          <w:i/>
          <w:iCs/>
          <w:spacing w:val="-2"/>
          <w:sz w:val="22"/>
          <w:szCs w:val="22"/>
          <w:u w:val="single"/>
          <w:lang w:val="es-AR" w:eastAsia="en-US"/>
        </w:rPr>
        <w:t>31 DE ENERO 2024</w:t>
      </w:r>
    </w:p>
    <w:p w14:paraId="6DEB7F2D" w14:textId="77777777" w:rsidR="00F02C48" w:rsidRDefault="00F02C48" w:rsidP="00F02C48">
      <w:pPr>
        <w:tabs>
          <w:tab w:val="left" w:pos="0"/>
          <w:tab w:val="right" w:pos="7920"/>
          <w:tab w:val="right" w:pos="9720"/>
        </w:tabs>
        <w:suppressAutoHyphens/>
        <w:jc w:val="both"/>
        <w:rPr>
          <w:b/>
          <w:bCs/>
          <w:i/>
          <w:iCs/>
          <w:spacing w:val="-2"/>
          <w:sz w:val="22"/>
          <w:szCs w:val="22"/>
          <w:lang w:val="es-AR" w:eastAsia="en-US"/>
        </w:rPr>
      </w:pPr>
    </w:p>
    <w:p w14:paraId="7E7ACDFD" w14:textId="77777777" w:rsidR="00F02C48" w:rsidRDefault="00F02C48" w:rsidP="00F02C48">
      <w:pPr>
        <w:tabs>
          <w:tab w:val="left" w:pos="0"/>
        </w:tabs>
        <w:suppressAutoHyphens/>
        <w:jc w:val="both"/>
        <w:rPr>
          <w:bCs/>
          <w:i/>
          <w:iCs/>
          <w:spacing w:val="-2"/>
        </w:rPr>
      </w:pPr>
    </w:p>
    <w:p w14:paraId="483D71CC" w14:textId="77777777" w:rsidR="00F02C48" w:rsidRPr="00923CD1" w:rsidRDefault="00F02C48" w:rsidP="00F02C48">
      <w:pPr>
        <w:tabs>
          <w:tab w:val="left" w:pos="0"/>
          <w:tab w:val="num" w:pos="1068"/>
        </w:tabs>
        <w:suppressAutoHyphens/>
        <w:jc w:val="both"/>
        <w:rPr>
          <w:b/>
          <w:bCs/>
          <w:i/>
          <w:iCs/>
          <w:spacing w:val="-2"/>
          <w:sz w:val="22"/>
          <w:szCs w:val="22"/>
          <w:u w:val="single"/>
        </w:rPr>
      </w:pPr>
      <w:r w:rsidRPr="00FC63EA">
        <w:rPr>
          <w:b/>
          <w:bCs/>
          <w:i/>
          <w:iCs/>
          <w:spacing w:val="-2"/>
          <w:sz w:val="22"/>
          <w:szCs w:val="22"/>
        </w:rPr>
        <w:t xml:space="preserve">1. </w:t>
      </w:r>
      <w:r w:rsidRPr="00923CD1">
        <w:rPr>
          <w:b/>
          <w:bCs/>
          <w:i/>
          <w:iCs/>
          <w:spacing w:val="-2"/>
          <w:sz w:val="22"/>
          <w:szCs w:val="22"/>
          <w:u w:val="single"/>
        </w:rPr>
        <w:t>COMENTARIOS SOBRE SITUACIONES RELEVANTES DEL TRIMESTRE</w:t>
      </w:r>
    </w:p>
    <w:p w14:paraId="784387EE" w14:textId="77777777" w:rsidR="00F02C48" w:rsidRDefault="00F02C48" w:rsidP="00F02C48">
      <w:pPr>
        <w:tabs>
          <w:tab w:val="left" w:pos="0"/>
        </w:tabs>
        <w:suppressAutoHyphens/>
        <w:jc w:val="both"/>
        <w:rPr>
          <w:bCs/>
          <w:i/>
          <w:iCs/>
          <w:spacing w:val="-2"/>
        </w:rPr>
      </w:pPr>
    </w:p>
    <w:p w14:paraId="51C2BA15" w14:textId="77777777" w:rsidR="00F02C48" w:rsidRPr="001D6AAD" w:rsidRDefault="00F02C48" w:rsidP="00F02C48">
      <w:pPr>
        <w:tabs>
          <w:tab w:val="left" w:pos="0"/>
        </w:tabs>
        <w:suppressAutoHyphens/>
        <w:jc w:val="both"/>
        <w:rPr>
          <w:bCs/>
          <w:i/>
          <w:iCs/>
          <w:spacing w:val="-2"/>
          <w:sz w:val="22"/>
          <w:szCs w:val="22"/>
        </w:rPr>
      </w:pPr>
      <w:bookmarkStart w:id="0" w:name="_Hlk160810875"/>
      <w:bookmarkStart w:id="1" w:name="_Hlk42533803"/>
      <w:bookmarkStart w:id="2" w:name="_Hlk42448760"/>
      <w:bookmarkStart w:id="3" w:name="_Hlk50740636"/>
      <w:r w:rsidRPr="001D6AAD">
        <w:rPr>
          <w:bCs/>
          <w:i/>
          <w:iCs/>
          <w:spacing w:val="-2"/>
          <w:sz w:val="22"/>
          <w:szCs w:val="22"/>
        </w:rPr>
        <w:t>Sobre mitad del trimestre asumió la nueva Administración del Presidente Javier Milei, razón por la cual los principales eventos económicos tuvieron como escenario una transición que, en este caso, implicó un abrupto cambio de paradigma en materia de políticas públicas.</w:t>
      </w:r>
    </w:p>
    <w:p w14:paraId="3669A4F3" w14:textId="367C54FB"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 xml:space="preserve">La complejidad de la herencia tornó dificultoso el inicio de la liberalización de mercados, con precios relativos muy lejos de cualquier nivel de equilibrio, desabastecimiento de varios insumos críticos, rígidos controles tarifarios, cambiarios y de precios, poder adquisitivo en retroceso, estanflación y un fisco desfinanciado (con un acuerdo con el </w:t>
      </w:r>
      <w:r w:rsidRPr="001D6AAD">
        <w:rPr>
          <w:bCs/>
          <w:i/>
          <w:sz w:val="22"/>
          <w:szCs w:val="22"/>
        </w:rPr>
        <w:t>Fondo Monetario Internacional (“FMI”)</w:t>
      </w:r>
      <w:r w:rsidRPr="001D6AAD">
        <w:rPr>
          <w:bCs/>
          <w:i/>
          <w:iCs/>
          <w:spacing w:val="-2"/>
          <w:sz w:val="22"/>
          <w:szCs w:val="22"/>
        </w:rPr>
        <w:t xml:space="preserve"> caído) junto a un </w:t>
      </w:r>
      <w:r w:rsidR="00931A2A">
        <w:rPr>
          <w:bCs/>
          <w:i/>
          <w:iCs/>
          <w:spacing w:val="-2"/>
          <w:sz w:val="22"/>
          <w:szCs w:val="22"/>
        </w:rPr>
        <w:t>B</w:t>
      </w:r>
      <w:r w:rsidRPr="001D6AAD">
        <w:rPr>
          <w:bCs/>
          <w:i/>
          <w:iCs/>
          <w:spacing w:val="-2"/>
          <w:sz w:val="22"/>
          <w:szCs w:val="22"/>
        </w:rPr>
        <w:t xml:space="preserve">anco </w:t>
      </w:r>
      <w:r w:rsidR="00931A2A">
        <w:rPr>
          <w:bCs/>
          <w:i/>
          <w:iCs/>
          <w:spacing w:val="-2"/>
          <w:sz w:val="22"/>
          <w:szCs w:val="22"/>
        </w:rPr>
        <w:t>C</w:t>
      </w:r>
      <w:r w:rsidRPr="001D6AAD">
        <w:rPr>
          <w:bCs/>
          <w:i/>
          <w:iCs/>
          <w:spacing w:val="-2"/>
          <w:sz w:val="22"/>
          <w:szCs w:val="22"/>
        </w:rPr>
        <w:t xml:space="preserve">entral </w:t>
      </w:r>
      <w:r w:rsidR="00931A2A">
        <w:rPr>
          <w:bCs/>
          <w:i/>
          <w:iCs/>
          <w:spacing w:val="-2"/>
          <w:sz w:val="22"/>
          <w:szCs w:val="22"/>
        </w:rPr>
        <w:t xml:space="preserve">de la República Argentina (“BCRA”) </w:t>
      </w:r>
      <w:r w:rsidRPr="001D6AAD">
        <w:rPr>
          <w:bCs/>
          <w:i/>
          <w:iCs/>
          <w:spacing w:val="-2"/>
          <w:sz w:val="22"/>
          <w:szCs w:val="22"/>
        </w:rPr>
        <w:t>sin reservas líquidas.</w:t>
      </w:r>
    </w:p>
    <w:p w14:paraId="0DE9D8A5" w14:textId="77777777" w:rsidR="00F02C48" w:rsidRDefault="00F02C48" w:rsidP="00F02C48">
      <w:pPr>
        <w:tabs>
          <w:tab w:val="left" w:pos="0"/>
        </w:tabs>
        <w:suppressAutoHyphens/>
        <w:jc w:val="both"/>
        <w:rPr>
          <w:bCs/>
          <w:i/>
          <w:iCs/>
          <w:spacing w:val="-2"/>
          <w:sz w:val="22"/>
          <w:szCs w:val="22"/>
        </w:rPr>
      </w:pPr>
    </w:p>
    <w:p w14:paraId="5F28E7AA" w14:textId="362A43B4" w:rsidR="00F02C48" w:rsidRPr="001D6AAD" w:rsidRDefault="00F02C48" w:rsidP="00F02C48">
      <w:pPr>
        <w:tabs>
          <w:tab w:val="left" w:pos="0"/>
        </w:tabs>
        <w:suppressAutoHyphens/>
        <w:jc w:val="both"/>
        <w:rPr>
          <w:bCs/>
          <w:i/>
          <w:iCs/>
          <w:spacing w:val="-2"/>
          <w:sz w:val="22"/>
          <w:szCs w:val="22"/>
        </w:rPr>
      </w:pPr>
      <w:r>
        <w:rPr>
          <w:noProof/>
        </w:rPr>
        <w:drawing>
          <wp:anchor distT="0" distB="0" distL="114300" distR="114300" simplePos="0" relativeHeight="251661312" behindDoc="1" locked="0" layoutInCell="1" allowOverlap="1" wp14:anchorId="547658B7" wp14:editId="4EBFFBC3">
            <wp:simplePos x="0" y="0"/>
            <wp:positionH relativeFrom="margin">
              <wp:align>right</wp:align>
            </wp:positionH>
            <wp:positionV relativeFrom="paragraph">
              <wp:posOffset>280670</wp:posOffset>
            </wp:positionV>
            <wp:extent cx="2851150" cy="1713230"/>
            <wp:effectExtent l="19050" t="19050" r="25400" b="20320"/>
            <wp:wrapTight wrapText="bothSides">
              <wp:wrapPolygon edited="0">
                <wp:start x="-144" y="-240"/>
                <wp:lineTo x="-144" y="21616"/>
                <wp:lineTo x="21648" y="21616"/>
                <wp:lineTo x="21648" y="-240"/>
                <wp:lineTo x="-144" y="-240"/>
              </wp:wrapPolygon>
            </wp:wrapTight>
            <wp:docPr id="988309236" name="Imagen 7" descr="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09236" name="Imagen 7" descr="Gráfico de líneas&#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1150" cy="1713230"/>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El nuevo Presidente inició la gestión con muy pocos instrumentos. Recurrió por una parte a una devaluación del peso que implicó un salto en el tipo de cambio del 118,3% (de $ 366,5 a $800 por dólar) en tren de alinear las expectativas y, por la otra, al anuncio de un ajuste fiscal sin precedentes en la Argentina que implicaría un anclaje fiscal nominal y real. La devaluación aceleró la inflación de tal manera que, en términos reales, al final del trimestre ese nuevo tipo de cambio ya había perdido el 25% hacia el 31 de enero, es decir de los $800 iniciales a $600, situación que se extendería ya que se anunció una corrección de 2% mensual a partir de enero y la inercia inflacionaria implicará una nueva apreciación del peso.</w:t>
      </w:r>
    </w:p>
    <w:p w14:paraId="3F4C47AA" w14:textId="77777777" w:rsidR="00F02C48" w:rsidRDefault="00F02C48" w:rsidP="00F02C48">
      <w:pPr>
        <w:tabs>
          <w:tab w:val="left" w:pos="0"/>
        </w:tabs>
        <w:suppressAutoHyphens/>
        <w:jc w:val="both"/>
        <w:rPr>
          <w:bCs/>
          <w:i/>
          <w:iCs/>
          <w:spacing w:val="-2"/>
          <w:sz w:val="22"/>
          <w:szCs w:val="22"/>
        </w:rPr>
      </w:pPr>
    </w:p>
    <w:p w14:paraId="6C66159A" w14:textId="5988A65A"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 xml:space="preserve">En su primer mensaje al país, el </w:t>
      </w:r>
      <w:r w:rsidR="00931A2A">
        <w:rPr>
          <w:bCs/>
          <w:i/>
          <w:iCs/>
          <w:spacing w:val="-2"/>
          <w:sz w:val="22"/>
          <w:szCs w:val="22"/>
        </w:rPr>
        <w:t>P</w:t>
      </w:r>
      <w:r w:rsidRPr="001D6AAD">
        <w:rPr>
          <w:bCs/>
          <w:i/>
          <w:iCs/>
          <w:spacing w:val="-2"/>
          <w:sz w:val="22"/>
          <w:szCs w:val="22"/>
        </w:rPr>
        <w:t>residente Milei repitió el diagnóstico formulado en la campaña electoral, reafirmando la intención de abandonar de inmediato el populismo y con el foco en un duro ajuste fiscal inicial para reducir el déficit primario, superior al 5,5% del PBI en 2023. El énfasis en optar por una estrategia de shock se plasmó en los anuncios del Ministro de Economía Luis Caputo el 12 de diciembre</w:t>
      </w:r>
      <w:r w:rsidR="00931A2A">
        <w:rPr>
          <w:bCs/>
          <w:i/>
          <w:iCs/>
          <w:spacing w:val="-2"/>
          <w:sz w:val="22"/>
          <w:szCs w:val="22"/>
        </w:rPr>
        <w:t xml:space="preserve"> de 2023</w:t>
      </w:r>
      <w:r w:rsidRPr="001D6AAD">
        <w:rPr>
          <w:bCs/>
          <w:i/>
          <w:iCs/>
          <w:spacing w:val="-2"/>
          <w:sz w:val="22"/>
          <w:szCs w:val="22"/>
        </w:rPr>
        <w:t xml:space="preserve"> y se cristalizó en un Decreto de </w:t>
      </w:r>
      <w:r w:rsidR="00931A2A">
        <w:rPr>
          <w:bCs/>
          <w:i/>
          <w:iCs/>
          <w:spacing w:val="-2"/>
          <w:sz w:val="22"/>
          <w:szCs w:val="22"/>
        </w:rPr>
        <w:t>N</w:t>
      </w:r>
      <w:r w:rsidRPr="001D6AAD">
        <w:rPr>
          <w:bCs/>
          <w:i/>
          <w:iCs/>
          <w:spacing w:val="-2"/>
          <w:sz w:val="22"/>
          <w:szCs w:val="22"/>
        </w:rPr>
        <w:t xml:space="preserve">ecesidad y </w:t>
      </w:r>
      <w:r w:rsidR="00931A2A">
        <w:rPr>
          <w:bCs/>
          <w:i/>
          <w:iCs/>
          <w:spacing w:val="-2"/>
          <w:sz w:val="22"/>
          <w:szCs w:val="22"/>
        </w:rPr>
        <w:t>U</w:t>
      </w:r>
      <w:r w:rsidRPr="001D6AAD">
        <w:rPr>
          <w:bCs/>
          <w:i/>
          <w:iCs/>
          <w:spacing w:val="-2"/>
          <w:sz w:val="22"/>
          <w:szCs w:val="22"/>
        </w:rPr>
        <w:t>rgencia (“DNU”) y una Ley “Bases y Puntos de Partida para La Libertad de los Argentinos” de, por cierto, difícil trámite parlamentario.</w:t>
      </w:r>
    </w:p>
    <w:p w14:paraId="2357B4C6" w14:textId="77777777" w:rsidR="00F02C48" w:rsidRDefault="00F02C48" w:rsidP="00F02C48">
      <w:pPr>
        <w:tabs>
          <w:tab w:val="left" w:pos="0"/>
        </w:tabs>
        <w:suppressAutoHyphens/>
        <w:jc w:val="both"/>
        <w:rPr>
          <w:bCs/>
          <w:i/>
          <w:iCs/>
          <w:spacing w:val="-2"/>
          <w:sz w:val="22"/>
          <w:szCs w:val="22"/>
        </w:rPr>
      </w:pPr>
    </w:p>
    <w:p w14:paraId="76BEE545" w14:textId="1D42F817" w:rsidR="00F02C48" w:rsidRPr="001D6AAD" w:rsidRDefault="00F02C48" w:rsidP="00F02C48">
      <w:pPr>
        <w:tabs>
          <w:tab w:val="left" w:pos="0"/>
        </w:tabs>
        <w:suppressAutoHyphens/>
        <w:jc w:val="both"/>
        <w:rPr>
          <w:bCs/>
          <w:i/>
          <w:iCs/>
          <w:spacing w:val="-2"/>
          <w:sz w:val="22"/>
          <w:szCs w:val="22"/>
        </w:rPr>
      </w:pPr>
      <w:r>
        <w:rPr>
          <w:noProof/>
        </w:rPr>
        <w:drawing>
          <wp:anchor distT="0" distB="0" distL="114300" distR="114300" simplePos="0" relativeHeight="251659264" behindDoc="0" locked="0" layoutInCell="1" allowOverlap="1" wp14:anchorId="5B364CB4" wp14:editId="68BAEBEB">
            <wp:simplePos x="0" y="0"/>
            <wp:positionH relativeFrom="margin">
              <wp:posOffset>3338195</wp:posOffset>
            </wp:positionH>
            <wp:positionV relativeFrom="paragraph">
              <wp:posOffset>64135</wp:posOffset>
            </wp:positionV>
            <wp:extent cx="2715895" cy="1791970"/>
            <wp:effectExtent l="19050" t="19050" r="27305" b="17780"/>
            <wp:wrapSquare wrapText="bothSides"/>
            <wp:docPr id="742159489" name="Imagen 6"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59489" name="Imagen 6" descr="Gráfico, Gráfico de líneas, Histogram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5895" cy="1791970"/>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Mientras tanto, con el FMI se aprobó rápidamente la séptima revisión del Programa de Facilidades Extendidas (</w:t>
      </w:r>
      <w:r w:rsidR="00931A2A">
        <w:rPr>
          <w:bCs/>
          <w:i/>
          <w:iCs/>
          <w:spacing w:val="-2"/>
          <w:sz w:val="22"/>
          <w:szCs w:val="22"/>
        </w:rPr>
        <w:t>“</w:t>
      </w:r>
      <w:r w:rsidRPr="001D6AAD">
        <w:rPr>
          <w:bCs/>
          <w:i/>
          <w:iCs/>
          <w:spacing w:val="-2"/>
          <w:sz w:val="22"/>
          <w:szCs w:val="22"/>
        </w:rPr>
        <w:t>PFE</w:t>
      </w:r>
      <w:r w:rsidR="00931A2A">
        <w:rPr>
          <w:bCs/>
          <w:i/>
          <w:iCs/>
          <w:spacing w:val="-2"/>
          <w:sz w:val="22"/>
          <w:szCs w:val="22"/>
        </w:rPr>
        <w:t>”</w:t>
      </w:r>
      <w:r w:rsidRPr="001D6AAD">
        <w:rPr>
          <w:bCs/>
          <w:i/>
          <w:iCs/>
          <w:spacing w:val="-2"/>
          <w:sz w:val="22"/>
          <w:szCs w:val="22"/>
        </w:rPr>
        <w:t>) que incluye una meta de financiamiento monetario al Tesoro Nacional nulo para 2024, y se habilitó asimismo el desembolso, neto de pagos al organismo, de u$s2.700 millones. Esto último, sumado a las compras de divisas al sector privado (u$s3.270 millones), permitió que las Reservas Internacionales se incrementaran en u$s4.568 millones.</w:t>
      </w:r>
    </w:p>
    <w:p w14:paraId="146E8400" w14:textId="684FB83F"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 xml:space="preserve">Aún con la fuerte expansión monetaria que implica la recomposición de reservas internacionales, comenzó a </w:t>
      </w:r>
      <w:r w:rsidRPr="001D6AAD">
        <w:rPr>
          <w:bCs/>
          <w:i/>
          <w:iCs/>
          <w:spacing w:val="-2"/>
          <w:sz w:val="22"/>
          <w:szCs w:val="22"/>
        </w:rPr>
        <w:lastRenderedPageBreak/>
        <w:t>ejecutarse una severa contracción monetaria: desde el 11 de diciembre</w:t>
      </w:r>
      <w:r w:rsidR="00931A2A">
        <w:rPr>
          <w:bCs/>
          <w:i/>
          <w:iCs/>
          <w:spacing w:val="-2"/>
          <w:sz w:val="22"/>
          <w:szCs w:val="22"/>
        </w:rPr>
        <w:t xml:space="preserve"> de 2023</w:t>
      </w:r>
      <w:r w:rsidRPr="001D6AAD">
        <w:rPr>
          <w:bCs/>
          <w:i/>
          <w:iCs/>
          <w:spacing w:val="-2"/>
          <w:sz w:val="22"/>
          <w:szCs w:val="22"/>
        </w:rPr>
        <w:t xml:space="preserve">, las operaciones de financiamiento directo o indirecto tuvieron un efecto neto contractivo por aproximadamente $1,2 </w:t>
      </w:r>
      <w:r>
        <w:rPr>
          <w:noProof/>
        </w:rPr>
        <w:drawing>
          <wp:anchor distT="0" distB="0" distL="114300" distR="114300" simplePos="0" relativeHeight="251662336" behindDoc="1" locked="0" layoutInCell="1" allowOverlap="1" wp14:anchorId="4D2988A1" wp14:editId="2F96FEE4">
            <wp:simplePos x="0" y="0"/>
            <wp:positionH relativeFrom="margin">
              <wp:align>right</wp:align>
            </wp:positionH>
            <wp:positionV relativeFrom="paragraph">
              <wp:posOffset>271780</wp:posOffset>
            </wp:positionV>
            <wp:extent cx="2914650" cy="1624965"/>
            <wp:effectExtent l="19050" t="19050" r="19050" b="13335"/>
            <wp:wrapTight wrapText="bothSides">
              <wp:wrapPolygon edited="0">
                <wp:start x="-141" y="-253"/>
                <wp:lineTo x="-141" y="21524"/>
                <wp:lineTo x="21600" y="21524"/>
                <wp:lineTo x="21600" y="-253"/>
                <wp:lineTo x="-141" y="-253"/>
              </wp:wrapPolygon>
            </wp:wrapTight>
            <wp:docPr id="1852179770" name="Imagen 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79770" name="Imagen 5" descr="Gráfico, Gráfico de líneas&#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650" cy="1624965"/>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billones. Esto implicó que, medido en términos reales y ajustados por estacionalidad, los medios de pago de los particulares y las empresas (M2 privado transaccional), continuaran exhibiendo una clara tendencia descendente en enero de</w:t>
      </w:r>
      <w:r w:rsidR="00931A2A">
        <w:rPr>
          <w:bCs/>
          <w:i/>
          <w:iCs/>
          <w:spacing w:val="-2"/>
          <w:sz w:val="22"/>
          <w:szCs w:val="22"/>
        </w:rPr>
        <w:t>l</w:t>
      </w:r>
      <w:r w:rsidRPr="001D6AAD">
        <w:rPr>
          <w:bCs/>
          <w:i/>
          <w:iCs/>
          <w:spacing w:val="-2"/>
          <w:sz w:val="22"/>
          <w:szCs w:val="22"/>
        </w:rPr>
        <w:t xml:space="preserve"> 17%, luego de una caída del 15% de diciembre. Se arriba así a un ratio entre medios de pago y PBI del 5,4% a fin de enero, un valor mínimo en 20 años.</w:t>
      </w:r>
    </w:p>
    <w:p w14:paraId="6ECAB842" w14:textId="77777777" w:rsidR="00F02C48" w:rsidRDefault="00F02C48" w:rsidP="00F02C48">
      <w:pPr>
        <w:tabs>
          <w:tab w:val="left" w:pos="0"/>
        </w:tabs>
        <w:suppressAutoHyphens/>
        <w:jc w:val="both"/>
        <w:rPr>
          <w:bCs/>
          <w:i/>
          <w:iCs/>
          <w:spacing w:val="-2"/>
          <w:sz w:val="22"/>
          <w:szCs w:val="22"/>
        </w:rPr>
      </w:pPr>
    </w:p>
    <w:p w14:paraId="720BA805" w14:textId="66C49CA1"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 xml:space="preserve">Mientras tanto se avanzó en la normalización de la deuda con importadores, dada la alta adhesión que tuvo la Serie 1 de los Bonos para la Reconstrucción de una Argentina Libre (“BOPREAL”, habiéndose adjudicado el máximo establecido por el </w:t>
      </w:r>
      <w:r w:rsidRPr="001D6AAD">
        <w:rPr>
          <w:bCs/>
          <w:i/>
          <w:sz w:val="22"/>
          <w:szCs w:val="22"/>
        </w:rPr>
        <w:t>BCRA</w:t>
      </w:r>
      <w:r w:rsidRPr="001D6AAD">
        <w:rPr>
          <w:bCs/>
          <w:i/>
          <w:iCs/>
          <w:spacing w:val="-2"/>
          <w:sz w:val="22"/>
          <w:szCs w:val="22"/>
        </w:rPr>
        <w:t xml:space="preserve"> (u$s5.000 millones). En este contexto, y dado que se completó el padrón de deuda comercial con el exterior, el BCRA en conjunto con la Secretaría de Comercio decidieron habilitar el acceso al mercado de cambio a unas 10.000 </w:t>
      </w:r>
      <w:proofErr w:type="spellStart"/>
      <w:r w:rsidRPr="001D6AAD">
        <w:rPr>
          <w:bCs/>
          <w:i/>
          <w:iCs/>
          <w:spacing w:val="-2"/>
          <w:sz w:val="22"/>
          <w:szCs w:val="22"/>
        </w:rPr>
        <w:t>MiPyMEs</w:t>
      </w:r>
      <w:proofErr w:type="spellEnd"/>
      <w:r w:rsidRPr="001D6AAD">
        <w:rPr>
          <w:bCs/>
          <w:i/>
          <w:iCs/>
          <w:spacing w:val="-2"/>
          <w:sz w:val="22"/>
          <w:szCs w:val="22"/>
        </w:rPr>
        <w:t xml:space="preserve"> con deudas declaradas de hasta u$s500.000 para que puedan cancelar la totalidad de sus compromisos con el exterior en los próximos tres meses.</w:t>
      </w:r>
    </w:p>
    <w:p w14:paraId="4439C552" w14:textId="77777777" w:rsidR="00F02C48" w:rsidRDefault="00F02C48" w:rsidP="00F02C48">
      <w:pPr>
        <w:tabs>
          <w:tab w:val="left" w:pos="0"/>
        </w:tabs>
        <w:suppressAutoHyphens/>
        <w:jc w:val="both"/>
        <w:rPr>
          <w:bCs/>
          <w:i/>
          <w:iCs/>
          <w:spacing w:val="-2"/>
          <w:sz w:val="22"/>
          <w:szCs w:val="22"/>
        </w:rPr>
      </w:pPr>
    </w:p>
    <w:p w14:paraId="7753BE37" w14:textId="77777777"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Con el cambio de gobierno comenzó asimismo la licuación de los pasivos remunerados del BCRA: se dejó de licitar LELIQ, pasando a ser los pases pasivos el principal instrumento de política monetaria cuya tasa de interés fue establecida en 100% nominal anual (8,3% efectivo mensual). Los pasivos remunerados del BCRA también generaron una contracción monetaria en el mes, originada en la concertación de pases pasivos a 1 día y la suscripción de los nuevos Bonos BOPREAL que más que compensó la expansión provocada por el desarme de LELIQ y LEDIV. Este efecto contractivo fue levemente mayor a la emisión generada por los intereses asociados a los pasivos remunerados del BCRA.</w:t>
      </w:r>
    </w:p>
    <w:p w14:paraId="62B5459B" w14:textId="77777777" w:rsidR="00F02C48" w:rsidRDefault="00F02C48" w:rsidP="00F02C48">
      <w:pPr>
        <w:tabs>
          <w:tab w:val="left" w:pos="0"/>
        </w:tabs>
        <w:suppressAutoHyphens/>
        <w:jc w:val="both"/>
        <w:rPr>
          <w:bCs/>
          <w:i/>
          <w:iCs/>
          <w:spacing w:val="-2"/>
          <w:sz w:val="22"/>
          <w:szCs w:val="22"/>
        </w:rPr>
      </w:pPr>
    </w:p>
    <w:p w14:paraId="5F3C2E70" w14:textId="740B15E3" w:rsidR="00F02C48" w:rsidRPr="001D6AAD" w:rsidRDefault="00F02C48" w:rsidP="00F02C48">
      <w:pPr>
        <w:tabs>
          <w:tab w:val="left" w:pos="0"/>
        </w:tabs>
        <w:suppressAutoHyphens/>
        <w:jc w:val="both"/>
        <w:rPr>
          <w:bCs/>
          <w:i/>
          <w:iCs/>
          <w:spacing w:val="-2"/>
          <w:sz w:val="22"/>
          <w:szCs w:val="22"/>
        </w:rPr>
      </w:pPr>
      <w:r>
        <w:rPr>
          <w:noProof/>
        </w:rPr>
        <w:drawing>
          <wp:anchor distT="0" distB="0" distL="114300" distR="114300" simplePos="0" relativeHeight="251660288" behindDoc="0" locked="0" layoutInCell="1" allowOverlap="1" wp14:anchorId="4D6B7043" wp14:editId="38BADF08">
            <wp:simplePos x="0" y="0"/>
            <wp:positionH relativeFrom="margin">
              <wp:posOffset>3090545</wp:posOffset>
            </wp:positionH>
            <wp:positionV relativeFrom="paragraph">
              <wp:posOffset>514350</wp:posOffset>
            </wp:positionV>
            <wp:extent cx="3022600" cy="1904365"/>
            <wp:effectExtent l="19050" t="19050" r="25400" b="19685"/>
            <wp:wrapSquare wrapText="bothSides"/>
            <wp:docPr id="2061459618"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59618" name="Imagen 4" descr="Gráfico, Gráfico de barras&#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600" cy="1904365"/>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 xml:space="preserve">La </w:t>
      </w:r>
      <w:proofErr w:type="spellStart"/>
      <w:r w:rsidRPr="001D6AAD">
        <w:rPr>
          <w:bCs/>
          <w:i/>
          <w:iCs/>
          <w:spacing w:val="-2"/>
          <w:sz w:val="22"/>
          <w:szCs w:val="22"/>
        </w:rPr>
        <w:t>macro-devaluación</w:t>
      </w:r>
      <w:proofErr w:type="spellEnd"/>
      <w:r w:rsidRPr="001D6AAD">
        <w:rPr>
          <w:bCs/>
          <w:i/>
          <w:iCs/>
          <w:spacing w:val="-2"/>
          <w:sz w:val="22"/>
          <w:szCs w:val="22"/>
        </w:rPr>
        <w:t xml:space="preserve"> permitió esta fenomenal contracción monetaria real gracias a la licuación inflacionaria y, en un entorno de tasas de interés reales negativas, produjo la distención de la tradicional puja entre tasas y dólar, logrando estabilizar la brecha entre la cotización oficial de la divisa y los dólares financieros, en torno al 33 por ciento.</w:t>
      </w:r>
    </w:p>
    <w:p w14:paraId="22CE6471" w14:textId="77777777"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De allí que la evolución de la inflación (que ya superó el 254% interanual en enero) haya sido crítica y funcional al programa económico hasta tanto el Gobierno cuente con (o genere) nuevos instrumentos para el ancla fiscal, y actúen asimismo los rezagos propios de la política monetaria que consoliden la desinflación sistémica.</w:t>
      </w:r>
    </w:p>
    <w:p w14:paraId="62F01026" w14:textId="77777777" w:rsidR="00F02C48" w:rsidRPr="001D6AAD" w:rsidRDefault="00F02C48" w:rsidP="00F02C48">
      <w:pPr>
        <w:tabs>
          <w:tab w:val="left" w:pos="0"/>
        </w:tabs>
        <w:suppressAutoHyphens/>
        <w:jc w:val="both"/>
        <w:rPr>
          <w:bCs/>
          <w:i/>
          <w:iCs/>
          <w:spacing w:val="-2"/>
          <w:sz w:val="22"/>
          <w:szCs w:val="22"/>
        </w:rPr>
      </w:pPr>
      <w:r w:rsidRPr="001D6AAD">
        <w:rPr>
          <w:bCs/>
          <w:i/>
          <w:iCs/>
          <w:spacing w:val="-2"/>
          <w:sz w:val="22"/>
          <w:szCs w:val="22"/>
        </w:rPr>
        <w:t xml:space="preserve">Es que el 45% del superávit financiero del primer mes de año fue aportado por el sistema previsional: sobre un total de $2 billones de superávit primario registrado en el primer mes del año, las jubilaciones aportaron un recorte de $890.000 millones. De allí que haber arribado a los “superávits gemelos” (es decir fiscal y externo) en enero puede considerarse sólo un buen comienzo. La euforia que en los mercados financieros acompañan los primeros pasos del nuevo gobierno, sin embargo, dan cuenta de que las expectativas entre inversores/acreedores han mejorado: entre puntas, durante el trimestre el riesgo país disminuyó 612 </w:t>
      </w:r>
      <w:proofErr w:type="spellStart"/>
      <w:r w:rsidRPr="001D6AAD">
        <w:rPr>
          <w:bCs/>
          <w:i/>
          <w:iCs/>
          <w:spacing w:val="-2"/>
          <w:sz w:val="22"/>
          <w:szCs w:val="22"/>
        </w:rPr>
        <w:t>bb.pp</w:t>
      </w:r>
      <w:proofErr w:type="spellEnd"/>
      <w:r w:rsidRPr="001D6AAD">
        <w:rPr>
          <w:bCs/>
          <w:i/>
          <w:iCs/>
          <w:spacing w:val="-2"/>
          <w:sz w:val="22"/>
          <w:szCs w:val="22"/>
        </w:rPr>
        <w:t xml:space="preserve">. en un contexto internacional aún hostil desde el financiamiento y los precios de los </w:t>
      </w:r>
      <w:proofErr w:type="spellStart"/>
      <w:r w:rsidRPr="001D6AAD">
        <w:rPr>
          <w:bCs/>
          <w:i/>
          <w:iCs/>
          <w:spacing w:val="-2"/>
          <w:sz w:val="22"/>
          <w:szCs w:val="22"/>
        </w:rPr>
        <w:t>commodities</w:t>
      </w:r>
      <w:proofErr w:type="spellEnd"/>
      <w:r w:rsidRPr="001D6AAD">
        <w:rPr>
          <w:bCs/>
          <w:i/>
          <w:iCs/>
          <w:spacing w:val="-2"/>
          <w:sz w:val="22"/>
          <w:szCs w:val="22"/>
        </w:rPr>
        <w:t>.</w:t>
      </w:r>
    </w:p>
    <w:p w14:paraId="2EA87E7D" w14:textId="4F52C01C" w:rsidR="00F02C48" w:rsidRPr="001D6AAD" w:rsidRDefault="00F02C48" w:rsidP="00F02C48">
      <w:pPr>
        <w:rPr>
          <w:bCs/>
          <w:i/>
          <w:iCs/>
          <w:spacing w:val="-2"/>
          <w:sz w:val="22"/>
          <w:szCs w:val="22"/>
        </w:rPr>
      </w:pPr>
      <w:r>
        <w:rPr>
          <w:noProof/>
        </w:rPr>
        <w:lastRenderedPageBreak/>
        <w:drawing>
          <wp:anchor distT="0" distB="0" distL="114300" distR="114300" simplePos="0" relativeHeight="251663360" behindDoc="1" locked="0" layoutInCell="1" allowOverlap="1" wp14:anchorId="2DBEAA22" wp14:editId="55C05A3D">
            <wp:simplePos x="0" y="0"/>
            <wp:positionH relativeFrom="margin">
              <wp:align>right</wp:align>
            </wp:positionH>
            <wp:positionV relativeFrom="paragraph">
              <wp:posOffset>26035</wp:posOffset>
            </wp:positionV>
            <wp:extent cx="2460625" cy="1446530"/>
            <wp:effectExtent l="19050" t="19050" r="15875" b="20320"/>
            <wp:wrapTight wrapText="bothSides">
              <wp:wrapPolygon edited="0">
                <wp:start x="-167" y="-284"/>
                <wp:lineTo x="-167" y="21619"/>
                <wp:lineTo x="21572" y="21619"/>
                <wp:lineTo x="21572" y="-284"/>
                <wp:lineTo x="-167" y="-284"/>
              </wp:wrapPolygon>
            </wp:wrapTight>
            <wp:docPr id="1826308715"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ráfico, Gráfico de barr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0625" cy="1446530"/>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 xml:space="preserve">En el plano real, sin embargo, la Argentina ingresó en una recesión con el inicio del trimestre, sin que aún los indicadores de mayor frecuencia registren síntomas de desaceleración de las caídas productivas. </w:t>
      </w:r>
    </w:p>
    <w:p w14:paraId="11093E7B" w14:textId="77777777" w:rsidR="00F02C48" w:rsidRDefault="00F02C48" w:rsidP="00F02C48">
      <w:pPr>
        <w:rPr>
          <w:bCs/>
          <w:i/>
          <w:iCs/>
          <w:spacing w:val="-2"/>
          <w:sz w:val="22"/>
          <w:szCs w:val="22"/>
        </w:rPr>
      </w:pPr>
      <w:r w:rsidRPr="001D6AAD">
        <w:rPr>
          <w:bCs/>
          <w:i/>
          <w:iCs/>
          <w:spacing w:val="-2"/>
          <w:sz w:val="22"/>
          <w:szCs w:val="22"/>
        </w:rPr>
        <w:t xml:space="preserve">Los descensos no son generalizados, pero sí concentrados en los sectores más significativos y trabajo-intensivos (entre otros industria, comercio y construcción). Este inicio de año se caracterizó por un mal desempeño en el sector comercial, marcado por escasas transacciones y una baja afluencia de público en los locales, tanto mayoristas como minoristas. </w:t>
      </w:r>
    </w:p>
    <w:p w14:paraId="2AAEA996" w14:textId="77777777" w:rsidR="00F02C48" w:rsidRDefault="00F02C48" w:rsidP="00F02C48">
      <w:pPr>
        <w:rPr>
          <w:bCs/>
          <w:i/>
          <w:iCs/>
          <w:spacing w:val="-2"/>
          <w:sz w:val="22"/>
          <w:szCs w:val="22"/>
        </w:rPr>
      </w:pPr>
    </w:p>
    <w:p w14:paraId="09AC9C1D" w14:textId="1EBD76D9" w:rsidR="00F02C48" w:rsidRPr="001D6AAD" w:rsidRDefault="00F02C48" w:rsidP="00F02C48">
      <w:pPr>
        <w:rPr>
          <w:bCs/>
          <w:i/>
          <w:iCs/>
          <w:spacing w:val="-2"/>
          <w:sz w:val="22"/>
          <w:szCs w:val="22"/>
        </w:rPr>
      </w:pPr>
      <w:r>
        <w:rPr>
          <w:noProof/>
        </w:rPr>
        <w:drawing>
          <wp:anchor distT="0" distB="0" distL="114300" distR="114300" simplePos="0" relativeHeight="251665408" behindDoc="1" locked="0" layoutInCell="1" allowOverlap="1" wp14:anchorId="0691B47E" wp14:editId="670797B9">
            <wp:simplePos x="0" y="0"/>
            <wp:positionH relativeFrom="column">
              <wp:posOffset>3469640</wp:posOffset>
            </wp:positionH>
            <wp:positionV relativeFrom="paragraph">
              <wp:posOffset>38735</wp:posOffset>
            </wp:positionV>
            <wp:extent cx="2470150" cy="1881505"/>
            <wp:effectExtent l="19050" t="19050" r="25400" b="23495"/>
            <wp:wrapTight wrapText="bothSides">
              <wp:wrapPolygon edited="0">
                <wp:start x="-167" y="-219"/>
                <wp:lineTo x="-167" y="21651"/>
                <wp:lineTo x="21656" y="21651"/>
                <wp:lineTo x="21656" y="-219"/>
                <wp:lineTo x="-167" y="-219"/>
              </wp:wrapPolygon>
            </wp:wrapTight>
            <wp:docPr id="247748910"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48910" name="Imagen 2" descr="Tabl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0150" cy="1881505"/>
                    </a:xfrm>
                    <a:prstGeom prst="rect">
                      <a:avLst/>
                    </a:prstGeom>
                    <a:noFill/>
                    <a:ln>
                      <a:solidFill>
                        <a:schemeClr val="accent1"/>
                      </a:solidFill>
                    </a:ln>
                    <a:effectLst/>
                  </pic:spPr>
                </pic:pic>
              </a:graphicData>
            </a:graphic>
            <wp14:sizeRelH relativeFrom="margin">
              <wp14:pctWidth>0</wp14:pctWidth>
            </wp14:sizeRelH>
            <wp14:sizeRelV relativeFrom="margin">
              <wp14:pctHeight>0</wp14:pctHeight>
            </wp14:sizeRelV>
          </wp:anchor>
        </w:drawing>
      </w:r>
      <w:r w:rsidRPr="001D6AAD">
        <w:rPr>
          <w:bCs/>
          <w:i/>
          <w:iCs/>
          <w:spacing w:val="-2"/>
          <w:sz w:val="22"/>
          <w:szCs w:val="22"/>
        </w:rPr>
        <w:t xml:space="preserve">En contraposición, la actividad agropecuaria registra expansión (8,1% interanual) al compararse con los de la campaña del año anterior, muy afectada por la sequía. </w:t>
      </w:r>
    </w:p>
    <w:p w14:paraId="3DEDB5FD" w14:textId="77777777" w:rsidR="00F02C48" w:rsidRPr="001D6AAD" w:rsidRDefault="00F02C48" w:rsidP="00F02C48">
      <w:pPr>
        <w:rPr>
          <w:bCs/>
          <w:i/>
          <w:iCs/>
          <w:spacing w:val="-2"/>
          <w:sz w:val="22"/>
          <w:szCs w:val="22"/>
        </w:rPr>
      </w:pPr>
      <w:r w:rsidRPr="001D6AAD">
        <w:rPr>
          <w:bCs/>
          <w:i/>
          <w:iCs/>
          <w:spacing w:val="-2"/>
          <w:sz w:val="22"/>
          <w:szCs w:val="22"/>
        </w:rPr>
        <w:t>En contraposición, la minería y el turismo marcan expansiones productivas, en tanto los servicios públicos se mantuvieron en registros similares al año anterior.</w:t>
      </w:r>
    </w:p>
    <w:p w14:paraId="636B8040" w14:textId="77777777" w:rsidR="00F02C48" w:rsidRDefault="00F02C48" w:rsidP="00F02C48">
      <w:pPr>
        <w:rPr>
          <w:bCs/>
          <w:i/>
          <w:iCs/>
          <w:spacing w:val="-2"/>
          <w:sz w:val="22"/>
          <w:szCs w:val="22"/>
        </w:rPr>
      </w:pPr>
    </w:p>
    <w:p w14:paraId="2E24132F" w14:textId="77777777" w:rsidR="00F02C48" w:rsidRPr="001D6AAD" w:rsidRDefault="00F02C48" w:rsidP="00F02C48">
      <w:pPr>
        <w:rPr>
          <w:bCs/>
          <w:i/>
          <w:iCs/>
          <w:spacing w:val="-2"/>
          <w:sz w:val="22"/>
          <w:szCs w:val="22"/>
        </w:rPr>
      </w:pPr>
      <w:r w:rsidRPr="001D6AAD">
        <w:rPr>
          <w:bCs/>
          <w:i/>
          <w:iCs/>
          <w:spacing w:val="-2"/>
          <w:sz w:val="22"/>
          <w:szCs w:val="22"/>
        </w:rPr>
        <w:t xml:space="preserve">Desde la demanda agregada, el panorama del consumo exhibe una severa caída y no se advierten puntos de inflexión a corto plazo, como consecuencia de un descenso histórico en el poder adquisitivo de la población sujeta a ingresos fijos. Tanto los salarios reales (de asalariados registrados y no registrados), como las jubilaciones y subsidios personales quedaron virtualmente pulverizados por la inflación. </w:t>
      </w:r>
    </w:p>
    <w:p w14:paraId="3900B62F" w14:textId="77777777" w:rsidR="00F02C48" w:rsidRDefault="00F02C48" w:rsidP="00F02C48">
      <w:pPr>
        <w:rPr>
          <w:bCs/>
          <w:i/>
          <w:iCs/>
          <w:spacing w:val="-2"/>
          <w:sz w:val="22"/>
          <w:szCs w:val="22"/>
        </w:rPr>
      </w:pPr>
    </w:p>
    <w:p w14:paraId="6B5A072F" w14:textId="3CC459B9" w:rsidR="00F02C48" w:rsidRPr="001D6AAD" w:rsidRDefault="00F02C48" w:rsidP="00F02C48">
      <w:pPr>
        <w:rPr>
          <w:bCs/>
          <w:i/>
          <w:iCs/>
          <w:spacing w:val="-2"/>
          <w:sz w:val="22"/>
          <w:szCs w:val="22"/>
        </w:rPr>
      </w:pPr>
      <w:r>
        <w:rPr>
          <w:noProof/>
        </w:rPr>
        <w:drawing>
          <wp:anchor distT="0" distB="0" distL="114300" distR="114300" simplePos="0" relativeHeight="251664384" behindDoc="1" locked="0" layoutInCell="1" allowOverlap="1" wp14:anchorId="1EC60CF5" wp14:editId="040B3386">
            <wp:simplePos x="0" y="0"/>
            <wp:positionH relativeFrom="margin">
              <wp:posOffset>3584575</wp:posOffset>
            </wp:positionH>
            <wp:positionV relativeFrom="paragraph">
              <wp:posOffset>10795</wp:posOffset>
            </wp:positionV>
            <wp:extent cx="2334895" cy="1694180"/>
            <wp:effectExtent l="19050" t="19050" r="27305" b="20320"/>
            <wp:wrapTight wrapText="bothSides">
              <wp:wrapPolygon edited="0">
                <wp:start x="-176" y="-243"/>
                <wp:lineTo x="-176" y="21616"/>
                <wp:lineTo x="21676" y="21616"/>
                <wp:lineTo x="21676" y="-243"/>
                <wp:lineTo x="-176" y="-243"/>
              </wp:wrapPolygon>
            </wp:wrapTight>
            <wp:docPr id="173742662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26629" name="Imagen 1" descr="Gráfico, Gráfico de líneas&#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4895" cy="1694180"/>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Pr="001D6AAD">
        <w:rPr>
          <w:bCs/>
          <w:i/>
          <w:iCs/>
          <w:spacing w:val="-2"/>
          <w:sz w:val="22"/>
          <w:szCs w:val="22"/>
        </w:rPr>
        <w:t>Así, en enero 2024, las ventas minoristas de las pequeñas y medianas empresas experimentaron una significativa disminución del 28,5% a precios constantes en comparación con el mismo período del año anterior, según la medición de CAME, en tanto las ventas de las principales cadenas de supermercados (a precios constantes) ostentan en diciembre una caída del mismo orden, -6,6% interanual. El mismo panorama atraviesa transversalmente el resto del consumo de bienes y servicios de “componente dólar”, como el patentamiento de automotores, con caídas interanuales de más del 30% y varias líneas de electrodomésticos.</w:t>
      </w:r>
    </w:p>
    <w:p w14:paraId="77D2754E" w14:textId="77777777" w:rsidR="00F02C48" w:rsidRDefault="00F02C48" w:rsidP="00F02C48">
      <w:pPr>
        <w:rPr>
          <w:bCs/>
          <w:i/>
          <w:iCs/>
          <w:spacing w:val="-2"/>
          <w:sz w:val="22"/>
          <w:szCs w:val="22"/>
        </w:rPr>
      </w:pPr>
    </w:p>
    <w:p w14:paraId="5FEB2C71" w14:textId="77777777" w:rsidR="00F02C48" w:rsidRPr="001D6AAD" w:rsidRDefault="00F02C48" w:rsidP="00F02C48">
      <w:pPr>
        <w:rPr>
          <w:bCs/>
          <w:i/>
          <w:iCs/>
          <w:spacing w:val="-2"/>
          <w:sz w:val="22"/>
          <w:szCs w:val="22"/>
        </w:rPr>
      </w:pPr>
      <w:r w:rsidRPr="001D6AAD">
        <w:rPr>
          <w:bCs/>
          <w:i/>
          <w:iCs/>
          <w:spacing w:val="-2"/>
          <w:sz w:val="22"/>
          <w:szCs w:val="22"/>
        </w:rPr>
        <w:t>En el corto plazo, y sin perjuicio de las perspectivas políticas que condicionan la gobernabilidad y el consiguiente ajuste estructural, el otoño traerá mayor aporte de divisas, con lo que la caja en dólares del BCRA mantendrá la tendencia a recomponerse. Pero también los ajustes tarifarios tradicionales de esa época del año y, particularmente, los nuevos acuerdos paritarios conspirarán contra el descenso rápido de la tasa de inflación.</w:t>
      </w:r>
    </w:p>
    <w:bookmarkEnd w:id="0"/>
    <w:p w14:paraId="5C14D5AC" w14:textId="77777777" w:rsidR="00F02C48" w:rsidRDefault="00F02C48" w:rsidP="00F02C48">
      <w:pPr>
        <w:tabs>
          <w:tab w:val="right" w:pos="7920"/>
          <w:tab w:val="right" w:pos="9720"/>
        </w:tabs>
        <w:jc w:val="both"/>
        <w:rPr>
          <w:bCs/>
          <w:i/>
          <w:iCs/>
          <w:spacing w:val="-2"/>
          <w:sz w:val="22"/>
          <w:szCs w:val="22"/>
        </w:rPr>
      </w:pPr>
    </w:p>
    <w:p w14:paraId="5BC42469" w14:textId="36AE98D9" w:rsidR="009C694E" w:rsidRDefault="00F119A3" w:rsidP="00FB76D7">
      <w:pPr>
        <w:tabs>
          <w:tab w:val="left" w:pos="0"/>
        </w:tabs>
        <w:suppressAutoHyphens/>
        <w:contextualSpacing/>
        <w:jc w:val="both"/>
        <w:rPr>
          <w:bCs/>
          <w:i/>
          <w:iCs/>
          <w:spacing w:val="-2"/>
          <w:sz w:val="22"/>
          <w:szCs w:val="22"/>
        </w:rPr>
      </w:pPr>
      <w:bookmarkStart w:id="4" w:name="_Hlk66540827"/>
      <w:bookmarkEnd w:id="1"/>
      <w:r w:rsidRPr="00F119A3">
        <w:rPr>
          <w:bCs/>
          <w:i/>
          <w:iCs/>
          <w:spacing w:val="-2"/>
          <w:sz w:val="22"/>
          <w:szCs w:val="22"/>
        </w:rPr>
        <w:t xml:space="preserve">Holdsat S.A. </w:t>
      </w:r>
      <w:r w:rsidR="003D5800">
        <w:rPr>
          <w:bCs/>
          <w:i/>
          <w:iCs/>
          <w:spacing w:val="-2"/>
          <w:sz w:val="22"/>
          <w:szCs w:val="22"/>
        </w:rPr>
        <w:t xml:space="preserve">(la “Sociedad”) </w:t>
      </w:r>
      <w:r w:rsidR="00FB76D7">
        <w:rPr>
          <w:bCs/>
          <w:i/>
          <w:iCs/>
          <w:spacing w:val="-2"/>
          <w:sz w:val="22"/>
          <w:szCs w:val="22"/>
        </w:rPr>
        <w:t>es una</w:t>
      </w:r>
      <w:r w:rsidRPr="00F119A3">
        <w:rPr>
          <w:bCs/>
          <w:i/>
          <w:iCs/>
          <w:spacing w:val="-2"/>
          <w:sz w:val="22"/>
          <w:szCs w:val="22"/>
        </w:rPr>
        <w:t xml:space="preserve"> sociedad que</w:t>
      </w:r>
      <w:r w:rsidR="009C694E">
        <w:rPr>
          <w:bCs/>
          <w:i/>
          <w:iCs/>
          <w:spacing w:val="-2"/>
          <w:sz w:val="22"/>
          <w:szCs w:val="22"/>
        </w:rPr>
        <w:t xml:space="preserve"> surge en virtud de la reorganización societaria d</w:t>
      </w:r>
      <w:r w:rsidR="009C694E" w:rsidRPr="009C694E">
        <w:rPr>
          <w:bCs/>
          <w:i/>
          <w:iCs/>
          <w:spacing w:val="-2"/>
          <w:sz w:val="22"/>
          <w:szCs w:val="22"/>
        </w:rPr>
        <w:t>e Boldt S.A</w:t>
      </w:r>
      <w:r w:rsidR="009C694E">
        <w:rPr>
          <w:bCs/>
          <w:i/>
          <w:iCs/>
          <w:spacing w:val="-2"/>
          <w:sz w:val="22"/>
          <w:szCs w:val="22"/>
        </w:rPr>
        <w:t>., la cual tuvo</w:t>
      </w:r>
      <w:r w:rsidR="009C694E" w:rsidRPr="005D0A22">
        <w:rPr>
          <w:bCs/>
          <w:i/>
          <w:iCs/>
          <w:spacing w:val="-2"/>
          <w:sz w:val="22"/>
          <w:szCs w:val="22"/>
        </w:rPr>
        <w:t xml:space="preserve"> como eje central</w:t>
      </w:r>
      <w:r w:rsidR="009C694E" w:rsidRPr="005D0A22">
        <w:rPr>
          <w:i/>
          <w:spacing w:val="-2"/>
          <w:sz w:val="22"/>
          <w:szCs w:val="22"/>
        </w:rPr>
        <w:t xml:space="preserve"> la escisión parcial del patrimonio de </w:t>
      </w:r>
      <w:r w:rsidR="009C694E">
        <w:rPr>
          <w:i/>
          <w:spacing w:val="-2"/>
          <w:sz w:val="22"/>
          <w:szCs w:val="22"/>
        </w:rPr>
        <w:t>dicha sociedad</w:t>
      </w:r>
      <w:r w:rsidR="003D5800">
        <w:rPr>
          <w:i/>
          <w:spacing w:val="-2"/>
          <w:sz w:val="22"/>
          <w:szCs w:val="22"/>
        </w:rPr>
        <w:t xml:space="preserve"> </w:t>
      </w:r>
      <w:r w:rsidR="009C694E" w:rsidRPr="005D0A22">
        <w:rPr>
          <w:bCs/>
          <w:i/>
          <w:iCs/>
          <w:spacing w:val="-2"/>
          <w:sz w:val="22"/>
          <w:szCs w:val="22"/>
        </w:rPr>
        <w:t>con el objeto de destinarlo</w:t>
      </w:r>
      <w:r w:rsidR="009C694E" w:rsidRPr="005D0A22">
        <w:rPr>
          <w:i/>
          <w:spacing w:val="-2"/>
          <w:sz w:val="22"/>
          <w:szCs w:val="22"/>
        </w:rPr>
        <w:t xml:space="preserve"> a la </w:t>
      </w:r>
      <w:r w:rsidR="009C694E" w:rsidRPr="005D0A22">
        <w:rPr>
          <w:bCs/>
          <w:i/>
          <w:iCs/>
          <w:spacing w:val="-2"/>
          <w:sz w:val="22"/>
          <w:szCs w:val="22"/>
        </w:rPr>
        <w:t>creación</w:t>
      </w:r>
      <w:r w:rsidR="009C694E" w:rsidRPr="005D0A22">
        <w:rPr>
          <w:i/>
          <w:spacing w:val="-2"/>
          <w:sz w:val="22"/>
          <w:szCs w:val="22"/>
        </w:rPr>
        <w:t xml:space="preserve"> de 4 nuevas sociedades anónimas</w:t>
      </w:r>
      <w:r w:rsidR="003D5800">
        <w:rPr>
          <w:i/>
          <w:spacing w:val="-2"/>
          <w:sz w:val="22"/>
          <w:szCs w:val="22"/>
        </w:rPr>
        <w:t xml:space="preserve"> (la “Escisión”)</w:t>
      </w:r>
      <w:r w:rsidR="009C694E" w:rsidRPr="009C694E">
        <w:rPr>
          <w:bCs/>
          <w:i/>
          <w:iCs/>
          <w:spacing w:val="-2"/>
          <w:sz w:val="22"/>
          <w:szCs w:val="22"/>
        </w:rPr>
        <w:t>.</w:t>
      </w:r>
      <w:r w:rsidR="009C694E" w:rsidRPr="005D0A22">
        <w:rPr>
          <w:sz w:val="22"/>
          <w:szCs w:val="22"/>
        </w:rPr>
        <w:t xml:space="preserve"> </w:t>
      </w:r>
      <w:r w:rsidR="009C694E" w:rsidRPr="009C694E">
        <w:rPr>
          <w:bCs/>
          <w:i/>
          <w:iCs/>
          <w:spacing w:val="-2"/>
          <w:sz w:val="22"/>
          <w:szCs w:val="22"/>
        </w:rPr>
        <w:t>En fecha 11 de octubre de 2023 el Directorio de la Comisión Nacional de Valores</w:t>
      </w:r>
      <w:r w:rsidR="003D5800">
        <w:rPr>
          <w:bCs/>
          <w:i/>
          <w:iCs/>
          <w:spacing w:val="-2"/>
          <w:sz w:val="22"/>
          <w:szCs w:val="22"/>
        </w:rPr>
        <w:t xml:space="preserve"> (“CNV”)</w:t>
      </w:r>
      <w:r w:rsidR="009C694E" w:rsidRPr="009C694E">
        <w:rPr>
          <w:bCs/>
          <w:i/>
          <w:iCs/>
          <w:spacing w:val="-2"/>
          <w:sz w:val="22"/>
          <w:szCs w:val="22"/>
        </w:rPr>
        <w:t xml:space="preserve">, por Resolución Nro. 22471 procedió a conformar </w:t>
      </w:r>
      <w:r w:rsidR="009C694E" w:rsidRPr="009C694E">
        <w:rPr>
          <w:bCs/>
          <w:i/>
          <w:iCs/>
          <w:spacing w:val="-2"/>
          <w:sz w:val="22"/>
          <w:szCs w:val="22"/>
        </w:rPr>
        <w:lastRenderedPageBreak/>
        <w:t>la Escisión</w:t>
      </w:r>
      <w:r w:rsidR="009C694E">
        <w:rPr>
          <w:bCs/>
          <w:i/>
          <w:iCs/>
          <w:spacing w:val="-2"/>
          <w:sz w:val="22"/>
          <w:szCs w:val="22"/>
        </w:rPr>
        <w:t xml:space="preserve"> de Boldt S.A.</w:t>
      </w:r>
      <w:r w:rsidR="009C694E" w:rsidRPr="009C694E">
        <w:rPr>
          <w:bCs/>
          <w:i/>
          <w:iCs/>
          <w:spacing w:val="-2"/>
          <w:sz w:val="22"/>
          <w:szCs w:val="22"/>
        </w:rPr>
        <w:t xml:space="preserve"> condicionando la reducción del capital </w:t>
      </w:r>
      <w:r w:rsidR="009C694E">
        <w:rPr>
          <w:bCs/>
          <w:i/>
          <w:iCs/>
          <w:spacing w:val="-2"/>
          <w:sz w:val="22"/>
          <w:szCs w:val="22"/>
        </w:rPr>
        <w:t>de dicha sociedad,</w:t>
      </w:r>
      <w:r w:rsidR="009C694E" w:rsidRPr="009C694E">
        <w:rPr>
          <w:bCs/>
          <w:i/>
          <w:iCs/>
          <w:spacing w:val="-2"/>
          <w:sz w:val="22"/>
          <w:szCs w:val="22"/>
        </w:rPr>
        <w:t xml:space="preserve"> a la previa inscripción registral de la Escisión ante la Inspección General de Justicia</w:t>
      </w:r>
      <w:r w:rsidR="003D5800">
        <w:rPr>
          <w:bCs/>
          <w:i/>
          <w:iCs/>
          <w:spacing w:val="-2"/>
          <w:sz w:val="22"/>
          <w:szCs w:val="22"/>
        </w:rPr>
        <w:t xml:space="preserve"> (hito cumplido con inscripción de fecha 21 de diciembre de 2023)</w:t>
      </w:r>
      <w:r w:rsidR="009C694E" w:rsidRPr="009C694E">
        <w:rPr>
          <w:bCs/>
          <w:i/>
          <w:iCs/>
          <w:spacing w:val="-2"/>
          <w:sz w:val="22"/>
          <w:szCs w:val="22"/>
        </w:rPr>
        <w:t>, la acreditación del efectivo canje de acciones a los accionistas de las nuevas sociedades creadas</w:t>
      </w:r>
      <w:r w:rsidR="009C694E">
        <w:rPr>
          <w:bCs/>
          <w:i/>
          <w:iCs/>
          <w:spacing w:val="-2"/>
          <w:sz w:val="22"/>
          <w:szCs w:val="22"/>
        </w:rPr>
        <w:t xml:space="preserve"> en virtud de la mencionada escisión</w:t>
      </w:r>
      <w:r w:rsidR="009C694E" w:rsidRPr="009C694E">
        <w:rPr>
          <w:bCs/>
          <w:i/>
          <w:iCs/>
          <w:spacing w:val="-2"/>
          <w:sz w:val="22"/>
          <w:szCs w:val="22"/>
        </w:rPr>
        <w:t xml:space="preserve"> y </w:t>
      </w:r>
      <w:r w:rsidR="009C694E">
        <w:rPr>
          <w:bCs/>
          <w:i/>
          <w:iCs/>
          <w:spacing w:val="-2"/>
          <w:sz w:val="22"/>
          <w:szCs w:val="22"/>
        </w:rPr>
        <w:t xml:space="preserve">a </w:t>
      </w:r>
      <w:r w:rsidR="009C694E" w:rsidRPr="009C694E">
        <w:rPr>
          <w:bCs/>
          <w:i/>
          <w:iCs/>
          <w:spacing w:val="-2"/>
          <w:sz w:val="22"/>
          <w:szCs w:val="22"/>
        </w:rPr>
        <w:t>la presentación de la autorización de ingreso a la oferta pública de Holdsat S.A.</w:t>
      </w:r>
    </w:p>
    <w:p w14:paraId="6D51F72B" w14:textId="0EDA157A" w:rsidR="009C694E" w:rsidRDefault="009C694E" w:rsidP="00FB76D7">
      <w:pPr>
        <w:tabs>
          <w:tab w:val="left" w:pos="0"/>
        </w:tabs>
        <w:suppressAutoHyphens/>
        <w:contextualSpacing/>
        <w:jc w:val="both"/>
        <w:rPr>
          <w:bCs/>
          <w:i/>
          <w:iCs/>
          <w:spacing w:val="-2"/>
          <w:sz w:val="22"/>
          <w:szCs w:val="22"/>
        </w:rPr>
      </w:pPr>
    </w:p>
    <w:p w14:paraId="5F76AB55" w14:textId="23A2E21D" w:rsidR="009C694E" w:rsidRDefault="009C694E" w:rsidP="00FB76D7">
      <w:pPr>
        <w:tabs>
          <w:tab w:val="left" w:pos="0"/>
        </w:tabs>
        <w:suppressAutoHyphens/>
        <w:contextualSpacing/>
        <w:jc w:val="both"/>
        <w:rPr>
          <w:bCs/>
          <w:i/>
          <w:iCs/>
          <w:spacing w:val="-2"/>
          <w:sz w:val="22"/>
          <w:szCs w:val="22"/>
        </w:rPr>
      </w:pPr>
      <w:r w:rsidRPr="009C694E">
        <w:rPr>
          <w:bCs/>
          <w:i/>
          <w:iCs/>
          <w:spacing w:val="-2"/>
          <w:sz w:val="22"/>
          <w:szCs w:val="22"/>
        </w:rPr>
        <w:t xml:space="preserve">Al momento de emisión de la presente </w:t>
      </w:r>
      <w:r>
        <w:rPr>
          <w:bCs/>
          <w:i/>
          <w:iCs/>
          <w:spacing w:val="-2"/>
          <w:sz w:val="22"/>
          <w:szCs w:val="22"/>
        </w:rPr>
        <w:t>Reseña</w:t>
      </w:r>
      <w:r w:rsidRPr="009C694E">
        <w:rPr>
          <w:bCs/>
          <w:i/>
          <w:iCs/>
          <w:spacing w:val="-2"/>
          <w:sz w:val="22"/>
          <w:szCs w:val="22"/>
        </w:rPr>
        <w:t>, la Escisión y constitución de las nuevas sociedades ha sido debidamente registrada por la Inspección General de Justicia, encontrándose la Sociedad realizando todas las gestiones pertinentes para obtener la autorización de ingreso a la oferta pública</w:t>
      </w:r>
      <w:r w:rsidR="003D5800">
        <w:rPr>
          <w:bCs/>
          <w:i/>
          <w:iCs/>
          <w:spacing w:val="-2"/>
          <w:sz w:val="22"/>
          <w:szCs w:val="22"/>
        </w:rPr>
        <w:t xml:space="preserve"> ante la CNV. </w:t>
      </w:r>
    </w:p>
    <w:p w14:paraId="0DEB16E5" w14:textId="77777777" w:rsidR="009C694E" w:rsidRDefault="009C694E" w:rsidP="00FB76D7">
      <w:pPr>
        <w:tabs>
          <w:tab w:val="left" w:pos="0"/>
        </w:tabs>
        <w:suppressAutoHyphens/>
        <w:contextualSpacing/>
        <w:jc w:val="both"/>
        <w:rPr>
          <w:bCs/>
          <w:i/>
          <w:iCs/>
          <w:spacing w:val="-2"/>
          <w:sz w:val="22"/>
          <w:szCs w:val="22"/>
        </w:rPr>
      </w:pPr>
    </w:p>
    <w:p w14:paraId="33C1DE1E" w14:textId="5843C3A5" w:rsidR="00F119A3" w:rsidRDefault="003D5800" w:rsidP="00FB76D7">
      <w:pPr>
        <w:tabs>
          <w:tab w:val="left" w:pos="0"/>
        </w:tabs>
        <w:suppressAutoHyphens/>
        <w:contextualSpacing/>
        <w:jc w:val="both"/>
        <w:rPr>
          <w:bCs/>
          <w:i/>
          <w:iCs/>
          <w:spacing w:val="-2"/>
          <w:sz w:val="22"/>
          <w:szCs w:val="22"/>
        </w:rPr>
      </w:pPr>
      <w:r>
        <w:rPr>
          <w:bCs/>
          <w:i/>
          <w:iCs/>
          <w:spacing w:val="-2"/>
          <w:sz w:val="22"/>
          <w:szCs w:val="22"/>
        </w:rPr>
        <w:t>La Sociedad, producto de la Escisión</w:t>
      </w:r>
      <w:r w:rsidR="00F119A3" w:rsidRPr="00F119A3">
        <w:rPr>
          <w:bCs/>
          <w:i/>
          <w:iCs/>
          <w:spacing w:val="-2"/>
          <w:sz w:val="22"/>
          <w:szCs w:val="22"/>
        </w:rPr>
        <w:t>, recibi</w:t>
      </w:r>
      <w:r w:rsidR="00FB76D7">
        <w:rPr>
          <w:bCs/>
          <w:i/>
          <w:iCs/>
          <w:spacing w:val="-2"/>
          <w:sz w:val="22"/>
          <w:szCs w:val="22"/>
        </w:rPr>
        <w:t>ó</w:t>
      </w:r>
      <w:r w:rsidR="00F119A3" w:rsidRPr="00F119A3">
        <w:rPr>
          <w:bCs/>
          <w:i/>
          <w:iCs/>
          <w:spacing w:val="-2"/>
          <w:sz w:val="22"/>
          <w:szCs w:val="22"/>
        </w:rPr>
        <w:t xml:space="preserve"> entre otros activos y pasivos identificados en el balance especial de escisión</w:t>
      </w:r>
      <w:r>
        <w:rPr>
          <w:bCs/>
          <w:i/>
          <w:iCs/>
          <w:spacing w:val="-2"/>
          <w:sz w:val="22"/>
          <w:szCs w:val="22"/>
        </w:rPr>
        <w:t xml:space="preserve"> de Boldt S.A.</w:t>
      </w:r>
      <w:r w:rsidR="00F119A3" w:rsidRPr="00F119A3">
        <w:rPr>
          <w:bCs/>
          <w:i/>
          <w:iCs/>
          <w:spacing w:val="-2"/>
          <w:sz w:val="22"/>
          <w:szCs w:val="22"/>
        </w:rPr>
        <w:t>, la</w:t>
      </w:r>
      <w:r>
        <w:rPr>
          <w:bCs/>
          <w:i/>
          <w:iCs/>
          <w:spacing w:val="-2"/>
          <w:sz w:val="22"/>
          <w:szCs w:val="22"/>
        </w:rPr>
        <w:t xml:space="preserve"> totalidad de</w:t>
      </w:r>
      <w:r w:rsidR="00F119A3" w:rsidRPr="00F119A3">
        <w:rPr>
          <w:bCs/>
          <w:i/>
          <w:iCs/>
          <w:spacing w:val="-2"/>
          <w:sz w:val="22"/>
          <w:szCs w:val="22"/>
        </w:rPr>
        <w:t xml:space="preserve"> acciones que </w:t>
      </w:r>
      <w:r w:rsidR="00FB76D7">
        <w:rPr>
          <w:bCs/>
          <w:i/>
          <w:iCs/>
          <w:spacing w:val="-2"/>
          <w:sz w:val="22"/>
          <w:szCs w:val="22"/>
        </w:rPr>
        <w:t xml:space="preserve">la empresa </w:t>
      </w:r>
      <w:r w:rsidR="00F119A3" w:rsidRPr="00F119A3">
        <w:rPr>
          <w:bCs/>
          <w:i/>
          <w:iCs/>
          <w:spacing w:val="-2"/>
          <w:sz w:val="22"/>
          <w:szCs w:val="22"/>
        </w:rPr>
        <w:t xml:space="preserve">Boldt </w:t>
      </w:r>
      <w:r w:rsidR="00FB76D7">
        <w:rPr>
          <w:bCs/>
          <w:i/>
          <w:iCs/>
          <w:spacing w:val="-2"/>
          <w:sz w:val="22"/>
          <w:szCs w:val="22"/>
        </w:rPr>
        <w:t xml:space="preserve">S.A. </w:t>
      </w:r>
      <w:r>
        <w:rPr>
          <w:bCs/>
          <w:i/>
          <w:iCs/>
          <w:spacing w:val="-2"/>
          <w:sz w:val="22"/>
          <w:szCs w:val="22"/>
        </w:rPr>
        <w:t>tenía</w:t>
      </w:r>
      <w:r w:rsidRPr="00F119A3">
        <w:rPr>
          <w:bCs/>
          <w:i/>
          <w:iCs/>
          <w:spacing w:val="-2"/>
          <w:sz w:val="22"/>
          <w:szCs w:val="22"/>
        </w:rPr>
        <w:t xml:space="preserve"> </w:t>
      </w:r>
      <w:r w:rsidR="00F119A3" w:rsidRPr="00F119A3">
        <w:rPr>
          <w:bCs/>
          <w:i/>
          <w:iCs/>
          <w:spacing w:val="-2"/>
          <w:sz w:val="22"/>
          <w:szCs w:val="22"/>
        </w:rPr>
        <w:t xml:space="preserve">en </w:t>
      </w:r>
      <w:proofErr w:type="spellStart"/>
      <w:r w:rsidR="00F119A3" w:rsidRPr="00F119A3">
        <w:rPr>
          <w:bCs/>
          <w:i/>
          <w:iCs/>
          <w:spacing w:val="-2"/>
          <w:sz w:val="22"/>
          <w:szCs w:val="22"/>
        </w:rPr>
        <w:t>Orbith</w:t>
      </w:r>
      <w:proofErr w:type="spellEnd"/>
      <w:r w:rsidR="00F119A3" w:rsidRPr="00F119A3">
        <w:rPr>
          <w:bCs/>
          <w:i/>
          <w:iCs/>
          <w:spacing w:val="-2"/>
          <w:sz w:val="22"/>
          <w:szCs w:val="22"/>
        </w:rPr>
        <w:t xml:space="preserve"> S.A., que actualmente representan el 72,5% de su capital y votos; y el 72,33% del paquete accionario de </w:t>
      </w:r>
      <w:proofErr w:type="spellStart"/>
      <w:r w:rsidR="00F119A3" w:rsidRPr="00F119A3">
        <w:rPr>
          <w:bCs/>
          <w:i/>
          <w:iCs/>
          <w:spacing w:val="-2"/>
          <w:sz w:val="22"/>
          <w:szCs w:val="22"/>
        </w:rPr>
        <w:t>Orbith</w:t>
      </w:r>
      <w:proofErr w:type="spellEnd"/>
      <w:r w:rsidR="00F119A3" w:rsidRPr="00F119A3">
        <w:rPr>
          <w:bCs/>
          <w:i/>
          <w:iCs/>
          <w:spacing w:val="-2"/>
          <w:sz w:val="22"/>
          <w:szCs w:val="22"/>
        </w:rPr>
        <w:t xml:space="preserve"> Chile </w:t>
      </w:r>
      <w:proofErr w:type="spellStart"/>
      <w:r w:rsidR="00F119A3" w:rsidRPr="00F119A3">
        <w:rPr>
          <w:bCs/>
          <w:i/>
          <w:iCs/>
          <w:spacing w:val="-2"/>
          <w:sz w:val="22"/>
          <w:szCs w:val="22"/>
        </w:rPr>
        <w:t>SpA</w:t>
      </w:r>
      <w:proofErr w:type="spellEnd"/>
      <w:r w:rsidR="00F119A3" w:rsidRPr="00F119A3">
        <w:rPr>
          <w:bCs/>
          <w:i/>
          <w:iCs/>
          <w:spacing w:val="-2"/>
          <w:sz w:val="22"/>
          <w:szCs w:val="22"/>
        </w:rPr>
        <w:t>.</w:t>
      </w:r>
    </w:p>
    <w:p w14:paraId="0E56F782" w14:textId="77777777" w:rsidR="00B62004" w:rsidRDefault="00B62004" w:rsidP="00FB76D7">
      <w:pPr>
        <w:tabs>
          <w:tab w:val="left" w:pos="0"/>
        </w:tabs>
        <w:suppressAutoHyphens/>
        <w:contextualSpacing/>
        <w:jc w:val="both"/>
        <w:rPr>
          <w:bCs/>
          <w:i/>
          <w:iCs/>
          <w:spacing w:val="-2"/>
          <w:sz w:val="22"/>
          <w:szCs w:val="22"/>
        </w:rPr>
      </w:pPr>
    </w:p>
    <w:p w14:paraId="2E30534B" w14:textId="77777777" w:rsidR="00B62004" w:rsidRPr="00EB21F1" w:rsidRDefault="00B62004" w:rsidP="00B62004">
      <w:pPr>
        <w:tabs>
          <w:tab w:val="left" w:pos="0"/>
        </w:tabs>
        <w:suppressAutoHyphens/>
        <w:jc w:val="both"/>
        <w:rPr>
          <w:b/>
          <w:i/>
          <w:iCs/>
          <w:spacing w:val="-2"/>
          <w:sz w:val="22"/>
          <w:szCs w:val="22"/>
        </w:rPr>
      </w:pPr>
      <w:r w:rsidRPr="00EB21F1">
        <w:rPr>
          <w:b/>
          <w:i/>
          <w:iCs/>
          <w:spacing w:val="-2"/>
          <w:sz w:val="22"/>
          <w:szCs w:val="22"/>
        </w:rPr>
        <w:t xml:space="preserve">A continuación, el desarrollo de los negocios: </w:t>
      </w:r>
    </w:p>
    <w:p w14:paraId="43208A97" w14:textId="77777777" w:rsidR="00FB76D7" w:rsidRDefault="00FB76D7" w:rsidP="00FB76D7">
      <w:pPr>
        <w:tabs>
          <w:tab w:val="left" w:pos="0"/>
        </w:tabs>
        <w:suppressAutoHyphens/>
        <w:contextualSpacing/>
        <w:jc w:val="both"/>
        <w:rPr>
          <w:bCs/>
          <w:i/>
          <w:iCs/>
          <w:spacing w:val="-2"/>
          <w:sz w:val="22"/>
          <w:szCs w:val="22"/>
        </w:rPr>
      </w:pPr>
    </w:p>
    <w:p w14:paraId="689E4C7A" w14:textId="29B204D4" w:rsidR="00FB76D7" w:rsidRPr="00FB76D7" w:rsidRDefault="00FB76D7" w:rsidP="00FB76D7">
      <w:pPr>
        <w:tabs>
          <w:tab w:val="left" w:pos="0"/>
        </w:tabs>
        <w:suppressAutoHyphens/>
        <w:contextualSpacing/>
        <w:jc w:val="both"/>
        <w:rPr>
          <w:bCs/>
          <w:i/>
          <w:iCs/>
          <w:spacing w:val="-2"/>
          <w:sz w:val="22"/>
          <w:szCs w:val="22"/>
        </w:rPr>
      </w:pPr>
      <w:r w:rsidRPr="00FB76D7">
        <w:rPr>
          <w:bCs/>
          <w:i/>
          <w:iCs/>
          <w:spacing w:val="-2"/>
          <w:sz w:val="22"/>
          <w:szCs w:val="22"/>
        </w:rPr>
        <w:t xml:space="preserve">Holdsat S.A. </w:t>
      </w:r>
      <w:r w:rsidR="009C694E">
        <w:rPr>
          <w:bCs/>
          <w:i/>
          <w:iCs/>
          <w:spacing w:val="-2"/>
          <w:sz w:val="22"/>
          <w:szCs w:val="22"/>
        </w:rPr>
        <w:t xml:space="preserve">es una empresa holding que tiene como finalidad </w:t>
      </w:r>
      <w:r w:rsidRPr="00FB76D7">
        <w:rPr>
          <w:bCs/>
          <w:i/>
          <w:iCs/>
          <w:spacing w:val="-2"/>
          <w:sz w:val="22"/>
          <w:szCs w:val="22"/>
        </w:rPr>
        <w:t>la inversión en el campo de las telecomunicaciones, incluyendo el servicio de internet, y desarroll</w:t>
      </w:r>
      <w:r w:rsidR="009C694E">
        <w:rPr>
          <w:bCs/>
          <w:i/>
          <w:iCs/>
          <w:spacing w:val="-2"/>
          <w:sz w:val="22"/>
          <w:szCs w:val="22"/>
        </w:rPr>
        <w:t>o de</w:t>
      </w:r>
      <w:r w:rsidRPr="00FB76D7">
        <w:rPr>
          <w:bCs/>
          <w:i/>
          <w:iCs/>
          <w:spacing w:val="-2"/>
          <w:sz w:val="22"/>
          <w:szCs w:val="22"/>
        </w:rPr>
        <w:t xml:space="preserve"> negocios de comunicación satelital y otros relacionados.</w:t>
      </w:r>
    </w:p>
    <w:p w14:paraId="5B4FCD00" w14:textId="77777777" w:rsidR="00FB76D7" w:rsidRDefault="00FB76D7" w:rsidP="00F119A3">
      <w:pPr>
        <w:tabs>
          <w:tab w:val="left" w:pos="0"/>
        </w:tabs>
        <w:suppressAutoHyphens/>
        <w:ind w:left="360"/>
        <w:jc w:val="both"/>
        <w:rPr>
          <w:i/>
          <w:spacing w:val="-2"/>
          <w:sz w:val="22"/>
          <w:szCs w:val="22"/>
        </w:rPr>
      </w:pPr>
    </w:p>
    <w:p w14:paraId="53B54A7C" w14:textId="74FAEBA4" w:rsidR="00FB76D7" w:rsidRPr="00FB76D7" w:rsidRDefault="003D5800" w:rsidP="00FB76D7">
      <w:pPr>
        <w:tabs>
          <w:tab w:val="left" w:pos="0"/>
        </w:tabs>
        <w:suppressAutoHyphens/>
        <w:contextualSpacing/>
        <w:jc w:val="both"/>
        <w:rPr>
          <w:i/>
          <w:spacing w:val="-2"/>
          <w:sz w:val="22"/>
          <w:szCs w:val="22"/>
        </w:rPr>
      </w:pPr>
      <w:r>
        <w:rPr>
          <w:bCs/>
          <w:i/>
          <w:iCs/>
          <w:spacing w:val="-2"/>
          <w:sz w:val="22"/>
          <w:szCs w:val="22"/>
        </w:rPr>
        <w:t>Asimismo, tal como se mencionó previamente, a</w:t>
      </w:r>
      <w:r w:rsidR="00FB76D7" w:rsidRPr="00FB76D7">
        <w:rPr>
          <w:bCs/>
          <w:i/>
          <w:iCs/>
          <w:spacing w:val="-2"/>
          <w:sz w:val="22"/>
          <w:szCs w:val="22"/>
        </w:rPr>
        <w:t>l día de la fecha se encuentra en proceso</w:t>
      </w:r>
      <w:r w:rsidR="00FB76D7" w:rsidRPr="00FB76D7">
        <w:rPr>
          <w:i/>
          <w:spacing w:val="-2"/>
          <w:sz w:val="22"/>
          <w:szCs w:val="22"/>
        </w:rPr>
        <w:t xml:space="preserve"> de estudio la solicitud de ingreso </w:t>
      </w:r>
      <w:r w:rsidR="00FB76D7" w:rsidRPr="00FB76D7">
        <w:rPr>
          <w:bCs/>
          <w:i/>
          <w:iCs/>
          <w:spacing w:val="-2"/>
          <w:sz w:val="22"/>
          <w:szCs w:val="22"/>
        </w:rPr>
        <w:t xml:space="preserve">de </w:t>
      </w:r>
      <w:r>
        <w:rPr>
          <w:bCs/>
          <w:i/>
          <w:iCs/>
          <w:spacing w:val="-2"/>
          <w:sz w:val="22"/>
          <w:szCs w:val="22"/>
        </w:rPr>
        <w:t>la S</w:t>
      </w:r>
      <w:r w:rsidR="00FB76D7" w:rsidRPr="00FB76D7">
        <w:rPr>
          <w:bCs/>
          <w:i/>
          <w:iCs/>
          <w:spacing w:val="-2"/>
          <w:sz w:val="22"/>
          <w:szCs w:val="22"/>
        </w:rPr>
        <w:t xml:space="preserve">ociedad </w:t>
      </w:r>
      <w:r w:rsidR="00FB76D7" w:rsidRPr="00FB76D7">
        <w:rPr>
          <w:i/>
          <w:spacing w:val="-2"/>
          <w:sz w:val="22"/>
          <w:szCs w:val="22"/>
        </w:rPr>
        <w:t xml:space="preserve">al régimen de la oferta pública de sus acciones </w:t>
      </w:r>
      <w:r w:rsidR="00FB76D7" w:rsidRPr="00FB76D7">
        <w:rPr>
          <w:bCs/>
          <w:i/>
          <w:iCs/>
          <w:spacing w:val="-2"/>
          <w:sz w:val="22"/>
          <w:szCs w:val="22"/>
        </w:rPr>
        <w:t xml:space="preserve">iniciado </w:t>
      </w:r>
      <w:r>
        <w:rPr>
          <w:bCs/>
          <w:i/>
          <w:iCs/>
          <w:spacing w:val="-2"/>
          <w:sz w:val="22"/>
          <w:szCs w:val="22"/>
        </w:rPr>
        <w:t xml:space="preserve">el día 5 de enero de 2024 </w:t>
      </w:r>
      <w:r w:rsidR="00FB76D7" w:rsidRPr="00FB76D7">
        <w:rPr>
          <w:bCs/>
          <w:i/>
          <w:iCs/>
          <w:spacing w:val="-2"/>
          <w:sz w:val="22"/>
          <w:szCs w:val="22"/>
        </w:rPr>
        <w:t>ante la C</w:t>
      </w:r>
      <w:r>
        <w:rPr>
          <w:bCs/>
          <w:i/>
          <w:iCs/>
          <w:spacing w:val="-2"/>
          <w:sz w:val="22"/>
          <w:szCs w:val="22"/>
        </w:rPr>
        <w:t>NV.</w:t>
      </w:r>
    </w:p>
    <w:p w14:paraId="68565986" w14:textId="77777777" w:rsidR="00FB76D7" w:rsidRPr="00F119A3" w:rsidRDefault="00FB76D7" w:rsidP="00F119A3">
      <w:pPr>
        <w:tabs>
          <w:tab w:val="left" w:pos="0"/>
        </w:tabs>
        <w:suppressAutoHyphens/>
        <w:ind w:left="360"/>
        <w:jc w:val="both"/>
        <w:rPr>
          <w:bCs/>
          <w:i/>
          <w:iCs/>
          <w:spacing w:val="-2"/>
          <w:sz w:val="22"/>
          <w:szCs w:val="22"/>
        </w:rPr>
      </w:pPr>
    </w:p>
    <w:bookmarkEnd w:id="4"/>
    <w:bookmarkEnd w:id="2"/>
    <w:bookmarkEnd w:id="3"/>
    <w:p w14:paraId="084C7AE8" w14:textId="10EC550B" w:rsidR="00F02C48" w:rsidRDefault="00F02C48" w:rsidP="00F02C48">
      <w:pPr>
        <w:tabs>
          <w:tab w:val="right" w:pos="7920"/>
          <w:tab w:val="right" w:pos="9720"/>
        </w:tabs>
        <w:jc w:val="both"/>
        <w:rPr>
          <w:b/>
          <w:i/>
          <w:sz w:val="22"/>
          <w:szCs w:val="22"/>
          <w:u w:val="single"/>
          <w:lang w:val="es-AR"/>
        </w:rPr>
      </w:pPr>
      <w:r w:rsidRPr="008F495B">
        <w:rPr>
          <w:b/>
          <w:i/>
          <w:sz w:val="22"/>
          <w:szCs w:val="22"/>
          <w:lang w:val="es-AR"/>
        </w:rPr>
        <w:t xml:space="preserve">2. </w:t>
      </w:r>
      <w:r w:rsidRPr="008F495B">
        <w:rPr>
          <w:b/>
          <w:i/>
          <w:sz w:val="22"/>
          <w:szCs w:val="22"/>
          <w:u w:val="single"/>
          <w:lang w:val="es-AR"/>
        </w:rPr>
        <w:t xml:space="preserve">ESTRUCTURA PATRIMONIAL </w:t>
      </w:r>
    </w:p>
    <w:p w14:paraId="7913C5A2" w14:textId="77777777" w:rsidR="00F02C48" w:rsidRDefault="00F02C48" w:rsidP="00F02C48">
      <w:pPr>
        <w:tabs>
          <w:tab w:val="right" w:pos="7920"/>
          <w:tab w:val="right" w:pos="9720"/>
        </w:tabs>
        <w:jc w:val="both"/>
        <w:rPr>
          <w:b/>
          <w:i/>
          <w:sz w:val="22"/>
          <w:szCs w:val="22"/>
          <w:u w:val="single"/>
          <w:lang w:val="es-AR"/>
        </w:rPr>
      </w:pPr>
    </w:p>
    <w:p w14:paraId="0691D044" w14:textId="44CF7F31" w:rsidR="00F02C48" w:rsidRDefault="003E6511" w:rsidP="00F02C48">
      <w:pPr>
        <w:tabs>
          <w:tab w:val="right" w:pos="7920"/>
          <w:tab w:val="right" w:pos="9720"/>
        </w:tabs>
        <w:jc w:val="both"/>
        <w:rPr>
          <w:b/>
          <w:i/>
          <w:sz w:val="22"/>
          <w:szCs w:val="22"/>
          <w:u w:val="single"/>
          <w:lang w:val="es-AR"/>
        </w:rPr>
      </w:pPr>
      <w:r w:rsidRPr="003E6511">
        <w:rPr>
          <w:noProof/>
        </w:rPr>
        <w:drawing>
          <wp:inline distT="0" distB="0" distL="0" distR="0" wp14:anchorId="674F53F7" wp14:editId="69550A69">
            <wp:extent cx="2078182" cy="1713589"/>
            <wp:effectExtent l="0" t="0" r="0" b="1270"/>
            <wp:docPr id="777687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568" cy="1719679"/>
                    </a:xfrm>
                    <a:prstGeom prst="rect">
                      <a:avLst/>
                    </a:prstGeom>
                    <a:noFill/>
                    <a:ln>
                      <a:noFill/>
                    </a:ln>
                  </pic:spPr>
                </pic:pic>
              </a:graphicData>
            </a:graphic>
          </wp:inline>
        </w:drawing>
      </w:r>
    </w:p>
    <w:p w14:paraId="22EF7049" w14:textId="77777777" w:rsidR="00F02C48" w:rsidRPr="008F495B" w:rsidRDefault="00F02C48" w:rsidP="00F02C48">
      <w:pPr>
        <w:tabs>
          <w:tab w:val="right" w:pos="7920"/>
          <w:tab w:val="right" w:pos="9720"/>
        </w:tabs>
        <w:jc w:val="both"/>
        <w:rPr>
          <w:b/>
          <w:i/>
          <w:sz w:val="22"/>
          <w:szCs w:val="22"/>
          <w:u w:val="single"/>
          <w:lang w:val="es-AR"/>
        </w:rPr>
      </w:pPr>
    </w:p>
    <w:p w14:paraId="40FFC673" w14:textId="77777777" w:rsidR="005D0A22" w:rsidRDefault="005D0A22" w:rsidP="00F02C48">
      <w:pPr>
        <w:tabs>
          <w:tab w:val="right" w:pos="7920"/>
          <w:tab w:val="right" w:pos="9720"/>
        </w:tabs>
        <w:jc w:val="both"/>
        <w:rPr>
          <w:b/>
          <w:i/>
          <w:spacing w:val="-2"/>
          <w:sz w:val="22"/>
          <w:szCs w:val="22"/>
          <w:lang w:val="es-AR"/>
        </w:rPr>
      </w:pPr>
    </w:p>
    <w:p w14:paraId="01AF92EA" w14:textId="77777777" w:rsidR="005D0A22" w:rsidRDefault="005D0A22" w:rsidP="00F02C48">
      <w:pPr>
        <w:tabs>
          <w:tab w:val="right" w:pos="7920"/>
          <w:tab w:val="right" w:pos="9720"/>
        </w:tabs>
        <w:jc w:val="both"/>
        <w:rPr>
          <w:b/>
          <w:i/>
          <w:spacing w:val="-2"/>
          <w:sz w:val="22"/>
          <w:szCs w:val="22"/>
          <w:lang w:val="es-AR"/>
        </w:rPr>
      </w:pPr>
    </w:p>
    <w:p w14:paraId="71E1E078" w14:textId="77777777" w:rsidR="005D0A22" w:rsidRDefault="005D0A22" w:rsidP="00F02C48">
      <w:pPr>
        <w:tabs>
          <w:tab w:val="right" w:pos="7920"/>
          <w:tab w:val="right" w:pos="9720"/>
        </w:tabs>
        <w:jc w:val="both"/>
        <w:rPr>
          <w:b/>
          <w:i/>
          <w:spacing w:val="-2"/>
          <w:sz w:val="22"/>
          <w:szCs w:val="22"/>
          <w:lang w:val="es-AR"/>
        </w:rPr>
      </w:pPr>
    </w:p>
    <w:p w14:paraId="59B28683" w14:textId="77777777" w:rsidR="005D0A22" w:rsidRDefault="005D0A22" w:rsidP="00F02C48">
      <w:pPr>
        <w:tabs>
          <w:tab w:val="right" w:pos="7920"/>
          <w:tab w:val="right" w:pos="9720"/>
        </w:tabs>
        <w:jc w:val="both"/>
        <w:rPr>
          <w:b/>
          <w:i/>
          <w:spacing w:val="-2"/>
          <w:sz w:val="22"/>
          <w:szCs w:val="22"/>
          <w:lang w:val="es-AR"/>
        </w:rPr>
      </w:pPr>
    </w:p>
    <w:p w14:paraId="7F223D1D" w14:textId="77777777" w:rsidR="005D0A22" w:rsidRDefault="005D0A22" w:rsidP="00F02C48">
      <w:pPr>
        <w:tabs>
          <w:tab w:val="right" w:pos="7920"/>
          <w:tab w:val="right" w:pos="9720"/>
        </w:tabs>
        <w:jc w:val="both"/>
        <w:rPr>
          <w:b/>
          <w:i/>
          <w:spacing w:val="-2"/>
          <w:sz w:val="22"/>
          <w:szCs w:val="22"/>
          <w:lang w:val="es-AR"/>
        </w:rPr>
      </w:pPr>
    </w:p>
    <w:p w14:paraId="21AA27CD" w14:textId="77777777" w:rsidR="005D0A22" w:rsidRDefault="005D0A22" w:rsidP="00F02C48">
      <w:pPr>
        <w:tabs>
          <w:tab w:val="right" w:pos="7920"/>
          <w:tab w:val="right" w:pos="9720"/>
        </w:tabs>
        <w:jc w:val="both"/>
        <w:rPr>
          <w:b/>
          <w:i/>
          <w:spacing w:val="-2"/>
          <w:sz w:val="22"/>
          <w:szCs w:val="22"/>
          <w:lang w:val="es-AR"/>
        </w:rPr>
      </w:pPr>
    </w:p>
    <w:p w14:paraId="1769DE55" w14:textId="77777777" w:rsidR="005D0A22" w:rsidRDefault="005D0A22" w:rsidP="00F02C48">
      <w:pPr>
        <w:tabs>
          <w:tab w:val="right" w:pos="7920"/>
          <w:tab w:val="right" w:pos="9720"/>
        </w:tabs>
        <w:jc w:val="both"/>
        <w:rPr>
          <w:b/>
          <w:i/>
          <w:spacing w:val="-2"/>
          <w:sz w:val="22"/>
          <w:szCs w:val="22"/>
          <w:lang w:val="es-AR"/>
        </w:rPr>
      </w:pPr>
    </w:p>
    <w:p w14:paraId="69AC73D2" w14:textId="77777777" w:rsidR="005D0A22" w:rsidRDefault="005D0A22" w:rsidP="00F02C48">
      <w:pPr>
        <w:tabs>
          <w:tab w:val="right" w:pos="7920"/>
          <w:tab w:val="right" w:pos="9720"/>
        </w:tabs>
        <w:jc w:val="both"/>
        <w:rPr>
          <w:b/>
          <w:i/>
          <w:spacing w:val="-2"/>
          <w:sz w:val="22"/>
          <w:szCs w:val="22"/>
          <w:lang w:val="es-AR"/>
        </w:rPr>
      </w:pPr>
    </w:p>
    <w:p w14:paraId="2673A3D7" w14:textId="77777777" w:rsidR="005D0A22" w:rsidRDefault="005D0A22" w:rsidP="00F02C48">
      <w:pPr>
        <w:tabs>
          <w:tab w:val="right" w:pos="7920"/>
          <w:tab w:val="right" w:pos="9720"/>
        </w:tabs>
        <w:jc w:val="both"/>
        <w:rPr>
          <w:b/>
          <w:i/>
          <w:spacing w:val="-2"/>
          <w:sz w:val="22"/>
          <w:szCs w:val="22"/>
          <w:lang w:val="es-AR"/>
        </w:rPr>
      </w:pPr>
    </w:p>
    <w:p w14:paraId="5674F1E4" w14:textId="77777777" w:rsidR="005D0A22" w:rsidRDefault="005D0A22" w:rsidP="00F02C48">
      <w:pPr>
        <w:tabs>
          <w:tab w:val="right" w:pos="7920"/>
          <w:tab w:val="right" w:pos="9720"/>
        </w:tabs>
        <w:jc w:val="both"/>
        <w:rPr>
          <w:b/>
          <w:i/>
          <w:spacing w:val="-2"/>
          <w:sz w:val="22"/>
          <w:szCs w:val="22"/>
          <w:lang w:val="es-AR"/>
        </w:rPr>
      </w:pPr>
    </w:p>
    <w:p w14:paraId="7EDAB474" w14:textId="55874C4E" w:rsidR="00F02C48" w:rsidRDefault="00F02C48" w:rsidP="00F02C48">
      <w:pPr>
        <w:tabs>
          <w:tab w:val="right" w:pos="7920"/>
          <w:tab w:val="right" w:pos="9720"/>
        </w:tabs>
        <w:jc w:val="both"/>
        <w:rPr>
          <w:b/>
          <w:i/>
          <w:spacing w:val="-2"/>
          <w:sz w:val="22"/>
          <w:szCs w:val="22"/>
          <w:u w:val="single"/>
          <w:lang w:val="es-AR"/>
        </w:rPr>
      </w:pPr>
      <w:r w:rsidRPr="008F495B">
        <w:rPr>
          <w:b/>
          <w:i/>
          <w:spacing w:val="-2"/>
          <w:sz w:val="22"/>
          <w:szCs w:val="22"/>
          <w:lang w:val="es-AR"/>
        </w:rPr>
        <w:lastRenderedPageBreak/>
        <w:t xml:space="preserve">3. </w:t>
      </w:r>
      <w:r w:rsidRPr="008F495B">
        <w:rPr>
          <w:b/>
          <w:i/>
          <w:spacing w:val="-2"/>
          <w:sz w:val="22"/>
          <w:szCs w:val="22"/>
          <w:u w:val="single"/>
          <w:lang w:val="es-AR"/>
        </w:rPr>
        <w:t xml:space="preserve">ESTRUCTURA DE RESULTADOS </w:t>
      </w:r>
    </w:p>
    <w:p w14:paraId="2749B8B5" w14:textId="77777777" w:rsidR="00F02C48" w:rsidRDefault="00F02C48" w:rsidP="00F02C48">
      <w:pPr>
        <w:tabs>
          <w:tab w:val="right" w:pos="7920"/>
          <w:tab w:val="right" w:pos="9720"/>
        </w:tabs>
        <w:jc w:val="both"/>
        <w:rPr>
          <w:b/>
          <w:i/>
          <w:spacing w:val="-2"/>
          <w:sz w:val="22"/>
          <w:szCs w:val="22"/>
          <w:u w:val="single"/>
          <w:lang w:val="es-AR"/>
        </w:rPr>
      </w:pPr>
    </w:p>
    <w:p w14:paraId="523FC741" w14:textId="14D816EB" w:rsidR="00F02C48" w:rsidRDefault="003E6511" w:rsidP="00F02C48">
      <w:pPr>
        <w:tabs>
          <w:tab w:val="right" w:pos="7920"/>
          <w:tab w:val="right" w:pos="9720"/>
        </w:tabs>
        <w:jc w:val="both"/>
        <w:rPr>
          <w:b/>
          <w:i/>
          <w:spacing w:val="-2"/>
          <w:sz w:val="22"/>
          <w:szCs w:val="22"/>
          <w:u w:val="single"/>
          <w:lang w:val="es-AR"/>
        </w:rPr>
      </w:pPr>
      <w:r w:rsidRPr="003E6511">
        <w:rPr>
          <w:noProof/>
        </w:rPr>
        <w:drawing>
          <wp:inline distT="0" distB="0" distL="0" distR="0" wp14:anchorId="1C6C66A2" wp14:editId="28EFBB7D">
            <wp:extent cx="2762760" cy="1799241"/>
            <wp:effectExtent l="0" t="0" r="0" b="0"/>
            <wp:docPr id="10968889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4713" cy="1807025"/>
                    </a:xfrm>
                    <a:prstGeom prst="rect">
                      <a:avLst/>
                    </a:prstGeom>
                    <a:noFill/>
                    <a:ln>
                      <a:noFill/>
                    </a:ln>
                  </pic:spPr>
                </pic:pic>
              </a:graphicData>
            </a:graphic>
          </wp:inline>
        </w:drawing>
      </w:r>
    </w:p>
    <w:p w14:paraId="73CBD7BC" w14:textId="572C1AF7" w:rsidR="00F02C48" w:rsidRDefault="00F02C48" w:rsidP="00F02C48">
      <w:pPr>
        <w:tabs>
          <w:tab w:val="right" w:pos="7920"/>
          <w:tab w:val="right" w:pos="9720"/>
        </w:tabs>
        <w:jc w:val="both"/>
        <w:rPr>
          <w:b/>
          <w:i/>
          <w:spacing w:val="-2"/>
          <w:sz w:val="22"/>
          <w:szCs w:val="22"/>
          <w:u w:val="single"/>
          <w:lang w:val="es-AR"/>
        </w:rPr>
      </w:pPr>
    </w:p>
    <w:p w14:paraId="454A7B6D" w14:textId="77777777" w:rsidR="00F02C48" w:rsidRDefault="00F02C48" w:rsidP="00F02C48">
      <w:pPr>
        <w:tabs>
          <w:tab w:val="left" w:pos="0"/>
          <w:tab w:val="left" w:pos="3119"/>
          <w:tab w:val="left" w:pos="6663"/>
          <w:tab w:val="right" w:pos="7920"/>
          <w:tab w:val="right" w:pos="9720"/>
        </w:tabs>
        <w:suppressAutoHyphens/>
        <w:jc w:val="both"/>
        <w:rPr>
          <w:b/>
          <w:i/>
          <w:spacing w:val="-2"/>
          <w:sz w:val="22"/>
          <w:szCs w:val="22"/>
          <w:u w:val="single"/>
          <w:lang w:val="es-AR"/>
        </w:rPr>
      </w:pPr>
      <w:r w:rsidRPr="008F495B">
        <w:rPr>
          <w:b/>
          <w:i/>
          <w:spacing w:val="-2"/>
          <w:sz w:val="22"/>
          <w:szCs w:val="22"/>
          <w:lang w:val="es-AR"/>
        </w:rPr>
        <w:t xml:space="preserve">4. </w:t>
      </w:r>
      <w:r w:rsidRPr="008F495B">
        <w:rPr>
          <w:b/>
          <w:i/>
          <w:spacing w:val="-2"/>
          <w:sz w:val="22"/>
          <w:szCs w:val="22"/>
          <w:u w:val="single"/>
          <w:lang w:val="es-AR"/>
        </w:rPr>
        <w:t xml:space="preserve">ESTRUCTURA DE FLUJO DE EFECTIVO </w:t>
      </w:r>
    </w:p>
    <w:p w14:paraId="556DD658" w14:textId="77777777" w:rsidR="00F02C48" w:rsidRDefault="00F02C48" w:rsidP="00F02C48">
      <w:pPr>
        <w:tabs>
          <w:tab w:val="left" w:pos="0"/>
          <w:tab w:val="left" w:pos="3119"/>
          <w:tab w:val="left" w:pos="6663"/>
          <w:tab w:val="right" w:pos="7920"/>
          <w:tab w:val="right" w:pos="9720"/>
        </w:tabs>
        <w:suppressAutoHyphens/>
        <w:jc w:val="both"/>
        <w:rPr>
          <w:b/>
          <w:i/>
          <w:spacing w:val="-2"/>
          <w:sz w:val="22"/>
          <w:szCs w:val="22"/>
          <w:u w:val="single"/>
          <w:lang w:val="es-AR"/>
        </w:rPr>
      </w:pPr>
    </w:p>
    <w:p w14:paraId="71C4CE53" w14:textId="31853215" w:rsidR="00F02C48" w:rsidRPr="008F495B" w:rsidRDefault="003E6511" w:rsidP="00F02C48">
      <w:pPr>
        <w:tabs>
          <w:tab w:val="left" w:pos="0"/>
          <w:tab w:val="left" w:pos="3119"/>
          <w:tab w:val="left" w:pos="6663"/>
          <w:tab w:val="right" w:pos="7920"/>
          <w:tab w:val="right" w:pos="9720"/>
        </w:tabs>
        <w:suppressAutoHyphens/>
        <w:jc w:val="both"/>
        <w:rPr>
          <w:b/>
          <w:i/>
          <w:spacing w:val="-2"/>
          <w:sz w:val="22"/>
          <w:szCs w:val="22"/>
          <w:u w:val="single"/>
          <w:lang w:val="es-AR"/>
        </w:rPr>
      </w:pPr>
      <w:r w:rsidRPr="003E6511">
        <w:rPr>
          <w:noProof/>
        </w:rPr>
        <w:drawing>
          <wp:inline distT="0" distB="0" distL="0" distR="0" wp14:anchorId="7C8C323C" wp14:editId="5CF2CA9B">
            <wp:extent cx="3721168" cy="1931954"/>
            <wp:effectExtent l="0" t="0" r="0" b="0"/>
            <wp:docPr id="15652136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2445" cy="1943001"/>
                    </a:xfrm>
                    <a:prstGeom prst="rect">
                      <a:avLst/>
                    </a:prstGeom>
                    <a:noFill/>
                    <a:ln>
                      <a:noFill/>
                    </a:ln>
                  </pic:spPr>
                </pic:pic>
              </a:graphicData>
            </a:graphic>
          </wp:inline>
        </w:drawing>
      </w:r>
    </w:p>
    <w:p w14:paraId="262C369F" w14:textId="77777777" w:rsidR="00F02C48" w:rsidRDefault="00F02C48" w:rsidP="00F02C48">
      <w:pPr>
        <w:tabs>
          <w:tab w:val="left" w:pos="0"/>
          <w:tab w:val="right" w:pos="7920"/>
          <w:tab w:val="right" w:pos="9720"/>
        </w:tabs>
        <w:suppressAutoHyphens/>
        <w:jc w:val="both"/>
        <w:rPr>
          <w:b/>
          <w:i/>
          <w:spacing w:val="-2"/>
          <w:sz w:val="22"/>
          <w:szCs w:val="22"/>
          <w:lang w:val="es-AR"/>
        </w:rPr>
      </w:pPr>
    </w:p>
    <w:p w14:paraId="09383DF8" w14:textId="77777777" w:rsidR="00F02C48" w:rsidRDefault="00F02C48" w:rsidP="00F02C48">
      <w:pPr>
        <w:tabs>
          <w:tab w:val="left" w:pos="0"/>
          <w:tab w:val="right" w:pos="7920"/>
          <w:tab w:val="right" w:pos="9720"/>
        </w:tabs>
        <w:suppressAutoHyphens/>
        <w:jc w:val="both"/>
        <w:rPr>
          <w:b/>
          <w:i/>
          <w:spacing w:val="-2"/>
          <w:sz w:val="22"/>
          <w:szCs w:val="22"/>
          <w:lang w:val="es-AR"/>
        </w:rPr>
      </w:pPr>
    </w:p>
    <w:p w14:paraId="4DADFC27" w14:textId="77777777" w:rsidR="00F02C48" w:rsidRDefault="00F02C48" w:rsidP="00F02C48">
      <w:pPr>
        <w:tabs>
          <w:tab w:val="left" w:pos="0"/>
          <w:tab w:val="right" w:pos="7920"/>
          <w:tab w:val="right" w:pos="9720"/>
        </w:tabs>
        <w:suppressAutoHyphens/>
        <w:jc w:val="both"/>
        <w:rPr>
          <w:b/>
          <w:i/>
          <w:spacing w:val="-2"/>
          <w:sz w:val="22"/>
          <w:szCs w:val="22"/>
          <w:u w:val="single"/>
          <w:lang w:val="es-AR"/>
        </w:rPr>
      </w:pPr>
      <w:r w:rsidRPr="008F495B">
        <w:rPr>
          <w:b/>
          <w:i/>
          <w:spacing w:val="-2"/>
          <w:sz w:val="22"/>
          <w:szCs w:val="22"/>
          <w:lang w:val="es-AR"/>
        </w:rPr>
        <w:t>5.</w:t>
      </w:r>
      <w:r w:rsidRPr="008F495B">
        <w:rPr>
          <w:b/>
          <w:i/>
          <w:spacing w:val="-2"/>
          <w:sz w:val="22"/>
          <w:szCs w:val="22"/>
          <w:u w:val="single"/>
          <w:lang w:val="es-AR"/>
        </w:rPr>
        <w:t xml:space="preserve"> INDICES FINANCIEROS</w:t>
      </w:r>
    </w:p>
    <w:p w14:paraId="26AF52B0" w14:textId="77777777" w:rsidR="00F02C48" w:rsidRDefault="00F02C48" w:rsidP="00F02C48">
      <w:pPr>
        <w:tabs>
          <w:tab w:val="left" w:pos="0"/>
          <w:tab w:val="right" w:pos="7920"/>
          <w:tab w:val="right" w:pos="9720"/>
        </w:tabs>
        <w:suppressAutoHyphens/>
        <w:jc w:val="both"/>
        <w:rPr>
          <w:b/>
          <w:i/>
          <w:spacing w:val="-2"/>
          <w:sz w:val="22"/>
          <w:szCs w:val="22"/>
          <w:u w:val="single"/>
          <w:lang w:val="es-AR"/>
        </w:rPr>
      </w:pPr>
    </w:p>
    <w:p w14:paraId="41F7799A" w14:textId="2CBE7A13" w:rsidR="00F02C48" w:rsidRDefault="00B861AA" w:rsidP="00F02C48">
      <w:pPr>
        <w:tabs>
          <w:tab w:val="left" w:pos="0"/>
          <w:tab w:val="right" w:pos="7920"/>
          <w:tab w:val="right" w:pos="9720"/>
        </w:tabs>
        <w:suppressAutoHyphens/>
        <w:jc w:val="both"/>
        <w:rPr>
          <w:b/>
          <w:i/>
          <w:spacing w:val="-2"/>
          <w:sz w:val="22"/>
          <w:szCs w:val="22"/>
          <w:u w:val="single"/>
          <w:lang w:val="es-AR"/>
        </w:rPr>
      </w:pPr>
      <w:r w:rsidRPr="00B861AA">
        <w:rPr>
          <w:noProof/>
        </w:rPr>
        <w:drawing>
          <wp:inline distT="0" distB="0" distL="0" distR="0" wp14:anchorId="0C31A3CE" wp14:editId="01F0B0E4">
            <wp:extent cx="2244437" cy="2521920"/>
            <wp:effectExtent l="0" t="0" r="3810" b="0"/>
            <wp:docPr id="15225071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8361" cy="2537566"/>
                    </a:xfrm>
                    <a:prstGeom prst="rect">
                      <a:avLst/>
                    </a:prstGeom>
                    <a:noFill/>
                    <a:ln>
                      <a:noFill/>
                    </a:ln>
                  </pic:spPr>
                </pic:pic>
              </a:graphicData>
            </a:graphic>
          </wp:inline>
        </w:drawing>
      </w:r>
    </w:p>
    <w:p w14:paraId="4E00EE2C" w14:textId="77777777" w:rsidR="00F02C48" w:rsidRPr="008F495B" w:rsidRDefault="00F02C48" w:rsidP="00F02C48">
      <w:pPr>
        <w:tabs>
          <w:tab w:val="left" w:pos="0"/>
          <w:tab w:val="right" w:pos="7920"/>
          <w:tab w:val="right" w:pos="9720"/>
        </w:tabs>
        <w:suppressAutoHyphens/>
        <w:jc w:val="both"/>
        <w:rPr>
          <w:b/>
          <w:i/>
          <w:spacing w:val="-2"/>
          <w:sz w:val="22"/>
          <w:szCs w:val="22"/>
          <w:u w:val="single"/>
          <w:lang w:val="es-AR"/>
        </w:rPr>
      </w:pPr>
    </w:p>
    <w:p w14:paraId="14BDF709" w14:textId="7BB9887D" w:rsidR="00F02C48" w:rsidRPr="007379BD" w:rsidRDefault="00F02C48" w:rsidP="00F02C48">
      <w:pPr>
        <w:tabs>
          <w:tab w:val="left" w:pos="0"/>
        </w:tabs>
        <w:suppressAutoHyphens/>
        <w:jc w:val="both"/>
        <w:rPr>
          <w:i/>
          <w:spacing w:val="-2"/>
          <w:sz w:val="22"/>
          <w:szCs w:val="22"/>
          <w:lang w:val="es-AR"/>
        </w:rPr>
      </w:pPr>
      <w:r w:rsidRPr="005D0A22">
        <w:rPr>
          <w:i/>
          <w:spacing w:val="-2"/>
          <w:sz w:val="22"/>
          <w:szCs w:val="22"/>
          <w:lang w:val="es-AR"/>
        </w:rPr>
        <w:t>Los resultados del período</w:t>
      </w:r>
      <w:r w:rsidR="00943627" w:rsidRPr="005D0A22">
        <w:rPr>
          <w:i/>
          <w:sz w:val="22"/>
          <w:szCs w:val="22"/>
        </w:rPr>
        <w:t xml:space="preserve"> fueron negativos en la suma</w:t>
      </w:r>
      <w:r w:rsidRPr="005D0A22">
        <w:rPr>
          <w:i/>
          <w:sz w:val="22"/>
          <w:szCs w:val="22"/>
        </w:rPr>
        <w:t xml:space="preserve"> de $</w:t>
      </w:r>
      <w:r w:rsidR="00943627" w:rsidRPr="005D0A22">
        <w:rPr>
          <w:i/>
          <w:sz w:val="22"/>
          <w:szCs w:val="22"/>
        </w:rPr>
        <w:t xml:space="preserve">2.053.890.415 </w:t>
      </w:r>
      <w:r w:rsidRPr="005D0A22">
        <w:rPr>
          <w:i/>
          <w:sz w:val="22"/>
          <w:szCs w:val="22"/>
        </w:rPr>
        <w:t>(</w:t>
      </w:r>
      <w:r w:rsidR="00943627" w:rsidRPr="005D0A22">
        <w:rPr>
          <w:i/>
          <w:sz w:val="22"/>
          <w:szCs w:val="22"/>
        </w:rPr>
        <w:t>dos</w:t>
      </w:r>
      <w:r w:rsidR="00943627" w:rsidRPr="005D0A22">
        <w:rPr>
          <w:i/>
          <w:spacing w:val="-2"/>
          <w:sz w:val="22"/>
          <w:szCs w:val="22"/>
          <w:lang w:val="es-AR"/>
        </w:rPr>
        <w:t xml:space="preserve"> mil cincuenta y tres millones ochocientos noventa mil cuatrocientos quince</w:t>
      </w:r>
      <w:r w:rsidRPr="005D0A22">
        <w:rPr>
          <w:i/>
          <w:spacing w:val="-2"/>
          <w:sz w:val="22"/>
          <w:szCs w:val="22"/>
          <w:lang w:val="es-AR"/>
        </w:rPr>
        <w:t>)</w:t>
      </w:r>
      <w:r w:rsidR="00F80B44">
        <w:rPr>
          <w:i/>
          <w:spacing w:val="-2"/>
          <w:sz w:val="22"/>
          <w:szCs w:val="22"/>
          <w:lang w:val="es-AR"/>
        </w:rPr>
        <w:t xml:space="preserve"> debido principalmente al resultado financiero neto por las diferencias de cambio producto de la devaluación del dóla</w:t>
      </w:r>
      <w:r w:rsidR="005D0A22">
        <w:rPr>
          <w:i/>
          <w:spacing w:val="-2"/>
          <w:sz w:val="22"/>
          <w:szCs w:val="22"/>
          <w:lang w:val="es-AR"/>
        </w:rPr>
        <w:t>r</w:t>
      </w:r>
      <w:r w:rsidR="00924010" w:rsidRPr="00924010">
        <w:rPr>
          <w:i/>
          <w:spacing w:val="-2"/>
          <w:sz w:val="22"/>
          <w:szCs w:val="22"/>
          <w:lang w:val="es-AR"/>
        </w:rPr>
        <w:t xml:space="preserve">. </w:t>
      </w:r>
      <w:r w:rsidR="00924010" w:rsidRPr="005D0A22">
        <w:rPr>
          <w:i/>
          <w:sz w:val="22"/>
          <w:szCs w:val="22"/>
        </w:rPr>
        <w:t xml:space="preserve">Los estados financieros son </w:t>
      </w:r>
      <w:proofErr w:type="spellStart"/>
      <w:r w:rsidR="00924010" w:rsidRPr="005D0A22">
        <w:rPr>
          <w:i/>
          <w:sz w:val="22"/>
          <w:szCs w:val="22"/>
        </w:rPr>
        <w:t>re-expresados</w:t>
      </w:r>
      <w:proofErr w:type="spellEnd"/>
      <w:r w:rsidR="00924010" w:rsidRPr="005D0A22">
        <w:rPr>
          <w:i/>
          <w:sz w:val="22"/>
          <w:szCs w:val="22"/>
        </w:rPr>
        <w:t xml:space="preserve"> por ajuste por inflación</w:t>
      </w:r>
      <w:r w:rsidR="00924010" w:rsidRPr="00924010">
        <w:rPr>
          <w:i/>
          <w:sz w:val="22"/>
          <w:szCs w:val="22"/>
        </w:rPr>
        <w:t xml:space="preserve"> al 31 de enero de 2024, </w:t>
      </w:r>
      <w:bookmarkStart w:id="5" w:name="_Hlk155695537"/>
      <w:r w:rsidRPr="005D0A22">
        <w:rPr>
          <w:i/>
          <w:spacing w:val="-2"/>
          <w:sz w:val="22"/>
          <w:szCs w:val="22"/>
          <w:lang w:val="es-AR"/>
        </w:rPr>
        <w:t xml:space="preserve">de no haberse producido dicho ajuste los resultados del ejercicio hubieran sido </w:t>
      </w:r>
      <w:r w:rsidR="00924010" w:rsidRPr="005D0A22">
        <w:rPr>
          <w:i/>
          <w:spacing w:val="-2"/>
          <w:sz w:val="22"/>
          <w:szCs w:val="22"/>
          <w:lang w:val="es-AR"/>
        </w:rPr>
        <w:t xml:space="preserve">inferiores </w:t>
      </w:r>
      <w:r w:rsidRPr="005D0A22">
        <w:rPr>
          <w:i/>
          <w:spacing w:val="-2"/>
          <w:sz w:val="22"/>
          <w:szCs w:val="22"/>
          <w:lang w:val="es-AR"/>
        </w:rPr>
        <w:t xml:space="preserve">un </w:t>
      </w:r>
      <w:r w:rsidR="00924010" w:rsidRPr="005D0A22">
        <w:rPr>
          <w:i/>
          <w:spacing w:val="-2"/>
          <w:sz w:val="22"/>
          <w:szCs w:val="22"/>
          <w:lang w:val="es-AR"/>
        </w:rPr>
        <w:t>44</w:t>
      </w:r>
      <w:r w:rsidRPr="005D0A22">
        <w:rPr>
          <w:i/>
          <w:spacing w:val="-2"/>
          <w:sz w:val="22"/>
          <w:szCs w:val="22"/>
          <w:lang w:val="es-AR"/>
        </w:rPr>
        <w:t>%.</w:t>
      </w:r>
      <w:bookmarkEnd w:id="5"/>
    </w:p>
    <w:p w14:paraId="56BAE112" w14:textId="77777777" w:rsidR="00F02C48" w:rsidRPr="007379BD" w:rsidRDefault="00F02C48" w:rsidP="00F02C48">
      <w:pPr>
        <w:tabs>
          <w:tab w:val="left" w:pos="0"/>
        </w:tabs>
        <w:suppressAutoHyphens/>
        <w:jc w:val="both"/>
        <w:rPr>
          <w:i/>
          <w:spacing w:val="-2"/>
          <w:sz w:val="22"/>
          <w:szCs w:val="22"/>
          <w:lang w:val="es-AR"/>
        </w:rPr>
      </w:pPr>
    </w:p>
    <w:p w14:paraId="2F6C33E2" w14:textId="77777777" w:rsidR="00F02C48" w:rsidRPr="008F495B" w:rsidRDefault="00F02C48" w:rsidP="00F02C48">
      <w:pPr>
        <w:tabs>
          <w:tab w:val="left" w:pos="0"/>
        </w:tabs>
        <w:suppressAutoHyphens/>
        <w:jc w:val="both"/>
        <w:rPr>
          <w:i/>
          <w:spacing w:val="-3"/>
          <w:sz w:val="22"/>
          <w:szCs w:val="22"/>
        </w:rPr>
      </w:pPr>
    </w:p>
    <w:p w14:paraId="650F3EDD" w14:textId="77777777" w:rsidR="00F02C48" w:rsidRPr="00BB672D" w:rsidRDefault="00F02C48" w:rsidP="00F02C48">
      <w:pPr>
        <w:keepNext/>
        <w:jc w:val="both"/>
        <w:outlineLvl w:val="4"/>
        <w:rPr>
          <w:b/>
          <w:i/>
          <w:sz w:val="22"/>
          <w:szCs w:val="22"/>
          <w:u w:val="single"/>
        </w:rPr>
      </w:pPr>
      <w:r w:rsidRPr="00E22C26">
        <w:rPr>
          <w:b/>
          <w:i/>
          <w:sz w:val="22"/>
          <w:szCs w:val="22"/>
          <w:u w:val="single"/>
        </w:rPr>
        <w:t>P</w:t>
      </w:r>
      <w:r w:rsidRPr="00F17BB6">
        <w:rPr>
          <w:b/>
          <w:i/>
          <w:sz w:val="22"/>
          <w:szCs w:val="22"/>
          <w:u w:val="single"/>
        </w:rPr>
        <w:t>ERSP</w:t>
      </w:r>
      <w:r w:rsidRPr="00DB78A3">
        <w:rPr>
          <w:b/>
          <w:i/>
          <w:sz w:val="22"/>
          <w:szCs w:val="22"/>
          <w:u w:val="single"/>
        </w:rPr>
        <w:t>ECTI</w:t>
      </w:r>
      <w:r w:rsidRPr="00BB672D">
        <w:rPr>
          <w:b/>
          <w:i/>
          <w:sz w:val="22"/>
          <w:szCs w:val="22"/>
          <w:u w:val="single"/>
        </w:rPr>
        <w:t>VAS</w:t>
      </w:r>
    </w:p>
    <w:p w14:paraId="14EB955B" w14:textId="77777777" w:rsidR="00F02C48" w:rsidRDefault="00F02C48" w:rsidP="00F02C48">
      <w:pPr>
        <w:tabs>
          <w:tab w:val="right" w:pos="7920"/>
          <w:tab w:val="right" w:pos="9720"/>
        </w:tabs>
        <w:jc w:val="both"/>
        <w:rPr>
          <w:sz w:val="22"/>
          <w:szCs w:val="22"/>
          <w:lang w:val="es-AR"/>
        </w:rPr>
      </w:pPr>
    </w:p>
    <w:p w14:paraId="03A2AC9D" w14:textId="13B8CC72" w:rsidR="001517FA" w:rsidRPr="00EB21F1" w:rsidRDefault="001517FA" w:rsidP="001517FA">
      <w:pPr>
        <w:jc w:val="both"/>
        <w:rPr>
          <w:i/>
          <w:sz w:val="22"/>
          <w:szCs w:val="22"/>
        </w:rPr>
      </w:pPr>
      <w:r>
        <w:rPr>
          <w:i/>
          <w:sz w:val="22"/>
          <w:szCs w:val="22"/>
        </w:rPr>
        <w:t>Este primer</w:t>
      </w:r>
      <w:r w:rsidRPr="00EB21F1">
        <w:rPr>
          <w:i/>
          <w:sz w:val="22"/>
          <w:szCs w:val="22"/>
        </w:rPr>
        <w:t xml:space="preserve"> trimestre</w:t>
      </w:r>
      <w:r>
        <w:rPr>
          <w:i/>
          <w:sz w:val="22"/>
          <w:szCs w:val="22"/>
        </w:rPr>
        <w:t xml:space="preserve"> del ejercicio</w:t>
      </w:r>
      <w:r w:rsidRPr="00EB21F1">
        <w:rPr>
          <w:i/>
          <w:sz w:val="22"/>
          <w:szCs w:val="22"/>
        </w:rPr>
        <w:t xml:space="preserve"> e</w:t>
      </w:r>
      <w:r>
        <w:rPr>
          <w:i/>
          <w:sz w:val="22"/>
          <w:szCs w:val="22"/>
        </w:rPr>
        <w:t>stuvo marcado por el comienzo de una nueva gestión a nivel nacional con un cambio de modelo económico de base. Las medidas tomadas por el nuevo gobierno impactaron de forma importante en la</w:t>
      </w:r>
      <w:r w:rsidRPr="00EB21F1">
        <w:rPr>
          <w:i/>
          <w:sz w:val="22"/>
          <w:szCs w:val="22"/>
        </w:rPr>
        <w:t xml:space="preserve"> volatilidad de todas las variables</w:t>
      </w:r>
      <w:r>
        <w:rPr>
          <w:i/>
          <w:sz w:val="22"/>
          <w:szCs w:val="22"/>
        </w:rPr>
        <w:t xml:space="preserve"> macroeconómicas</w:t>
      </w:r>
      <w:r w:rsidRPr="00EB21F1">
        <w:rPr>
          <w:i/>
          <w:sz w:val="22"/>
          <w:szCs w:val="22"/>
        </w:rPr>
        <w:t xml:space="preserve">, motivo por el cual mantuvimos </w:t>
      </w:r>
      <w:r>
        <w:rPr>
          <w:i/>
          <w:sz w:val="22"/>
          <w:szCs w:val="22"/>
        </w:rPr>
        <w:t xml:space="preserve">altos </w:t>
      </w:r>
      <w:r w:rsidRPr="00EB21F1">
        <w:rPr>
          <w:i/>
          <w:sz w:val="22"/>
          <w:szCs w:val="22"/>
        </w:rPr>
        <w:t xml:space="preserve">niveles de inflación, pérdida del poder adquisitivo del público, y </w:t>
      </w:r>
      <w:r>
        <w:rPr>
          <w:i/>
          <w:sz w:val="22"/>
          <w:szCs w:val="22"/>
        </w:rPr>
        <w:t>devaluación</w:t>
      </w:r>
      <w:r w:rsidRPr="00EB21F1">
        <w:rPr>
          <w:i/>
          <w:sz w:val="22"/>
          <w:szCs w:val="22"/>
        </w:rPr>
        <w:t xml:space="preserve"> del tipo de cambio</w:t>
      </w:r>
      <w:r>
        <w:rPr>
          <w:i/>
          <w:sz w:val="22"/>
          <w:szCs w:val="22"/>
        </w:rPr>
        <w:t>.</w:t>
      </w:r>
      <w:r w:rsidRPr="00EB21F1">
        <w:rPr>
          <w:i/>
          <w:sz w:val="22"/>
          <w:szCs w:val="22"/>
        </w:rPr>
        <w:t xml:space="preserve"> </w:t>
      </w:r>
      <w:r>
        <w:rPr>
          <w:i/>
          <w:sz w:val="22"/>
          <w:szCs w:val="22"/>
        </w:rPr>
        <w:t>que</w:t>
      </w:r>
      <w:r w:rsidRPr="00EB21F1">
        <w:rPr>
          <w:i/>
          <w:sz w:val="22"/>
          <w:szCs w:val="22"/>
        </w:rPr>
        <w:t xml:space="preserve"> sumado al entorno de altas tasas de financiamiento local e internacional </w:t>
      </w:r>
      <w:r>
        <w:rPr>
          <w:i/>
          <w:sz w:val="22"/>
          <w:szCs w:val="22"/>
        </w:rPr>
        <w:t xml:space="preserve">y a la recesión producto de los cambios mencionados, es </w:t>
      </w:r>
      <w:r w:rsidRPr="00EB21F1">
        <w:rPr>
          <w:i/>
          <w:sz w:val="22"/>
          <w:szCs w:val="22"/>
        </w:rPr>
        <w:t>que -insistimos-, no hacen más que prevenirnos de las dificultades que afrontaremos las empresas en los próximos meses para acompañar al país en este difícil ciclo.</w:t>
      </w:r>
    </w:p>
    <w:p w14:paraId="7A5BD1DD" w14:textId="77777777" w:rsidR="001517FA" w:rsidRDefault="001517FA" w:rsidP="00F02C48">
      <w:pPr>
        <w:tabs>
          <w:tab w:val="right" w:pos="7920"/>
          <w:tab w:val="right" w:pos="9720"/>
        </w:tabs>
        <w:jc w:val="both"/>
        <w:rPr>
          <w:sz w:val="22"/>
          <w:szCs w:val="22"/>
          <w:lang w:val="es-AR"/>
        </w:rPr>
      </w:pPr>
    </w:p>
    <w:p w14:paraId="4F024915" w14:textId="74799D46" w:rsidR="00E051B8" w:rsidRPr="00EB21F1" w:rsidRDefault="00F43E2E" w:rsidP="00E051B8">
      <w:pPr>
        <w:jc w:val="both"/>
        <w:rPr>
          <w:i/>
          <w:sz w:val="22"/>
          <w:szCs w:val="22"/>
        </w:rPr>
      </w:pPr>
      <w:r>
        <w:rPr>
          <w:i/>
          <w:sz w:val="22"/>
          <w:szCs w:val="22"/>
          <w:lang w:val="es-AR"/>
        </w:rPr>
        <w:t xml:space="preserve">Sin perjuicio de ello, </w:t>
      </w:r>
      <w:r w:rsidR="00E051B8" w:rsidRPr="00EB21F1">
        <w:rPr>
          <w:i/>
          <w:sz w:val="22"/>
          <w:szCs w:val="22"/>
        </w:rPr>
        <w:t xml:space="preserve">nos esperan nuevos desafíos en el actual entorno económico de Argentina teniendo en miras los cambios </w:t>
      </w:r>
      <w:r w:rsidR="00E051B8">
        <w:rPr>
          <w:i/>
          <w:sz w:val="22"/>
          <w:szCs w:val="22"/>
        </w:rPr>
        <w:t>implementados y los que vendrán</w:t>
      </w:r>
      <w:r w:rsidR="00E051B8" w:rsidRPr="00EB21F1">
        <w:rPr>
          <w:i/>
          <w:sz w:val="22"/>
          <w:szCs w:val="22"/>
        </w:rPr>
        <w:t xml:space="preserve"> en los próximos meses del corriente año</w:t>
      </w:r>
      <w:r w:rsidR="00314504">
        <w:rPr>
          <w:i/>
          <w:sz w:val="22"/>
          <w:szCs w:val="22"/>
        </w:rPr>
        <w:t xml:space="preserve"> </w:t>
      </w:r>
      <w:r w:rsidR="00E051B8">
        <w:rPr>
          <w:i/>
          <w:sz w:val="22"/>
          <w:szCs w:val="22"/>
        </w:rPr>
        <w:t>teniendo en cuenta</w:t>
      </w:r>
      <w:r w:rsidR="00E051B8" w:rsidRPr="00EB21F1">
        <w:rPr>
          <w:i/>
          <w:sz w:val="22"/>
          <w:szCs w:val="22"/>
        </w:rPr>
        <w:t xml:space="preserve"> e</w:t>
      </w:r>
      <w:r w:rsidR="00E051B8">
        <w:rPr>
          <w:i/>
          <w:sz w:val="22"/>
          <w:szCs w:val="22"/>
        </w:rPr>
        <w:t>sto</w:t>
      </w:r>
      <w:r w:rsidR="00E051B8" w:rsidRPr="00EB21F1">
        <w:rPr>
          <w:i/>
          <w:sz w:val="22"/>
          <w:szCs w:val="22"/>
        </w:rPr>
        <w:t xml:space="preserve"> frente al desarrollo de nuestros negocio</w:t>
      </w:r>
      <w:r w:rsidR="00314504">
        <w:rPr>
          <w:i/>
          <w:sz w:val="22"/>
          <w:szCs w:val="22"/>
        </w:rPr>
        <w:t>.</w:t>
      </w:r>
      <w:r>
        <w:rPr>
          <w:i/>
          <w:sz w:val="22"/>
          <w:szCs w:val="22"/>
        </w:rPr>
        <w:t xml:space="preserve"> N</w:t>
      </w:r>
      <w:r w:rsidR="00E051B8" w:rsidRPr="00EB21F1">
        <w:rPr>
          <w:i/>
          <w:sz w:val="22"/>
          <w:szCs w:val="22"/>
        </w:rPr>
        <w:t xml:space="preserve">uestra </w:t>
      </w:r>
      <w:r>
        <w:rPr>
          <w:i/>
          <w:sz w:val="22"/>
          <w:szCs w:val="22"/>
        </w:rPr>
        <w:t>Sociedad</w:t>
      </w:r>
      <w:r w:rsidRPr="00EB21F1">
        <w:rPr>
          <w:i/>
          <w:sz w:val="22"/>
          <w:szCs w:val="22"/>
        </w:rPr>
        <w:t xml:space="preserve"> </w:t>
      </w:r>
      <w:r>
        <w:rPr>
          <w:i/>
          <w:sz w:val="22"/>
          <w:szCs w:val="22"/>
        </w:rPr>
        <w:t xml:space="preserve">cuenta con una gran </w:t>
      </w:r>
      <w:r w:rsidR="00E051B8" w:rsidRPr="00EB21F1">
        <w:rPr>
          <w:i/>
          <w:sz w:val="22"/>
          <w:szCs w:val="22"/>
        </w:rPr>
        <w:t xml:space="preserve">vocación por el crecimiento, de mejora continua tanto en procesos como en la rentabilidad y confiamos estar a la altura de los acontecimientos con el apoyo de nuestros colaboradores, el </w:t>
      </w:r>
      <w:proofErr w:type="spellStart"/>
      <w:r w:rsidR="00E051B8" w:rsidRPr="00EB21F1">
        <w:rPr>
          <w:i/>
          <w:sz w:val="22"/>
          <w:szCs w:val="22"/>
        </w:rPr>
        <w:t>know</w:t>
      </w:r>
      <w:proofErr w:type="spellEnd"/>
      <w:r w:rsidR="00E051B8" w:rsidRPr="00EB21F1">
        <w:rPr>
          <w:i/>
          <w:sz w:val="22"/>
          <w:szCs w:val="22"/>
        </w:rPr>
        <w:t xml:space="preserve"> </w:t>
      </w:r>
      <w:proofErr w:type="spellStart"/>
      <w:r w:rsidR="00E051B8" w:rsidRPr="00EB21F1">
        <w:rPr>
          <w:i/>
          <w:sz w:val="22"/>
          <w:szCs w:val="22"/>
        </w:rPr>
        <w:t>how</w:t>
      </w:r>
      <w:proofErr w:type="spellEnd"/>
      <w:r w:rsidR="00E051B8" w:rsidRPr="00EB21F1">
        <w:rPr>
          <w:i/>
          <w:sz w:val="22"/>
          <w:szCs w:val="22"/>
        </w:rPr>
        <w:t xml:space="preserve"> desarrollado y la decisión de inversión en los negocios para permitirnos crecer de forma orgánica tanto a nivel local como regional.</w:t>
      </w:r>
    </w:p>
    <w:p w14:paraId="1C38EDAA" w14:textId="77777777" w:rsidR="00E051B8" w:rsidRPr="00DD7E11" w:rsidRDefault="00E051B8" w:rsidP="00F02C48">
      <w:pPr>
        <w:jc w:val="both"/>
        <w:rPr>
          <w:i/>
          <w:sz w:val="22"/>
          <w:szCs w:val="22"/>
        </w:rPr>
      </w:pPr>
    </w:p>
    <w:p w14:paraId="35202DDE" w14:textId="77777777" w:rsidR="00F02C48" w:rsidRPr="00DD7E11" w:rsidRDefault="00F02C48" w:rsidP="00F02C48">
      <w:pPr>
        <w:tabs>
          <w:tab w:val="right" w:pos="7920"/>
          <w:tab w:val="right" w:pos="9720"/>
        </w:tabs>
        <w:jc w:val="both"/>
        <w:rPr>
          <w:sz w:val="22"/>
          <w:szCs w:val="22"/>
          <w:lang w:val="es-AR"/>
        </w:rPr>
      </w:pPr>
    </w:p>
    <w:p w14:paraId="2E8C7D55" w14:textId="23171972" w:rsidR="00F02C48" w:rsidRPr="00DD7E11" w:rsidRDefault="00F02C48" w:rsidP="00F02C48">
      <w:pPr>
        <w:tabs>
          <w:tab w:val="right" w:pos="7920"/>
          <w:tab w:val="right" w:pos="9720"/>
        </w:tabs>
        <w:jc w:val="both"/>
        <w:rPr>
          <w:i/>
          <w:sz w:val="22"/>
          <w:szCs w:val="22"/>
          <w:lang w:val="es-AR"/>
        </w:rPr>
      </w:pPr>
      <w:r w:rsidRPr="00D97132">
        <w:rPr>
          <w:i/>
          <w:sz w:val="22"/>
          <w:szCs w:val="22"/>
          <w:lang w:val="es-AR"/>
        </w:rPr>
        <w:t xml:space="preserve">Ciudad Autónoma de Buenos Aires, </w:t>
      </w:r>
      <w:r w:rsidR="00F43E2E">
        <w:rPr>
          <w:i/>
          <w:sz w:val="22"/>
          <w:szCs w:val="22"/>
          <w:lang w:val="es-AR"/>
        </w:rPr>
        <w:t xml:space="preserve">13 de marzo </w:t>
      </w:r>
      <w:r w:rsidRPr="00D97132">
        <w:rPr>
          <w:i/>
          <w:sz w:val="22"/>
          <w:szCs w:val="22"/>
          <w:lang w:val="es-AR"/>
        </w:rPr>
        <w:t>de 2024</w:t>
      </w:r>
    </w:p>
    <w:p w14:paraId="5EB0FDFE" w14:textId="77777777" w:rsidR="00F02C48" w:rsidRPr="008F495B" w:rsidRDefault="00F02C48" w:rsidP="00F02C48">
      <w:pPr>
        <w:tabs>
          <w:tab w:val="right" w:pos="7920"/>
          <w:tab w:val="right" w:pos="9720"/>
        </w:tabs>
        <w:jc w:val="both"/>
        <w:rPr>
          <w:i/>
          <w:sz w:val="22"/>
          <w:szCs w:val="22"/>
          <w:lang w:val="es-AR"/>
        </w:rPr>
      </w:pPr>
    </w:p>
    <w:p w14:paraId="470CEA7D" w14:textId="77777777" w:rsidR="00F02C48" w:rsidRPr="008F495B" w:rsidRDefault="00F02C48" w:rsidP="00F02C48">
      <w:pPr>
        <w:tabs>
          <w:tab w:val="right" w:pos="7920"/>
          <w:tab w:val="right" w:pos="9720"/>
        </w:tabs>
        <w:jc w:val="both"/>
        <w:rPr>
          <w:i/>
          <w:sz w:val="22"/>
          <w:szCs w:val="22"/>
          <w:lang w:val="es-AR"/>
        </w:rPr>
      </w:pPr>
      <w:r w:rsidRPr="008F495B">
        <w:rPr>
          <w:i/>
          <w:sz w:val="22"/>
          <w:szCs w:val="22"/>
          <w:lang w:val="es-AR"/>
        </w:rPr>
        <w:t>EL DIRECTORIO</w:t>
      </w:r>
    </w:p>
    <w:p w14:paraId="558CA8DB" w14:textId="77777777" w:rsidR="00F02C48" w:rsidRPr="008F495B" w:rsidRDefault="00F02C48" w:rsidP="00F02C48">
      <w:pPr>
        <w:tabs>
          <w:tab w:val="right" w:pos="7920"/>
          <w:tab w:val="right" w:pos="9720"/>
        </w:tabs>
        <w:jc w:val="right"/>
        <w:rPr>
          <w:i/>
          <w:sz w:val="22"/>
          <w:szCs w:val="22"/>
          <w:lang w:val="es-AR"/>
        </w:rPr>
      </w:pPr>
    </w:p>
    <w:p w14:paraId="1036C589" w14:textId="77777777" w:rsidR="00F02C48" w:rsidRPr="008F495B" w:rsidRDefault="00F02C48" w:rsidP="00F02C48">
      <w:pPr>
        <w:tabs>
          <w:tab w:val="right" w:pos="7920"/>
          <w:tab w:val="right" w:pos="9720"/>
        </w:tabs>
        <w:jc w:val="right"/>
        <w:rPr>
          <w:bCs/>
          <w:i/>
          <w:sz w:val="22"/>
          <w:szCs w:val="22"/>
          <w:lang w:val="es-AR"/>
        </w:rPr>
      </w:pPr>
      <w:r w:rsidRPr="008F495B">
        <w:rPr>
          <w:bCs/>
          <w:i/>
          <w:sz w:val="22"/>
          <w:szCs w:val="22"/>
          <w:lang w:val="es-AR"/>
        </w:rPr>
        <w:t>Antonio Eduardo Tabanelli</w:t>
      </w:r>
    </w:p>
    <w:p w14:paraId="2044C26F" w14:textId="77777777" w:rsidR="00F02C48" w:rsidRPr="008F495B" w:rsidRDefault="00F02C48" w:rsidP="00F02C48">
      <w:pPr>
        <w:tabs>
          <w:tab w:val="right" w:pos="7920"/>
          <w:tab w:val="right" w:pos="9720"/>
        </w:tabs>
        <w:jc w:val="right"/>
        <w:rPr>
          <w:bCs/>
          <w:sz w:val="22"/>
          <w:szCs w:val="22"/>
        </w:rPr>
      </w:pPr>
      <w:r w:rsidRPr="008F495B">
        <w:rPr>
          <w:bCs/>
          <w:i/>
          <w:sz w:val="22"/>
          <w:szCs w:val="22"/>
          <w:lang w:val="es-AR"/>
        </w:rPr>
        <w:t>Presi</w:t>
      </w:r>
      <w:r>
        <w:rPr>
          <w:bCs/>
          <w:i/>
          <w:sz w:val="22"/>
          <w:szCs w:val="22"/>
          <w:lang w:val="es-AR"/>
        </w:rPr>
        <w:t>dente</w:t>
      </w:r>
    </w:p>
    <w:p w14:paraId="39D0420C" w14:textId="77777777" w:rsidR="00705DC8" w:rsidRDefault="00705DC8"/>
    <w:sectPr w:rsidR="00705DC8" w:rsidSect="0022448B">
      <w:headerReference w:type="even" r:id="rId18"/>
      <w:headerReference w:type="default" r:id="rId19"/>
      <w:footerReference w:type="even" r:id="rId20"/>
      <w:footerReference w:type="default" r:id="rId21"/>
      <w:headerReference w:type="first" r:id="rId22"/>
      <w:footerReference w:type="first" r:id="rId23"/>
      <w:pgSz w:w="11906" w:h="16838" w:code="9"/>
      <w:pgMar w:top="2722" w:right="1133" w:bottom="1758" w:left="1418"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3FC20" w14:textId="77777777" w:rsidR="00F02C48" w:rsidRDefault="00F02C48" w:rsidP="00F02C48">
      <w:r>
        <w:separator/>
      </w:r>
    </w:p>
  </w:endnote>
  <w:endnote w:type="continuationSeparator" w:id="0">
    <w:p w14:paraId="2F3C10F9" w14:textId="77777777" w:rsidR="00F02C48" w:rsidRDefault="00F02C48" w:rsidP="00F0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BEDC" w14:textId="0F6F5868" w:rsidR="00B62004" w:rsidRDefault="00B620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66A4" w14:textId="005C3F23" w:rsidR="00B62004" w:rsidRPr="00ED1786" w:rsidRDefault="00F80B44" w:rsidP="004A3058">
    <w:pPr>
      <w:pStyle w:val="Piedepgina"/>
      <w:tabs>
        <w:tab w:val="clear" w:pos="8504"/>
        <w:tab w:val="right" w:pos="9720"/>
      </w:tabs>
      <w:ind w:left="-993" w:right="-288" w:hanging="427"/>
      <w:jc w:val="center"/>
      <w:rPr>
        <w:sz w:val="16"/>
        <w:szCs w:val="16"/>
        <w:lang w:val="es-MX"/>
      </w:rPr>
    </w:pPr>
    <w:r>
      <w:rPr>
        <w:noProof/>
        <w:sz w:val="16"/>
        <w:lang w:val="es-MX"/>
        <w14:ligatures w14:val="standardContextual"/>
      </w:rPr>
      <mc:AlternateContent>
        <mc:Choice Requires="wps">
          <w:drawing>
            <wp:anchor distT="0" distB="0" distL="114300" distR="114300" simplePos="0" relativeHeight="251659264" behindDoc="0" locked="0" layoutInCell="0" allowOverlap="1" wp14:anchorId="6DEED51D" wp14:editId="03F737EA">
              <wp:simplePos x="0" y="0"/>
              <wp:positionH relativeFrom="page">
                <wp:posOffset>0</wp:posOffset>
              </wp:positionH>
              <wp:positionV relativeFrom="page">
                <wp:posOffset>10227945</wp:posOffset>
              </wp:positionV>
              <wp:extent cx="7560310" cy="273050"/>
              <wp:effectExtent l="0" t="0" r="0" b="12700"/>
              <wp:wrapNone/>
              <wp:docPr id="1" name="MSIPCM1def414ebe1e95a7687fd3b6"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07C1EC" w14:textId="15F59FF1" w:rsidR="00F80B44" w:rsidRPr="00F80B44" w:rsidRDefault="00F80B44" w:rsidP="00F80B44">
                          <w:pPr>
                            <w:rPr>
                              <w:rFonts w:ascii="Calibri" w:hAnsi="Calibri" w:cs="Calibri"/>
                              <w:color w:val="000000"/>
                              <w:sz w:val="20"/>
                            </w:rPr>
                          </w:pPr>
                          <w:r w:rsidRPr="00F80B44">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6DEED51D" id="_x0000_t202" coordsize="21600,21600" o:spt="202" path="m,l,21600r21600,l21600,xe">
              <v:stroke joinstyle="miter"/>
              <v:path gradientshapeok="t" o:connecttype="rect"/>
            </v:shapetype>
            <v:shape id="MSIPCM1def414ebe1e95a7687fd3b6"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CbY6ARtAIAAE4F&#10;AAAOAAAAAAAAAAAAAAAAAC4CAABkcnMvZTJvRG9jLnhtbFBLAQItABQABgAIAAAAIQB8dgjh3wAA&#10;AAsBAAAPAAAAAAAAAAAAAAAAAA4FAABkcnMvZG93bnJldi54bWxQSwUGAAAAAAQABADzAAAAGgYA&#10;AAAA&#10;" o:allowincell="f" filled="f" stroked="f" strokeweight=".5pt">
              <v:fill o:detectmouseclick="t"/>
              <v:textbox inset="20pt,0,,0">
                <w:txbxContent>
                  <w:p w14:paraId="1007C1EC" w14:textId="15F59FF1" w:rsidR="00F80B44" w:rsidRPr="00F80B44" w:rsidRDefault="00F80B44" w:rsidP="00F80B44">
                    <w:pPr>
                      <w:rPr>
                        <w:rFonts w:ascii="Calibri" w:hAnsi="Calibri" w:cs="Calibri"/>
                        <w:color w:val="000000"/>
                        <w:sz w:val="20"/>
                      </w:rPr>
                    </w:pPr>
                    <w:r w:rsidRPr="00F80B44">
                      <w:rPr>
                        <w:rFonts w:ascii="Calibri" w:hAnsi="Calibri" w:cs="Calibri"/>
                        <w:color w:val="000000"/>
                        <w:sz w:val="20"/>
                      </w:rPr>
                      <w:t>Información Privada</w:t>
                    </w:r>
                  </w:p>
                </w:txbxContent>
              </v:textbox>
              <w10:wrap anchorx="page" anchory="page"/>
            </v:shape>
          </w:pict>
        </mc:Fallback>
      </mc:AlternateContent>
    </w:r>
    <w:r w:rsidR="00B62004" w:rsidRPr="00A059AB">
      <w:rPr>
        <w:sz w:val="16"/>
        <w:lang w:val="es-MX"/>
      </w:rPr>
      <w:t>Aristóbulo del Valle 1257</w:t>
    </w:r>
    <w:r w:rsidR="00B62004" w:rsidRPr="00ED1786">
      <w:rPr>
        <w:sz w:val="16"/>
        <w:szCs w:val="16"/>
        <w:lang w:val="es-MX"/>
      </w:rPr>
      <w:t>- C1295ADA - C. Autónoma de Bs As - R. A. Teléfono: (5411</w:t>
    </w:r>
    <w:r w:rsidR="00B62004" w:rsidRPr="00A059AB">
      <w:rPr>
        <w:sz w:val="16"/>
        <w:lang w:val="es-MX"/>
      </w:rPr>
      <w:t xml:space="preserve">) 4309 5400 </w:t>
    </w:r>
  </w:p>
  <w:p w14:paraId="03101BC9" w14:textId="77777777" w:rsidR="00B62004" w:rsidRPr="00A75F05" w:rsidRDefault="00B62004">
    <w:pPr>
      <w:pStyle w:val="Piedepgina"/>
      <w:rPr>
        <w:lang w:val="es-A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5431" w14:textId="3D9F55F0" w:rsidR="00B62004" w:rsidRDefault="00B620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93874" w14:textId="77777777" w:rsidR="00F02C48" w:rsidRDefault="00F02C48" w:rsidP="00F02C48">
      <w:r>
        <w:separator/>
      </w:r>
    </w:p>
  </w:footnote>
  <w:footnote w:type="continuationSeparator" w:id="0">
    <w:p w14:paraId="47C30BBE" w14:textId="77777777" w:rsidR="00F02C48" w:rsidRDefault="00F02C48" w:rsidP="00F02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AD85" w14:textId="77777777" w:rsidR="00F80B44" w:rsidRDefault="00F80B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556D" w14:textId="77777777" w:rsidR="00F80B44" w:rsidRDefault="00F80B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3252" w14:textId="77777777" w:rsidR="00F80B44" w:rsidRDefault="00F80B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21B"/>
    <w:multiLevelType w:val="hybridMultilevel"/>
    <w:tmpl w:val="7ADA9A98"/>
    <w:lvl w:ilvl="0" w:tplc="2C0A0001">
      <w:start w:val="1"/>
      <w:numFmt w:val="bullet"/>
      <w:lvlText w:val=""/>
      <w:lvlJc w:val="left"/>
      <w:pPr>
        <w:ind w:left="4188"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0B373FE"/>
    <w:multiLevelType w:val="hybridMultilevel"/>
    <w:tmpl w:val="C12AE1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A22894"/>
    <w:multiLevelType w:val="singleLevel"/>
    <w:tmpl w:val="D9762D34"/>
    <w:lvl w:ilvl="0">
      <w:start w:val="3"/>
      <w:numFmt w:val="decimal"/>
      <w:lvlText w:val="%1."/>
      <w:lvlJc w:val="left"/>
      <w:pPr>
        <w:tabs>
          <w:tab w:val="num" w:pos="705"/>
        </w:tabs>
        <w:ind w:left="705" w:hanging="705"/>
      </w:pPr>
      <w:rPr>
        <w:rFonts w:cs="Times New Roman" w:hint="default"/>
        <w:u w:val="none"/>
      </w:rPr>
    </w:lvl>
  </w:abstractNum>
  <w:abstractNum w:abstractNumId="3" w15:restartNumberingAfterBreak="0">
    <w:nsid w:val="043F132E"/>
    <w:multiLevelType w:val="hybridMultilevel"/>
    <w:tmpl w:val="EFEA87CA"/>
    <w:lvl w:ilvl="0" w:tplc="2C0A0001">
      <w:start w:val="1"/>
      <w:numFmt w:val="bullet"/>
      <w:lvlText w:val=""/>
      <w:lvlJc w:val="left"/>
      <w:pPr>
        <w:ind w:left="778" w:hanging="360"/>
      </w:pPr>
      <w:rPr>
        <w:rFonts w:ascii="Symbol" w:hAnsi="Symbol"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4" w15:restartNumberingAfterBreak="0">
    <w:nsid w:val="0BFA1C99"/>
    <w:multiLevelType w:val="hybridMultilevel"/>
    <w:tmpl w:val="AC2484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D36720F"/>
    <w:multiLevelType w:val="hybridMultilevel"/>
    <w:tmpl w:val="320C71E6"/>
    <w:lvl w:ilvl="0" w:tplc="0C0A000B">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EED4EE0"/>
    <w:multiLevelType w:val="singleLevel"/>
    <w:tmpl w:val="0C0A000F"/>
    <w:lvl w:ilvl="0">
      <w:start w:val="2"/>
      <w:numFmt w:val="decimal"/>
      <w:lvlText w:val="%1."/>
      <w:lvlJc w:val="left"/>
      <w:pPr>
        <w:tabs>
          <w:tab w:val="num" w:pos="360"/>
        </w:tabs>
        <w:ind w:left="360" w:hanging="360"/>
      </w:pPr>
      <w:rPr>
        <w:rFonts w:cs="Times New Roman" w:hint="default"/>
        <w:u w:val="none"/>
      </w:rPr>
    </w:lvl>
  </w:abstractNum>
  <w:abstractNum w:abstractNumId="7" w15:restartNumberingAfterBreak="0">
    <w:nsid w:val="1138405D"/>
    <w:multiLevelType w:val="hybridMultilevel"/>
    <w:tmpl w:val="56CC31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BD01E34"/>
    <w:multiLevelType w:val="hybridMultilevel"/>
    <w:tmpl w:val="54886F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C966801"/>
    <w:multiLevelType w:val="hybridMultilevel"/>
    <w:tmpl w:val="B4CEDF1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202E3B13"/>
    <w:multiLevelType w:val="hybridMultilevel"/>
    <w:tmpl w:val="0F6E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E1C28"/>
    <w:multiLevelType w:val="hybridMultilevel"/>
    <w:tmpl w:val="9DE4C140"/>
    <w:lvl w:ilvl="0" w:tplc="17D24DD8">
      <w:start w:val="1"/>
      <w:numFmt w:val="bullet"/>
      <w:lvlText w:val=""/>
      <w:lvlJc w:val="left"/>
      <w:pPr>
        <w:ind w:left="720" w:hanging="360"/>
      </w:pPr>
      <w:rPr>
        <w:rFonts w:ascii="Symbol" w:hAnsi="Symbol" w:cs="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6D3138B"/>
    <w:multiLevelType w:val="hybridMultilevel"/>
    <w:tmpl w:val="7F4892CE"/>
    <w:lvl w:ilvl="0" w:tplc="9F88953A">
      <w:numFmt w:val="bullet"/>
      <w:lvlText w:val="-"/>
      <w:lvlJc w:val="left"/>
      <w:pPr>
        <w:ind w:left="720" w:hanging="360"/>
      </w:pPr>
      <w:rPr>
        <w:rFonts w:ascii="Times New Roman" w:eastAsia="Times New Roman" w:hAnsi="Times New Roman"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97649C0"/>
    <w:multiLevelType w:val="hybridMultilevel"/>
    <w:tmpl w:val="022A6D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hint="default"/>
      </w:rPr>
    </w:lvl>
    <w:lvl w:ilvl="1" w:tplc="2C0A0003" w:tentative="1">
      <w:start w:val="1"/>
      <w:numFmt w:val="bullet"/>
      <w:lvlText w:val="o"/>
      <w:lvlJc w:val="left"/>
      <w:pPr>
        <w:ind w:left="2148" w:hanging="360"/>
      </w:pPr>
      <w:rPr>
        <w:rFonts w:ascii="Courier New" w:hAnsi="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33B14EC0"/>
    <w:multiLevelType w:val="hybridMultilevel"/>
    <w:tmpl w:val="D0A847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60B035E"/>
    <w:multiLevelType w:val="hybridMultilevel"/>
    <w:tmpl w:val="9C5E32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A767171"/>
    <w:multiLevelType w:val="multilevel"/>
    <w:tmpl w:val="73003344"/>
    <w:lvl w:ilvl="0">
      <w:start w:val="396"/>
      <w:numFmt w:val="decimal"/>
      <w:lvlText w:val="%1"/>
      <w:lvlJc w:val="left"/>
      <w:pPr>
        <w:ind w:left="1140" w:hanging="1140"/>
      </w:pPr>
      <w:rPr>
        <w:rFonts w:hint="default"/>
      </w:rPr>
    </w:lvl>
    <w:lvl w:ilvl="1">
      <w:start w:val="867"/>
      <w:numFmt w:val="decimal"/>
      <w:lvlText w:val="%1.%2"/>
      <w:lvlJc w:val="left"/>
      <w:pPr>
        <w:ind w:left="1305" w:hanging="1140"/>
      </w:pPr>
      <w:rPr>
        <w:rFonts w:hint="default"/>
      </w:rPr>
    </w:lvl>
    <w:lvl w:ilvl="2">
      <w:start w:val="290"/>
      <w:numFmt w:val="decimal"/>
      <w:lvlText w:val="%1.%2.%3"/>
      <w:lvlJc w:val="left"/>
      <w:pPr>
        <w:ind w:left="1470" w:hanging="1140"/>
      </w:pPr>
      <w:rPr>
        <w:rFonts w:hint="default"/>
      </w:rPr>
    </w:lvl>
    <w:lvl w:ilvl="3">
      <w:start w:val="1"/>
      <w:numFmt w:val="decimal"/>
      <w:lvlText w:val="%1.%2.%3.%4"/>
      <w:lvlJc w:val="left"/>
      <w:pPr>
        <w:ind w:left="1635" w:hanging="1140"/>
      </w:pPr>
      <w:rPr>
        <w:rFonts w:hint="default"/>
      </w:rPr>
    </w:lvl>
    <w:lvl w:ilvl="4">
      <w:start w:val="1"/>
      <w:numFmt w:val="decimal"/>
      <w:lvlText w:val="%1.%2.%3.%4.%5"/>
      <w:lvlJc w:val="left"/>
      <w:pPr>
        <w:ind w:left="1800" w:hanging="1140"/>
      </w:pPr>
      <w:rPr>
        <w:rFonts w:hint="default"/>
      </w:rPr>
    </w:lvl>
    <w:lvl w:ilvl="5">
      <w:start w:val="1"/>
      <w:numFmt w:val="decimal"/>
      <w:lvlText w:val="%1.%2.%3.%4.%5.%6"/>
      <w:lvlJc w:val="left"/>
      <w:pPr>
        <w:ind w:left="1965" w:hanging="1140"/>
      </w:pPr>
      <w:rPr>
        <w:rFonts w:hint="default"/>
      </w:rPr>
    </w:lvl>
    <w:lvl w:ilvl="6">
      <w:start w:val="1"/>
      <w:numFmt w:val="decimal"/>
      <w:lvlText w:val="%1.%2.%3.%4.%5.%6.%7"/>
      <w:lvlJc w:val="left"/>
      <w:pPr>
        <w:ind w:left="2130" w:hanging="11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18" w15:restartNumberingAfterBreak="0">
    <w:nsid w:val="3B920559"/>
    <w:multiLevelType w:val="hybridMultilevel"/>
    <w:tmpl w:val="D248CF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17F7982"/>
    <w:multiLevelType w:val="hybridMultilevel"/>
    <w:tmpl w:val="717036F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15:restartNumberingAfterBreak="0">
    <w:nsid w:val="4B500FF1"/>
    <w:multiLevelType w:val="multilevel"/>
    <w:tmpl w:val="9ACE7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6D4655"/>
    <w:multiLevelType w:val="hybridMultilevel"/>
    <w:tmpl w:val="EC6C9A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2AE3462"/>
    <w:multiLevelType w:val="hybridMultilevel"/>
    <w:tmpl w:val="61686C7C"/>
    <w:lvl w:ilvl="0" w:tplc="E760D25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25C2D58"/>
    <w:multiLevelType w:val="hybridMultilevel"/>
    <w:tmpl w:val="6DE6AE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B733079"/>
    <w:multiLevelType w:val="hybridMultilevel"/>
    <w:tmpl w:val="8E827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C7449ED"/>
    <w:multiLevelType w:val="hybridMultilevel"/>
    <w:tmpl w:val="C2BE9A1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5"/>
  </w:num>
  <w:num w:numId="4">
    <w:abstractNumId w:val="12"/>
  </w:num>
  <w:num w:numId="5">
    <w:abstractNumId w:val="13"/>
  </w:num>
  <w:num w:numId="6">
    <w:abstractNumId w:val="16"/>
  </w:num>
  <w:num w:numId="7">
    <w:abstractNumId w:val="24"/>
  </w:num>
  <w:num w:numId="8">
    <w:abstractNumId w:val="14"/>
  </w:num>
  <w:num w:numId="9">
    <w:abstractNumId w:val="4"/>
  </w:num>
  <w:num w:numId="10">
    <w:abstractNumId w:val="17"/>
  </w:num>
  <w:num w:numId="11">
    <w:abstractNumId w:val="3"/>
  </w:num>
  <w:num w:numId="12">
    <w:abstractNumId w:va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8"/>
  </w:num>
  <w:num w:numId="17">
    <w:abstractNumId w:val="26"/>
  </w:num>
  <w:num w:numId="18">
    <w:abstractNumId w:val="0"/>
  </w:num>
  <w:num w:numId="19">
    <w:abstractNumId w:val="26"/>
  </w:num>
  <w:num w:numId="20">
    <w:abstractNumId w:val="25"/>
  </w:num>
  <w:num w:numId="21">
    <w:abstractNumId w:val="7"/>
  </w:num>
  <w:num w:numId="22">
    <w:abstractNumId w:val="19"/>
  </w:num>
  <w:num w:numId="23">
    <w:abstractNumId w:val="1"/>
  </w:num>
  <w:num w:numId="24">
    <w:abstractNumId w:val="21"/>
  </w:num>
  <w:num w:numId="25">
    <w:abstractNumId w:val="18"/>
  </w:num>
  <w:num w:numId="26">
    <w:abstractNumId w:val="9"/>
  </w:num>
  <w:num w:numId="27">
    <w:abstractNumId w:val="23"/>
  </w:num>
  <w:num w:numId="28">
    <w:abstractNumId w:val="22"/>
  </w:num>
  <w:num w:numId="29">
    <w:abstractNumId w:val="10"/>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48"/>
    <w:rsid w:val="000A6225"/>
    <w:rsid w:val="001517FA"/>
    <w:rsid w:val="0016217F"/>
    <w:rsid w:val="0021699B"/>
    <w:rsid w:val="002878E2"/>
    <w:rsid w:val="00314504"/>
    <w:rsid w:val="003D5800"/>
    <w:rsid w:val="003E6511"/>
    <w:rsid w:val="005D0A22"/>
    <w:rsid w:val="00695EB6"/>
    <w:rsid w:val="00705DC8"/>
    <w:rsid w:val="00851131"/>
    <w:rsid w:val="00856FCF"/>
    <w:rsid w:val="0092080D"/>
    <w:rsid w:val="00924010"/>
    <w:rsid w:val="00931A2A"/>
    <w:rsid w:val="00943627"/>
    <w:rsid w:val="009C694E"/>
    <w:rsid w:val="009D5D48"/>
    <w:rsid w:val="00A529F4"/>
    <w:rsid w:val="00A75F05"/>
    <w:rsid w:val="00B62004"/>
    <w:rsid w:val="00B861AA"/>
    <w:rsid w:val="00C44DA8"/>
    <w:rsid w:val="00E051B8"/>
    <w:rsid w:val="00F02C48"/>
    <w:rsid w:val="00F119A3"/>
    <w:rsid w:val="00F43E2E"/>
    <w:rsid w:val="00F6389A"/>
    <w:rsid w:val="00F80B44"/>
    <w:rsid w:val="00FB76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99951B"/>
  <w15:chartTrackingRefBased/>
  <w15:docId w15:val="{8F0C7C10-7C52-46FD-9CED-44C9421B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qFormat/>
    <w:rsid w:val="00F02C48"/>
    <w:pPr>
      <w:keepNext/>
      <w:outlineLvl w:val="0"/>
    </w:pPr>
    <w:rPr>
      <w:rFonts w:ascii="Book Antiqua" w:hAnsi="Book Antiqua" w:cs="Book Antiqua"/>
      <w:b/>
      <w:bCs/>
      <w:sz w:val="40"/>
      <w:szCs w:val="40"/>
    </w:rPr>
  </w:style>
  <w:style w:type="paragraph" w:styleId="Ttulo2">
    <w:name w:val="heading 2"/>
    <w:basedOn w:val="Normal"/>
    <w:next w:val="Normal"/>
    <w:link w:val="Ttulo2Car"/>
    <w:qFormat/>
    <w:rsid w:val="00F02C48"/>
    <w:pPr>
      <w:keepNext/>
      <w:tabs>
        <w:tab w:val="left" w:pos="-720"/>
      </w:tabs>
      <w:suppressAutoHyphens/>
      <w:jc w:val="both"/>
      <w:outlineLvl w:val="1"/>
    </w:pPr>
    <w:rPr>
      <w:rFonts w:ascii="Book Antiqua" w:hAnsi="Book Antiqua" w:cs="Book Antiqua"/>
      <w:i/>
      <w:iCs/>
      <w:spacing w:val="-2"/>
      <w:lang w:val="es-ES_tradnl"/>
    </w:rPr>
  </w:style>
  <w:style w:type="paragraph" w:styleId="Ttulo5">
    <w:name w:val="heading 5"/>
    <w:basedOn w:val="Normal"/>
    <w:next w:val="Normal"/>
    <w:link w:val="Ttulo5Car"/>
    <w:qFormat/>
    <w:rsid w:val="00F02C48"/>
    <w:pPr>
      <w:keepNext/>
      <w:tabs>
        <w:tab w:val="left" w:pos="-720"/>
      </w:tabs>
      <w:suppressAutoHyphens/>
      <w:jc w:val="both"/>
      <w:outlineLvl w:val="4"/>
    </w:pPr>
    <w:rPr>
      <w:b/>
      <w:bCs/>
      <w:i/>
      <w:iCs/>
      <w:spacing w:val="-2"/>
      <w:lang w:val="es-ES_tradnl"/>
    </w:rPr>
  </w:style>
  <w:style w:type="paragraph" w:styleId="Ttulo7">
    <w:name w:val="heading 7"/>
    <w:basedOn w:val="Normal"/>
    <w:next w:val="Normal"/>
    <w:link w:val="Ttulo7Car"/>
    <w:qFormat/>
    <w:rsid w:val="00F02C48"/>
    <w:pPr>
      <w:keepNext/>
      <w:outlineLvl w:val="6"/>
    </w:pPr>
    <w:rPr>
      <w:b/>
      <w:bCs/>
      <w:i/>
      <w:iCs/>
      <w:cap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02C48"/>
    <w:rPr>
      <w:rFonts w:ascii="Book Antiqua" w:eastAsia="Times New Roman" w:hAnsi="Book Antiqua" w:cs="Book Antiqua"/>
      <w:b/>
      <w:bCs/>
      <w:kern w:val="0"/>
      <w:sz w:val="40"/>
      <w:szCs w:val="40"/>
      <w:lang w:val="es-ES" w:eastAsia="es-ES"/>
      <w14:ligatures w14:val="none"/>
    </w:rPr>
  </w:style>
  <w:style w:type="character" w:customStyle="1" w:styleId="Ttulo2Car">
    <w:name w:val="Título 2 Car"/>
    <w:basedOn w:val="Fuentedeprrafopredeter"/>
    <w:link w:val="Ttulo2"/>
    <w:rsid w:val="00F02C48"/>
    <w:rPr>
      <w:rFonts w:ascii="Book Antiqua" w:eastAsia="Times New Roman" w:hAnsi="Book Antiqua" w:cs="Book Antiqua"/>
      <w:i/>
      <w:iCs/>
      <w:spacing w:val="-2"/>
      <w:kern w:val="0"/>
      <w:sz w:val="24"/>
      <w:szCs w:val="24"/>
      <w:lang w:val="es-ES_tradnl" w:eastAsia="es-ES"/>
      <w14:ligatures w14:val="none"/>
    </w:rPr>
  </w:style>
  <w:style w:type="character" w:customStyle="1" w:styleId="Ttulo5Car">
    <w:name w:val="Título 5 Car"/>
    <w:basedOn w:val="Fuentedeprrafopredeter"/>
    <w:link w:val="Ttulo5"/>
    <w:rsid w:val="00F02C48"/>
    <w:rPr>
      <w:rFonts w:ascii="Times New Roman" w:eastAsia="Times New Roman" w:hAnsi="Times New Roman" w:cs="Times New Roman"/>
      <w:b/>
      <w:bCs/>
      <w:i/>
      <w:iCs/>
      <w:spacing w:val="-2"/>
      <w:kern w:val="0"/>
      <w:sz w:val="24"/>
      <w:szCs w:val="24"/>
      <w:lang w:val="es-ES_tradnl" w:eastAsia="es-ES"/>
      <w14:ligatures w14:val="none"/>
    </w:rPr>
  </w:style>
  <w:style w:type="character" w:customStyle="1" w:styleId="Ttulo7Car">
    <w:name w:val="Título 7 Car"/>
    <w:basedOn w:val="Fuentedeprrafopredeter"/>
    <w:link w:val="Ttulo7"/>
    <w:rsid w:val="00F02C48"/>
    <w:rPr>
      <w:rFonts w:ascii="Times New Roman" w:eastAsia="Times New Roman" w:hAnsi="Times New Roman" w:cs="Times New Roman"/>
      <w:b/>
      <w:bCs/>
      <w:i/>
      <w:iCs/>
      <w:caps/>
      <w:color w:val="000000"/>
      <w:kern w:val="0"/>
      <w:sz w:val="24"/>
      <w:szCs w:val="24"/>
      <w:lang w:val="es-ES" w:eastAsia="es-ES"/>
      <w14:ligatures w14:val="none"/>
    </w:rPr>
  </w:style>
  <w:style w:type="paragraph" w:styleId="Encabezado">
    <w:name w:val="header"/>
    <w:basedOn w:val="Normal"/>
    <w:link w:val="EncabezadoCar"/>
    <w:uiPriority w:val="99"/>
    <w:rsid w:val="00F02C48"/>
    <w:pPr>
      <w:tabs>
        <w:tab w:val="center" w:pos="4252"/>
        <w:tab w:val="right" w:pos="8504"/>
      </w:tabs>
    </w:pPr>
  </w:style>
  <w:style w:type="character" w:customStyle="1" w:styleId="EncabezadoCar">
    <w:name w:val="Encabezado Car"/>
    <w:basedOn w:val="Fuentedeprrafopredeter"/>
    <w:link w:val="Encabezado"/>
    <w:uiPriority w:val="99"/>
    <w:rsid w:val="00F02C48"/>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rsid w:val="00F02C48"/>
    <w:pPr>
      <w:tabs>
        <w:tab w:val="center" w:pos="4252"/>
        <w:tab w:val="right" w:pos="8504"/>
      </w:tabs>
    </w:pPr>
  </w:style>
  <w:style w:type="character" w:customStyle="1" w:styleId="PiedepginaCar">
    <w:name w:val="Pie de página Car"/>
    <w:basedOn w:val="Fuentedeprrafopredeter"/>
    <w:link w:val="Piedepgina"/>
    <w:rsid w:val="00F02C48"/>
    <w:rPr>
      <w:rFonts w:ascii="Times New Roman" w:eastAsia="Times New Roman" w:hAnsi="Times New Roman" w:cs="Times New Roman"/>
      <w:kern w:val="0"/>
      <w:sz w:val="24"/>
      <w:szCs w:val="24"/>
      <w:lang w:val="es-ES" w:eastAsia="es-ES"/>
      <w14:ligatures w14:val="none"/>
    </w:rPr>
  </w:style>
  <w:style w:type="paragraph" w:styleId="Textoindependiente">
    <w:name w:val="Body Text"/>
    <w:basedOn w:val="Normal"/>
    <w:link w:val="TextoindependienteCar"/>
    <w:rsid w:val="00F02C48"/>
    <w:pPr>
      <w:tabs>
        <w:tab w:val="left" w:pos="-720"/>
      </w:tabs>
      <w:suppressAutoHyphens/>
      <w:jc w:val="both"/>
    </w:pPr>
    <w:rPr>
      <w:rFonts w:ascii="Book Antiqua" w:hAnsi="Book Antiqua" w:cs="Book Antiqua"/>
      <w:i/>
      <w:iCs/>
      <w:spacing w:val="-2"/>
      <w:lang w:val="es-ES_tradnl"/>
    </w:rPr>
  </w:style>
  <w:style w:type="character" w:customStyle="1" w:styleId="TextoindependienteCar">
    <w:name w:val="Texto independiente Car"/>
    <w:basedOn w:val="Fuentedeprrafopredeter"/>
    <w:link w:val="Textoindependiente"/>
    <w:rsid w:val="00F02C48"/>
    <w:rPr>
      <w:rFonts w:ascii="Book Antiqua" w:eastAsia="Times New Roman" w:hAnsi="Book Antiqua" w:cs="Book Antiqua"/>
      <w:i/>
      <w:iCs/>
      <w:spacing w:val="-2"/>
      <w:kern w:val="0"/>
      <w:sz w:val="24"/>
      <w:szCs w:val="24"/>
      <w:lang w:val="es-ES_tradnl" w:eastAsia="es-ES"/>
      <w14:ligatures w14:val="none"/>
    </w:rPr>
  </w:style>
  <w:style w:type="paragraph" w:styleId="Sangradetextonormal">
    <w:name w:val="Body Text Indent"/>
    <w:basedOn w:val="Normal"/>
    <w:link w:val="SangradetextonormalCar"/>
    <w:rsid w:val="00F02C48"/>
    <w:pPr>
      <w:tabs>
        <w:tab w:val="left" w:pos="-720"/>
      </w:tabs>
      <w:suppressAutoHyphens/>
      <w:jc w:val="both"/>
    </w:pPr>
    <w:rPr>
      <w:i/>
      <w:iCs/>
      <w:color w:val="000000"/>
      <w:spacing w:val="-2"/>
      <w:lang w:val="es-ES_tradnl"/>
    </w:rPr>
  </w:style>
  <w:style w:type="character" w:customStyle="1" w:styleId="SangradetextonormalCar">
    <w:name w:val="Sangría de texto normal Car"/>
    <w:basedOn w:val="Fuentedeprrafopredeter"/>
    <w:link w:val="Sangradetextonormal"/>
    <w:rsid w:val="00F02C48"/>
    <w:rPr>
      <w:rFonts w:ascii="Times New Roman" w:eastAsia="Times New Roman" w:hAnsi="Times New Roman" w:cs="Times New Roman"/>
      <w:i/>
      <w:iCs/>
      <w:color w:val="000000"/>
      <w:spacing w:val="-2"/>
      <w:kern w:val="0"/>
      <w:sz w:val="24"/>
      <w:szCs w:val="24"/>
      <w:lang w:val="es-ES_tradnl" w:eastAsia="es-ES"/>
      <w14:ligatures w14:val="none"/>
    </w:rPr>
  </w:style>
  <w:style w:type="paragraph" w:styleId="Encabezadodelista">
    <w:name w:val="toa heading"/>
    <w:basedOn w:val="Normal"/>
    <w:next w:val="Normal"/>
    <w:semiHidden/>
    <w:rsid w:val="00F02C48"/>
    <w:pPr>
      <w:tabs>
        <w:tab w:val="left" w:pos="9000"/>
        <w:tab w:val="right" w:pos="9360"/>
      </w:tabs>
      <w:suppressAutoHyphens/>
    </w:pPr>
    <w:rPr>
      <w:rFonts w:ascii="Courier New" w:hAnsi="Courier New" w:cs="Courier New"/>
      <w:lang w:val="en-US"/>
    </w:rPr>
  </w:style>
  <w:style w:type="table" w:styleId="Tablaconcuadrcula">
    <w:name w:val="Table Grid"/>
    <w:basedOn w:val="Tablanormal"/>
    <w:rsid w:val="00F02C4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F02C48"/>
    <w:pPr>
      <w:pageBreakBefore/>
      <w:spacing w:after="120" w:line="360" w:lineRule="auto"/>
      <w:jc w:val="center"/>
    </w:pPr>
    <w:rPr>
      <w:rFonts w:ascii="Arial" w:hAnsi="Arial" w:cs="Arial"/>
      <w:b/>
      <w:bCs/>
      <w:color w:val="000080"/>
      <w:sz w:val="28"/>
      <w:szCs w:val="28"/>
    </w:rPr>
  </w:style>
  <w:style w:type="paragraph" w:customStyle="1" w:styleId="FecNac">
    <w:name w:val="FecNac"/>
    <w:basedOn w:val="Normal"/>
    <w:rsid w:val="00F02C48"/>
    <w:pPr>
      <w:spacing w:after="240" w:line="360" w:lineRule="auto"/>
      <w:jc w:val="center"/>
    </w:pPr>
    <w:rPr>
      <w:rFonts w:ascii="Arial" w:hAnsi="Arial" w:cs="Arial"/>
    </w:rPr>
  </w:style>
  <w:style w:type="paragraph" w:customStyle="1" w:styleId="Logro">
    <w:name w:val="Logro"/>
    <w:basedOn w:val="Textoindependiente"/>
    <w:rsid w:val="00F02C48"/>
    <w:pPr>
      <w:tabs>
        <w:tab w:val="clear" w:pos="-720"/>
        <w:tab w:val="num" w:pos="1068"/>
      </w:tabs>
      <w:suppressAutoHyphens w:val="0"/>
      <w:spacing w:after="60" w:line="220" w:lineRule="atLeast"/>
      <w:ind w:left="1068" w:hanging="360"/>
    </w:pPr>
    <w:rPr>
      <w:rFonts w:ascii="Arial" w:hAnsi="Arial" w:cs="Arial"/>
      <w:i w:val="0"/>
      <w:iCs w:val="0"/>
      <w:spacing w:val="-5"/>
      <w:sz w:val="20"/>
      <w:szCs w:val="20"/>
      <w:lang w:val="es-ES" w:eastAsia="es-ES_tradnl"/>
    </w:rPr>
  </w:style>
  <w:style w:type="paragraph" w:styleId="NormalWeb">
    <w:name w:val="Normal (Web)"/>
    <w:basedOn w:val="Normal"/>
    <w:rsid w:val="00F02C48"/>
    <w:pPr>
      <w:spacing w:before="100" w:beforeAutospacing="1" w:after="100" w:afterAutospacing="1"/>
    </w:pPr>
    <w:rPr>
      <w:color w:val="000000"/>
      <w:lang w:val="es-AR" w:eastAsia="es-AR"/>
    </w:rPr>
  </w:style>
  <w:style w:type="character" w:customStyle="1" w:styleId="titulostitnoticia">
    <w:name w:val="titulos tit_noticia"/>
    <w:rsid w:val="00F02C48"/>
    <w:rPr>
      <w:rFonts w:cs="Times New Roman"/>
    </w:rPr>
  </w:style>
  <w:style w:type="character" w:customStyle="1" w:styleId="bajada">
    <w:name w:val="bajada"/>
    <w:rsid w:val="00F02C48"/>
    <w:rPr>
      <w:rFonts w:cs="Times New Roman"/>
    </w:rPr>
  </w:style>
  <w:style w:type="paragraph" w:styleId="Textodeglobo">
    <w:name w:val="Balloon Text"/>
    <w:basedOn w:val="Normal"/>
    <w:link w:val="TextodegloboCar"/>
    <w:semiHidden/>
    <w:rsid w:val="00F02C48"/>
    <w:rPr>
      <w:rFonts w:ascii="Tahoma" w:hAnsi="Tahoma" w:cs="Tahoma"/>
      <w:sz w:val="16"/>
      <w:szCs w:val="16"/>
    </w:rPr>
  </w:style>
  <w:style w:type="character" w:customStyle="1" w:styleId="TextodegloboCar">
    <w:name w:val="Texto de globo Car"/>
    <w:basedOn w:val="Fuentedeprrafopredeter"/>
    <w:link w:val="Textodeglobo"/>
    <w:semiHidden/>
    <w:rsid w:val="00F02C48"/>
    <w:rPr>
      <w:rFonts w:ascii="Tahoma" w:eastAsia="Times New Roman" w:hAnsi="Tahoma" w:cs="Tahoma"/>
      <w:kern w:val="0"/>
      <w:sz w:val="16"/>
      <w:szCs w:val="16"/>
      <w:lang w:val="es-ES" w:eastAsia="es-ES"/>
      <w14:ligatures w14:val="none"/>
    </w:rPr>
  </w:style>
  <w:style w:type="paragraph" w:customStyle="1" w:styleId="Prrafodelista1">
    <w:name w:val="Párrafo de lista1"/>
    <w:basedOn w:val="Normal"/>
    <w:rsid w:val="00F02C48"/>
    <w:pPr>
      <w:ind w:left="720"/>
      <w:contextualSpacing/>
    </w:pPr>
  </w:style>
  <w:style w:type="paragraph" w:styleId="Prrafodelista">
    <w:name w:val="List Paragraph"/>
    <w:basedOn w:val="Normal"/>
    <w:uiPriority w:val="34"/>
    <w:qFormat/>
    <w:rsid w:val="00F02C48"/>
    <w:pPr>
      <w:ind w:left="708"/>
    </w:pPr>
  </w:style>
  <w:style w:type="paragraph" w:customStyle="1" w:styleId="xmsonormal">
    <w:name w:val="x_msonormal"/>
    <w:basedOn w:val="Normal"/>
    <w:rsid w:val="00F02C48"/>
    <w:pPr>
      <w:spacing w:before="100" w:beforeAutospacing="1" w:after="100" w:afterAutospacing="1"/>
    </w:pPr>
    <w:rPr>
      <w:rFonts w:ascii="Calibri" w:eastAsia="Calibri" w:hAnsi="Calibri" w:cs="Calibri"/>
      <w:sz w:val="22"/>
      <w:szCs w:val="22"/>
      <w:lang w:val="es-AR" w:eastAsia="es-AR"/>
    </w:rPr>
  </w:style>
  <w:style w:type="character" w:styleId="Refdecomentario">
    <w:name w:val="annotation reference"/>
    <w:uiPriority w:val="99"/>
    <w:semiHidden/>
    <w:unhideWhenUsed/>
    <w:rsid w:val="00F02C48"/>
    <w:rPr>
      <w:sz w:val="16"/>
      <w:szCs w:val="16"/>
    </w:rPr>
  </w:style>
  <w:style w:type="paragraph" w:styleId="Textocomentario">
    <w:name w:val="annotation text"/>
    <w:basedOn w:val="Normal"/>
    <w:link w:val="TextocomentarioCar"/>
    <w:uiPriority w:val="99"/>
    <w:unhideWhenUsed/>
    <w:rsid w:val="00F02C48"/>
    <w:rPr>
      <w:sz w:val="20"/>
      <w:szCs w:val="20"/>
    </w:rPr>
  </w:style>
  <w:style w:type="character" w:customStyle="1" w:styleId="TextocomentarioCar">
    <w:name w:val="Texto comentario Car"/>
    <w:basedOn w:val="Fuentedeprrafopredeter"/>
    <w:link w:val="Textocomentario"/>
    <w:uiPriority w:val="99"/>
    <w:rsid w:val="00F02C48"/>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F02C48"/>
    <w:rPr>
      <w:b/>
      <w:bCs/>
    </w:rPr>
  </w:style>
  <w:style w:type="character" w:customStyle="1" w:styleId="AsuntodelcomentarioCar">
    <w:name w:val="Asunto del comentario Car"/>
    <w:basedOn w:val="TextocomentarioCar"/>
    <w:link w:val="Asuntodelcomentario"/>
    <w:uiPriority w:val="99"/>
    <w:semiHidden/>
    <w:rsid w:val="00F02C48"/>
    <w:rPr>
      <w:rFonts w:ascii="Times New Roman" w:eastAsia="Times New Roman" w:hAnsi="Times New Roman" w:cs="Times New Roman"/>
      <w:b/>
      <w:bCs/>
      <w:kern w:val="0"/>
      <w:sz w:val="20"/>
      <w:szCs w:val="20"/>
      <w:lang w:val="es-ES" w:eastAsia="es-ES"/>
      <w14:ligatures w14:val="none"/>
    </w:rPr>
  </w:style>
  <w:style w:type="paragraph" w:styleId="Revisin">
    <w:name w:val="Revision"/>
    <w:hidden/>
    <w:uiPriority w:val="99"/>
    <w:semiHidden/>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normaltextrun">
    <w:name w:val="normaltextrun"/>
    <w:basedOn w:val="Fuentedeprrafopredeter"/>
    <w:rsid w:val="00F02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10638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Agustina Bagnasco Rocha</dc:creator>
  <cp:keywords/>
  <dc:description/>
  <cp:lastModifiedBy>Florencia De Alessandre</cp:lastModifiedBy>
  <cp:revision>3</cp:revision>
  <dcterms:created xsi:type="dcterms:W3CDTF">2024-03-13T18:55:00Z</dcterms:created>
  <dcterms:modified xsi:type="dcterms:W3CDTF">2024-03-13T21:20:00Z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2024-03-13T18:01:12Z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0f150901-c789-4165-b887-f31f1bc8feb6</vt:lpwstr>
  </property>
  <property fmtid="{D5CDD505-2E9C-101B-9397-08002B2CF9AE}" pid="8" name="MSIP_Label_825b89c4-10ef-4619-aae0-f7317c7587ef_ContentBits">
    <vt:lpwstr>2</vt:lpwstr>
  </property>
</Properties>
</file>